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65D71F5">
      <w:pPr>
        <w:spacing w:beforeLines="50" w:line="360" w:lineRule="auto"/>
        <w:jc w:val="center"/>
        <w:rPr>
          <w:rFonts w:ascii="宋体" w:hAnsi="宋体"/>
          <w:sz w:val="52"/>
          <w:szCs w:val="52"/>
        </w:rPr>
      </w:pPr>
      <w:r>
        <w:rPr>
          <w:rFonts w:hint="eastAsia" w:ascii="宋体" w:hAnsi="宋体"/>
          <w:sz w:val="52"/>
          <w:szCs w:val="52"/>
        </w:rPr>
        <w:t>南宁市政府采购</w:t>
      </w:r>
    </w:p>
    <w:p w14:paraId="789A90B6">
      <w:pPr>
        <w:spacing w:beforeLines="50" w:line="360" w:lineRule="auto"/>
        <w:jc w:val="center"/>
        <w:rPr>
          <w:rFonts w:ascii="宋体" w:hAnsi="宋体"/>
          <w:sz w:val="52"/>
          <w:szCs w:val="52"/>
        </w:rPr>
      </w:pPr>
      <w:r>
        <w:rPr>
          <w:rFonts w:hint="eastAsia" w:ascii="宋体" w:hAnsi="宋体"/>
          <w:sz w:val="52"/>
          <w:szCs w:val="52"/>
        </w:rPr>
        <w:t>公开招标文件（服务类）</w:t>
      </w:r>
    </w:p>
    <w:p w14:paraId="4171B529">
      <w:pPr>
        <w:spacing w:beforeLines="50" w:line="360" w:lineRule="auto"/>
        <w:jc w:val="center"/>
        <w:rPr>
          <w:rFonts w:ascii="仿宋_GB2312" w:hAnsi="宋体" w:eastAsia="仿宋_GB2312"/>
          <w:b/>
          <w:sz w:val="48"/>
          <w:szCs w:val="48"/>
        </w:rPr>
      </w:pPr>
    </w:p>
    <w:p w14:paraId="13D27FF2">
      <w:pPr>
        <w:snapToGrid w:val="0"/>
        <w:spacing w:beforeLines="50" w:line="360" w:lineRule="auto"/>
        <w:jc w:val="center"/>
        <w:rPr>
          <w:rFonts w:ascii="华文新魏" w:hAnsi="宋体" w:eastAsia="华文新魏"/>
          <w:sz w:val="72"/>
          <w:szCs w:val="72"/>
        </w:rPr>
      </w:pPr>
      <w:r>
        <w:rPr>
          <w:rFonts w:hint="eastAsia" w:ascii="华文新魏" w:hAnsi="宋体" w:eastAsia="华文新魏"/>
          <w:sz w:val="72"/>
          <w:szCs w:val="72"/>
        </w:rPr>
        <w:t>招 标 文 件</w:t>
      </w:r>
    </w:p>
    <w:p w14:paraId="6B447C3E">
      <w:pPr>
        <w:snapToGrid w:val="0"/>
        <w:spacing w:beforeLines="50" w:line="360" w:lineRule="auto"/>
        <w:jc w:val="center"/>
        <w:rPr>
          <w:rFonts w:ascii="仿宋_GB2312" w:hAnsi="宋体" w:eastAsia="仿宋_GB2312"/>
          <w:sz w:val="30"/>
          <w:szCs w:val="72"/>
        </w:rPr>
      </w:pPr>
      <w:r>
        <w:rPr>
          <w:rFonts w:hint="eastAsia" w:ascii="仿宋_GB2312" w:hAnsi="宋体" w:eastAsia="仿宋_GB2312"/>
          <w:sz w:val="30"/>
          <w:szCs w:val="72"/>
        </w:rPr>
        <w:t>（全流程电子化评标）</w:t>
      </w:r>
    </w:p>
    <w:p w14:paraId="6F46997C">
      <w:pPr>
        <w:snapToGrid w:val="0"/>
        <w:spacing w:beforeLines="50" w:line="360" w:lineRule="auto"/>
        <w:rPr>
          <w:rFonts w:ascii="仿宋_GB2312" w:hAnsi="宋体" w:eastAsia="仿宋_GB2312"/>
          <w:sz w:val="30"/>
          <w:szCs w:val="72"/>
        </w:rPr>
      </w:pPr>
    </w:p>
    <w:p w14:paraId="4CB5228D">
      <w:pPr>
        <w:pStyle w:val="18"/>
        <w:snapToGrid w:val="0"/>
        <w:spacing w:before="50" w:after="120" w:line="360" w:lineRule="auto"/>
        <w:ind w:firstLine="1193" w:firstLineChars="396"/>
        <w:rPr>
          <w:rFonts w:ascii="仿宋_GB2312" w:hAnsi="宋体" w:eastAsia="仿宋_GB2312"/>
          <w:b/>
          <w:bCs/>
          <w:sz w:val="30"/>
          <w:szCs w:val="30"/>
        </w:rPr>
      </w:pPr>
      <w:r>
        <w:rPr>
          <w:rFonts w:hint="eastAsia" w:ascii="仿宋_GB2312" w:hAnsi="宋体" w:eastAsia="仿宋_GB2312"/>
          <w:b/>
          <w:bCs/>
          <w:sz w:val="30"/>
          <w:szCs w:val="30"/>
        </w:rPr>
        <w:t>项目</w:t>
      </w:r>
      <w:r>
        <w:rPr>
          <w:rFonts w:hint="eastAsia" w:ascii="仿宋_GB2312" w:hAnsi="宋体" w:eastAsia="仿宋_GB2312" w:cs="Courier New"/>
          <w:b/>
          <w:bCs/>
          <w:w w:val="95"/>
          <w:sz w:val="30"/>
          <w:szCs w:val="30"/>
        </w:rPr>
        <w:t>名称</w:t>
      </w:r>
      <w:r>
        <w:rPr>
          <w:rFonts w:hint="eastAsia" w:ascii="仿宋_GB2312" w:hAnsi="宋体" w:eastAsia="仿宋_GB2312"/>
          <w:b/>
          <w:bCs/>
          <w:sz w:val="30"/>
          <w:szCs w:val="30"/>
        </w:rPr>
        <w:t>：南宁市市政工程管理处2025年隧道及人行地下通道</w:t>
      </w:r>
    </w:p>
    <w:p w14:paraId="1B541C68">
      <w:pPr>
        <w:pStyle w:val="18"/>
        <w:snapToGrid w:val="0"/>
        <w:spacing w:before="50" w:after="120" w:line="360" w:lineRule="auto"/>
        <w:ind w:firstLine="2699" w:firstLineChars="896"/>
        <w:rPr>
          <w:rFonts w:ascii="仿宋_GB2312" w:hAnsi="宋体" w:eastAsia="仿宋_GB2312"/>
          <w:b/>
          <w:bCs/>
          <w:sz w:val="30"/>
          <w:szCs w:val="30"/>
        </w:rPr>
      </w:pPr>
      <w:r>
        <w:rPr>
          <w:rFonts w:hint="eastAsia" w:ascii="仿宋_GB2312" w:hAnsi="宋体" w:eastAsia="仿宋_GB2312"/>
          <w:b/>
          <w:bCs/>
          <w:sz w:val="30"/>
          <w:szCs w:val="30"/>
        </w:rPr>
        <w:t>常规定期检测专项</w:t>
      </w:r>
    </w:p>
    <w:p w14:paraId="4FF75989">
      <w:pPr>
        <w:pStyle w:val="18"/>
        <w:snapToGrid w:val="0"/>
        <w:spacing w:before="50" w:after="120" w:line="360" w:lineRule="auto"/>
        <w:ind w:firstLine="1133" w:firstLineChars="396"/>
        <w:rPr>
          <w:rFonts w:hint="eastAsia" w:ascii="仿宋_GB2312" w:hAnsi="宋体" w:eastAsia="仿宋_GB2312"/>
          <w:b/>
          <w:sz w:val="30"/>
          <w:szCs w:val="48"/>
          <w:highlight w:val="none"/>
          <w:lang w:eastAsia="zh-CN"/>
        </w:rPr>
      </w:pPr>
      <w:r>
        <w:rPr>
          <w:rFonts w:hint="eastAsia" w:ascii="仿宋_GB2312" w:hAnsi="宋体" w:eastAsia="仿宋_GB2312" w:cs="Courier New"/>
          <w:b/>
          <w:bCs/>
          <w:w w:val="95"/>
          <w:sz w:val="30"/>
          <w:szCs w:val="30"/>
          <w:highlight w:val="none"/>
        </w:rPr>
        <w:t>项目</w:t>
      </w:r>
      <w:r>
        <w:rPr>
          <w:rFonts w:hint="eastAsia" w:ascii="仿宋_GB2312" w:hAnsi="宋体" w:eastAsia="仿宋_GB2312"/>
          <w:b/>
          <w:bCs/>
          <w:sz w:val="30"/>
          <w:szCs w:val="30"/>
          <w:highlight w:val="none"/>
        </w:rPr>
        <w:t>编号</w:t>
      </w:r>
      <w:r>
        <w:rPr>
          <w:rFonts w:hint="eastAsia" w:ascii="仿宋_GB2312" w:hAnsi="宋体" w:eastAsia="仿宋_GB2312" w:cs="Courier New"/>
          <w:b/>
          <w:bCs/>
          <w:w w:val="95"/>
          <w:sz w:val="30"/>
          <w:szCs w:val="30"/>
          <w:highlight w:val="none"/>
        </w:rPr>
        <w:t>：</w:t>
      </w:r>
      <w:r>
        <w:rPr>
          <w:rFonts w:hint="eastAsia" w:hAnsi="宋体" w:cs="宋体"/>
          <w:b/>
          <w:bCs/>
          <w:w w:val="95"/>
          <w:sz w:val="30"/>
          <w:szCs w:val="30"/>
          <w:highlight w:val="none"/>
          <w:lang w:eastAsia="zh-CN"/>
        </w:rPr>
        <w:t>NNZC2025-G3-990333-GXGC</w:t>
      </w:r>
    </w:p>
    <w:p w14:paraId="6AD906ED">
      <w:pPr>
        <w:snapToGrid w:val="0"/>
        <w:spacing w:beforeLines="50" w:line="360" w:lineRule="auto"/>
        <w:ind w:firstLine="1205" w:firstLineChars="400"/>
        <w:rPr>
          <w:rFonts w:ascii="仿宋_GB2312" w:hAnsi="宋体" w:eastAsia="仿宋_GB2312"/>
          <w:b/>
          <w:sz w:val="30"/>
          <w:szCs w:val="48"/>
        </w:rPr>
      </w:pPr>
      <w:r>
        <w:rPr>
          <w:rFonts w:hint="eastAsia" w:ascii="仿宋_GB2312" w:hAnsi="宋体" w:eastAsia="仿宋_GB2312"/>
          <w:b/>
          <w:sz w:val="30"/>
          <w:szCs w:val="48"/>
        </w:rPr>
        <w:t>项目所属区划：南宁市本级</w:t>
      </w:r>
    </w:p>
    <w:p w14:paraId="092A6BD5">
      <w:pPr>
        <w:pStyle w:val="18"/>
        <w:snapToGrid w:val="0"/>
        <w:spacing w:before="50" w:after="120" w:line="360" w:lineRule="auto"/>
        <w:ind w:firstLine="1125" w:firstLineChars="393"/>
        <w:rPr>
          <w:rFonts w:ascii="仿宋_GB2312" w:hAnsi="宋体" w:eastAsia="仿宋_GB2312"/>
          <w:b/>
          <w:bCs/>
          <w:w w:val="95"/>
          <w:sz w:val="30"/>
          <w:szCs w:val="30"/>
        </w:rPr>
      </w:pPr>
      <w:r>
        <w:rPr>
          <w:rFonts w:hint="eastAsia" w:ascii="仿宋_GB2312" w:hAnsi="宋体" w:eastAsia="仿宋_GB2312"/>
          <w:b/>
          <w:bCs/>
          <w:w w:val="95"/>
          <w:sz w:val="30"/>
          <w:szCs w:val="30"/>
        </w:rPr>
        <w:t>采 购 人：</w:t>
      </w:r>
      <w:r>
        <w:rPr>
          <w:rFonts w:hint="eastAsia" w:ascii="仿宋_GB2312" w:hAnsi="宋体" w:eastAsia="仿宋_GB2312"/>
          <w:b/>
          <w:bCs/>
          <w:sz w:val="30"/>
          <w:szCs w:val="30"/>
        </w:rPr>
        <w:t>南宁市市政工程管理处</w:t>
      </w:r>
    </w:p>
    <w:p w14:paraId="6EE925F7">
      <w:pPr>
        <w:pStyle w:val="18"/>
        <w:snapToGrid w:val="0"/>
        <w:spacing w:before="50" w:after="120" w:line="360" w:lineRule="auto"/>
        <w:ind w:firstLine="1125" w:firstLineChars="393"/>
        <w:rPr>
          <w:rFonts w:ascii="仿宋_GB2312" w:hAnsi="宋体" w:eastAsia="仿宋_GB2312"/>
          <w:b/>
          <w:bCs/>
          <w:w w:val="95"/>
          <w:sz w:val="30"/>
          <w:szCs w:val="30"/>
        </w:rPr>
      </w:pPr>
      <w:r>
        <w:rPr>
          <w:rFonts w:hint="eastAsia" w:ascii="仿宋_GB2312" w:hAnsi="宋体" w:eastAsia="仿宋_GB2312"/>
          <w:b/>
          <w:bCs/>
          <w:w w:val="95"/>
          <w:sz w:val="30"/>
          <w:szCs w:val="30"/>
        </w:rPr>
        <w:t>采购代理机构：广西工程咨询集团有限公司</w:t>
      </w:r>
    </w:p>
    <w:p w14:paraId="61E1B708">
      <w:pPr>
        <w:pStyle w:val="18"/>
        <w:snapToGrid w:val="0"/>
        <w:spacing w:before="50" w:after="120" w:line="360" w:lineRule="auto"/>
        <w:ind w:firstLine="1125" w:firstLineChars="393"/>
        <w:rPr>
          <w:rFonts w:ascii="仿宋_GB2312" w:hAnsi="宋体" w:eastAsia="仿宋_GB2312"/>
          <w:b/>
          <w:bCs/>
          <w:w w:val="95"/>
          <w:sz w:val="30"/>
          <w:szCs w:val="30"/>
        </w:rPr>
      </w:pPr>
    </w:p>
    <w:p w14:paraId="1C226787">
      <w:pPr>
        <w:pStyle w:val="18"/>
        <w:snapToGrid w:val="0"/>
        <w:spacing w:before="50" w:after="120" w:line="360" w:lineRule="auto"/>
        <w:ind w:right="1148" w:firstLine="3414" w:firstLineChars="1193"/>
        <w:rPr>
          <w:rFonts w:ascii="仿宋_GB2312" w:hAnsi="宋体" w:eastAsia="仿宋_GB2312"/>
          <w:sz w:val="30"/>
          <w:szCs w:val="30"/>
        </w:rPr>
      </w:pPr>
      <w:r>
        <w:rPr>
          <w:rFonts w:ascii="仿宋_GB2312" w:hAnsi="宋体" w:eastAsia="仿宋_GB2312"/>
          <w:b/>
          <w:bCs/>
          <w:w w:val="95"/>
          <w:sz w:val="30"/>
          <w:szCs w:val="30"/>
        </w:rPr>
        <w:t>2025</w:t>
      </w:r>
      <w:r>
        <w:rPr>
          <w:rFonts w:hint="eastAsia" w:ascii="仿宋_GB2312" w:hAnsi="宋体" w:eastAsia="仿宋_GB2312"/>
          <w:b/>
          <w:bCs/>
          <w:w w:val="95"/>
          <w:sz w:val="30"/>
          <w:szCs w:val="30"/>
        </w:rPr>
        <w:t>年</w:t>
      </w:r>
      <w:r>
        <w:rPr>
          <w:rFonts w:hint="eastAsia" w:ascii="仿宋_GB2312" w:hAnsi="宋体" w:eastAsia="仿宋_GB2312"/>
          <w:b/>
          <w:bCs/>
          <w:w w:val="95"/>
          <w:sz w:val="30"/>
          <w:szCs w:val="30"/>
          <w:lang w:val="en-US" w:eastAsia="zh-CN"/>
        </w:rPr>
        <w:t>5</w:t>
      </w:r>
      <w:r>
        <w:rPr>
          <w:rFonts w:hint="eastAsia" w:ascii="仿宋_GB2312" w:hAnsi="宋体" w:eastAsia="仿宋_GB2312"/>
          <w:b/>
          <w:bCs/>
          <w:w w:val="95"/>
          <w:sz w:val="30"/>
          <w:szCs w:val="30"/>
        </w:rPr>
        <w:t>月</w:t>
      </w:r>
      <w:r>
        <w:rPr>
          <w:rFonts w:hint="eastAsia" w:ascii="仿宋_GB2312" w:hAnsi="宋体" w:eastAsia="仿宋_GB2312"/>
          <w:b/>
          <w:bCs/>
          <w:w w:val="95"/>
          <w:sz w:val="30"/>
          <w:szCs w:val="30"/>
          <w:lang w:val="en-US" w:eastAsia="zh-CN"/>
        </w:rPr>
        <w:t>27</w:t>
      </w:r>
      <w:r>
        <w:rPr>
          <w:rFonts w:hint="eastAsia" w:ascii="仿宋_GB2312" w:hAnsi="宋体" w:eastAsia="仿宋_GB2312"/>
          <w:b/>
          <w:bCs/>
          <w:w w:val="95"/>
          <w:sz w:val="30"/>
          <w:szCs w:val="30"/>
        </w:rPr>
        <w:t>日</w:t>
      </w:r>
    </w:p>
    <w:p w14:paraId="2BF6C24E">
      <w:pPr>
        <w:rPr>
          <w:rFonts w:ascii="仿宋_GB2312" w:hAnsi="宋体" w:eastAsia="仿宋_GB2312"/>
          <w:sz w:val="30"/>
          <w:szCs w:val="30"/>
        </w:rPr>
      </w:pPr>
    </w:p>
    <w:p w14:paraId="5388BAB5">
      <w:pPr>
        <w:rPr>
          <w:rFonts w:ascii="仿宋_GB2312" w:hAnsi="宋体" w:eastAsia="仿宋_GB2312"/>
          <w:sz w:val="30"/>
          <w:szCs w:val="30"/>
        </w:rPr>
      </w:pPr>
    </w:p>
    <w:p w14:paraId="1FBDEDF9">
      <w:pPr>
        <w:rPr>
          <w:rFonts w:ascii="仿宋_GB2312" w:hAnsi="宋体" w:eastAsia="仿宋_GB2312"/>
          <w:sz w:val="30"/>
          <w:szCs w:val="30"/>
        </w:rPr>
      </w:pPr>
    </w:p>
    <w:p w14:paraId="3EA69D00">
      <w:pPr>
        <w:rPr>
          <w:rFonts w:ascii="仿宋_GB2312" w:hAnsi="宋体" w:eastAsia="仿宋_GB2312"/>
          <w:sz w:val="30"/>
          <w:szCs w:val="30"/>
        </w:rPr>
        <w:sectPr>
          <w:headerReference r:id="rId3" w:type="default"/>
          <w:pgSz w:w="11906" w:h="16838"/>
          <w:pgMar w:top="1134" w:right="1134" w:bottom="1134" w:left="1134" w:header="720" w:footer="720" w:gutter="0"/>
          <w:pgNumType w:start="1"/>
          <w:cols w:space="720" w:num="1"/>
          <w:docGrid w:type="lines" w:linePitch="331" w:charSpace="0"/>
        </w:sectPr>
      </w:pPr>
    </w:p>
    <w:p w14:paraId="509677CC">
      <w:pPr>
        <w:pStyle w:val="18"/>
        <w:jc w:val="center"/>
        <w:rPr>
          <w:rFonts w:ascii="Times New Roman" w:hAnsi="Times New Roman"/>
          <w:b/>
          <w:sz w:val="48"/>
          <w:szCs w:val="48"/>
        </w:rPr>
      </w:pPr>
      <w:r>
        <w:rPr>
          <w:rFonts w:hint="eastAsia" w:ascii="Times New Roman" w:hAnsi="Times New Roman"/>
          <w:b/>
          <w:sz w:val="48"/>
          <w:szCs w:val="48"/>
        </w:rPr>
        <w:t>目录</w:t>
      </w:r>
    </w:p>
    <w:p w14:paraId="119CAFD9">
      <w:pPr>
        <w:pStyle w:val="25"/>
        <w:tabs>
          <w:tab w:val="right" w:leader="dot" w:pos="9628"/>
        </w:tabs>
        <w:spacing w:before="0" w:after="0" w:line="400" w:lineRule="exact"/>
        <w:rPr>
          <w:rStyle w:val="37"/>
          <w:rFonts w:ascii="Times New Roman" w:hAnsi="Times New Roman"/>
          <w:color w:val="auto"/>
          <w:u w:val="none"/>
        </w:rPr>
      </w:pPr>
      <w:r>
        <w:rPr>
          <w:rStyle w:val="37"/>
          <w:rFonts w:ascii="Times New Roman" w:hAnsi="Times New Roman"/>
          <w:color w:val="auto"/>
          <w:u w:val="none"/>
        </w:rPr>
        <w:t>第一章</w:t>
      </w:r>
      <w:r>
        <w:rPr>
          <w:rStyle w:val="37"/>
          <w:rFonts w:hint="eastAsia" w:ascii="Times New Roman" w:hAnsi="Times New Roman"/>
          <w:color w:val="auto"/>
          <w:u w:val="none"/>
        </w:rPr>
        <w:t>招标公告</w:t>
      </w:r>
      <w:r>
        <w:rPr>
          <w:u w:val="none"/>
        </w:rPr>
        <w:tab/>
      </w:r>
      <w:r>
        <w:rPr>
          <w:rFonts w:hint="eastAsia"/>
          <w:u w:val="none"/>
        </w:rPr>
        <w:t>2</w:t>
      </w:r>
    </w:p>
    <w:p w14:paraId="60E68CAE">
      <w:pPr>
        <w:pStyle w:val="25"/>
        <w:tabs>
          <w:tab w:val="right" w:leader="dot" w:pos="9628"/>
        </w:tabs>
        <w:spacing w:before="0" w:after="0" w:line="400" w:lineRule="exact"/>
        <w:rPr>
          <w:rFonts w:asciiTheme="minorHAnsi" w:hAnsiTheme="minorHAnsi" w:eastAsiaTheme="minorEastAsia" w:cstheme="minorBidi"/>
          <w:b w:val="0"/>
          <w:bCs w:val="0"/>
          <w:caps w:val="0"/>
          <w:sz w:val="21"/>
          <w:u w:val="none"/>
        </w:rPr>
      </w:pPr>
      <w:r>
        <w:rPr>
          <w:rFonts w:hAnsi="宋体"/>
          <w:b w:val="0"/>
          <w:bCs w:val="0"/>
          <w:caps w:val="0"/>
          <w:sz w:val="28"/>
          <w:szCs w:val="28"/>
          <w:u w:val="none"/>
        </w:rPr>
        <w:fldChar w:fldCharType="begin"/>
      </w:r>
      <w:r>
        <w:rPr>
          <w:rFonts w:hAnsi="宋体"/>
          <w:b w:val="0"/>
          <w:bCs w:val="0"/>
          <w:caps w:val="0"/>
          <w:sz w:val="28"/>
          <w:szCs w:val="28"/>
          <w:u w:val="none"/>
        </w:rPr>
        <w:instrText xml:space="preserve"> TOC \o "1-3" \h \z \u </w:instrText>
      </w:r>
      <w:r>
        <w:rPr>
          <w:rFonts w:hAnsi="宋体"/>
          <w:b w:val="0"/>
          <w:bCs w:val="0"/>
          <w:caps w:val="0"/>
          <w:sz w:val="28"/>
          <w:szCs w:val="28"/>
          <w:u w:val="none"/>
        </w:rPr>
        <w:fldChar w:fldCharType="separate"/>
      </w:r>
      <w:r>
        <w:fldChar w:fldCharType="begin"/>
      </w:r>
      <w:r>
        <w:instrText xml:space="preserve"> HYPERLINK \l "_Toc187761550" </w:instrText>
      </w:r>
      <w:r>
        <w:fldChar w:fldCharType="separate"/>
      </w:r>
      <w:r>
        <w:rPr>
          <w:rStyle w:val="37"/>
          <w:rFonts w:ascii="Times New Roman" w:hAnsi="Times New Roman"/>
          <w:color w:val="auto"/>
          <w:u w:val="none"/>
        </w:rPr>
        <w:t>第二章采购需求</w:t>
      </w:r>
      <w:r>
        <w:rPr>
          <w:u w:val="none"/>
        </w:rPr>
        <w:tab/>
      </w:r>
      <w:r>
        <w:rPr>
          <w:u w:val="none"/>
        </w:rPr>
        <w:fldChar w:fldCharType="begin"/>
      </w:r>
      <w:r>
        <w:rPr>
          <w:u w:val="none"/>
        </w:rPr>
        <w:instrText xml:space="preserve"> PAGEREF _Toc187761550 \h </w:instrText>
      </w:r>
      <w:r>
        <w:rPr>
          <w:u w:val="none"/>
        </w:rPr>
        <w:fldChar w:fldCharType="separate"/>
      </w:r>
      <w:r>
        <w:rPr>
          <w:u w:val="none"/>
        </w:rPr>
        <w:t>6</w:t>
      </w:r>
      <w:r>
        <w:rPr>
          <w:u w:val="none"/>
        </w:rPr>
        <w:fldChar w:fldCharType="end"/>
      </w:r>
      <w:r>
        <w:rPr>
          <w:u w:val="none"/>
        </w:rPr>
        <w:fldChar w:fldCharType="end"/>
      </w:r>
    </w:p>
    <w:p w14:paraId="4CEE46DE">
      <w:pPr>
        <w:pStyle w:val="25"/>
        <w:tabs>
          <w:tab w:val="right" w:leader="dot" w:pos="9628"/>
        </w:tabs>
        <w:spacing w:before="0" w:after="0" w:line="400" w:lineRule="exact"/>
        <w:rPr>
          <w:rFonts w:asciiTheme="minorHAnsi" w:hAnsiTheme="minorHAnsi" w:eastAsiaTheme="minorEastAsia" w:cstheme="minorBidi"/>
          <w:b w:val="0"/>
          <w:bCs w:val="0"/>
          <w:caps w:val="0"/>
          <w:sz w:val="21"/>
          <w:u w:val="none"/>
        </w:rPr>
      </w:pPr>
      <w:r>
        <w:fldChar w:fldCharType="begin"/>
      </w:r>
      <w:r>
        <w:instrText xml:space="preserve"> HYPERLINK \l "_Toc187761551" </w:instrText>
      </w:r>
      <w:r>
        <w:fldChar w:fldCharType="separate"/>
      </w:r>
      <w:r>
        <w:rPr>
          <w:rStyle w:val="37"/>
          <w:rFonts w:ascii="Times New Roman" w:hAnsi="Times New Roman"/>
          <w:color w:val="auto"/>
          <w:u w:val="none"/>
        </w:rPr>
        <w:t>第三章投标人须知</w:t>
      </w:r>
      <w:r>
        <w:rPr>
          <w:u w:val="none"/>
        </w:rPr>
        <w:tab/>
      </w:r>
      <w:r>
        <w:rPr>
          <w:u w:val="none"/>
        </w:rPr>
        <w:fldChar w:fldCharType="begin"/>
      </w:r>
      <w:r>
        <w:rPr>
          <w:u w:val="none"/>
        </w:rPr>
        <w:instrText xml:space="preserve"> PAGEREF _Toc187761551 \h </w:instrText>
      </w:r>
      <w:r>
        <w:rPr>
          <w:u w:val="none"/>
        </w:rPr>
        <w:fldChar w:fldCharType="separate"/>
      </w:r>
      <w:r>
        <w:rPr>
          <w:u w:val="none"/>
        </w:rPr>
        <w:t>24</w:t>
      </w:r>
      <w:r>
        <w:rPr>
          <w:u w:val="none"/>
        </w:rPr>
        <w:fldChar w:fldCharType="end"/>
      </w:r>
      <w:r>
        <w:rPr>
          <w:u w:val="none"/>
        </w:rPr>
        <w:fldChar w:fldCharType="end"/>
      </w:r>
    </w:p>
    <w:p w14:paraId="6560E3E6">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"_Toc187761552" </w:instrText>
      </w:r>
      <w:r>
        <w:fldChar w:fldCharType="separate"/>
      </w:r>
      <w:r>
        <w:rPr>
          <w:rStyle w:val="37"/>
          <w:rFonts w:ascii="Times New Roman" w:hAnsi="Times New Roman"/>
          <w:color w:val="auto"/>
          <w:u w:val="none"/>
        </w:rPr>
        <w:t>第一节投标人须知前附表</w:t>
      </w:r>
      <w:r>
        <w:tab/>
      </w:r>
      <w:r>
        <w:fldChar w:fldCharType="begin"/>
      </w:r>
      <w:r>
        <w:instrText xml:space="preserve"> PAGEREF _Toc187761552 \h </w:instrText>
      </w:r>
      <w:r>
        <w:fldChar w:fldCharType="separate"/>
      </w:r>
      <w:r>
        <w:t>24</w:t>
      </w:r>
      <w:r>
        <w:fldChar w:fldCharType="end"/>
      </w:r>
      <w:r>
        <w:fldChar w:fldCharType="end"/>
      </w:r>
    </w:p>
    <w:p w14:paraId="005E76CF">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"_Toc187761553" </w:instrText>
      </w:r>
      <w:r>
        <w:fldChar w:fldCharType="separate"/>
      </w:r>
      <w:r>
        <w:rPr>
          <w:rStyle w:val="37"/>
          <w:color w:val="auto"/>
          <w:u w:val="none"/>
        </w:rPr>
        <w:t>第二节投标人须知正文</w:t>
      </w:r>
      <w:r>
        <w:tab/>
      </w:r>
      <w:r>
        <w:fldChar w:fldCharType="begin"/>
      </w:r>
      <w:r>
        <w:instrText xml:space="preserve"> PAGEREF _Toc187761553 \h </w:instrText>
      </w:r>
      <w:r>
        <w:fldChar w:fldCharType="separate"/>
      </w:r>
      <w:r>
        <w:t>30</w:t>
      </w:r>
      <w:r>
        <w:fldChar w:fldCharType="end"/>
      </w:r>
      <w:r>
        <w:fldChar w:fldCharType="end"/>
      </w:r>
    </w:p>
    <w:p w14:paraId="47AF7766">
      <w:pPr>
        <w:pStyle w:val="17"/>
        <w:tabs>
          <w:tab w:val="right" w:leader="dot" w:pos="9628"/>
        </w:tabs>
        <w:spacing w:line="400" w:lineRule="exact"/>
        <w:rPr>
          <w:rFonts w:asciiTheme="minorHAnsi" w:hAnsiTheme="minorHAnsi" w:eastAsiaTheme="minorEastAsia" w:cstheme="minorBidi"/>
          <w:smallCaps w:val="0"/>
          <w:sz w:val="21"/>
        </w:rPr>
      </w:pPr>
      <w:r>
        <w:fldChar w:fldCharType="begin"/>
      </w:r>
      <w:r>
        <w:instrText xml:space="preserve"> HYPERLINK \l "_Toc187761554" </w:instrText>
      </w:r>
      <w:r>
        <w:fldChar w:fldCharType="separate"/>
      </w:r>
      <w:r>
        <w:rPr>
          <w:rStyle w:val="37"/>
          <w:color w:val="auto"/>
          <w:u w:val="none"/>
        </w:rPr>
        <w:t>一、总则</w:t>
      </w:r>
      <w:r>
        <w:tab/>
      </w:r>
      <w:r>
        <w:fldChar w:fldCharType="begin"/>
      </w:r>
      <w:r>
        <w:instrText xml:space="preserve"> PAGEREF _Toc187761554 \h </w:instrText>
      </w:r>
      <w:r>
        <w:fldChar w:fldCharType="separate"/>
      </w:r>
      <w:r>
        <w:t>30</w:t>
      </w:r>
      <w:r>
        <w:fldChar w:fldCharType="end"/>
      </w:r>
      <w:r>
        <w:fldChar w:fldCharType="end"/>
      </w:r>
    </w:p>
    <w:p w14:paraId="768B5B8C">
      <w:pPr>
        <w:pStyle w:val="17"/>
        <w:tabs>
          <w:tab w:val="right" w:leader="dot" w:pos="9628"/>
        </w:tabs>
        <w:spacing w:line="400" w:lineRule="exact"/>
        <w:rPr>
          <w:rFonts w:asciiTheme="minorHAnsi" w:hAnsiTheme="minorHAnsi" w:eastAsiaTheme="minorEastAsia" w:cstheme="minorBidi"/>
          <w:smallCaps w:val="0"/>
          <w:sz w:val="21"/>
        </w:rPr>
      </w:pPr>
      <w:r>
        <w:fldChar w:fldCharType="begin"/>
      </w:r>
      <w:r>
        <w:instrText xml:space="preserve"> HYPERLINK \l "_Toc187761555" </w:instrText>
      </w:r>
      <w:r>
        <w:fldChar w:fldCharType="separate"/>
      </w:r>
      <w:r>
        <w:rPr>
          <w:rStyle w:val="37"/>
          <w:color w:val="auto"/>
          <w:u w:val="none"/>
        </w:rPr>
        <w:t>二、招标文件</w:t>
      </w:r>
      <w:r>
        <w:tab/>
      </w:r>
      <w:r>
        <w:fldChar w:fldCharType="begin"/>
      </w:r>
      <w:r>
        <w:instrText xml:space="preserve"> PAGEREF _Toc187761555 \h </w:instrText>
      </w:r>
      <w:r>
        <w:fldChar w:fldCharType="separate"/>
      </w:r>
      <w:r>
        <w:t>32</w:t>
      </w:r>
      <w:r>
        <w:fldChar w:fldCharType="end"/>
      </w:r>
      <w:r>
        <w:fldChar w:fldCharType="end"/>
      </w:r>
    </w:p>
    <w:p w14:paraId="133EC4E9">
      <w:pPr>
        <w:pStyle w:val="17"/>
        <w:tabs>
          <w:tab w:val="right" w:leader="dot" w:pos="9628"/>
        </w:tabs>
        <w:spacing w:line="400" w:lineRule="exact"/>
        <w:rPr>
          <w:rFonts w:asciiTheme="minorHAnsi" w:hAnsiTheme="minorHAnsi" w:eastAsiaTheme="minorEastAsia" w:cstheme="minorBidi"/>
          <w:smallCaps w:val="0"/>
          <w:sz w:val="21"/>
        </w:rPr>
      </w:pPr>
      <w:r>
        <w:fldChar w:fldCharType="begin"/>
      </w:r>
      <w:r>
        <w:instrText xml:space="preserve"> HYPERLINK \l "_Toc187761556" </w:instrText>
      </w:r>
      <w:r>
        <w:fldChar w:fldCharType="separate"/>
      </w:r>
      <w:r>
        <w:rPr>
          <w:rStyle w:val="37"/>
          <w:color w:val="auto"/>
          <w:u w:val="none"/>
        </w:rPr>
        <w:t>三、投标文件的编制</w:t>
      </w:r>
      <w:r>
        <w:tab/>
      </w:r>
      <w:r>
        <w:fldChar w:fldCharType="begin"/>
      </w:r>
      <w:r>
        <w:instrText xml:space="preserve"> PAGEREF _Toc187761556 \h </w:instrText>
      </w:r>
      <w:r>
        <w:fldChar w:fldCharType="separate"/>
      </w:r>
      <w:r>
        <w:t>33</w:t>
      </w:r>
      <w:r>
        <w:fldChar w:fldCharType="end"/>
      </w:r>
      <w:r>
        <w:fldChar w:fldCharType="end"/>
      </w:r>
    </w:p>
    <w:p w14:paraId="3F7CD9E4">
      <w:pPr>
        <w:pStyle w:val="17"/>
        <w:tabs>
          <w:tab w:val="right" w:leader="dot" w:pos="9628"/>
        </w:tabs>
        <w:spacing w:line="400" w:lineRule="exact"/>
        <w:rPr>
          <w:rFonts w:asciiTheme="minorHAnsi" w:hAnsiTheme="minorHAnsi" w:eastAsiaTheme="minorEastAsia" w:cstheme="minorBidi"/>
          <w:smallCaps w:val="0"/>
          <w:sz w:val="21"/>
        </w:rPr>
      </w:pPr>
      <w:r>
        <w:fldChar w:fldCharType="begin"/>
      </w:r>
      <w:r>
        <w:instrText xml:space="preserve"> HYPERLINK \l "_Toc187761557" </w:instrText>
      </w:r>
      <w:r>
        <w:fldChar w:fldCharType="separate"/>
      </w:r>
      <w:r>
        <w:rPr>
          <w:rStyle w:val="37"/>
          <w:color w:val="auto"/>
          <w:u w:val="none"/>
        </w:rPr>
        <w:t>四、开标</w:t>
      </w:r>
      <w:r>
        <w:tab/>
      </w:r>
      <w:r>
        <w:fldChar w:fldCharType="begin"/>
      </w:r>
      <w:r>
        <w:instrText xml:space="preserve"> PAGEREF _Toc187761557 \h </w:instrText>
      </w:r>
      <w:r>
        <w:fldChar w:fldCharType="separate"/>
      </w:r>
      <w:r>
        <w:t>36</w:t>
      </w:r>
      <w:r>
        <w:fldChar w:fldCharType="end"/>
      </w:r>
      <w:r>
        <w:fldChar w:fldCharType="end"/>
      </w:r>
    </w:p>
    <w:p w14:paraId="15A8B298">
      <w:pPr>
        <w:pStyle w:val="17"/>
        <w:tabs>
          <w:tab w:val="right" w:leader="dot" w:pos="9628"/>
        </w:tabs>
        <w:spacing w:line="400" w:lineRule="exact"/>
        <w:rPr>
          <w:rFonts w:asciiTheme="minorHAnsi" w:hAnsiTheme="minorHAnsi" w:eastAsiaTheme="minorEastAsia" w:cstheme="minorBidi"/>
          <w:smallCaps w:val="0"/>
          <w:sz w:val="21"/>
        </w:rPr>
      </w:pPr>
      <w:r>
        <w:fldChar w:fldCharType="begin"/>
      </w:r>
      <w:r>
        <w:instrText xml:space="preserve"> HYPERLINK \l "_Toc187761558" </w:instrText>
      </w:r>
      <w:r>
        <w:fldChar w:fldCharType="separate"/>
      </w:r>
      <w:r>
        <w:rPr>
          <w:rStyle w:val="37"/>
          <w:color w:val="auto"/>
          <w:u w:val="none"/>
        </w:rPr>
        <w:t>五、资格审查</w:t>
      </w:r>
      <w:r>
        <w:tab/>
      </w:r>
      <w:r>
        <w:fldChar w:fldCharType="begin"/>
      </w:r>
      <w:r>
        <w:instrText xml:space="preserve"> PAGEREF _Toc187761558 \h </w:instrText>
      </w:r>
      <w:r>
        <w:fldChar w:fldCharType="separate"/>
      </w:r>
      <w:r>
        <w:t>37</w:t>
      </w:r>
      <w:r>
        <w:fldChar w:fldCharType="end"/>
      </w:r>
      <w:r>
        <w:fldChar w:fldCharType="end"/>
      </w:r>
    </w:p>
    <w:p w14:paraId="0C4F9A66">
      <w:pPr>
        <w:pStyle w:val="17"/>
        <w:tabs>
          <w:tab w:val="right" w:leader="dot" w:pos="9628"/>
        </w:tabs>
        <w:spacing w:line="400" w:lineRule="exact"/>
        <w:rPr>
          <w:rFonts w:asciiTheme="minorHAnsi" w:hAnsiTheme="minorHAnsi" w:eastAsiaTheme="minorEastAsia" w:cstheme="minorBidi"/>
          <w:smallCaps w:val="0"/>
          <w:sz w:val="21"/>
        </w:rPr>
      </w:pPr>
      <w:r>
        <w:fldChar w:fldCharType="begin"/>
      </w:r>
      <w:r>
        <w:instrText xml:space="preserve"> HYPERLINK \l "_Toc187761559" </w:instrText>
      </w:r>
      <w:r>
        <w:fldChar w:fldCharType="separate"/>
      </w:r>
      <w:r>
        <w:rPr>
          <w:rStyle w:val="37"/>
          <w:color w:val="auto"/>
          <w:u w:val="none"/>
        </w:rPr>
        <w:t>六、评标</w:t>
      </w:r>
      <w:r>
        <w:tab/>
      </w:r>
      <w:r>
        <w:fldChar w:fldCharType="begin"/>
      </w:r>
      <w:r>
        <w:instrText xml:space="preserve"> PAGEREF _Toc187761559 \h </w:instrText>
      </w:r>
      <w:r>
        <w:fldChar w:fldCharType="separate"/>
      </w:r>
      <w:r>
        <w:t>37</w:t>
      </w:r>
      <w:r>
        <w:fldChar w:fldCharType="end"/>
      </w:r>
      <w:r>
        <w:fldChar w:fldCharType="end"/>
      </w:r>
    </w:p>
    <w:p w14:paraId="47063BCF">
      <w:pPr>
        <w:pStyle w:val="17"/>
        <w:tabs>
          <w:tab w:val="right" w:leader="dot" w:pos="9628"/>
        </w:tabs>
        <w:spacing w:line="400" w:lineRule="exact"/>
        <w:rPr>
          <w:rFonts w:asciiTheme="minorHAnsi" w:hAnsiTheme="minorHAnsi" w:eastAsiaTheme="minorEastAsia" w:cstheme="minorBidi"/>
          <w:smallCaps w:val="0"/>
          <w:sz w:val="21"/>
        </w:rPr>
      </w:pPr>
      <w:r>
        <w:fldChar w:fldCharType="begin"/>
      </w:r>
      <w:r>
        <w:instrText xml:space="preserve"> HYPERLINK \l "_Toc187761560" </w:instrText>
      </w:r>
      <w:r>
        <w:fldChar w:fldCharType="separate"/>
      </w:r>
      <w:r>
        <w:rPr>
          <w:rStyle w:val="37"/>
          <w:color w:val="auto"/>
          <w:u w:val="none"/>
        </w:rPr>
        <w:t>七、中标和合同</w:t>
      </w:r>
      <w:r>
        <w:tab/>
      </w:r>
      <w:r>
        <w:fldChar w:fldCharType="begin"/>
      </w:r>
      <w:r>
        <w:instrText xml:space="preserve"> PAGEREF _Toc187761560 \h </w:instrText>
      </w:r>
      <w:r>
        <w:fldChar w:fldCharType="separate"/>
      </w:r>
      <w:r>
        <w:t>39</w:t>
      </w:r>
      <w:r>
        <w:fldChar w:fldCharType="end"/>
      </w:r>
      <w:r>
        <w:fldChar w:fldCharType="end"/>
      </w:r>
    </w:p>
    <w:p w14:paraId="62FAB4E1">
      <w:pPr>
        <w:pStyle w:val="17"/>
        <w:tabs>
          <w:tab w:val="right" w:leader="dot" w:pos="9628"/>
        </w:tabs>
        <w:spacing w:line="400" w:lineRule="exact"/>
        <w:rPr>
          <w:rFonts w:asciiTheme="minorHAnsi" w:hAnsiTheme="minorHAnsi" w:eastAsiaTheme="minorEastAsia" w:cstheme="minorBidi"/>
          <w:smallCaps w:val="0"/>
          <w:sz w:val="21"/>
        </w:rPr>
      </w:pPr>
      <w:r>
        <w:fldChar w:fldCharType="begin"/>
      </w:r>
      <w:r>
        <w:instrText xml:space="preserve"> HYPERLINK \l "_Toc187761561" </w:instrText>
      </w:r>
      <w:r>
        <w:fldChar w:fldCharType="separate"/>
      </w:r>
      <w:r>
        <w:rPr>
          <w:rStyle w:val="37"/>
          <w:b/>
          <w:bCs/>
          <w:color w:val="auto"/>
          <w:u w:val="none"/>
        </w:rPr>
        <w:t>八、验收</w:t>
      </w:r>
      <w:r>
        <w:tab/>
      </w:r>
      <w:r>
        <w:fldChar w:fldCharType="begin"/>
      </w:r>
      <w:r>
        <w:instrText xml:space="preserve"> PAGEREF _Toc187761561 \h </w:instrText>
      </w:r>
      <w:r>
        <w:fldChar w:fldCharType="separate"/>
      </w:r>
      <w:r>
        <w:t>44</w:t>
      </w:r>
      <w:r>
        <w:fldChar w:fldCharType="end"/>
      </w:r>
      <w:r>
        <w:fldChar w:fldCharType="end"/>
      </w:r>
    </w:p>
    <w:p w14:paraId="13ADF986">
      <w:pPr>
        <w:pStyle w:val="17"/>
        <w:tabs>
          <w:tab w:val="right" w:leader="dot" w:pos="9628"/>
        </w:tabs>
        <w:spacing w:line="400" w:lineRule="exact"/>
        <w:rPr>
          <w:rFonts w:asciiTheme="minorHAnsi" w:hAnsiTheme="minorHAnsi" w:eastAsiaTheme="minorEastAsia" w:cstheme="minorBidi"/>
          <w:smallCaps w:val="0"/>
          <w:sz w:val="21"/>
        </w:rPr>
      </w:pPr>
      <w:r>
        <w:fldChar w:fldCharType="begin"/>
      </w:r>
      <w:r>
        <w:instrText xml:space="preserve"> HYPERLINK \l "_Toc187761562" </w:instrText>
      </w:r>
      <w:r>
        <w:fldChar w:fldCharType="separate"/>
      </w:r>
      <w:r>
        <w:rPr>
          <w:rStyle w:val="37"/>
          <w:color w:val="auto"/>
          <w:u w:val="none"/>
        </w:rPr>
        <w:t>九、其他事项</w:t>
      </w:r>
      <w:r>
        <w:tab/>
      </w:r>
      <w:r>
        <w:fldChar w:fldCharType="begin"/>
      </w:r>
      <w:r>
        <w:instrText xml:space="preserve"> PAGEREF _Toc187761562 \h </w:instrText>
      </w:r>
      <w:r>
        <w:fldChar w:fldCharType="separate"/>
      </w:r>
      <w:r>
        <w:t>44</w:t>
      </w:r>
      <w:r>
        <w:fldChar w:fldCharType="end"/>
      </w:r>
      <w:r>
        <w:fldChar w:fldCharType="end"/>
      </w:r>
    </w:p>
    <w:p w14:paraId="0985092A">
      <w:pPr>
        <w:pStyle w:val="25"/>
        <w:tabs>
          <w:tab w:val="right" w:leader="dot" w:pos="9628"/>
        </w:tabs>
        <w:spacing w:before="0" w:after="0" w:line="400" w:lineRule="exact"/>
        <w:rPr>
          <w:rFonts w:asciiTheme="minorHAnsi" w:hAnsiTheme="minorHAnsi" w:eastAsiaTheme="minorEastAsia" w:cstheme="minorBidi"/>
          <w:b w:val="0"/>
          <w:bCs w:val="0"/>
          <w:caps w:val="0"/>
          <w:sz w:val="21"/>
          <w:u w:val="none"/>
        </w:rPr>
      </w:pPr>
      <w:r>
        <w:fldChar w:fldCharType="begin"/>
      </w:r>
      <w:r>
        <w:instrText xml:space="preserve"> HYPERLINK \l "_Toc187761563" </w:instrText>
      </w:r>
      <w:r>
        <w:fldChar w:fldCharType="separate"/>
      </w:r>
      <w:r>
        <w:rPr>
          <w:rStyle w:val="37"/>
          <w:rFonts w:ascii="Times New Roman" w:hAnsi="Times New Roman"/>
          <w:color w:val="auto"/>
          <w:u w:val="none"/>
        </w:rPr>
        <w:t>第四章评标方法及评分标准</w:t>
      </w:r>
      <w:r>
        <w:rPr>
          <w:u w:val="none"/>
        </w:rPr>
        <w:tab/>
      </w:r>
      <w:r>
        <w:rPr>
          <w:u w:val="none"/>
        </w:rPr>
        <w:fldChar w:fldCharType="begin"/>
      </w:r>
      <w:r>
        <w:rPr>
          <w:u w:val="none"/>
        </w:rPr>
        <w:instrText xml:space="preserve"> PAGEREF _Toc187761563 \h </w:instrText>
      </w:r>
      <w:r>
        <w:rPr>
          <w:u w:val="none"/>
        </w:rPr>
        <w:fldChar w:fldCharType="separate"/>
      </w:r>
      <w:r>
        <w:rPr>
          <w:u w:val="none"/>
        </w:rPr>
        <w:t>46</w:t>
      </w:r>
      <w:r>
        <w:rPr>
          <w:u w:val="none"/>
        </w:rPr>
        <w:fldChar w:fldCharType="end"/>
      </w:r>
      <w:r>
        <w:rPr>
          <w:u w:val="none"/>
        </w:rPr>
        <w:fldChar w:fldCharType="end"/>
      </w:r>
    </w:p>
    <w:p w14:paraId="158D329E">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"_Toc187761564" </w:instrText>
      </w:r>
      <w:r>
        <w:fldChar w:fldCharType="separate"/>
      </w:r>
      <w:r>
        <w:rPr>
          <w:rStyle w:val="37"/>
          <w:rFonts w:ascii="Times New Roman" w:hAnsi="Times New Roman"/>
          <w:color w:val="auto"/>
          <w:u w:val="none"/>
        </w:rPr>
        <w:t>第一节评标方法</w:t>
      </w:r>
      <w:r>
        <w:tab/>
      </w:r>
      <w:r>
        <w:fldChar w:fldCharType="begin"/>
      </w:r>
      <w:r>
        <w:instrText xml:space="preserve"> PAGEREF _Toc187761564 \h </w:instrText>
      </w:r>
      <w:r>
        <w:fldChar w:fldCharType="separate"/>
      </w:r>
      <w:r>
        <w:t>46</w:t>
      </w:r>
      <w:r>
        <w:fldChar w:fldCharType="end"/>
      </w:r>
      <w:r>
        <w:fldChar w:fldCharType="end"/>
      </w:r>
    </w:p>
    <w:p w14:paraId="0B497F1B">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"_Toc187761565" </w:instrText>
      </w:r>
      <w:r>
        <w:fldChar w:fldCharType="separate"/>
      </w:r>
      <w:r>
        <w:rPr>
          <w:rStyle w:val="37"/>
          <w:rFonts w:ascii="Times New Roman" w:hAnsi="Times New Roman"/>
          <w:color w:val="auto"/>
          <w:u w:val="none"/>
        </w:rPr>
        <w:t>第二节评标程序</w:t>
      </w:r>
      <w:r>
        <w:tab/>
      </w:r>
      <w:r>
        <w:fldChar w:fldCharType="begin"/>
      </w:r>
      <w:r>
        <w:instrText xml:space="preserve"> PAGEREF _Toc187761565 \h </w:instrText>
      </w:r>
      <w:r>
        <w:fldChar w:fldCharType="separate"/>
      </w:r>
      <w:r>
        <w:t>46</w:t>
      </w:r>
      <w:r>
        <w:fldChar w:fldCharType="end"/>
      </w:r>
      <w:r>
        <w:fldChar w:fldCharType="end"/>
      </w:r>
    </w:p>
    <w:p w14:paraId="4A66B800">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"_Toc187761566" </w:instrText>
      </w:r>
      <w:r>
        <w:fldChar w:fldCharType="separate"/>
      </w:r>
      <w:r>
        <w:rPr>
          <w:rStyle w:val="37"/>
          <w:color w:val="auto"/>
          <w:u w:val="none"/>
        </w:rPr>
        <w:t>第三节评分标准</w:t>
      </w:r>
      <w:r>
        <w:tab/>
      </w:r>
      <w:r>
        <w:fldChar w:fldCharType="begin"/>
      </w:r>
      <w:r>
        <w:instrText xml:space="preserve"> PAGEREF _Toc187761566 \h </w:instrText>
      </w:r>
      <w:r>
        <w:fldChar w:fldCharType="separate"/>
      </w:r>
      <w:r>
        <w:t>49</w:t>
      </w:r>
      <w:r>
        <w:fldChar w:fldCharType="end"/>
      </w:r>
      <w:r>
        <w:fldChar w:fldCharType="end"/>
      </w:r>
    </w:p>
    <w:p w14:paraId="218B745C">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"_Toc187761568" </w:instrText>
      </w:r>
      <w:r>
        <w:fldChar w:fldCharType="separate"/>
      </w:r>
      <w:r>
        <w:rPr>
          <w:rStyle w:val="37"/>
          <w:color w:val="auto"/>
          <w:u w:val="none"/>
        </w:rPr>
        <w:t>第四节中标候选人推荐原则</w:t>
      </w:r>
      <w:r>
        <w:tab/>
      </w:r>
      <w:r>
        <w:fldChar w:fldCharType="begin"/>
      </w:r>
      <w:r>
        <w:instrText xml:space="preserve"> PAGEREF _Toc187761568 \h </w:instrText>
      </w:r>
      <w:r>
        <w:fldChar w:fldCharType="separate"/>
      </w:r>
      <w:r>
        <w:t>56</w:t>
      </w:r>
      <w:r>
        <w:fldChar w:fldCharType="end"/>
      </w:r>
      <w:r>
        <w:fldChar w:fldCharType="end"/>
      </w:r>
    </w:p>
    <w:p w14:paraId="57C5F128">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"_Toc187761569" </w:instrText>
      </w:r>
      <w:r>
        <w:fldChar w:fldCharType="separate"/>
      </w:r>
      <w:r>
        <w:rPr>
          <w:rStyle w:val="37"/>
          <w:color w:val="auto"/>
          <w:u w:val="none"/>
        </w:rPr>
        <w:t>第五节评标报告</w:t>
      </w:r>
      <w:r>
        <w:tab/>
      </w:r>
      <w:r>
        <w:fldChar w:fldCharType="begin"/>
      </w:r>
      <w:r>
        <w:instrText xml:space="preserve"> PAGEREF _Toc187761569 \h </w:instrText>
      </w:r>
      <w:r>
        <w:fldChar w:fldCharType="separate"/>
      </w:r>
      <w:r>
        <w:t>56</w:t>
      </w:r>
      <w:r>
        <w:fldChar w:fldCharType="end"/>
      </w:r>
      <w:r>
        <w:fldChar w:fldCharType="end"/>
      </w:r>
    </w:p>
    <w:p w14:paraId="6179915A">
      <w:pPr>
        <w:pStyle w:val="25"/>
        <w:tabs>
          <w:tab w:val="right" w:leader="dot" w:pos="9628"/>
        </w:tabs>
        <w:spacing w:before="0" w:after="0" w:line="400" w:lineRule="exact"/>
        <w:rPr>
          <w:rFonts w:asciiTheme="minorHAnsi" w:hAnsiTheme="minorHAnsi" w:eastAsiaTheme="minorEastAsia" w:cstheme="minorBidi"/>
          <w:b w:val="0"/>
          <w:bCs w:val="0"/>
          <w:caps w:val="0"/>
          <w:sz w:val="21"/>
          <w:u w:val="none"/>
        </w:rPr>
      </w:pPr>
      <w:r>
        <w:fldChar w:fldCharType="begin"/>
      </w:r>
      <w:r>
        <w:instrText xml:space="preserve"> HYPERLINK \l "_Toc187761570" </w:instrText>
      </w:r>
      <w:r>
        <w:fldChar w:fldCharType="separate"/>
      </w:r>
      <w:r>
        <w:rPr>
          <w:rStyle w:val="37"/>
          <w:rFonts w:ascii="Times New Roman" w:hAnsi="Times New Roman"/>
          <w:color w:val="auto"/>
          <w:u w:val="none"/>
        </w:rPr>
        <w:t>第五章拟签订的合同文本</w:t>
      </w:r>
      <w:r>
        <w:rPr>
          <w:u w:val="none"/>
        </w:rPr>
        <w:tab/>
      </w:r>
      <w:r>
        <w:rPr>
          <w:u w:val="none"/>
        </w:rPr>
        <w:fldChar w:fldCharType="begin"/>
      </w:r>
      <w:r>
        <w:rPr>
          <w:u w:val="none"/>
        </w:rPr>
        <w:instrText xml:space="preserve"> PAGEREF _Toc187761570 \h </w:instrText>
      </w:r>
      <w:r>
        <w:rPr>
          <w:u w:val="none"/>
        </w:rPr>
        <w:fldChar w:fldCharType="separate"/>
      </w:r>
      <w:r>
        <w:rPr>
          <w:u w:val="none"/>
        </w:rPr>
        <w:t>57</w:t>
      </w:r>
      <w:r>
        <w:rPr>
          <w:u w:val="none"/>
        </w:rPr>
        <w:fldChar w:fldCharType="end"/>
      </w:r>
      <w:r>
        <w:rPr>
          <w:u w:val="none"/>
        </w:rPr>
        <w:fldChar w:fldCharType="end"/>
      </w:r>
    </w:p>
    <w:p w14:paraId="6C29FBFF">
      <w:pPr>
        <w:pStyle w:val="25"/>
        <w:tabs>
          <w:tab w:val="right" w:leader="dot" w:pos="9628"/>
        </w:tabs>
        <w:spacing w:before="0" w:after="0" w:line="400" w:lineRule="exact"/>
        <w:rPr>
          <w:rFonts w:asciiTheme="minorHAnsi" w:hAnsiTheme="minorHAnsi" w:eastAsiaTheme="minorEastAsia" w:cstheme="minorBidi"/>
          <w:b w:val="0"/>
          <w:bCs w:val="0"/>
          <w:caps w:val="0"/>
          <w:sz w:val="21"/>
          <w:u w:val="none"/>
        </w:rPr>
      </w:pPr>
      <w:r>
        <w:fldChar w:fldCharType="begin"/>
      </w:r>
      <w:r>
        <w:instrText xml:space="preserve"> HYPERLINK \l "_Toc187761571" </w:instrText>
      </w:r>
      <w:r>
        <w:fldChar w:fldCharType="separate"/>
      </w:r>
      <w:r>
        <w:rPr>
          <w:rStyle w:val="37"/>
          <w:rFonts w:ascii="Times New Roman" w:hAnsi="Times New Roman"/>
          <w:color w:val="auto"/>
          <w:u w:val="none"/>
        </w:rPr>
        <w:t>第六章投标文件格式</w:t>
      </w:r>
      <w:r>
        <w:rPr>
          <w:u w:val="none"/>
        </w:rPr>
        <w:tab/>
      </w:r>
      <w:r>
        <w:rPr>
          <w:u w:val="none"/>
        </w:rPr>
        <w:fldChar w:fldCharType="begin"/>
      </w:r>
      <w:r>
        <w:rPr>
          <w:u w:val="none"/>
        </w:rPr>
        <w:instrText xml:space="preserve"> PAGEREF _Toc187761571 \h </w:instrText>
      </w:r>
      <w:r>
        <w:rPr>
          <w:u w:val="none"/>
        </w:rPr>
        <w:fldChar w:fldCharType="separate"/>
      </w:r>
      <w:r>
        <w:rPr>
          <w:u w:val="none"/>
        </w:rPr>
        <w:t>72</w:t>
      </w:r>
      <w:r>
        <w:rPr>
          <w:u w:val="none"/>
        </w:rPr>
        <w:fldChar w:fldCharType="end"/>
      </w:r>
      <w:r>
        <w:rPr>
          <w:u w:val="none"/>
        </w:rPr>
        <w:fldChar w:fldCharType="end"/>
      </w:r>
    </w:p>
    <w:p w14:paraId="4E7C4590">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"_Toc187761572" </w:instrText>
      </w:r>
      <w:r>
        <w:fldChar w:fldCharType="separate"/>
      </w:r>
      <w:r>
        <w:rPr>
          <w:rStyle w:val="37"/>
          <w:rFonts w:hAnsi="宋体"/>
          <w:color w:val="auto"/>
          <w:u w:val="none"/>
        </w:rPr>
        <w:t>第一节 投标文件外层包装封面</w:t>
      </w:r>
      <w:r>
        <w:tab/>
      </w:r>
      <w:r>
        <w:fldChar w:fldCharType="begin"/>
      </w:r>
      <w:r>
        <w:instrText xml:space="preserve"> PAGEREF _Toc187761572 \h </w:instrText>
      </w:r>
      <w:r>
        <w:fldChar w:fldCharType="separate"/>
      </w:r>
      <w:r>
        <w:t>73</w:t>
      </w:r>
      <w:r>
        <w:fldChar w:fldCharType="end"/>
      </w:r>
      <w:r>
        <w:fldChar w:fldCharType="end"/>
      </w:r>
    </w:p>
    <w:p w14:paraId="353B815E">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"_Toc187761573" </w:instrText>
      </w:r>
      <w:r>
        <w:fldChar w:fldCharType="separate"/>
      </w:r>
      <w:r>
        <w:rPr>
          <w:rStyle w:val="37"/>
          <w:rFonts w:hAnsi="宋体"/>
          <w:color w:val="auto"/>
          <w:u w:val="none"/>
        </w:rPr>
        <w:t>第二节 资格证明文件格式</w:t>
      </w:r>
      <w:r>
        <w:tab/>
      </w:r>
      <w:r>
        <w:fldChar w:fldCharType="begin"/>
      </w:r>
      <w:r>
        <w:instrText xml:space="preserve"> PAGEREF _Toc187761573 \h </w:instrText>
      </w:r>
      <w:r>
        <w:fldChar w:fldCharType="separate"/>
      </w:r>
      <w:r>
        <w:t>74</w:t>
      </w:r>
      <w:r>
        <w:fldChar w:fldCharType="end"/>
      </w:r>
      <w:r>
        <w:fldChar w:fldCharType="end"/>
      </w:r>
    </w:p>
    <w:p w14:paraId="071A3FB8">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"_Toc187761574" </w:instrText>
      </w:r>
      <w:r>
        <w:fldChar w:fldCharType="separate"/>
      </w:r>
      <w:r>
        <w:rPr>
          <w:rStyle w:val="37"/>
          <w:rFonts w:hAnsi="宋体"/>
          <w:color w:val="auto"/>
          <w:u w:val="none"/>
        </w:rPr>
        <w:t>第三节 商务文件格式</w:t>
      </w:r>
      <w:r>
        <w:tab/>
      </w:r>
      <w:r>
        <w:fldChar w:fldCharType="begin"/>
      </w:r>
      <w:r>
        <w:instrText xml:space="preserve"> PAGEREF _Toc187761574 \h </w:instrText>
      </w:r>
      <w:r>
        <w:fldChar w:fldCharType="separate"/>
      </w:r>
      <w:r>
        <w:t>81</w:t>
      </w:r>
      <w:r>
        <w:fldChar w:fldCharType="end"/>
      </w:r>
      <w:r>
        <w:fldChar w:fldCharType="end"/>
      </w:r>
    </w:p>
    <w:p w14:paraId="17B9943F">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"_Toc187761575" </w:instrText>
      </w:r>
      <w:r>
        <w:fldChar w:fldCharType="separate"/>
      </w:r>
      <w:r>
        <w:rPr>
          <w:rStyle w:val="37"/>
          <w:rFonts w:hAnsi="宋体"/>
          <w:color w:val="auto"/>
          <w:u w:val="none"/>
        </w:rPr>
        <w:t>第四节 技术文件格式</w:t>
      </w:r>
      <w:r>
        <w:tab/>
      </w:r>
      <w:r>
        <w:fldChar w:fldCharType="begin"/>
      </w:r>
      <w:r>
        <w:instrText xml:space="preserve"> PAGEREF _Toc187761575 \h </w:instrText>
      </w:r>
      <w:r>
        <w:fldChar w:fldCharType="separate"/>
      </w:r>
      <w:r>
        <w:t>94</w:t>
      </w:r>
      <w:r>
        <w:fldChar w:fldCharType="end"/>
      </w:r>
      <w:r>
        <w:fldChar w:fldCharType="end"/>
      </w:r>
    </w:p>
    <w:p w14:paraId="19BD92F9">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"_Toc187761576" </w:instrText>
      </w:r>
      <w:r>
        <w:fldChar w:fldCharType="separate"/>
      </w:r>
      <w:r>
        <w:rPr>
          <w:rStyle w:val="37"/>
          <w:rFonts w:hAnsi="宋体"/>
          <w:color w:val="auto"/>
          <w:u w:val="none"/>
        </w:rPr>
        <w:t>第五节 报价文件格式</w:t>
      </w:r>
      <w:r>
        <w:tab/>
      </w:r>
      <w:r>
        <w:fldChar w:fldCharType="begin"/>
      </w:r>
      <w:r>
        <w:instrText xml:space="preserve"> PAGEREF _Toc187761576 \h </w:instrText>
      </w:r>
      <w:r>
        <w:fldChar w:fldCharType="separate"/>
      </w:r>
      <w:r>
        <w:t>105</w:t>
      </w:r>
      <w:r>
        <w:fldChar w:fldCharType="end"/>
      </w:r>
      <w:r>
        <w:fldChar w:fldCharType="end"/>
      </w:r>
    </w:p>
    <w:p w14:paraId="10A9CA98">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"_Toc187761577" </w:instrText>
      </w:r>
      <w:r>
        <w:fldChar w:fldCharType="separate"/>
      </w:r>
      <w:r>
        <w:rPr>
          <w:rStyle w:val="37"/>
          <w:rFonts w:ascii="宋体" w:hAnsi="宋体"/>
          <w:color w:val="auto"/>
          <w:u w:val="none"/>
        </w:rPr>
        <w:t>第六节 其他文书、文件格式</w:t>
      </w:r>
      <w:r>
        <w:tab/>
      </w:r>
      <w:r>
        <w:fldChar w:fldCharType="begin"/>
      </w:r>
      <w:r>
        <w:instrText xml:space="preserve"> PAGEREF _Toc187761577 \h </w:instrText>
      </w:r>
      <w:r>
        <w:fldChar w:fldCharType="separate"/>
      </w:r>
      <w:r>
        <w:t>112</w:t>
      </w:r>
      <w:r>
        <w:fldChar w:fldCharType="end"/>
      </w:r>
      <w:r>
        <w:fldChar w:fldCharType="end"/>
      </w:r>
    </w:p>
    <w:p w14:paraId="0E0A1CAD">
      <w:pPr>
        <w:pStyle w:val="25"/>
        <w:tabs>
          <w:tab w:val="right" w:leader="dot" w:pos="9628"/>
        </w:tabs>
        <w:spacing w:before="0" w:after="0" w:line="400" w:lineRule="exact"/>
        <w:rPr>
          <w:rFonts w:asciiTheme="minorHAnsi" w:hAnsiTheme="minorHAnsi" w:eastAsiaTheme="minorEastAsia" w:cstheme="minorBidi"/>
          <w:b w:val="0"/>
          <w:bCs w:val="0"/>
          <w:caps w:val="0"/>
          <w:sz w:val="21"/>
          <w:u w:val="none"/>
        </w:rPr>
      </w:pPr>
      <w:r>
        <w:fldChar w:fldCharType="begin"/>
      </w:r>
      <w:r>
        <w:instrText xml:space="preserve"> HYPERLINK \l "_Toc187761578" </w:instrText>
      </w:r>
      <w:r>
        <w:fldChar w:fldCharType="separate"/>
      </w:r>
      <w:r>
        <w:rPr>
          <w:rStyle w:val="37"/>
          <w:rFonts w:ascii="Times New Roman" w:hAnsi="Times New Roman"/>
          <w:color w:val="auto"/>
          <w:u w:val="none"/>
        </w:rPr>
        <w:t>第七章质疑、投诉证明材料格式</w:t>
      </w:r>
      <w:r>
        <w:rPr>
          <w:u w:val="none"/>
        </w:rPr>
        <w:tab/>
      </w:r>
      <w:r>
        <w:rPr>
          <w:u w:val="none"/>
        </w:rPr>
        <w:fldChar w:fldCharType="begin"/>
      </w:r>
      <w:r>
        <w:rPr>
          <w:u w:val="none"/>
        </w:rPr>
        <w:instrText xml:space="preserve"> PAGEREF _Toc187761578 \h </w:instrText>
      </w:r>
      <w:r>
        <w:rPr>
          <w:u w:val="none"/>
        </w:rPr>
        <w:fldChar w:fldCharType="separate"/>
      </w:r>
      <w:r>
        <w:rPr>
          <w:u w:val="none"/>
        </w:rPr>
        <w:t>114</w:t>
      </w:r>
      <w:r>
        <w:rPr>
          <w:u w:val="none"/>
        </w:rPr>
        <w:fldChar w:fldCharType="end"/>
      </w:r>
      <w:r>
        <w:rPr>
          <w:u w:val="none"/>
        </w:rPr>
        <w:fldChar w:fldCharType="end"/>
      </w:r>
    </w:p>
    <w:p w14:paraId="22E8A10E">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"_Toc187761579" </w:instrText>
      </w:r>
      <w:r>
        <w:fldChar w:fldCharType="separate"/>
      </w:r>
      <w:r>
        <w:rPr>
          <w:rStyle w:val="37"/>
          <w:rFonts w:ascii="宋体" w:hAnsi="宋体"/>
          <w:color w:val="auto"/>
          <w:u w:val="none"/>
        </w:rPr>
        <w:t>第一节 质疑函（格式）</w:t>
      </w:r>
      <w:r>
        <w:tab/>
      </w:r>
      <w:r>
        <w:fldChar w:fldCharType="begin"/>
      </w:r>
      <w:r>
        <w:instrText xml:space="preserve"> PAGEREF _Toc187761579 \h </w:instrText>
      </w:r>
      <w:r>
        <w:fldChar w:fldCharType="separate"/>
      </w:r>
      <w:r>
        <w:t>115</w:t>
      </w:r>
      <w:r>
        <w:fldChar w:fldCharType="end"/>
      </w:r>
      <w:r>
        <w:fldChar w:fldCharType="end"/>
      </w:r>
    </w:p>
    <w:p w14:paraId="507301B0">
      <w:pPr>
        <w:pStyle w:val="29"/>
        <w:tabs>
          <w:tab w:val="right" w:leader="dot" w:pos="9628"/>
        </w:tabs>
        <w:spacing w:line="400" w:lineRule="exact"/>
        <w:rPr>
          <w:rFonts w:asciiTheme="minorHAnsi" w:hAnsiTheme="minorHAnsi" w:eastAsiaTheme="minorEastAsia" w:cstheme="minorBidi"/>
          <w:b w:val="0"/>
          <w:bCs w:val="0"/>
          <w:smallCaps w:val="0"/>
          <w:sz w:val="21"/>
        </w:rPr>
      </w:pPr>
      <w:r>
        <w:fldChar w:fldCharType="begin"/>
      </w:r>
      <w:r>
        <w:instrText xml:space="preserve"> HYPERLINK \l "_Toc187761580" </w:instrText>
      </w:r>
      <w:r>
        <w:fldChar w:fldCharType="separate"/>
      </w:r>
      <w:r>
        <w:rPr>
          <w:rStyle w:val="37"/>
          <w:rFonts w:ascii="宋体" w:hAnsi="宋体"/>
          <w:color w:val="auto"/>
          <w:u w:val="none"/>
        </w:rPr>
        <w:t>第二节 投诉书（格式）</w:t>
      </w:r>
      <w:r>
        <w:tab/>
      </w:r>
      <w:r>
        <w:fldChar w:fldCharType="begin"/>
      </w:r>
      <w:r>
        <w:instrText xml:space="preserve"> PAGEREF _Toc187761580 \h </w:instrText>
      </w:r>
      <w:r>
        <w:fldChar w:fldCharType="separate"/>
      </w:r>
      <w:r>
        <w:t>118</w:t>
      </w:r>
      <w:r>
        <w:fldChar w:fldCharType="end"/>
      </w:r>
      <w:r>
        <w:fldChar w:fldCharType="end"/>
      </w:r>
    </w:p>
    <w:p w14:paraId="4C5D2F1D">
      <w:pPr>
        <w:pStyle w:val="18"/>
        <w:spacing w:line="400" w:lineRule="exact"/>
        <w:jc w:val="center"/>
        <w:rPr>
          <w:rFonts w:ascii="Calibri" w:hAnsi="宋体"/>
          <w:bCs/>
          <w:caps/>
          <w:szCs w:val="28"/>
        </w:rPr>
      </w:pPr>
      <w:r>
        <w:rPr>
          <w:rFonts w:ascii="Calibri" w:hAnsi="宋体"/>
          <w:bCs/>
          <w:caps/>
          <w:szCs w:val="28"/>
        </w:rPr>
        <w:fldChar w:fldCharType="end"/>
      </w:r>
    </w:p>
    <w:p w14:paraId="4EA15172">
      <w:pPr>
        <w:widowControl/>
        <w:jc w:val="left"/>
        <w:rPr>
          <w:rFonts w:ascii="Calibri" w:hAnsi="宋体"/>
          <w:bCs/>
          <w:caps/>
          <w:szCs w:val="28"/>
        </w:rPr>
      </w:pPr>
      <w:r>
        <w:rPr>
          <w:rFonts w:ascii="Calibri" w:hAnsi="宋体"/>
          <w:bCs/>
          <w:caps/>
          <w:szCs w:val="28"/>
        </w:rPr>
        <w:br w:type="page"/>
      </w:r>
    </w:p>
    <w:p w14:paraId="2ED534D9">
      <w:pPr>
        <w:pStyle w:val="18"/>
        <w:spacing w:line="300" w:lineRule="exact"/>
        <w:jc w:val="center"/>
        <w:rPr>
          <w:rFonts w:ascii="Calibri" w:hAnsi="宋体"/>
          <w:bCs/>
          <w:caps/>
          <w:szCs w:val="28"/>
          <w:u w:val="single"/>
        </w:rPr>
      </w:pPr>
    </w:p>
    <w:p w14:paraId="4CAB09D2">
      <w:pPr>
        <w:pStyle w:val="18"/>
        <w:spacing w:line="400" w:lineRule="exact"/>
        <w:jc w:val="center"/>
        <w:rPr>
          <w:rFonts w:hAnsi="宋体"/>
          <w:b/>
          <w:sz w:val="36"/>
          <w:szCs w:val="36"/>
        </w:rPr>
      </w:pPr>
      <w:r>
        <w:rPr>
          <w:rFonts w:hint="eastAsia"/>
        </w:rPr>
        <w:tab/>
      </w:r>
      <w:bookmarkStart w:id="0" w:name="_Toc532545041"/>
      <w:r>
        <w:rPr>
          <w:rFonts w:hint="eastAsia" w:ascii="Times New Roman" w:hAnsi="Times New Roman"/>
          <w:b/>
          <w:sz w:val="36"/>
        </w:rPr>
        <w:t>第一章招标公告</w:t>
      </w:r>
      <w:bookmarkEnd w:id="0"/>
    </w:p>
    <w:p w14:paraId="572AC51C">
      <w:pPr>
        <w:pStyle w:val="18"/>
        <w:jc w:val="center"/>
        <w:rPr>
          <w:rFonts w:ascii="Times New Roman" w:hAnsi="Times New Roman"/>
          <w:b/>
          <w:sz w:val="30"/>
          <w:szCs w:val="30"/>
        </w:rPr>
      </w:pPr>
      <w:r>
        <w:rPr>
          <w:rFonts w:hint="eastAsia" w:ascii="Times New Roman" w:hAnsi="Times New Roman"/>
          <w:b/>
          <w:sz w:val="30"/>
          <w:szCs w:val="30"/>
        </w:rPr>
        <w:t>公开招标公告</w:t>
      </w:r>
    </w:p>
    <w:p w14:paraId="5AAF6858">
      <w:pPr>
        <w:pBdr>
          <w:top w:val="single" w:color="auto" w:sz="4" w:space="1"/>
          <w:left w:val="single" w:color="auto" w:sz="4" w:space="4"/>
          <w:bottom w:val="single" w:color="auto" w:sz="4" w:space="1"/>
          <w:right w:val="single" w:color="auto" w:sz="4" w:space="4"/>
        </w:pBd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项目概况</w:t>
      </w:r>
    </w:p>
    <w:p w14:paraId="591D7528">
      <w:pPr>
        <w:pBdr>
          <w:top w:val="single" w:color="auto" w:sz="4" w:space="1"/>
          <w:left w:val="single" w:color="auto" w:sz="4" w:space="4"/>
          <w:bottom w:val="single" w:color="auto" w:sz="4" w:space="1"/>
          <w:right w:val="single" w:color="auto" w:sz="4" w:space="4"/>
        </w:pBdr>
        <w:spacing w:line="360" w:lineRule="auto"/>
        <w:ind w:firstLine="525" w:firstLineChars="250"/>
        <w:rPr>
          <w:rFonts w:asciiTheme="minorEastAsia" w:hAnsiTheme="minorEastAsia" w:eastAsiaTheme="minorEastAsia"/>
          <w:szCs w:val="21"/>
          <w:u w:val="single"/>
        </w:rPr>
      </w:pPr>
      <w:r>
        <w:rPr>
          <w:rFonts w:hint="eastAsia" w:asciiTheme="minorEastAsia" w:hAnsiTheme="minorEastAsia" w:eastAsiaTheme="minorEastAsia"/>
          <w:szCs w:val="21"/>
          <w:u w:val="single"/>
        </w:rPr>
        <w:t>南宁市市政工程管理处2025年隧道及人行地下通道常规定期检测专项</w:t>
      </w:r>
      <w:r>
        <w:rPr>
          <w:rFonts w:hint="eastAsia" w:asciiTheme="minorEastAsia" w:hAnsiTheme="minorEastAsia" w:eastAsiaTheme="minorEastAsia"/>
          <w:szCs w:val="21"/>
        </w:rPr>
        <w:t>招标项目的潜在投标人应在广西政府采购云平台（https://www.gcy.zfcg.gxzf.gov.cn/）获取（下载）招标文件，并于</w:t>
      </w:r>
      <w:r>
        <w:rPr>
          <w:rFonts w:hint="eastAsia" w:asciiTheme="minorEastAsia" w:hAnsiTheme="minorEastAsia" w:eastAsiaTheme="minorEastAsia"/>
          <w:szCs w:val="21"/>
          <w:u w:val="single"/>
        </w:rPr>
        <w:t>202</w:t>
      </w:r>
      <w:r>
        <w:rPr>
          <w:rFonts w:asciiTheme="minorEastAsia" w:hAnsiTheme="minorEastAsia" w:eastAsiaTheme="minorEastAsia"/>
          <w:szCs w:val="21"/>
          <w:u w:val="single"/>
        </w:rPr>
        <w:t>5</w:t>
      </w:r>
      <w:r>
        <w:rPr>
          <w:rFonts w:hint="eastAsia" w:asciiTheme="minorEastAsia" w:hAnsiTheme="minorEastAsia" w:eastAsiaTheme="minorEastAsia"/>
          <w:szCs w:val="21"/>
          <w:u w:val="single"/>
        </w:rPr>
        <w:t>年</w:t>
      </w:r>
      <w:r>
        <w:rPr>
          <w:rFonts w:hint="eastAsia" w:asciiTheme="minorEastAsia" w:hAnsiTheme="minorEastAsia" w:eastAsiaTheme="minorEastAsia"/>
          <w:szCs w:val="21"/>
          <w:u w:val="single"/>
          <w:lang w:val="en-US" w:eastAsia="zh-CN"/>
        </w:rPr>
        <w:t>6</w:t>
      </w:r>
      <w:r>
        <w:rPr>
          <w:rFonts w:hint="eastAsia" w:asciiTheme="minorEastAsia" w:hAnsiTheme="minorEastAsia" w:eastAsiaTheme="minorEastAsia"/>
          <w:szCs w:val="21"/>
          <w:u w:val="single"/>
        </w:rPr>
        <w:t>月</w:t>
      </w:r>
      <w:r>
        <w:rPr>
          <w:rFonts w:hint="eastAsia" w:asciiTheme="minorEastAsia" w:hAnsiTheme="minorEastAsia" w:eastAsiaTheme="minorEastAsia"/>
          <w:szCs w:val="21"/>
          <w:u w:val="single"/>
          <w:lang w:val="en-US" w:eastAsia="zh-CN"/>
        </w:rPr>
        <w:t>19</w:t>
      </w:r>
      <w:r>
        <w:rPr>
          <w:rFonts w:hint="eastAsia" w:asciiTheme="minorEastAsia" w:hAnsiTheme="minorEastAsia" w:eastAsiaTheme="minorEastAsia"/>
          <w:szCs w:val="21"/>
          <w:u w:val="single"/>
        </w:rPr>
        <w:t>日9时30分</w:t>
      </w:r>
      <w:r>
        <w:rPr>
          <w:rFonts w:hint="eastAsia" w:asciiTheme="minorEastAsia" w:hAnsiTheme="minorEastAsia" w:eastAsiaTheme="minorEastAsia"/>
          <w:bCs/>
          <w:szCs w:val="21"/>
        </w:rPr>
        <w:t>（北京时间）前</w:t>
      </w:r>
      <w:r>
        <w:rPr>
          <w:rFonts w:hint="eastAsia" w:asciiTheme="minorEastAsia" w:hAnsiTheme="minorEastAsia" w:eastAsiaTheme="minorEastAsia"/>
          <w:szCs w:val="21"/>
        </w:rPr>
        <w:t>递交（上传）投标文件。</w:t>
      </w:r>
    </w:p>
    <w:p w14:paraId="64F0258F">
      <w:pPr>
        <w:spacing w:line="360" w:lineRule="auto"/>
        <w:rPr>
          <w:rFonts w:ascii="黑体" w:hAnsi="黑体" w:eastAsia="黑体"/>
          <w:b/>
          <w:bCs/>
          <w:sz w:val="24"/>
        </w:rPr>
      </w:pPr>
      <w:bookmarkStart w:id="1" w:name="_Toc28359002"/>
      <w:bookmarkStart w:id="2" w:name="_Toc35393790"/>
      <w:bookmarkStart w:id="3" w:name="_Toc28359079"/>
      <w:bookmarkStart w:id="4" w:name="_Toc35393621"/>
      <w:bookmarkStart w:id="5" w:name="_Hlk24379207"/>
      <w:r>
        <w:rPr>
          <w:rFonts w:hint="eastAsia" w:ascii="黑体" w:hAnsi="黑体" w:eastAsia="黑体"/>
          <w:b/>
          <w:bCs/>
          <w:sz w:val="24"/>
        </w:rPr>
        <w:t>一、项目基本情况</w:t>
      </w:r>
      <w:bookmarkEnd w:id="1"/>
      <w:bookmarkEnd w:id="2"/>
      <w:bookmarkEnd w:id="3"/>
      <w:bookmarkEnd w:id="4"/>
    </w:p>
    <w:p w14:paraId="27F65C8F">
      <w:pPr>
        <w:spacing w:line="360" w:lineRule="auto"/>
        <w:ind w:firstLine="420" w:firstLineChars="200"/>
        <w:rPr>
          <w:rFonts w:hint="eastAsia" w:ascii="宋体" w:hAnsi="宋体" w:eastAsia="宋体"/>
          <w:szCs w:val="21"/>
          <w:highlight w:val="none"/>
          <w:lang w:eastAsia="zh-CN"/>
        </w:rPr>
      </w:pPr>
      <w:r>
        <w:rPr>
          <w:rFonts w:hint="eastAsia" w:ascii="宋体" w:hAnsi="宋体"/>
          <w:szCs w:val="21"/>
          <w:highlight w:val="none"/>
        </w:rPr>
        <w:t>项目编号：</w:t>
      </w:r>
      <w:r>
        <w:rPr>
          <w:rFonts w:hint="eastAsia" w:ascii="宋体" w:hAnsi="宋体"/>
          <w:szCs w:val="21"/>
          <w:highlight w:val="none"/>
          <w:lang w:eastAsia="zh-CN"/>
        </w:rPr>
        <w:t>NNZC2025-G3-990333-GXGC</w:t>
      </w:r>
    </w:p>
    <w:p w14:paraId="104687A6">
      <w:pPr>
        <w:spacing w:line="360" w:lineRule="auto"/>
        <w:ind w:firstLine="420" w:firstLineChars="200"/>
        <w:rPr>
          <w:rFonts w:ascii="宋体" w:hAnsi="宋体"/>
          <w:szCs w:val="21"/>
        </w:rPr>
      </w:pPr>
      <w:r>
        <w:rPr>
          <w:rFonts w:hint="eastAsia" w:ascii="宋体" w:hAnsi="宋体"/>
          <w:szCs w:val="21"/>
        </w:rPr>
        <w:t>项目名称：</w:t>
      </w:r>
      <w:r>
        <w:rPr>
          <w:rFonts w:hint="eastAsia"/>
        </w:rPr>
        <w:t>南宁市市政工程管理处2025年隧道及人行地下通道常规定期检测专项</w:t>
      </w:r>
    </w:p>
    <w:bookmarkEnd w:id="5"/>
    <w:p w14:paraId="58090AD0">
      <w:pPr>
        <w:spacing w:line="360" w:lineRule="auto"/>
        <w:ind w:firstLine="420" w:firstLineChars="200"/>
        <w:rPr>
          <w:rFonts w:ascii="宋体" w:hAnsi="宋体"/>
          <w:szCs w:val="21"/>
        </w:rPr>
      </w:pPr>
      <w:r>
        <w:rPr>
          <w:rFonts w:hint="eastAsia" w:ascii="宋体" w:hAnsi="宋体"/>
          <w:szCs w:val="21"/>
        </w:rPr>
        <w:t>采购预算：人民币125万元</w:t>
      </w:r>
    </w:p>
    <w:p w14:paraId="1A6A942F">
      <w:pPr>
        <w:spacing w:line="360" w:lineRule="auto"/>
        <w:ind w:firstLine="420" w:firstLineChars="200"/>
        <w:rPr>
          <w:rFonts w:ascii="宋体" w:hAnsi="宋体"/>
          <w:szCs w:val="21"/>
        </w:rPr>
      </w:pPr>
      <w:r>
        <w:rPr>
          <w:rFonts w:hint="eastAsia" w:ascii="宋体" w:hAnsi="宋体"/>
          <w:szCs w:val="21"/>
        </w:rPr>
        <w:t>最高限价：人民币125万元</w:t>
      </w:r>
    </w:p>
    <w:p w14:paraId="1FCA3425">
      <w:pPr>
        <w:spacing w:line="360" w:lineRule="auto"/>
        <w:ind w:firstLine="420" w:firstLineChars="200"/>
        <w:rPr>
          <w:rFonts w:ascii="宋体" w:hAnsi="宋体"/>
          <w:szCs w:val="21"/>
        </w:rPr>
      </w:pPr>
      <w:r>
        <w:rPr>
          <w:rFonts w:hint="eastAsia" w:ascii="宋体" w:hAnsi="宋体"/>
          <w:szCs w:val="21"/>
        </w:rPr>
        <w:t xml:space="preserve">采购需求： </w:t>
      </w:r>
    </w:p>
    <w:tbl>
      <w:tblPr>
        <w:tblStyle w:val="32"/>
        <w:tblW w:w="951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74"/>
        <w:gridCol w:w="2383"/>
        <w:gridCol w:w="1133"/>
        <w:gridCol w:w="1160"/>
        <w:gridCol w:w="3964"/>
      </w:tblGrid>
      <w:tr w14:paraId="34A3BE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8"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14:paraId="13A0D5AB">
            <w:pPr>
              <w:snapToGrid w:val="0"/>
              <w:spacing w:line="360" w:lineRule="auto"/>
              <w:jc w:val="center"/>
              <w:rPr>
                <w:rFonts w:ascii="宋体" w:hAnsi="宋体"/>
                <w:szCs w:val="21"/>
              </w:rPr>
            </w:pPr>
            <w:r>
              <w:rPr>
                <w:rFonts w:hint="eastAsia" w:ascii="宋体" w:hAnsi="宋体"/>
                <w:szCs w:val="21"/>
              </w:rPr>
              <w:t>分标号</w:t>
            </w:r>
          </w:p>
        </w:tc>
        <w:tc>
          <w:tcPr>
            <w:tcW w:w="2383" w:type="dxa"/>
            <w:tcBorders>
              <w:top w:val="single" w:color="auto" w:sz="4" w:space="0"/>
              <w:left w:val="single" w:color="auto" w:sz="4" w:space="0"/>
              <w:bottom w:val="single" w:color="auto" w:sz="4" w:space="0"/>
              <w:right w:val="single" w:color="auto" w:sz="4" w:space="0"/>
            </w:tcBorders>
            <w:vAlign w:val="center"/>
          </w:tcPr>
          <w:p w14:paraId="2F058597">
            <w:pPr>
              <w:snapToGrid w:val="0"/>
              <w:spacing w:line="360" w:lineRule="auto"/>
              <w:jc w:val="center"/>
              <w:rPr>
                <w:rFonts w:ascii="宋体" w:hAnsi="宋体"/>
                <w:szCs w:val="21"/>
              </w:rPr>
            </w:pPr>
            <w:r>
              <w:rPr>
                <w:rFonts w:hint="eastAsia" w:ascii="宋体" w:hAnsi="宋体"/>
                <w:szCs w:val="21"/>
              </w:rPr>
              <w:t>标的的名称</w:t>
            </w:r>
          </w:p>
        </w:tc>
        <w:tc>
          <w:tcPr>
            <w:tcW w:w="1133" w:type="dxa"/>
            <w:tcBorders>
              <w:top w:val="single" w:color="auto" w:sz="4" w:space="0"/>
              <w:left w:val="single" w:color="auto" w:sz="4" w:space="0"/>
              <w:bottom w:val="single" w:color="auto" w:sz="4" w:space="0"/>
              <w:right w:val="single" w:color="auto" w:sz="4" w:space="0"/>
            </w:tcBorders>
            <w:vAlign w:val="center"/>
          </w:tcPr>
          <w:p w14:paraId="27BCCE35">
            <w:pPr>
              <w:snapToGrid w:val="0"/>
              <w:spacing w:line="360" w:lineRule="auto"/>
              <w:jc w:val="center"/>
              <w:rPr>
                <w:rFonts w:ascii="宋体" w:hAnsi="宋体"/>
                <w:szCs w:val="21"/>
              </w:rPr>
            </w:pPr>
            <w:r>
              <w:rPr>
                <w:rFonts w:hint="eastAsia" w:ascii="宋体" w:hAnsi="宋体"/>
                <w:szCs w:val="21"/>
              </w:rPr>
              <w:t>数量</w:t>
            </w:r>
          </w:p>
        </w:tc>
        <w:tc>
          <w:tcPr>
            <w:tcW w:w="1160" w:type="dxa"/>
            <w:tcBorders>
              <w:top w:val="single" w:color="auto" w:sz="4" w:space="0"/>
              <w:left w:val="single" w:color="auto" w:sz="4" w:space="0"/>
              <w:bottom w:val="single" w:color="auto" w:sz="4" w:space="0"/>
              <w:right w:val="single" w:color="auto" w:sz="4" w:space="0"/>
            </w:tcBorders>
            <w:vAlign w:val="center"/>
          </w:tcPr>
          <w:p w14:paraId="68346BFE">
            <w:pPr>
              <w:snapToGrid w:val="0"/>
              <w:spacing w:line="360" w:lineRule="auto"/>
              <w:jc w:val="center"/>
              <w:rPr>
                <w:rFonts w:ascii="宋体" w:hAnsi="宋体"/>
                <w:szCs w:val="21"/>
              </w:rPr>
            </w:pPr>
            <w:r>
              <w:rPr>
                <w:rFonts w:hint="eastAsia" w:ascii="宋体" w:hAnsi="宋体"/>
                <w:szCs w:val="21"/>
              </w:rPr>
              <w:t>单位</w:t>
            </w:r>
          </w:p>
        </w:tc>
        <w:tc>
          <w:tcPr>
            <w:tcW w:w="3964" w:type="dxa"/>
            <w:tcBorders>
              <w:top w:val="single" w:color="auto" w:sz="4" w:space="0"/>
              <w:left w:val="single" w:color="auto" w:sz="4" w:space="0"/>
              <w:bottom w:val="single" w:color="auto" w:sz="4" w:space="0"/>
              <w:right w:val="single" w:color="auto" w:sz="4" w:space="0"/>
            </w:tcBorders>
            <w:vAlign w:val="center"/>
          </w:tcPr>
          <w:p w14:paraId="775FDE94">
            <w:pPr>
              <w:snapToGrid w:val="0"/>
              <w:spacing w:line="360" w:lineRule="auto"/>
              <w:jc w:val="center"/>
              <w:rPr>
                <w:rFonts w:ascii="宋体" w:hAnsi="宋体"/>
                <w:szCs w:val="21"/>
              </w:rPr>
            </w:pPr>
            <w:r>
              <w:rPr>
                <w:rFonts w:hint="eastAsia" w:ascii="宋体" w:hAnsi="宋体"/>
                <w:szCs w:val="21"/>
              </w:rPr>
              <w:t>简要服务要求或者技术需求</w:t>
            </w:r>
          </w:p>
        </w:tc>
      </w:tr>
      <w:tr w14:paraId="16E497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74" w:type="dxa"/>
            <w:tcBorders>
              <w:top w:val="single" w:color="auto" w:sz="4" w:space="0"/>
              <w:left w:val="single" w:color="auto" w:sz="4" w:space="0"/>
              <w:bottom w:val="single" w:color="auto" w:sz="4" w:space="0"/>
              <w:right w:val="single" w:color="auto" w:sz="4" w:space="0"/>
            </w:tcBorders>
            <w:vAlign w:val="center"/>
          </w:tcPr>
          <w:p w14:paraId="20FFD2D7">
            <w:pPr>
              <w:snapToGrid w:val="0"/>
              <w:spacing w:line="360" w:lineRule="auto"/>
              <w:jc w:val="center"/>
              <w:rPr>
                <w:rFonts w:ascii="宋体" w:hAnsi="宋体"/>
                <w:szCs w:val="21"/>
              </w:rPr>
            </w:pPr>
            <w:r>
              <w:rPr>
                <w:rFonts w:hint="eastAsia" w:cs="仿宋" w:asciiTheme="minorEastAsia" w:hAnsiTheme="minorEastAsia" w:eastAsiaTheme="minorEastAsia"/>
                <w:szCs w:val="21"/>
              </w:rPr>
              <w:t>1</w:t>
            </w:r>
          </w:p>
        </w:tc>
        <w:tc>
          <w:tcPr>
            <w:tcW w:w="2383" w:type="dxa"/>
            <w:tcBorders>
              <w:top w:val="single" w:color="auto" w:sz="4" w:space="0"/>
              <w:left w:val="single" w:color="auto" w:sz="4" w:space="0"/>
              <w:bottom w:val="single" w:color="auto" w:sz="4" w:space="0"/>
              <w:right w:val="single" w:color="auto" w:sz="4" w:space="0"/>
            </w:tcBorders>
            <w:vAlign w:val="center"/>
          </w:tcPr>
          <w:p w14:paraId="38B1440B">
            <w:pPr>
              <w:snapToGrid w:val="0"/>
              <w:spacing w:line="360" w:lineRule="auto"/>
              <w:jc w:val="center"/>
              <w:rPr>
                <w:rFonts w:ascii="宋体" w:hAnsi="宋体"/>
                <w:szCs w:val="21"/>
              </w:rPr>
            </w:pPr>
            <w:r>
              <w:rPr>
                <w:rFonts w:hint="eastAsia"/>
              </w:rPr>
              <w:t>南宁市市政工程管理处2025年隧道及人行地下通道常规定期检测专项</w:t>
            </w:r>
          </w:p>
        </w:tc>
        <w:tc>
          <w:tcPr>
            <w:tcW w:w="1133" w:type="dxa"/>
            <w:tcBorders>
              <w:top w:val="single" w:color="auto" w:sz="4" w:space="0"/>
              <w:left w:val="single" w:color="auto" w:sz="4" w:space="0"/>
              <w:bottom w:val="single" w:color="auto" w:sz="4" w:space="0"/>
              <w:right w:val="single" w:color="auto" w:sz="4" w:space="0"/>
            </w:tcBorders>
            <w:vAlign w:val="center"/>
          </w:tcPr>
          <w:p w14:paraId="0F1A24DB">
            <w:pPr>
              <w:snapToGrid w:val="0"/>
              <w:spacing w:line="360" w:lineRule="auto"/>
              <w:jc w:val="center"/>
              <w:rPr>
                <w:rFonts w:asciiTheme="minorEastAsia" w:hAnsiTheme="minorEastAsia" w:eastAsiaTheme="minorEastAsia"/>
              </w:rPr>
            </w:pPr>
            <w:r>
              <w:rPr>
                <w:rFonts w:hint="eastAsia" w:asciiTheme="minorEastAsia" w:hAnsiTheme="minorEastAsia" w:eastAsiaTheme="minorEastAsia"/>
              </w:rPr>
              <w:t>1</w:t>
            </w:r>
          </w:p>
        </w:tc>
        <w:tc>
          <w:tcPr>
            <w:tcW w:w="1160" w:type="dxa"/>
            <w:tcBorders>
              <w:top w:val="single" w:color="auto" w:sz="4" w:space="0"/>
              <w:left w:val="single" w:color="auto" w:sz="4" w:space="0"/>
              <w:bottom w:val="single" w:color="auto" w:sz="4" w:space="0"/>
              <w:right w:val="single" w:color="auto" w:sz="4" w:space="0"/>
            </w:tcBorders>
            <w:vAlign w:val="center"/>
          </w:tcPr>
          <w:p w14:paraId="5901BFCA">
            <w:pPr>
              <w:snapToGrid w:val="0"/>
              <w:spacing w:line="360" w:lineRule="auto"/>
              <w:jc w:val="center"/>
              <w:rPr>
                <w:rFonts w:asciiTheme="minorEastAsia" w:hAnsiTheme="minorEastAsia" w:eastAsiaTheme="minorEastAsia"/>
                <w:szCs w:val="21"/>
              </w:rPr>
            </w:pPr>
            <w:r>
              <w:rPr>
                <w:rFonts w:hint="eastAsia" w:asciiTheme="minorEastAsia" w:hAnsiTheme="minorEastAsia" w:eastAsiaTheme="minorEastAsia"/>
              </w:rPr>
              <w:t>批</w:t>
            </w:r>
          </w:p>
        </w:tc>
        <w:tc>
          <w:tcPr>
            <w:tcW w:w="3964" w:type="dxa"/>
            <w:tcBorders>
              <w:top w:val="single" w:color="auto" w:sz="4" w:space="0"/>
              <w:left w:val="single" w:color="auto" w:sz="4" w:space="0"/>
              <w:bottom w:val="single" w:color="auto" w:sz="4" w:space="0"/>
              <w:right w:val="single" w:color="auto" w:sz="4" w:space="0"/>
            </w:tcBorders>
            <w:vAlign w:val="center"/>
          </w:tcPr>
          <w:p w14:paraId="1FD4E51C">
            <w:pPr>
              <w:snapToGrid w:val="0"/>
              <w:spacing w:line="360" w:lineRule="auto"/>
              <w:rPr>
                <w:rFonts w:ascii="宋体" w:hAnsi="宋体"/>
                <w:szCs w:val="21"/>
              </w:rPr>
            </w:pPr>
            <w:r>
              <w:rPr>
                <w:rFonts w:hint="eastAsia" w:ascii="宋体" w:cs="宋体"/>
                <w:szCs w:val="21"/>
              </w:rPr>
              <w:t>对南宁市146座隧道、地下通道进行检测并提供技术咨询服务（如需进一步了解详细内容，详见采购文件）。</w:t>
            </w:r>
          </w:p>
        </w:tc>
      </w:tr>
    </w:tbl>
    <w:p w14:paraId="026D105D">
      <w:pPr>
        <w:spacing w:line="360" w:lineRule="auto"/>
        <w:ind w:firstLine="420" w:firstLineChars="200"/>
        <w:rPr>
          <w:rFonts w:ascii="宋体" w:hAnsi="宋体"/>
          <w:szCs w:val="21"/>
        </w:rPr>
      </w:pPr>
      <w:r>
        <w:rPr>
          <w:rFonts w:hint="eastAsia" w:ascii="宋体" w:hAnsi="宋体"/>
          <w:szCs w:val="21"/>
        </w:rPr>
        <w:t>合同履行期限：自合同签订之日</w:t>
      </w:r>
      <w:r>
        <w:rPr>
          <w:rFonts w:hint="eastAsia" w:asciiTheme="minorEastAsia" w:hAnsiTheme="minorEastAsia" w:eastAsiaTheme="minorEastAsia"/>
          <w:szCs w:val="21"/>
        </w:rPr>
        <w:t>起至2026年7月15日</w:t>
      </w:r>
      <w:r>
        <w:rPr>
          <w:rFonts w:hint="eastAsia" w:ascii="宋体" w:hAnsi="宋体"/>
          <w:szCs w:val="21"/>
        </w:rPr>
        <w:t>。</w:t>
      </w:r>
    </w:p>
    <w:p w14:paraId="383867CD">
      <w:pPr>
        <w:spacing w:line="360" w:lineRule="auto"/>
        <w:ind w:firstLine="420" w:firstLineChars="200"/>
        <w:rPr>
          <w:rFonts w:ascii="宋体" w:hAnsi="宋体"/>
          <w:szCs w:val="21"/>
        </w:rPr>
      </w:pPr>
      <w:r>
        <w:rPr>
          <w:rFonts w:hint="eastAsia" w:ascii="宋体" w:hAnsi="宋体"/>
          <w:szCs w:val="21"/>
        </w:rPr>
        <w:t>本项目是否接受联合体投标：□是/</w:t>
      </w:r>
      <w:r>
        <w:rPr>
          <w:rFonts w:hint="eastAsia" w:ascii="宋体" w:hAnsi="宋体"/>
          <w:szCs w:val="21"/>
        </w:rPr>
        <w:sym w:font="Wingdings 2" w:char="0052"/>
      </w:r>
      <w:r>
        <w:rPr>
          <w:rFonts w:hint="eastAsia" w:ascii="宋体" w:hAnsi="宋体"/>
          <w:szCs w:val="21"/>
        </w:rPr>
        <w:t>否。</w:t>
      </w:r>
    </w:p>
    <w:p w14:paraId="46B4BCD0">
      <w:pPr>
        <w:spacing w:line="360" w:lineRule="auto"/>
        <w:rPr>
          <w:rFonts w:ascii="黑体" w:hAnsi="黑体" w:eastAsia="黑体"/>
          <w:b/>
          <w:bCs/>
          <w:sz w:val="24"/>
        </w:rPr>
      </w:pPr>
      <w:bookmarkStart w:id="6" w:name="_Toc28359080"/>
      <w:bookmarkStart w:id="7" w:name="_Toc35393622"/>
      <w:bookmarkStart w:id="8" w:name="_Toc35393791"/>
      <w:bookmarkStart w:id="9" w:name="_Toc28359003"/>
      <w:r>
        <w:rPr>
          <w:rFonts w:hint="eastAsia" w:ascii="黑体" w:hAnsi="黑体" w:eastAsia="黑体"/>
          <w:b/>
          <w:bCs/>
          <w:sz w:val="24"/>
        </w:rPr>
        <w:t>二、投标人的资格要求：</w:t>
      </w:r>
      <w:bookmarkEnd w:id="6"/>
      <w:bookmarkEnd w:id="7"/>
      <w:bookmarkEnd w:id="8"/>
      <w:bookmarkEnd w:id="9"/>
    </w:p>
    <w:p w14:paraId="3698CB1E">
      <w:pPr>
        <w:spacing w:line="360" w:lineRule="auto"/>
        <w:ind w:firstLine="420" w:firstLineChars="200"/>
        <w:rPr>
          <w:rFonts w:ascii="宋体" w:hAnsi="宋体"/>
          <w:szCs w:val="21"/>
        </w:rPr>
      </w:pPr>
      <w:r>
        <w:rPr>
          <w:rFonts w:hint="eastAsia" w:ascii="宋体" w:hAnsi="宋体"/>
          <w:szCs w:val="21"/>
        </w:rPr>
        <w:t>1.满足《中华人民共和国政府采购法》第二十二条规定；</w:t>
      </w:r>
    </w:p>
    <w:p w14:paraId="7B4B31F8">
      <w:pPr>
        <w:spacing w:line="360" w:lineRule="auto"/>
        <w:ind w:firstLine="420" w:firstLineChars="200"/>
        <w:rPr>
          <w:rFonts w:ascii="宋体" w:hAnsi="宋体"/>
          <w:szCs w:val="21"/>
        </w:rPr>
      </w:pPr>
      <w:bookmarkStart w:id="10" w:name="_Toc28359081"/>
      <w:bookmarkStart w:id="11" w:name="_Toc28359004"/>
      <w:r>
        <w:rPr>
          <w:rFonts w:hint="eastAsia" w:ascii="宋体" w:hAnsi="宋体"/>
          <w:szCs w:val="21"/>
        </w:rPr>
        <w:t>2.落实政府采购政策需满足的资格要求：</w:t>
      </w:r>
    </w:p>
    <w:p w14:paraId="45F1B046">
      <w:pPr>
        <w:spacing w:line="360" w:lineRule="auto"/>
        <w:ind w:firstLine="420" w:firstLineChars="200"/>
        <w:rPr>
          <w:rFonts w:ascii="宋体" w:hAnsi="宋体"/>
          <w:szCs w:val="21"/>
        </w:rPr>
      </w:pPr>
      <w:r>
        <w:rPr>
          <w:rFonts w:hint="eastAsia" w:ascii="宋体" w:hAnsi="宋体"/>
          <w:szCs w:val="21"/>
        </w:rPr>
        <w:t>□专门面向中小企业采购的项目（承接服务的供应商应为中型或小型或微型企业或监狱企业或残疾人福利性单位)</w:t>
      </w:r>
    </w:p>
    <w:p w14:paraId="11A9AF3E">
      <w:pPr>
        <w:spacing w:line="360" w:lineRule="auto"/>
        <w:ind w:firstLine="422" w:firstLineChars="200"/>
        <w:rPr>
          <w:rFonts w:ascii="宋体" w:hAnsi="宋体"/>
          <w:szCs w:val="21"/>
        </w:rPr>
      </w:pPr>
      <w:r>
        <w:rPr>
          <w:rFonts w:hint="eastAsia" w:ascii="Wingdings 2" w:hAnsi="Wingdings 2"/>
          <w:b/>
          <w:szCs w:val="21"/>
          <w:lang w:eastAsia="zh-CN"/>
        </w:rPr>
        <w:t>☑</w:t>
      </w:r>
      <w:r>
        <w:rPr>
          <w:rFonts w:hint="eastAsia" w:ascii="宋体" w:hAnsi="宋体"/>
          <w:szCs w:val="21"/>
        </w:rPr>
        <w:t>非专门面向中小企业采购的项目</w:t>
      </w:r>
    </w:p>
    <w:p w14:paraId="236E433A">
      <w:pPr>
        <w:snapToGrid w:val="0"/>
        <w:spacing w:line="400" w:lineRule="atLeast"/>
        <w:ind w:firstLine="472" w:firstLineChars="225"/>
        <w:rPr>
          <w:rFonts w:ascii="宋体" w:hAnsi="宋体"/>
          <w:szCs w:val="21"/>
        </w:rPr>
      </w:pPr>
      <w:r>
        <w:rPr>
          <w:rFonts w:hint="eastAsia" w:ascii="宋体" w:hAnsi="宋体"/>
          <w:szCs w:val="21"/>
        </w:rPr>
        <w:t>3.本项目的特定资格要求：</w:t>
      </w:r>
    </w:p>
    <w:p w14:paraId="51FE60A4">
      <w:pPr>
        <w:snapToGrid w:val="0"/>
        <w:spacing w:line="400" w:lineRule="atLeast"/>
        <w:ind w:firstLine="472" w:firstLineChars="225"/>
        <w:rPr>
          <w:rFonts w:hint="eastAsia" w:hAnsi="Wingdings 2"/>
        </w:rPr>
      </w:pPr>
      <w:r>
        <w:rPr>
          <w:rFonts w:hint="eastAsia" w:hAnsi="Wingdings 2"/>
        </w:rPr>
        <w:t>（1）具有公路工程试验检测综合类甲级或公路工程桥梁隧道专项试验检测资质或省级及以上有关行政管理部门颁发的建设工程质量检测机构资质证书（检测范围须包含主体结构工程现场检测内容）或根据《建设工程质量检测机构资质标准》（建质规〔2023〕1 号）具有建设工程质量检测机构综合资质或桥梁与地下工程专项资质；</w:t>
      </w:r>
    </w:p>
    <w:p w14:paraId="3250A667">
      <w:pPr>
        <w:snapToGrid w:val="0"/>
        <w:spacing w:line="400" w:lineRule="atLeast"/>
        <w:ind w:firstLine="472" w:firstLineChars="225"/>
        <w:rPr>
          <w:rFonts w:ascii="宋体" w:hAnsi="宋体"/>
        </w:rPr>
      </w:pPr>
      <w:r>
        <w:rPr>
          <w:rFonts w:hint="eastAsia" w:hAnsi="Wingdings 2"/>
        </w:rPr>
        <w:t>（2）具有省级及以上质量技术监督部门颁发的中国计量认证证书（CMA 认证）（证书范围须包含桥梁试验检测的相关内容）。</w:t>
      </w:r>
    </w:p>
    <w:p w14:paraId="65407F73">
      <w:pPr>
        <w:spacing w:line="360" w:lineRule="auto"/>
        <w:ind w:firstLine="420" w:firstLineChars="200"/>
        <w:rPr>
          <w:rFonts w:ascii="宋体" w:hAnsi="宋体"/>
          <w:szCs w:val="21"/>
        </w:rPr>
      </w:pPr>
      <w:r>
        <w:rPr>
          <w:rFonts w:hint="eastAsia" w:ascii="宋体" w:hAnsi="宋体"/>
          <w:szCs w:val="21"/>
        </w:rPr>
        <w:t>4. 本项目的特定条件：无</w:t>
      </w:r>
    </w:p>
    <w:p w14:paraId="33579814">
      <w:pPr>
        <w:snapToGrid w:val="0"/>
        <w:spacing w:line="360" w:lineRule="auto"/>
        <w:ind w:firstLine="420"/>
        <w:jc w:val="left"/>
        <w:rPr>
          <w:rFonts w:ascii="宋体" w:hAnsi="宋体"/>
          <w:szCs w:val="21"/>
        </w:rPr>
      </w:pPr>
      <w:r>
        <w:rPr>
          <w:rFonts w:hint="eastAsia" w:ascii="宋体" w:hAnsi="宋体"/>
          <w:szCs w:val="21"/>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085FF588">
      <w:pPr>
        <w:spacing w:line="360" w:lineRule="auto"/>
        <w:ind w:firstLine="420" w:firstLineChars="200"/>
        <w:rPr>
          <w:rFonts w:ascii="宋体" w:hAnsi="宋体"/>
          <w:szCs w:val="21"/>
        </w:rPr>
      </w:pPr>
      <w:r>
        <w:rPr>
          <w:rFonts w:hint="eastAsia" w:ascii="宋体" w:hAnsi="宋体"/>
          <w:szCs w:val="21"/>
        </w:rPr>
        <w:t xml:space="preserve">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 </w:t>
      </w:r>
    </w:p>
    <w:p w14:paraId="7C027F68">
      <w:pPr>
        <w:spacing w:line="360" w:lineRule="auto"/>
        <w:rPr>
          <w:rFonts w:ascii="黑体" w:hAnsi="黑体" w:eastAsia="黑体"/>
          <w:b/>
          <w:bCs/>
          <w:sz w:val="24"/>
        </w:rPr>
      </w:pPr>
      <w:bookmarkStart w:id="12" w:name="_Toc35393792"/>
      <w:bookmarkStart w:id="13" w:name="_Toc35393623"/>
      <w:r>
        <w:rPr>
          <w:rFonts w:hint="eastAsia" w:ascii="黑体" w:hAnsi="黑体" w:eastAsia="黑体"/>
          <w:b/>
          <w:bCs/>
          <w:sz w:val="24"/>
        </w:rPr>
        <w:t>三、获取招标文件</w:t>
      </w:r>
      <w:bookmarkEnd w:id="10"/>
      <w:bookmarkEnd w:id="11"/>
      <w:bookmarkEnd w:id="12"/>
      <w:bookmarkEnd w:id="13"/>
    </w:p>
    <w:p w14:paraId="07687635">
      <w:pPr>
        <w:snapToGrid w:val="0"/>
        <w:spacing w:line="380" w:lineRule="exact"/>
        <w:ind w:firstLine="424" w:firstLineChars="202"/>
        <w:rPr>
          <w:rFonts w:asciiTheme="minorEastAsia" w:hAnsiTheme="minorEastAsia" w:eastAsiaTheme="minorEastAsia"/>
          <w:szCs w:val="21"/>
        </w:rPr>
      </w:pPr>
      <w:bookmarkStart w:id="14" w:name="_Toc28359005"/>
      <w:bookmarkStart w:id="15" w:name="_Toc28359082"/>
      <w:bookmarkStart w:id="16" w:name="_Toc35393624"/>
      <w:bookmarkStart w:id="17" w:name="_Toc35393793"/>
      <w:r>
        <w:rPr>
          <w:rFonts w:hint="eastAsia" w:asciiTheme="minorEastAsia" w:hAnsiTheme="minorEastAsia" w:eastAsiaTheme="minorEastAsia"/>
          <w:szCs w:val="21"/>
        </w:rPr>
        <w:t>时间：自公告发布之日起。</w:t>
      </w:r>
    </w:p>
    <w:p w14:paraId="2B5BC108">
      <w:pPr>
        <w:spacing w:line="360" w:lineRule="auto"/>
        <w:ind w:firstLine="420" w:firstLineChars="200"/>
        <w:rPr>
          <w:rFonts w:ascii="黑体" w:hAnsi="黑体" w:eastAsia="黑体"/>
          <w:b/>
          <w:bCs/>
          <w:sz w:val="24"/>
        </w:rPr>
      </w:pPr>
      <w:r>
        <w:rPr>
          <w:rFonts w:hint="eastAsia" w:asciiTheme="minorEastAsia" w:hAnsiTheme="minorEastAsia" w:eastAsiaTheme="minorEastAsia"/>
          <w:szCs w:val="21"/>
        </w:rPr>
        <w:t>获取方式:网上下载。本项目不发放纸质文件，供应商可自行在“广西政府采购云”平台（https://www.gcy.zfcg.gxzf.gov.cn/）下载采购文件（操作路径：登录“广西政府采购云”平台-项目采购-获取采购文件-找到本项目-点击“申请获取采购文件”），电子响应文件制作需要基于“广西政府采购云”平台（https://www.gcy.zfcg.gxzf.gov.cn/）获取的采购文件编制。</w:t>
      </w:r>
    </w:p>
    <w:p w14:paraId="70014417">
      <w:pPr>
        <w:snapToGrid w:val="0"/>
        <w:spacing w:line="360" w:lineRule="auto"/>
        <w:ind w:firstLine="472" w:firstLineChars="225"/>
        <w:rPr>
          <w:rFonts w:ascii="宋体" w:hAnsi="宋体"/>
          <w:szCs w:val="21"/>
        </w:rPr>
      </w:pPr>
      <w:r>
        <w:rPr>
          <w:rFonts w:hint="eastAsia" w:ascii="宋体" w:hAnsi="宋体"/>
          <w:szCs w:val="21"/>
        </w:rPr>
        <w:t>售价：0元。</w:t>
      </w:r>
    </w:p>
    <w:p w14:paraId="46B333BB">
      <w:pPr>
        <w:spacing w:line="360" w:lineRule="auto"/>
        <w:rPr>
          <w:rFonts w:ascii="黑体" w:hAnsi="黑体" w:eastAsia="黑体"/>
          <w:b/>
          <w:bCs/>
          <w:sz w:val="24"/>
        </w:rPr>
      </w:pPr>
      <w:r>
        <w:rPr>
          <w:rFonts w:hint="eastAsia" w:ascii="黑体" w:hAnsi="黑体" w:eastAsia="黑体"/>
          <w:b/>
          <w:bCs/>
          <w:sz w:val="24"/>
        </w:rPr>
        <w:t>四、提交投标文件</w:t>
      </w:r>
      <w:bookmarkEnd w:id="14"/>
      <w:bookmarkEnd w:id="15"/>
      <w:r>
        <w:rPr>
          <w:rFonts w:hint="eastAsia" w:ascii="黑体" w:hAnsi="黑体" w:eastAsia="黑体"/>
          <w:b/>
          <w:bCs/>
          <w:sz w:val="24"/>
        </w:rPr>
        <w:t>截止时间、开标时间和地点</w:t>
      </w:r>
      <w:bookmarkEnd w:id="16"/>
      <w:bookmarkEnd w:id="17"/>
    </w:p>
    <w:p w14:paraId="07BFE69A">
      <w:pPr>
        <w:spacing w:line="360" w:lineRule="auto"/>
        <w:ind w:firstLine="420" w:firstLineChars="200"/>
        <w:rPr>
          <w:rFonts w:ascii="宋体" w:hAnsi="宋体"/>
          <w:bCs/>
          <w:szCs w:val="21"/>
          <w:u w:val="single"/>
        </w:rPr>
      </w:pPr>
      <w:r>
        <w:rPr>
          <w:rFonts w:hint="eastAsia" w:ascii="宋体" w:hAnsi="宋体"/>
          <w:bCs/>
          <w:szCs w:val="21"/>
        </w:rPr>
        <w:t>1、提交投标文件截止时间和开标时间：</w:t>
      </w:r>
      <w:r>
        <w:rPr>
          <w:rFonts w:hint="eastAsia" w:ascii="宋体" w:hAnsi="宋体"/>
          <w:bCs/>
          <w:szCs w:val="21"/>
          <w:u w:val="single"/>
        </w:rPr>
        <w:t>202</w:t>
      </w:r>
      <w:r>
        <w:rPr>
          <w:rFonts w:ascii="宋体" w:hAnsi="宋体"/>
          <w:bCs/>
          <w:szCs w:val="21"/>
          <w:u w:val="single"/>
        </w:rPr>
        <w:t>5</w:t>
      </w:r>
      <w:r>
        <w:rPr>
          <w:rFonts w:hint="eastAsia" w:ascii="宋体" w:hAnsi="宋体"/>
          <w:bCs/>
          <w:szCs w:val="21"/>
          <w:u w:val="single"/>
        </w:rPr>
        <w:t>年</w:t>
      </w:r>
      <w:r>
        <w:rPr>
          <w:rFonts w:hint="eastAsia" w:ascii="宋体" w:hAnsi="宋体"/>
          <w:bCs/>
          <w:szCs w:val="21"/>
          <w:u w:val="single"/>
          <w:lang w:val="en-US" w:eastAsia="zh-CN"/>
        </w:rPr>
        <w:t>6</w:t>
      </w:r>
      <w:r>
        <w:rPr>
          <w:rFonts w:hint="eastAsia" w:ascii="宋体" w:hAnsi="宋体"/>
          <w:bCs/>
          <w:szCs w:val="21"/>
          <w:u w:val="single"/>
        </w:rPr>
        <w:t>月</w:t>
      </w:r>
      <w:r>
        <w:rPr>
          <w:rFonts w:hint="eastAsia" w:ascii="宋体" w:hAnsi="宋体"/>
          <w:bCs/>
          <w:szCs w:val="21"/>
          <w:u w:val="single"/>
          <w:lang w:val="en-US" w:eastAsia="zh-CN"/>
        </w:rPr>
        <w:t>19</w:t>
      </w:r>
      <w:r>
        <w:rPr>
          <w:rFonts w:hint="eastAsia" w:ascii="宋体" w:hAnsi="宋体"/>
          <w:bCs/>
          <w:szCs w:val="21"/>
          <w:u w:val="single"/>
        </w:rPr>
        <w:t>日9时30分（北京时间）</w:t>
      </w:r>
    </w:p>
    <w:p w14:paraId="740DCBB8">
      <w:pPr>
        <w:spacing w:line="360" w:lineRule="auto"/>
        <w:ind w:firstLine="420" w:firstLineChars="200"/>
        <w:rPr>
          <w:rFonts w:ascii="宋体" w:hAnsi="宋体"/>
          <w:szCs w:val="21"/>
        </w:rPr>
      </w:pPr>
      <w:r>
        <w:rPr>
          <w:rFonts w:hint="eastAsia" w:ascii="宋体" w:hAnsi="宋体"/>
          <w:szCs w:val="21"/>
        </w:rPr>
        <w:t>2、投标和开标地点：</w:t>
      </w:r>
    </w:p>
    <w:p w14:paraId="475F9BA9">
      <w:pPr>
        <w:widowControl/>
        <w:spacing w:line="360" w:lineRule="auto"/>
        <w:ind w:firstLine="420" w:firstLineChars="200"/>
        <w:jc w:val="left"/>
        <w:rPr>
          <w:rFonts w:ascii="宋体" w:hAnsi="宋体"/>
          <w:szCs w:val="21"/>
        </w:rPr>
      </w:pPr>
      <w:r>
        <w:rPr>
          <w:rFonts w:hint="eastAsia" w:ascii="宋体" w:hAnsi="宋体"/>
          <w:szCs w:val="21"/>
        </w:rPr>
        <w:t>（1）投标文件提交方式：本项目为南宁市全流程电子化项目，通过广西政府采购云平台（</w:t>
      </w:r>
      <w:r>
        <w:rPr>
          <w:rFonts w:hint="eastAsia" w:ascii="宋体" w:hAnsi="宋体"/>
          <w:bCs/>
          <w:szCs w:val="21"/>
        </w:rPr>
        <w:t>https://www.gcy.zfcg.gxzf.gov.cn/</w:t>
      </w:r>
      <w:r>
        <w:rPr>
          <w:rFonts w:hint="eastAsia" w:ascii="宋体" w:hAnsi="宋体"/>
          <w:szCs w:val="21"/>
        </w:rPr>
        <w:t>）实行在线电子投标，供应商应先安装“</w:t>
      </w:r>
      <w:r>
        <w:rPr>
          <w:rFonts w:hint="eastAsia"/>
        </w:rPr>
        <w:t>广西政府采购云平台</w:t>
      </w:r>
      <w:r>
        <w:rPr>
          <w:rFonts w:hint="eastAsia" w:ascii="宋体" w:hAnsi="宋体"/>
          <w:szCs w:val="21"/>
        </w:rPr>
        <w:t>电子交易客户端”（请自行前往“</w:t>
      </w:r>
      <w:r>
        <w:rPr>
          <w:rFonts w:hint="eastAsia"/>
        </w:rPr>
        <w:t>广西政府采购云平台</w:t>
      </w:r>
      <w:r>
        <w:rPr>
          <w:rFonts w:hint="eastAsia" w:ascii="宋体" w:hAnsi="宋体"/>
          <w:szCs w:val="21"/>
        </w:rPr>
        <w:t>”平台进行下载），并按照本项目招标文件和“</w:t>
      </w:r>
      <w:r>
        <w:rPr>
          <w:rFonts w:hint="eastAsia"/>
        </w:rPr>
        <w:t>广西政府采购云平台</w:t>
      </w:r>
      <w:r>
        <w:rPr>
          <w:rFonts w:hint="eastAsia" w:ascii="宋体" w:hAnsi="宋体"/>
          <w:szCs w:val="21"/>
        </w:rPr>
        <w:t>”平台的要求编制、加密后在投标截止时间前通过网络上传至 “</w:t>
      </w:r>
      <w:r>
        <w:rPr>
          <w:rFonts w:hint="eastAsia"/>
        </w:rPr>
        <w:t>广西政府采购云平台</w:t>
      </w:r>
      <w:r>
        <w:rPr>
          <w:rFonts w:hint="eastAsia" w:ascii="宋体" w:hAnsi="宋体"/>
          <w:szCs w:val="21"/>
        </w:rPr>
        <w:t>”平台，</w:t>
      </w:r>
      <w:r>
        <w:rPr>
          <w:rFonts w:hint="eastAsia" w:ascii="宋体" w:hAnsi="宋体"/>
          <w:b/>
          <w:szCs w:val="21"/>
        </w:rPr>
        <w:t>供应商在“</w:t>
      </w:r>
      <w:r>
        <w:rPr>
          <w:rFonts w:hint="eastAsia"/>
        </w:rPr>
        <w:t>广西政府采购云平台</w:t>
      </w:r>
      <w:r>
        <w:rPr>
          <w:rFonts w:hint="eastAsia" w:ascii="宋体" w:hAnsi="宋体"/>
          <w:b/>
          <w:szCs w:val="21"/>
        </w:rPr>
        <w:t>”平台提交电子版投标文件时，请填写参加远程开标活动经办人联系方式，</w:t>
      </w:r>
      <w:r>
        <w:rPr>
          <w:rFonts w:hint="eastAsia" w:ascii="宋体" w:hAnsi="宋体"/>
          <w:szCs w:val="21"/>
        </w:rPr>
        <w:t>电子投标具体操作流程详见本公告附件</w:t>
      </w:r>
      <w:r>
        <w:rPr>
          <w:rFonts w:ascii="宋体" w:hAnsi="宋体"/>
          <w:szCs w:val="21"/>
        </w:rPr>
        <w:t>2</w:t>
      </w:r>
      <w:r>
        <w:rPr>
          <w:rFonts w:hint="eastAsia" w:ascii="宋体" w:hAnsi="宋体"/>
          <w:szCs w:val="21"/>
        </w:rPr>
        <w:t>。</w:t>
      </w:r>
    </w:p>
    <w:p w14:paraId="481D6112">
      <w:pPr>
        <w:widowControl/>
        <w:spacing w:line="360" w:lineRule="auto"/>
        <w:ind w:firstLine="420" w:firstLineChars="200"/>
        <w:jc w:val="left"/>
        <w:rPr>
          <w:rFonts w:ascii="宋体" w:hAnsi="宋体"/>
          <w:szCs w:val="21"/>
        </w:rPr>
      </w:pPr>
      <w:r>
        <w:rPr>
          <w:rFonts w:hint="eastAsia" w:ascii="宋体" w:hAnsi="宋体"/>
          <w:szCs w:val="21"/>
        </w:rPr>
        <w:t>（2）未进行网上注册并办理数字证书（CA认证）的供应商将无法参与本项目政府采购活动，潜在供应商应当在投标截止时间前，完成电子交易平台上的CA数字证书办理（申领流程见本公告附件</w:t>
      </w:r>
      <w:r>
        <w:rPr>
          <w:rFonts w:ascii="宋体" w:hAnsi="宋体"/>
          <w:szCs w:val="21"/>
        </w:rPr>
        <w:t>1</w:t>
      </w:r>
      <w:r>
        <w:rPr>
          <w:rFonts w:hint="eastAsia" w:ascii="宋体" w:hAnsi="宋体"/>
          <w:szCs w:val="21"/>
        </w:rPr>
        <w:t>）及投标文件的提交。完成CA数字证书办理预计7日左右，</w:t>
      </w:r>
      <w:r>
        <w:rPr>
          <w:rFonts w:hint="eastAsia" w:ascii="宋体" w:hAnsi="宋体" w:cs="宋体"/>
          <w:szCs w:val="21"/>
        </w:rPr>
        <w:t>投标人只需办理其中一家CA数字证书及签章，</w:t>
      </w:r>
      <w:r>
        <w:rPr>
          <w:rFonts w:hint="eastAsia" w:ascii="宋体" w:hAnsi="宋体"/>
          <w:szCs w:val="21"/>
        </w:rPr>
        <w:t>建议各投标人抓紧时间办理。</w:t>
      </w:r>
    </w:p>
    <w:p w14:paraId="13727F62">
      <w:pPr>
        <w:widowControl/>
        <w:spacing w:line="360" w:lineRule="auto"/>
        <w:ind w:firstLine="420" w:firstLineChars="200"/>
        <w:jc w:val="left"/>
        <w:rPr>
          <w:rFonts w:ascii="宋体" w:hAnsi="宋体"/>
          <w:szCs w:val="21"/>
        </w:rPr>
      </w:pPr>
      <w:r>
        <w:rPr>
          <w:rFonts w:hint="eastAsia" w:ascii="宋体" w:hAnsi="宋体"/>
          <w:szCs w:val="21"/>
        </w:rPr>
        <w:t>（3）为确保网上操作合法、有效和安全，请投标供应商确保在电子投标过程中能够对相关数据电文进行加密和使用电子签章，妥善保管CA数字证书并使用有效的CA数字证书参与整个招标活动。</w:t>
      </w:r>
    </w:p>
    <w:p w14:paraId="76220264">
      <w:pPr>
        <w:spacing w:line="360" w:lineRule="auto"/>
        <w:ind w:firstLine="420" w:firstLineChars="200"/>
        <w:rPr>
          <w:rFonts w:ascii="宋体" w:hAnsi="宋体"/>
          <w:bCs/>
          <w:szCs w:val="21"/>
          <w:u w:val="single"/>
        </w:rPr>
      </w:pPr>
      <w:r>
        <w:rPr>
          <w:rFonts w:hint="eastAsia" w:ascii="宋体" w:hAnsi="宋体"/>
          <w:bCs/>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5E7470AB">
      <w:pPr>
        <w:widowControl/>
        <w:spacing w:line="360" w:lineRule="auto"/>
        <w:ind w:firstLine="420" w:firstLineChars="200"/>
        <w:jc w:val="left"/>
        <w:rPr>
          <w:rFonts w:ascii="宋体" w:hAnsi="宋体"/>
          <w:szCs w:val="21"/>
        </w:rPr>
      </w:pPr>
      <w:r>
        <w:rPr>
          <w:rFonts w:hint="eastAsia" w:ascii="宋体" w:hAnsi="宋体"/>
          <w:szCs w:val="21"/>
        </w:rPr>
        <w:t>（4）开标地点：本次招标将</w:t>
      </w:r>
      <w:r>
        <w:rPr>
          <w:rFonts w:hint="eastAsia" w:ascii="宋体" w:hAnsi="宋体"/>
          <w:szCs w:val="21"/>
          <w:u w:val="single"/>
        </w:rPr>
        <w:t>于202</w:t>
      </w:r>
      <w:r>
        <w:rPr>
          <w:rFonts w:ascii="宋体" w:hAnsi="宋体"/>
          <w:szCs w:val="21"/>
          <w:u w:val="single"/>
        </w:rPr>
        <w:t>5</w:t>
      </w:r>
      <w:r>
        <w:rPr>
          <w:rFonts w:hint="eastAsia" w:ascii="宋体" w:hAnsi="宋体"/>
          <w:szCs w:val="21"/>
          <w:u w:val="single"/>
        </w:rPr>
        <w:t>年</w:t>
      </w:r>
      <w:r>
        <w:rPr>
          <w:rFonts w:hint="eastAsia" w:ascii="宋体" w:hAnsi="宋体"/>
          <w:szCs w:val="21"/>
          <w:u w:val="single"/>
          <w:lang w:val="en-US" w:eastAsia="zh-CN"/>
        </w:rPr>
        <w:t>6</w:t>
      </w:r>
      <w:r>
        <w:rPr>
          <w:rFonts w:hint="eastAsia" w:ascii="宋体" w:hAnsi="宋体"/>
          <w:szCs w:val="21"/>
          <w:u w:val="single"/>
        </w:rPr>
        <w:t>月</w:t>
      </w:r>
      <w:r>
        <w:rPr>
          <w:rFonts w:hint="eastAsia" w:ascii="宋体" w:hAnsi="宋体"/>
          <w:szCs w:val="21"/>
          <w:u w:val="single"/>
          <w:lang w:val="en-US" w:eastAsia="zh-CN"/>
        </w:rPr>
        <w:t>19</w:t>
      </w:r>
      <w:r>
        <w:rPr>
          <w:rFonts w:hint="eastAsia" w:ascii="宋体" w:hAnsi="宋体"/>
          <w:szCs w:val="21"/>
          <w:u w:val="single"/>
        </w:rPr>
        <w:t>日9时30分（北京时间）</w:t>
      </w:r>
      <w:r>
        <w:rPr>
          <w:rFonts w:hint="eastAsia" w:ascii="宋体" w:hAnsi="宋体"/>
          <w:szCs w:val="21"/>
        </w:rPr>
        <w:t>在“</w:t>
      </w:r>
      <w:r>
        <w:rPr>
          <w:rFonts w:hint="eastAsia"/>
        </w:rPr>
        <w:t>广西政府采购云平台</w:t>
      </w:r>
      <w:r>
        <w:rPr>
          <w:rFonts w:hint="eastAsia" w:ascii="宋体" w:hAnsi="宋体"/>
          <w:szCs w:val="21"/>
        </w:rPr>
        <w:t>”平台电子开标大厅开标。</w:t>
      </w:r>
    </w:p>
    <w:p w14:paraId="1AE831D9">
      <w:pPr>
        <w:snapToGrid w:val="0"/>
        <w:spacing w:line="360" w:lineRule="auto"/>
        <w:ind w:firstLine="420" w:firstLineChars="200"/>
        <w:rPr>
          <w:rStyle w:val="38"/>
        </w:rPr>
      </w:pPr>
      <w:r>
        <w:rPr>
          <w:rFonts w:hint="eastAsia" w:ascii="宋体" w:hAnsi="宋体" w:cs="宋体"/>
          <w:kern w:val="0"/>
          <w:szCs w:val="21"/>
        </w:rPr>
        <w:t>（5）CA证书在线解密：供应商投标时，</w:t>
      </w:r>
      <w:r>
        <w:rPr>
          <w:rFonts w:hint="eastAsia" w:ascii="宋体" w:hAnsi="宋体" w:cs="宋体"/>
          <w:b/>
          <w:kern w:val="0"/>
          <w:szCs w:val="21"/>
        </w:rPr>
        <w:t>需携带制作投标文件时用来加密的有效数字证书（CA认证）</w:t>
      </w:r>
      <w:r>
        <w:rPr>
          <w:rFonts w:hint="eastAsia" w:ascii="宋体" w:hAnsi="宋体" w:cs="宋体"/>
          <w:kern w:val="0"/>
          <w:szCs w:val="21"/>
        </w:rPr>
        <w:t>登录“</w:t>
      </w:r>
      <w:r>
        <w:rPr>
          <w:rFonts w:hint="eastAsia"/>
        </w:rPr>
        <w:t>广西政府采购云平台</w:t>
      </w:r>
      <w:r>
        <w:rPr>
          <w:rFonts w:hint="eastAsia" w:ascii="宋体" w:hAnsi="宋体" w:cs="宋体"/>
          <w:kern w:val="0"/>
          <w:szCs w:val="21"/>
        </w:rPr>
        <w:t>”平台电子开标大厅现场按规定时间对加密的投标文件进行解密，未能按要求进行解密的，由此产生的后果由投标人自行承担。</w:t>
      </w:r>
    </w:p>
    <w:p w14:paraId="79099CEE">
      <w:pPr>
        <w:spacing w:line="360" w:lineRule="auto"/>
        <w:rPr>
          <w:rFonts w:ascii="黑体" w:hAnsi="黑体" w:eastAsia="黑体"/>
          <w:b/>
          <w:bCs/>
          <w:sz w:val="24"/>
        </w:rPr>
      </w:pPr>
      <w:bookmarkStart w:id="18" w:name="_Toc28359007"/>
      <w:bookmarkStart w:id="19" w:name="_Toc35393794"/>
      <w:bookmarkStart w:id="20" w:name="_Toc28359084"/>
      <w:bookmarkStart w:id="21" w:name="_Toc35393625"/>
      <w:r>
        <w:rPr>
          <w:rFonts w:hint="eastAsia" w:ascii="黑体" w:hAnsi="黑体" w:eastAsia="黑体"/>
          <w:b/>
          <w:bCs/>
          <w:sz w:val="24"/>
        </w:rPr>
        <w:t>五、公告期限</w:t>
      </w:r>
      <w:bookmarkEnd w:id="18"/>
      <w:bookmarkEnd w:id="19"/>
      <w:bookmarkEnd w:id="20"/>
      <w:bookmarkEnd w:id="21"/>
    </w:p>
    <w:p w14:paraId="79DD481F">
      <w:pPr>
        <w:spacing w:line="360" w:lineRule="auto"/>
        <w:ind w:firstLine="420" w:firstLineChars="200"/>
        <w:rPr>
          <w:rFonts w:ascii="宋体" w:hAnsi="宋体" w:cs="宋体"/>
          <w:kern w:val="0"/>
          <w:szCs w:val="21"/>
        </w:rPr>
      </w:pPr>
      <w:r>
        <w:rPr>
          <w:rFonts w:hint="eastAsia" w:ascii="宋体" w:hAnsi="宋体" w:cs="宋体"/>
          <w:kern w:val="0"/>
          <w:szCs w:val="21"/>
        </w:rPr>
        <w:t>自本公告发布之日起5个工作日。</w:t>
      </w:r>
    </w:p>
    <w:p w14:paraId="5BC1F23D">
      <w:pPr>
        <w:spacing w:line="360" w:lineRule="auto"/>
        <w:rPr>
          <w:rFonts w:ascii="黑体" w:hAnsi="黑体" w:eastAsia="黑体"/>
          <w:b/>
          <w:bCs/>
          <w:sz w:val="24"/>
        </w:rPr>
      </w:pPr>
      <w:bookmarkStart w:id="22" w:name="_Toc35393795"/>
      <w:bookmarkStart w:id="23" w:name="_Toc35393626"/>
      <w:r>
        <w:rPr>
          <w:rFonts w:hint="eastAsia" w:ascii="黑体" w:hAnsi="黑体" w:eastAsia="黑体"/>
          <w:b/>
          <w:bCs/>
          <w:sz w:val="24"/>
        </w:rPr>
        <w:t>六、其他补充事宜</w:t>
      </w:r>
      <w:bookmarkEnd w:id="22"/>
      <w:bookmarkEnd w:id="23"/>
    </w:p>
    <w:p w14:paraId="62C96839">
      <w:pPr>
        <w:spacing w:line="360" w:lineRule="auto"/>
        <w:ind w:firstLine="315" w:firstLineChars="150"/>
        <w:rPr>
          <w:rFonts w:ascii="宋体" w:hAnsi="宋体" w:cs="宋体"/>
          <w:kern w:val="0"/>
          <w:szCs w:val="21"/>
        </w:rPr>
      </w:pPr>
      <w:r>
        <w:rPr>
          <w:rFonts w:hint="eastAsia" w:ascii="宋体" w:hAnsi="宋体" w:cs="宋体"/>
          <w:kern w:val="0"/>
          <w:szCs w:val="21"/>
        </w:rPr>
        <w:t>1.投标保证金：本项目不收取投标保证金</w:t>
      </w:r>
    </w:p>
    <w:p w14:paraId="373C1910">
      <w:pPr>
        <w:spacing w:line="360" w:lineRule="auto"/>
        <w:ind w:firstLine="315" w:firstLineChars="150"/>
        <w:jc w:val="left"/>
        <w:rPr>
          <w:rFonts w:ascii="宋体" w:hAnsi="宋体" w:cs="宋体"/>
          <w:kern w:val="0"/>
          <w:szCs w:val="21"/>
          <w:u w:val="single"/>
        </w:rPr>
      </w:pPr>
      <w:r>
        <w:rPr>
          <w:rFonts w:hint="eastAsia" w:ascii="宋体" w:hAnsi="宋体" w:cs="宋体"/>
          <w:kern w:val="0"/>
          <w:szCs w:val="21"/>
        </w:rPr>
        <w:t>2.采购意向公开链接：http://www.ccgp-guangxi.gov.cn/site/detail?parentId=66601&amp;articleId=BhfwTlzx8bZ7H9nOYP+5+A==</w:t>
      </w:r>
    </w:p>
    <w:p w14:paraId="05AF05F3">
      <w:pPr>
        <w:spacing w:line="360" w:lineRule="auto"/>
        <w:ind w:firstLine="315" w:firstLineChars="150"/>
        <w:rPr>
          <w:rFonts w:ascii="宋体" w:hAnsi="宋体" w:cs="宋体"/>
          <w:kern w:val="0"/>
          <w:szCs w:val="21"/>
        </w:rPr>
      </w:pPr>
      <w:bookmarkStart w:id="24" w:name="_Hlk37429585"/>
      <w:r>
        <w:rPr>
          <w:rFonts w:hint="eastAsia" w:ascii="宋体" w:hAnsi="宋体" w:cs="宋体"/>
          <w:kern w:val="0"/>
          <w:szCs w:val="21"/>
        </w:rPr>
        <w:t>3.</w:t>
      </w:r>
      <w:bookmarkStart w:id="25" w:name="_Hlk37429595"/>
      <w:r>
        <w:rPr>
          <w:rFonts w:hint="eastAsia" w:ascii="宋体" w:hAnsi="宋体" w:cs="宋体"/>
          <w:kern w:val="0"/>
          <w:szCs w:val="21"/>
        </w:rPr>
        <w:t>网上查询地址</w:t>
      </w:r>
    </w:p>
    <w:bookmarkEnd w:id="24"/>
    <w:bookmarkEnd w:id="25"/>
    <w:p w14:paraId="04816EB7">
      <w:pPr>
        <w:spacing w:line="360" w:lineRule="auto"/>
        <w:ind w:left="420" w:leftChars="200"/>
        <w:rPr>
          <w:rFonts w:ascii="宋体" w:hAnsi="宋体" w:cs="宋体"/>
          <w:kern w:val="0"/>
          <w:szCs w:val="21"/>
        </w:rPr>
      </w:pPr>
      <w:bookmarkStart w:id="26" w:name="_Hlk37429674"/>
      <w:r>
        <w:rPr>
          <w:rFonts w:hint="eastAsia" w:ascii="宋体" w:hAnsi="宋体" w:cs="宋体"/>
          <w:kern w:val="0"/>
          <w:szCs w:val="21"/>
        </w:rPr>
        <w:t>中国政府采购网（http://www.ccgp.gov.cn）</w:t>
      </w:r>
      <w:r>
        <w:rPr>
          <w:rFonts w:hint="eastAsia" w:ascii="宋体" w:hAnsi="宋体" w:cs="宋体"/>
          <w:kern w:val="0"/>
          <w:szCs w:val="21"/>
        </w:rPr>
        <w:br w:type="textWrapping"/>
      </w:r>
      <w:r>
        <w:rPr>
          <w:rFonts w:hint="eastAsia" w:ascii="宋体" w:hAnsi="宋体" w:cs="宋体"/>
          <w:kern w:val="0"/>
          <w:szCs w:val="21"/>
        </w:rPr>
        <w:t>广西壮族自治区政府采购网（http://zfcg.gxzf.gov.cn）</w:t>
      </w:r>
      <w:r>
        <w:rPr>
          <w:rFonts w:hint="eastAsia" w:ascii="宋体" w:hAnsi="宋体" w:cs="宋体"/>
          <w:kern w:val="0"/>
          <w:szCs w:val="21"/>
        </w:rPr>
        <w:br w:type="textWrapping"/>
      </w:r>
      <w:r>
        <w:rPr>
          <w:rFonts w:hint="eastAsia" w:ascii="宋体" w:hAnsi="宋体" w:cs="宋体"/>
          <w:kern w:val="0"/>
          <w:szCs w:val="21"/>
        </w:rPr>
        <w:t>全国公共资源交易平台（广西•南宁）（http://ggzy.jgswj.gxzf.gov.cn/nnggzy/）</w:t>
      </w:r>
    </w:p>
    <w:p w14:paraId="4FC5E55F">
      <w:pPr>
        <w:spacing w:line="360" w:lineRule="auto"/>
        <w:ind w:firstLine="315" w:firstLineChars="150"/>
        <w:rPr>
          <w:rFonts w:ascii="宋体" w:hAnsi="宋体" w:cs="宋体"/>
          <w:kern w:val="0"/>
          <w:szCs w:val="21"/>
        </w:rPr>
      </w:pPr>
      <w:r>
        <w:rPr>
          <w:rFonts w:hint="eastAsia" w:ascii="宋体" w:hAnsi="宋体"/>
          <w:szCs w:val="21"/>
        </w:rPr>
        <w:t xml:space="preserve">4. </w:t>
      </w:r>
      <w:r>
        <w:rPr>
          <w:rFonts w:hint="eastAsia" w:ascii="宋体" w:hAnsi="宋体" w:cs="宋体"/>
          <w:kern w:val="0"/>
          <w:szCs w:val="21"/>
        </w:rPr>
        <w:t>本项目需要落实的政府采购政策：</w:t>
      </w:r>
    </w:p>
    <w:bookmarkEnd w:id="26"/>
    <w:p w14:paraId="458BEBD8">
      <w:pPr>
        <w:spacing w:line="360" w:lineRule="auto"/>
        <w:ind w:firstLine="420" w:firstLineChars="200"/>
        <w:rPr>
          <w:rFonts w:ascii="宋体" w:hAnsi="宋体" w:cs="宋体"/>
          <w:kern w:val="0"/>
          <w:szCs w:val="21"/>
        </w:rPr>
      </w:pPr>
      <w:r>
        <w:rPr>
          <w:rFonts w:hint="eastAsia" w:ascii="宋体" w:hAnsi="宋体" w:cs="宋体"/>
          <w:kern w:val="0"/>
          <w:szCs w:val="21"/>
        </w:rPr>
        <w:t>（1）政府采购促进中小企业发展。</w:t>
      </w:r>
    </w:p>
    <w:p w14:paraId="10AD41B0">
      <w:pPr>
        <w:spacing w:line="360" w:lineRule="auto"/>
        <w:ind w:firstLine="420" w:firstLineChars="200"/>
        <w:rPr>
          <w:rFonts w:ascii="宋体" w:hAnsi="宋体" w:cs="宋体"/>
          <w:kern w:val="0"/>
          <w:szCs w:val="21"/>
        </w:rPr>
      </w:pPr>
      <w:r>
        <w:rPr>
          <w:rFonts w:hint="eastAsia" w:ascii="宋体" w:hAnsi="宋体" w:cs="宋体"/>
          <w:kern w:val="0"/>
          <w:szCs w:val="21"/>
        </w:rPr>
        <w:t>（2）政府采购支持采用本国产品的政策。</w:t>
      </w:r>
    </w:p>
    <w:p w14:paraId="6A177EBC">
      <w:pPr>
        <w:spacing w:line="360" w:lineRule="auto"/>
        <w:ind w:firstLine="420" w:firstLineChars="200"/>
        <w:rPr>
          <w:rFonts w:ascii="宋体" w:hAnsi="宋体" w:cs="宋体"/>
          <w:kern w:val="0"/>
          <w:szCs w:val="21"/>
        </w:rPr>
      </w:pPr>
      <w:r>
        <w:rPr>
          <w:rFonts w:hint="eastAsia" w:ascii="宋体" w:hAnsi="宋体" w:cs="宋体"/>
          <w:kern w:val="0"/>
          <w:szCs w:val="21"/>
        </w:rPr>
        <w:t>（3）强制采购节能产品；优先采购节能产品、环境标志产品。</w:t>
      </w:r>
    </w:p>
    <w:p w14:paraId="4D08D010">
      <w:pPr>
        <w:spacing w:line="360" w:lineRule="auto"/>
        <w:ind w:firstLine="420" w:firstLineChars="200"/>
        <w:rPr>
          <w:rFonts w:ascii="宋体" w:hAnsi="宋体" w:cs="宋体"/>
          <w:kern w:val="0"/>
          <w:szCs w:val="21"/>
        </w:rPr>
      </w:pPr>
      <w:r>
        <w:rPr>
          <w:rFonts w:hint="eastAsia" w:ascii="宋体" w:hAnsi="宋体" w:cs="宋体"/>
          <w:kern w:val="0"/>
          <w:szCs w:val="21"/>
        </w:rPr>
        <w:t>（4）政府采购促进残疾人就业政策。</w:t>
      </w:r>
    </w:p>
    <w:p w14:paraId="4754100C">
      <w:pPr>
        <w:spacing w:line="360" w:lineRule="auto"/>
        <w:ind w:firstLine="315" w:firstLineChars="150"/>
        <w:rPr>
          <w:rFonts w:ascii="宋体" w:hAnsi="宋体" w:cs="宋体"/>
          <w:kern w:val="0"/>
          <w:szCs w:val="21"/>
        </w:rPr>
      </w:pPr>
      <w:r>
        <w:rPr>
          <w:rFonts w:hint="eastAsia" w:ascii="宋体" w:hAnsi="宋体" w:cs="宋体"/>
          <w:kern w:val="0"/>
          <w:szCs w:val="21"/>
        </w:rPr>
        <w:t>（5）政府采购支持监狱企业发展。</w:t>
      </w:r>
    </w:p>
    <w:p w14:paraId="7948539F">
      <w:pPr>
        <w:spacing w:line="360" w:lineRule="auto"/>
        <w:ind w:firstLine="315" w:firstLineChars="150"/>
        <w:rPr>
          <w:rFonts w:ascii="宋体" w:hAnsi="宋体" w:cs="宋体"/>
          <w:kern w:val="0"/>
          <w:szCs w:val="21"/>
        </w:rPr>
      </w:pPr>
      <w:r>
        <w:rPr>
          <w:rFonts w:hint="eastAsia" w:ascii="宋体" w:hAnsi="宋体" w:cs="宋体"/>
          <w:kern w:val="0"/>
          <w:szCs w:val="21"/>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5879C160">
      <w:pPr>
        <w:wordWrap w:val="0"/>
        <w:spacing w:line="360" w:lineRule="auto"/>
        <w:ind w:firstLine="420" w:firstLineChars="200"/>
        <w:rPr>
          <w:rFonts w:ascii="宋体" w:hAnsi="宋体" w:cs="宋体"/>
          <w:kern w:val="0"/>
          <w:szCs w:val="21"/>
        </w:rPr>
      </w:pPr>
      <w:r>
        <w:rPr>
          <w:rFonts w:hint="eastAsia" w:ascii="宋体" w:hAnsi="宋体" w:cs="宋体"/>
          <w:kern w:val="0"/>
          <w:szCs w:val="21"/>
        </w:rPr>
        <w:t>6. 若对项目采购电子交易系统操作有疑问，可登录广西政府采购云平台（https://www.gcy.zfcg.gxzf.gov.cn/），点击右侧咨询小采，获取采小蜜智能服务管家帮助，或拨打广西政府采购云服务热线</w:t>
      </w:r>
      <w:r>
        <w:rPr>
          <w:rFonts w:ascii="宋体" w:hAnsi="宋体" w:cs="宋体"/>
          <w:kern w:val="0"/>
          <w:szCs w:val="21"/>
        </w:rPr>
        <w:t>95763</w:t>
      </w:r>
      <w:r>
        <w:rPr>
          <w:rFonts w:hint="eastAsia" w:ascii="宋体" w:hAnsi="宋体" w:cs="宋体"/>
          <w:kern w:val="0"/>
          <w:szCs w:val="21"/>
        </w:rPr>
        <w:t>或0771-3381253获取热线服务帮助。</w:t>
      </w:r>
    </w:p>
    <w:p w14:paraId="7BCB596A">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7. 本项目采购计划编号：NNZC[2025]2166号</w:t>
      </w:r>
    </w:p>
    <w:p w14:paraId="2C127E6A">
      <w:pPr>
        <w:spacing w:line="360" w:lineRule="auto"/>
        <w:rPr>
          <w:rFonts w:ascii="黑体" w:hAnsi="黑体" w:eastAsia="黑体"/>
          <w:b/>
          <w:bCs/>
          <w:sz w:val="24"/>
        </w:rPr>
      </w:pPr>
      <w:bookmarkStart w:id="27" w:name="_Toc28359085"/>
      <w:bookmarkStart w:id="28" w:name="_Toc35393796"/>
      <w:bookmarkStart w:id="29" w:name="_Toc28359008"/>
      <w:bookmarkStart w:id="30" w:name="_Toc35393627"/>
      <w:r>
        <w:rPr>
          <w:rFonts w:hint="eastAsia" w:ascii="黑体" w:hAnsi="黑体" w:eastAsia="黑体"/>
          <w:b/>
          <w:bCs/>
          <w:sz w:val="24"/>
        </w:rPr>
        <w:t>七、对本次招标提出询问，请按以下方式联系。</w:t>
      </w:r>
      <w:bookmarkEnd w:id="27"/>
      <w:bookmarkEnd w:id="28"/>
      <w:bookmarkEnd w:id="29"/>
      <w:bookmarkEnd w:id="30"/>
    </w:p>
    <w:p w14:paraId="1974AD1F">
      <w:pPr>
        <w:spacing w:line="360" w:lineRule="auto"/>
        <w:jc w:val="left"/>
        <w:rPr>
          <w:rFonts w:ascii="宋体" w:hAnsi="宋体" w:cs="宋体"/>
          <w:szCs w:val="21"/>
        </w:rPr>
      </w:pPr>
      <w:r>
        <w:rPr>
          <w:rFonts w:hint="eastAsia" w:ascii="宋体" w:hAnsi="宋体" w:cs="宋体"/>
          <w:szCs w:val="21"/>
        </w:rPr>
        <w:t>　　　1.采购人信息</w:t>
      </w:r>
    </w:p>
    <w:p w14:paraId="76978C04">
      <w:pPr>
        <w:spacing w:line="360" w:lineRule="auto"/>
        <w:ind w:firstLine="630" w:firstLineChars="300"/>
        <w:jc w:val="left"/>
        <w:rPr>
          <w:rFonts w:ascii="宋体" w:hAnsi="宋体" w:cs="宋体"/>
          <w:szCs w:val="21"/>
        </w:rPr>
      </w:pPr>
      <w:r>
        <w:rPr>
          <w:rFonts w:hint="eastAsia" w:ascii="宋体" w:hAnsi="宋体" w:cs="宋体"/>
          <w:szCs w:val="21"/>
        </w:rPr>
        <w:t>名 称：</w:t>
      </w:r>
      <w:r>
        <w:rPr>
          <w:rFonts w:hint="eastAsia"/>
        </w:rPr>
        <w:t>南宁市市政工程管理处</w:t>
      </w:r>
    </w:p>
    <w:p w14:paraId="298FEA96">
      <w:pPr>
        <w:spacing w:line="360" w:lineRule="auto"/>
        <w:ind w:firstLine="630" w:firstLineChars="300"/>
        <w:jc w:val="left"/>
        <w:rPr>
          <w:rFonts w:ascii="宋体" w:hAnsi="宋体" w:cs="宋体"/>
          <w:szCs w:val="21"/>
        </w:rPr>
      </w:pPr>
      <w:r>
        <w:rPr>
          <w:rFonts w:hint="eastAsia" w:ascii="宋体" w:hAnsi="宋体" w:cs="宋体"/>
          <w:szCs w:val="21"/>
        </w:rPr>
        <w:t>地 址：</w:t>
      </w:r>
      <w:r>
        <w:rPr>
          <w:rFonts w:hint="eastAsia" w:ascii="宋体" w:hAnsi="宋体"/>
          <w:szCs w:val="21"/>
        </w:rPr>
        <w:t>南宁市中华路50号</w:t>
      </w:r>
      <w:r>
        <w:rPr>
          <w:szCs w:val="21"/>
        </w:rPr>
        <w:t>‌‌</w:t>
      </w:r>
    </w:p>
    <w:p w14:paraId="5E261EF2">
      <w:pPr>
        <w:spacing w:line="360" w:lineRule="auto"/>
        <w:ind w:firstLine="630" w:firstLineChars="300"/>
        <w:jc w:val="left"/>
        <w:rPr>
          <w:rFonts w:ascii="宋体" w:hAnsi="宋体" w:cs="宋体"/>
          <w:szCs w:val="21"/>
          <w:highlight w:val="none"/>
        </w:rPr>
      </w:pPr>
      <w:r>
        <w:rPr>
          <w:rFonts w:hint="eastAsia" w:ascii="宋体" w:hAnsi="宋体" w:cs="宋体"/>
          <w:szCs w:val="21"/>
          <w:highlight w:val="none"/>
        </w:rPr>
        <w:t>项目联系人：</w:t>
      </w:r>
      <w:r>
        <w:rPr>
          <w:rFonts w:hint="eastAsia" w:ascii="宋体" w:hAnsi="宋体" w:cs="宋体"/>
          <w:szCs w:val="21"/>
          <w:highlight w:val="none"/>
          <w:lang w:val="en-US" w:eastAsia="zh-CN"/>
        </w:rPr>
        <w:t>黎清凤</w:t>
      </w:r>
      <w:r>
        <w:rPr>
          <w:rFonts w:hint="eastAsia" w:ascii="宋体" w:hAnsi="宋体" w:cs="宋体"/>
          <w:szCs w:val="21"/>
          <w:highlight w:val="none"/>
        </w:rPr>
        <w:t xml:space="preserve"> </w:t>
      </w:r>
    </w:p>
    <w:p w14:paraId="2C471DD1">
      <w:pPr>
        <w:spacing w:line="360" w:lineRule="auto"/>
        <w:ind w:firstLine="630" w:firstLineChars="300"/>
        <w:jc w:val="left"/>
        <w:rPr>
          <w:rFonts w:ascii="宋体" w:hAnsi="宋体" w:cs="宋体"/>
          <w:szCs w:val="21"/>
          <w:highlight w:val="none"/>
        </w:rPr>
      </w:pPr>
      <w:r>
        <w:rPr>
          <w:rFonts w:hint="eastAsia" w:ascii="宋体" w:hAnsi="宋体" w:cs="宋体"/>
          <w:szCs w:val="21"/>
          <w:highlight w:val="none"/>
        </w:rPr>
        <w:t>联系电话：0771-2426942</w:t>
      </w:r>
    </w:p>
    <w:p w14:paraId="3C7BB70B">
      <w:pPr>
        <w:spacing w:line="360" w:lineRule="auto"/>
        <w:ind w:firstLine="630" w:firstLineChars="300"/>
        <w:jc w:val="left"/>
        <w:rPr>
          <w:rFonts w:ascii="宋体" w:hAnsi="宋体" w:cs="宋体"/>
          <w:szCs w:val="21"/>
        </w:rPr>
      </w:pPr>
      <w:r>
        <w:rPr>
          <w:rFonts w:hint="eastAsia" w:ascii="宋体" w:hAnsi="宋体" w:cs="宋体"/>
          <w:szCs w:val="21"/>
        </w:rPr>
        <w:t>2.采购代理机构信息</w:t>
      </w:r>
    </w:p>
    <w:p w14:paraId="120A98D5">
      <w:pPr>
        <w:spacing w:line="360" w:lineRule="auto"/>
        <w:ind w:firstLine="630" w:firstLineChars="300"/>
        <w:jc w:val="left"/>
        <w:rPr>
          <w:rFonts w:ascii="宋体" w:hAnsi="宋体" w:cs="宋体"/>
          <w:szCs w:val="21"/>
        </w:rPr>
      </w:pPr>
      <w:r>
        <w:rPr>
          <w:rFonts w:hint="eastAsia" w:ascii="宋体" w:hAnsi="宋体" w:cs="宋体"/>
          <w:szCs w:val="21"/>
        </w:rPr>
        <w:t>名 称：广西工程咨询集团有限公司</w:t>
      </w:r>
    </w:p>
    <w:p w14:paraId="03B81F3B">
      <w:pPr>
        <w:spacing w:line="360" w:lineRule="auto"/>
        <w:ind w:firstLine="630" w:firstLineChars="300"/>
        <w:jc w:val="left"/>
        <w:rPr>
          <w:rFonts w:ascii="宋体" w:hAnsi="宋体" w:cs="宋体"/>
          <w:szCs w:val="21"/>
        </w:rPr>
      </w:pPr>
      <w:r>
        <w:rPr>
          <w:rFonts w:hint="eastAsia" w:ascii="宋体" w:hAnsi="宋体" w:cs="宋体"/>
          <w:szCs w:val="21"/>
        </w:rPr>
        <w:t>地　址：广西南宁市良庆区金龙路2号广西能源大厦C座10楼</w:t>
      </w:r>
    </w:p>
    <w:p w14:paraId="03C95BAA">
      <w:pPr>
        <w:spacing w:line="360" w:lineRule="auto"/>
        <w:ind w:firstLine="630" w:firstLineChars="300"/>
        <w:jc w:val="left"/>
        <w:rPr>
          <w:rFonts w:ascii="宋体" w:hAnsi="宋体" w:cs="宋体"/>
          <w:szCs w:val="21"/>
        </w:rPr>
      </w:pPr>
      <w:r>
        <w:rPr>
          <w:rFonts w:hint="eastAsia" w:ascii="宋体" w:hAnsi="宋体" w:cs="宋体"/>
          <w:szCs w:val="21"/>
        </w:rPr>
        <w:t>联系电话：0771-2231082</w:t>
      </w:r>
    </w:p>
    <w:p w14:paraId="177C0E23">
      <w:pPr>
        <w:spacing w:line="360" w:lineRule="auto"/>
        <w:ind w:firstLine="630" w:firstLineChars="300"/>
        <w:jc w:val="left"/>
        <w:rPr>
          <w:rFonts w:ascii="宋体" w:hAnsi="宋体" w:cs="宋体"/>
          <w:szCs w:val="21"/>
        </w:rPr>
      </w:pPr>
      <w:r>
        <w:rPr>
          <w:rFonts w:hint="eastAsia" w:ascii="宋体" w:hAnsi="宋体" w:cs="宋体"/>
          <w:szCs w:val="21"/>
        </w:rPr>
        <w:t>3.项目联系方式</w:t>
      </w:r>
    </w:p>
    <w:p w14:paraId="275C64A6">
      <w:pPr>
        <w:spacing w:line="360" w:lineRule="auto"/>
        <w:ind w:firstLine="630" w:firstLineChars="300"/>
        <w:jc w:val="left"/>
        <w:rPr>
          <w:rFonts w:ascii="宋体" w:hAnsi="宋体" w:cs="宋体"/>
          <w:szCs w:val="21"/>
        </w:rPr>
      </w:pPr>
      <w:r>
        <w:rPr>
          <w:rFonts w:hint="eastAsia" w:ascii="宋体" w:hAnsi="宋体" w:cs="宋体"/>
          <w:szCs w:val="21"/>
        </w:rPr>
        <w:t>项目联系人：</w:t>
      </w:r>
      <w:r>
        <w:rPr>
          <w:rFonts w:hint="eastAsia" w:ascii="宋体" w:hAnsi="宋体"/>
        </w:rPr>
        <w:t>伍毅菲、庞川云、刘湘灵、覃韵、麦晓霞</w:t>
      </w:r>
    </w:p>
    <w:p w14:paraId="487D2C58">
      <w:pPr>
        <w:spacing w:line="360" w:lineRule="auto"/>
        <w:ind w:firstLine="630" w:firstLineChars="300"/>
        <w:jc w:val="left"/>
        <w:rPr>
          <w:rFonts w:ascii="宋体" w:hAnsi="宋体"/>
          <w:szCs w:val="21"/>
        </w:rPr>
      </w:pPr>
      <w:r>
        <w:rPr>
          <w:rFonts w:hint="eastAsia" w:ascii="宋体" w:hAnsi="宋体" w:cs="宋体"/>
          <w:szCs w:val="21"/>
        </w:rPr>
        <w:t>电话：0771-2231082　</w:t>
      </w:r>
    </w:p>
    <w:p w14:paraId="3FD58EF7">
      <w:pPr>
        <w:pStyle w:val="12"/>
        <w:spacing w:line="360" w:lineRule="auto"/>
        <w:ind w:firstLine="630" w:firstLineChars="300"/>
      </w:pPr>
      <w:r>
        <w:rPr>
          <w:rFonts w:hint="eastAsia" w:ascii="宋体" w:hAnsi="宋体"/>
          <w:szCs w:val="21"/>
        </w:rPr>
        <w:t>附件： 1.CA证书申请方式及操作指南下载地址（登录</w:t>
      </w:r>
      <w:r>
        <w:t>http://nncz.nanning.gov.cn/</w:t>
      </w:r>
      <w:r>
        <w:rPr>
          <w:rFonts w:hint="eastAsia"/>
        </w:rPr>
        <w:t>（南宁市财政局官网）</w:t>
      </w:r>
      <w:r>
        <w:t>-</w:t>
      </w:r>
      <w:r>
        <w:rPr>
          <w:rFonts w:hint="eastAsia"/>
        </w:rPr>
        <w:t>业务专题-政府采购监督管理-资料下载</w:t>
      </w:r>
      <w:r>
        <w:t>-</w:t>
      </w:r>
      <w:r>
        <w:rPr>
          <w:rFonts w:hint="eastAsia"/>
        </w:rPr>
        <w:t>“广西政采云西部</w:t>
      </w:r>
      <w:r>
        <w:t>CA</w:t>
      </w:r>
      <w:r>
        <w:rPr>
          <w:rFonts w:hint="eastAsia"/>
        </w:rPr>
        <w:t>办理方式”或“南宁市政采云</w:t>
      </w:r>
      <w:r>
        <w:t>CA</w:t>
      </w:r>
      <w:r>
        <w:rPr>
          <w:rFonts w:hint="eastAsia"/>
        </w:rPr>
        <w:t>证书办理操作指南”</w:t>
      </w:r>
      <w:r>
        <w:rPr>
          <w:rFonts w:hint="eastAsia" w:ascii="宋体" w:hAnsi="宋体"/>
          <w:szCs w:val="21"/>
        </w:rPr>
        <w:t>）（政采云C</w:t>
      </w:r>
      <w:r>
        <w:rPr>
          <w:rFonts w:ascii="宋体" w:hAnsi="宋体"/>
          <w:szCs w:val="21"/>
        </w:rPr>
        <w:t>A</w:t>
      </w:r>
      <w:r>
        <w:rPr>
          <w:rFonts w:hint="eastAsia" w:ascii="宋体" w:hAnsi="宋体"/>
          <w:szCs w:val="21"/>
        </w:rPr>
        <w:t>和</w:t>
      </w:r>
      <w:r>
        <w:rPr>
          <w:rFonts w:hint="eastAsia"/>
        </w:rPr>
        <w:t>广西政府采购云平台C</w:t>
      </w:r>
      <w:r>
        <w:t>A</w:t>
      </w:r>
      <w:r>
        <w:rPr>
          <w:rFonts w:hint="eastAsia"/>
        </w:rPr>
        <w:t>通用</w:t>
      </w:r>
      <w:r>
        <w:rPr>
          <w:rFonts w:hint="eastAsia" w:ascii="宋体" w:hAnsi="宋体"/>
          <w:szCs w:val="21"/>
        </w:rPr>
        <w:t>）</w:t>
      </w:r>
    </w:p>
    <w:p w14:paraId="63872147">
      <w:pPr>
        <w:pStyle w:val="12"/>
        <w:spacing w:line="360" w:lineRule="auto"/>
        <w:ind w:firstLine="630" w:firstLineChars="300"/>
        <w:rPr>
          <w:rFonts w:ascii="宋体" w:hAnsi="宋体"/>
          <w:szCs w:val="21"/>
        </w:rPr>
      </w:pPr>
      <w:r>
        <w:rPr>
          <w:rFonts w:hint="eastAsia" w:ascii="宋体" w:hAnsi="宋体"/>
          <w:szCs w:val="21"/>
        </w:rPr>
        <w:t>2.电子</w:t>
      </w:r>
      <w:bookmarkStart w:id="344" w:name="_GoBack"/>
      <w:bookmarkEnd w:id="344"/>
      <w:r>
        <w:rPr>
          <w:rFonts w:hint="eastAsia" w:ascii="宋体" w:hAnsi="宋体"/>
          <w:szCs w:val="21"/>
        </w:rPr>
        <w:t>投标文件制作与投送教程（在此网址下载：</w:t>
      </w:r>
      <w:r>
        <w:t>http://nncz.nanning.gov.cn/</w:t>
      </w:r>
      <w:r>
        <w:rPr>
          <w:rFonts w:hint="eastAsia"/>
        </w:rPr>
        <w:t>（南宁市财政局官网）</w:t>
      </w:r>
      <w:r>
        <w:t>-</w:t>
      </w:r>
      <w:r>
        <w:rPr>
          <w:rFonts w:hint="eastAsia"/>
        </w:rPr>
        <w:t>业务专题-政府采购监督管理-资料下载-南宁市政府采购项目全流程电子化交易操作指南</w:t>
      </w:r>
      <w:r>
        <w:rPr>
          <w:rFonts w:hint="eastAsia" w:ascii="宋体" w:hAnsi="宋体"/>
          <w:szCs w:val="21"/>
        </w:rPr>
        <w:t>）</w:t>
      </w:r>
    </w:p>
    <w:p w14:paraId="24FE5482">
      <w:pPr>
        <w:spacing w:line="360" w:lineRule="auto"/>
        <w:ind w:firstLine="210" w:firstLineChars="100"/>
        <w:jc w:val="right"/>
        <w:rPr>
          <w:rFonts w:ascii="宋体" w:hAnsi="宋体"/>
          <w:szCs w:val="21"/>
        </w:rPr>
      </w:pPr>
      <w:r>
        <w:rPr>
          <w:rFonts w:hint="eastAsia" w:ascii="宋体" w:hAnsi="宋体"/>
          <w:szCs w:val="21"/>
        </w:rPr>
        <w:t>广西工程咨询集团有限公司</w:t>
      </w:r>
    </w:p>
    <w:p w14:paraId="65C0EE3C">
      <w:pPr>
        <w:spacing w:line="360" w:lineRule="auto"/>
        <w:ind w:firstLine="210" w:firstLineChars="100"/>
        <w:jc w:val="right"/>
        <w:rPr>
          <w:rFonts w:ascii="宋体" w:hAnsi="宋体"/>
        </w:rPr>
      </w:pPr>
      <w:r>
        <w:rPr>
          <w:rFonts w:ascii="宋体" w:hAnsi="宋体"/>
          <w:szCs w:val="21"/>
        </w:rPr>
        <w:t>2025</w:t>
      </w:r>
      <w:r>
        <w:rPr>
          <w:rFonts w:hint="eastAsia" w:ascii="宋体" w:hAnsi="宋体"/>
          <w:szCs w:val="21"/>
        </w:rPr>
        <w:t>年</w:t>
      </w:r>
      <w:r>
        <w:rPr>
          <w:rFonts w:hint="eastAsia" w:ascii="宋体" w:hAnsi="宋体"/>
          <w:szCs w:val="21"/>
          <w:lang w:val="en-US" w:eastAsia="zh-CN"/>
        </w:rPr>
        <w:t>5</w:t>
      </w:r>
      <w:r>
        <w:rPr>
          <w:rFonts w:hint="eastAsia" w:ascii="宋体" w:hAnsi="宋体"/>
          <w:szCs w:val="21"/>
        </w:rPr>
        <w:t>月</w:t>
      </w:r>
      <w:r>
        <w:rPr>
          <w:rFonts w:hint="eastAsia" w:ascii="宋体" w:hAnsi="宋体"/>
          <w:szCs w:val="21"/>
          <w:lang w:val="en-US" w:eastAsia="zh-CN"/>
        </w:rPr>
        <w:t>28</w:t>
      </w:r>
      <w:r>
        <w:rPr>
          <w:rFonts w:hint="eastAsia" w:ascii="宋体" w:hAnsi="宋体"/>
          <w:szCs w:val="21"/>
        </w:rPr>
        <w:t>日</w:t>
      </w:r>
    </w:p>
    <w:p w14:paraId="3B34C13C">
      <w:pPr>
        <w:widowControl/>
        <w:spacing w:line="360" w:lineRule="auto"/>
        <w:jc w:val="left"/>
        <w:rPr>
          <w:rFonts w:ascii="宋体" w:hAnsi="宋体" w:cs="宋体"/>
          <w:sz w:val="24"/>
          <w:lang w:val="zh-CN"/>
        </w:rPr>
        <w:sectPr>
          <w:footerReference r:id="rId4" w:type="default"/>
          <w:pgSz w:w="11906" w:h="16838"/>
          <w:pgMar w:top="1134" w:right="1134" w:bottom="1134" w:left="1134" w:header="720" w:footer="720" w:gutter="0"/>
          <w:pgNumType w:start="1"/>
          <w:cols w:space="720" w:num="1"/>
          <w:docGrid w:type="lines" w:linePitch="331" w:charSpace="0"/>
        </w:sectPr>
      </w:pPr>
    </w:p>
    <w:p w14:paraId="20C3BC09">
      <w:pPr>
        <w:pStyle w:val="18"/>
        <w:jc w:val="center"/>
        <w:outlineLvl w:val="0"/>
        <w:rPr>
          <w:rFonts w:ascii="Times New Roman" w:hAnsi="Times New Roman"/>
          <w:b/>
          <w:sz w:val="36"/>
        </w:rPr>
      </w:pPr>
      <w:bookmarkStart w:id="31" w:name="_Toc532545042"/>
      <w:bookmarkStart w:id="32" w:name="_Toc187761550"/>
      <w:r>
        <w:rPr>
          <w:rFonts w:hint="eastAsia" w:ascii="Times New Roman" w:hAnsi="Times New Roman"/>
          <w:b/>
          <w:sz w:val="36"/>
        </w:rPr>
        <w:t>第二章</w:t>
      </w:r>
      <w:bookmarkEnd w:id="31"/>
      <w:r>
        <w:rPr>
          <w:rFonts w:hint="eastAsia" w:ascii="Times New Roman" w:hAnsi="Times New Roman"/>
          <w:b/>
          <w:sz w:val="36"/>
        </w:rPr>
        <w:t>采购需求</w:t>
      </w:r>
      <w:bookmarkEnd w:id="32"/>
    </w:p>
    <w:p w14:paraId="614AB81F">
      <w:pPr>
        <w:adjustRightInd w:val="0"/>
        <w:spacing w:line="340" w:lineRule="exact"/>
        <w:rPr>
          <w:rFonts w:hAnsi="宋体"/>
          <w:b/>
          <w:szCs w:val="21"/>
        </w:rPr>
      </w:pPr>
    </w:p>
    <w:p w14:paraId="10062FE5">
      <w:pPr>
        <w:adjustRightInd w:val="0"/>
        <w:spacing w:line="340" w:lineRule="exact"/>
        <w:rPr>
          <w:rFonts w:hAnsi="宋体"/>
          <w:b/>
          <w:szCs w:val="21"/>
        </w:rPr>
      </w:pPr>
      <w:r>
        <w:rPr>
          <w:rFonts w:hint="eastAsia" w:hAnsi="宋体"/>
          <w:b/>
          <w:szCs w:val="21"/>
        </w:rPr>
        <w:t>说明：</w:t>
      </w:r>
    </w:p>
    <w:p w14:paraId="4554106A">
      <w:pPr>
        <w:spacing w:line="360" w:lineRule="auto"/>
        <w:ind w:firstLine="420" w:firstLineChars="200"/>
        <w:jc w:val="left"/>
      </w:pPr>
      <w:r>
        <w:t xml:space="preserve">1. </w:t>
      </w:r>
      <w:r>
        <w:rPr>
          <w:rFonts w:hint="eastAsia"/>
        </w:rPr>
        <w:t>为落实政府采购政策需满足的要求</w:t>
      </w:r>
    </w:p>
    <w:p w14:paraId="5946E83D">
      <w:pPr>
        <w:spacing w:line="360" w:lineRule="auto"/>
        <w:ind w:firstLine="420" w:firstLineChars="200"/>
        <w:jc w:val="left"/>
        <w:rPr>
          <w:rFonts w:ascii="宋体" w:hAnsi="宋体" w:cs="宋体"/>
          <w:szCs w:val="21"/>
        </w:rPr>
      </w:pPr>
      <w:r>
        <w:rPr>
          <w:rFonts w:hint="eastAsia" w:ascii="宋体" w:hAnsi="宋体" w:cs="宋体"/>
          <w:szCs w:val="21"/>
        </w:rPr>
        <w:t>（1）本招标文件所称中小企业必须符合《政府采购促进中小企业发展管理办法》（财库〔2020〕46号）的规定。</w:t>
      </w:r>
    </w:p>
    <w:p w14:paraId="22C4469C">
      <w:pPr>
        <w:spacing w:line="360" w:lineRule="auto"/>
        <w:ind w:firstLine="424" w:firstLineChars="202"/>
        <w:jc w:val="left"/>
        <w:rPr>
          <w:rFonts w:ascii="宋体" w:hAnsi="宋体" w:cs="宋体"/>
          <w:szCs w:val="21"/>
        </w:rPr>
      </w:pPr>
      <w:r>
        <w:rPr>
          <w:rFonts w:hint="eastAsia" w:ascii="宋体" w:hAnsi="宋体" w:cs="宋体"/>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复印件（加盖投标人电子公章），否则投标文件作无效处理。如本项目包含的货物属于品目清单内非标注“★”的产品时，应优先采购，具体详见“第四章 评标方法和评标标准”。</w:t>
      </w:r>
    </w:p>
    <w:p w14:paraId="4D17934A">
      <w:pPr>
        <w:spacing w:line="360" w:lineRule="auto"/>
        <w:ind w:firstLine="424" w:firstLineChars="202"/>
        <w:jc w:val="left"/>
        <w:rPr>
          <w:rFonts w:ascii="宋体" w:hAnsi="宋体" w:cs="宋体"/>
          <w:szCs w:val="21"/>
        </w:rPr>
      </w:pPr>
      <w:r>
        <w:rPr>
          <w:rFonts w:hint="eastAsia" w:ascii="宋体" w:hAnsi="宋体" w:cs="宋体"/>
          <w:szCs w:val="21"/>
        </w:rPr>
        <w:t>（3）根据《关于调整网络安全专用产品安全管理有关事项的公告》（2023年1号）规定，本项目采购需求中的服务伴随的产品如果包括《网络关键设备和网络安全专用产品目录》的网络安全专用产品，供应商在投标文件中应主动列明供货范围中属于网络安全专用产品的投标产品，并在投标文件（商务及技术文件）中提供由中国网信网（ 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w:t>
      </w:r>
      <w:r>
        <w:rPr>
          <w:rFonts w:hint="eastAsia" w:ascii="宋体" w:hAnsi="宋体" w:cs="宋体"/>
          <w:b/>
          <w:szCs w:val="21"/>
        </w:rPr>
        <w:t>投标无效。</w:t>
      </w:r>
      <w:r>
        <w:rPr>
          <w:rFonts w:hint="eastAsia" w:ascii="宋体" w:hAnsi="宋体" w:cs="宋体"/>
          <w:szCs w:val="21"/>
        </w:rPr>
        <w:t>如属于《网络关键设备和网络安全专用产品目录》中“二、网络安全专用产品”内“产品类别”中的所描述的产品，但不属于所列“产品描述”情形的，应提供相应的说明及证明材料。</w:t>
      </w:r>
    </w:p>
    <w:p w14:paraId="37DB595E">
      <w:pPr>
        <w:tabs>
          <w:tab w:val="left" w:pos="312"/>
        </w:tabs>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2.“实质性要求”是指招标文件中已经指明不满足则投标无效的条款，或者不能负偏离的条款，或者采购需求中带“▲”的条款。</w:t>
      </w:r>
    </w:p>
    <w:p w14:paraId="6F7FE4AD">
      <w:pPr>
        <w:tabs>
          <w:tab w:val="left" w:pos="312"/>
        </w:tabs>
        <w:spacing w:line="360" w:lineRule="auto"/>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3.不需要投标人对采购需求响应为具体数值的，此采购需求的数值后将以◆号标注。</w:t>
      </w:r>
    </w:p>
    <w:p w14:paraId="7D4A5F7E">
      <w:pPr>
        <w:tabs>
          <w:tab w:val="left" w:pos="312"/>
        </w:tabs>
        <w:spacing w:line="360" w:lineRule="auto"/>
        <w:ind w:firstLine="420" w:firstLineChars="200"/>
        <w:jc w:val="left"/>
        <w:rPr>
          <w:rFonts w:asciiTheme="minorEastAsia" w:hAnsiTheme="minorEastAsia" w:eastAsiaTheme="minorEastAsia"/>
        </w:rPr>
      </w:pPr>
      <w:r>
        <w:rPr>
          <w:rFonts w:hint="eastAsia" w:asciiTheme="minorEastAsia" w:hAnsiTheme="minorEastAsia" w:eastAsiaTheme="minorEastAsia"/>
        </w:rPr>
        <w:t>4.如投标人投标产品存在侵犯他人的知识产权或者专利成果行为的，应承担相应法律责任。</w:t>
      </w:r>
    </w:p>
    <w:p w14:paraId="6E5B1CBE">
      <w:pPr>
        <w:tabs>
          <w:tab w:val="left" w:pos="312"/>
        </w:tabs>
        <w:spacing w:line="360" w:lineRule="auto"/>
        <w:ind w:firstLine="420" w:firstLineChars="200"/>
        <w:jc w:val="left"/>
        <w:rPr>
          <w:rFonts w:ascii="宋体" w:hAnsi="宋体" w:cs="宋体"/>
          <w:szCs w:val="21"/>
        </w:rPr>
      </w:pPr>
      <w:r>
        <w:rPr>
          <w:rFonts w:hint="eastAsia" w:asciiTheme="minorEastAsia" w:hAnsiTheme="minorEastAsia" w:eastAsiaTheme="minorEastAsia"/>
        </w:rPr>
        <w:t>5.本项目所有</w:t>
      </w:r>
      <w:r>
        <w:rPr>
          <w:rFonts w:hint="eastAsia"/>
        </w:rPr>
        <w:t>分标采购标的的中小企业划分标准所属行业名称（行业名称及划分见本章附件2）：</w:t>
      </w:r>
      <w:r>
        <w:rPr>
          <w:rFonts w:hint="eastAsia" w:ascii="宋体" w:hAnsi="宋体" w:cs="宋体"/>
          <w:szCs w:val="21"/>
        </w:rPr>
        <w:t>其他未列明行业</w:t>
      </w:r>
    </w:p>
    <w:p w14:paraId="12FE6387">
      <w:pPr>
        <w:tabs>
          <w:tab w:val="left" w:pos="312"/>
        </w:tabs>
        <w:spacing w:line="360" w:lineRule="auto"/>
        <w:ind w:firstLine="420" w:firstLineChars="200"/>
        <w:jc w:val="left"/>
        <w:rPr>
          <w:rFonts w:ascii="宋体" w:hAnsi="宋体" w:cs="宋体"/>
          <w:szCs w:val="21"/>
        </w:rPr>
      </w:pPr>
    </w:p>
    <w:p w14:paraId="4CFECB1C"/>
    <w:tbl>
      <w:tblPr>
        <w:tblStyle w:val="32"/>
        <w:tblW w:w="5000" w:type="pct"/>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108" w:type="dxa"/>
          <w:bottom w:w="0" w:type="dxa"/>
          <w:right w:w="108" w:type="dxa"/>
        </w:tblCellMar>
      </w:tblPr>
      <w:tblGrid>
        <w:gridCol w:w="559"/>
        <w:gridCol w:w="747"/>
        <w:gridCol w:w="526"/>
        <w:gridCol w:w="763"/>
        <w:gridCol w:w="6364"/>
        <w:gridCol w:w="895"/>
      </w:tblGrid>
      <w:tr w14:paraId="3FF2A3AE">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5000" w:type="pct"/>
            <w:gridSpan w:val="6"/>
            <w:tcBorders>
              <w:top w:val="single" w:color="000000" w:sz="8" w:space="0"/>
              <w:left w:val="single" w:color="000000" w:sz="8" w:space="0"/>
              <w:bottom w:val="single" w:color="000000" w:sz="6" w:space="0"/>
              <w:right w:val="single" w:color="000000" w:sz="8" w:space="0"/>
            </w:tcBorders>
          </w:tcPr>
          <w:p w14:paraId="7DFF1900">
            <w:pPr>
              <w:spacing w:line="360" w:lineRule="auto"/>
              <w:jc w:val="center"/>
              <w:rPr>
                <w:rFonts w:ascii="宋体" w:hAnsi="宋体" w:cs="宋体"/>
                <w:b/>
                <w:szCs w:val="21"/>
              </w:rPr>
            </w:pPr>
            <w:bookmarkStart w:id="33" w:name="OLE_LINK1"/>
            <w:r>
              <w:rPr>
                <w:rFonts w:hint="eastAsia" w:ascii="宋体" w:hAnsi="宋体" w:cs="宋体"/>
                <w:b/>
                <w:szCs w:val="21"/>
              </w:rPr>
              <w:t>服务需求一览表</w:t>
            </w:r>
          </w:p>
        </w:tc>
      </w:tr>
      <w:tr w14:paraId="120A3286">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1317" w:type="pct"/>
            <w:gridSpan w:val="4"/>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48A2BB9D">
            <w:pPr>
              <w:spacing w:line="360" w:lineRule="auto"/>
              <w:jc w:val="center"/>
              <w:rPr>
                <w:rFonts w:ascii="宋体" w:hAnsi="宋体" w:cs="宋体"/>
                <w:szCs w:val="21"/>
              </w:rPr>
            </w:pPr>
            <w:r>
              <w:rPr>
                <w:rFonts w:hint="eastAsia" w:ascii="宋体" w:hAnsi="宋体" w:cs="宋体"/>
                <w:szCs w:val="21"/>
              </w:rPr>
              <w:t>标段</w:t>
            </w:r>
          </w:p>
        </w:tc>
        <w:tc>
          <w:tcPr>
            <w:tcW w:w="3229" w:type="pct"/>
            <w:tcBorders>
              <w:top w:val="single" w:color="000000" w:sz="8" w:space="0"/>
              <w:left w:val="single" w:color="000000" w:sz="6" w:space="0"/>
              <w:bottom w:val="single" w:color="000000" w:sz="6" w:space="0"/>
              <w:right w:val="single" w:color="000000" w:sz="6" w:space="0"/>
            </w:tcBorders>
            <w:vAlign w:val="center"/>
          </w:tcPr>
          <w:p w14:paraId="11BF9B06">
            <w:pPr>
              <w:spacing w:line="360" w:lineRule="auto"/>
              <w:jc w:val="center"/>
              <w:rPr>
                <w:rFonts w:ascii="宋体" w:hAnsi="宋体" w:cs="宋体"/>
                <w:szCs w:val="21"/>
              </w:rPr>
            </w:pPr>
            <w:r>
              <w:rPr>
                <w:rFonts w:hint="eastAsia" w:ascii="宋体" w:hAnsi="宋体" w:cs="宋体"/>
                <w:szCs w:val="21"/>
              </w:rPr>
              <w:t>南宁市市政工程管理处2025年隧道及人行地下通道常规定期检测专项</w:t>
            </w:r>
          </w:p>
        </w:tc>
        <w:tc>
          <w:tcPr>
            <w:tcW w:w="453" w:type="pct"/>
            <w:tcBorders>
              <w:top w:val="single" w:color="000000" w:sz="8" w:space="0"/>
              <w:left w:val="single" w:color="000000" w:sz="6" w:space="0"/>
              <w:bottom w:val="single" w:color="000000" w:sz="6" w:space="0"/>
              <w:right w:val="single" w:color="000000" w:sz="8" w:space="0"/>
            </w:tcBorders>
            <w:vAlign w:val="center"/>
          </w:tcPr>
          <w:p w14:paraId="3BB79157">
            <w:pPr>
              <w:spacing w:line="360" w:lineRule="auto"/>
              <w:jc w:val="center"/>
              <w:rPr>
                <w:rFonts w:ascii="宋体" w:hAnsi="宋体" w:cs="宋体"/>
                <w:szCs w:val="21"/>
              </w:rPr>
            </w:pPr>
          </w:p>
        </w:tc>
      </w:tr>
      <w:tr w14:paraId="656E888B">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84"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5CCB476">
            <w:pPr>
              <w:spacing w:line="360" w:lineRule="auto"/>
              <w:jc w:val="center"/>
              <w:rPr>
                <w:rFonts w:ascii="宋体" w:hAnsi="宋体" w:cs="宋体"/>
                <w:szCs w:val="21"/>
              </w:rPr>
            </w:pPr>
            <w:r>
              <w:rPr>
                <w:rFonts w:hint="eastAsia" w:ascii="宋体" w:hAnsi="宋体" w:cs="宋体"/>
                <w:szCs w:val="21"/>
              </w:rPr>
              <w:t>序号</w:t>
            </w:r>
          </w:p>
        </w:tc>
        <w:tc>
          <w:tcPr>
            <w:tcW w:w="379" w:type="pct"/>
            <w:tcBorders>
              <w:top w:val="single" w:color="000000" w:sz="8" w:space="0"/>
              <w:left w:val="single" w:color="000000" w:sz="6" w:space="0"/>
              <w:bottom w:val="single" w:color="000000" w:sz="6" w:space="0"/>
              <w:right w:val="single" w:color="000000" w:sz="6" w:space="0"/>
            </w:tcBorders>
            <w:vAlign w:val="center"/>
          </w:tcPr>
          <w:p w14:paraId="09301320">
            <w:pPr>
              <w:spacing w:line="360" w:lineRule="auto"/>
              <w:jc w:val="center"/>
              <w:rPr>
                <w:rFonts w:ascii="宋体" w:hAnsi="宋体" w:cs="宋体"/>
                <w:szCs w:val="21"/>
              </w:rPr>
            </w:pPr>
            <w:r>
              <w:rPr>
                <w:rFonts w:hint="eastAsia" w:ascii="宋体" w:hAnsi="宋体" w:cs="宋体"/>
                <w:szCs w:val="21"/>
              </w:rPr>
              <w:t>标的名称</w:t>
            </w:r>
          </w:p>
        </w:tc>
        <w:tc>
          <w:tcPr>
            <w:tcW w:w="267" w:type="pct"/>
            <w:tcBorders>
              <w:top w:val="single" w:color="000000" w:sz="8" w:space="0"/>
              <w:left w:val="single" w:color="000000" w:sz="6" w:space="0"/>
              <w:bottom w:val="single" w:color="000000" w:sz="6" w:space="0"/>
              <w:right w:val="single" w:color="000000" w:sz="6" w:space="0"/>
            </w:tcBorders>
            <w:vAlign w:val="center"/>
          </w:tcPr>
          <w:p w14:paraId="1A1DF15C">
            <w:pPr>
              <w:spacing w:line="360" w:lineRule="auto"/>
              <w:jc w:val="center"/>
              <w:rPr>
                <w:rFonts w:ascii="宋体" w:hAnsi="宋体" w:cs="宋体"/>
                <w:szCs w:val="21"/>
              </w:rPr>
            </w:pPr>
            <w:r>
              <w:rPr>
                <w:rFonts w:hint="eastAsia" w:ascii="宋体" w:hAnsi="宋体" w:cs="宋体"/>
                <w:szCs w:val="21"/>
              </w:rPr>
              <w:t>数量</w:t>
            </w:r>
          </w:p>
        </w:tc>
        <w:tc>
          <w:tcPr>
            <w:tcW w:w="386" w:type="pct"/>
            <w:tcBorders>
              <w:top w:val="single" w:color="000000" w:sz="8" w:space="0"/>
              <w:left w:val="single" w:color="000000" w:sz="6" w:space="0"/>
              <w:bottom w:val="single" w:color="000000" w:sz="6" w:space="0"/>
              <w:right w:val="single" w:color="000000" w:sz="6" w:space="0"/>
            </w:tcBorders>
            <w:vAlign w:val="center"/>
          </w:tcPr>
          <w:p w14:paraId="5CA9E990">
            <w:pPr>
              <w:spacing w:line="360" w:lineRule="auto"/>
              <w:jc w:val="center"/>
              <w:rPr>
                <w:rFonts w:ascii="宋体" w:hAnsi="宋体" w:cs="宋体"/>
                <w:szCs w:val="21"/>
              </w:rPr>
            </w:pPr>
            <w:r>
              <w:rPr>
                <w:rFonts w:hint="eastAsia" w:ascii="宋体" w:hAnsi="宋体" w:cs="宋体"/>
                <w:szCs w:val="21"/>
              </w:rPr>
              <w:t>单位</w:t>
            </w:r>
          </w:p>
        </w:tc>
        <w:tc>
          <w:tcPr>
            <w:tcW w:w="3229" w:type="pct"/>
            <w:tcBorders>
              <w:top w:val="single" w:color="000000" w:sz="8" w:space="0"/>
              <w:left w:val="single" w:color="000000" w:sz="6" w:space="0"/>
              <w:bottom w:val="single" w:color="000000" w:sz="6" w:space="0"/>
              <w:right w:val="single" w:color="000000" w:sz="6" w:space="0"/>
            </w:tcBorders>
            <w:vAlign w:val="center"/>
          </w:tcPr>
          <w:p w14:paraId="4D0757C7">
            <w:pPr>
              <w:spacing w:line="360" w:lineRule="auto"/>
              <w:jc w:val="center"/>
              <w:rPr>
                <w:rFonts w:ascii="宋体" w:hAnsi="宋体" w:cs="宋体"/>
                <w:szCs w:val="21"/>
              </w:rPr>
            </w:pPr>
            <w:r>
              <w:rPr>
                <w:rFonts w:hint="eastAsia" w:ascii="宋体" w:hAnsi="宋体" w:cs="宋体"/>
                <w:szCs w:val="21"/>
              </w:rPr>
              <w:t>服务参数</w:t>
            </w:r>
          </w:p>
        </w:tc>
        <w:tc>
          <w:tcPr>
            <w:tcW w:w="453" w:type="pct"/>
            <w:tcBorders>
              <w:top w:val="single" w:color="000000" w:sz="8" w:space="0"/>
              <w:left w:val="single" w:color="000000" w:sz="6" w:space="0"/>
              <w:bottom w:val="single" w:color="000000" w:sz="6" w:space="0"/>
              <w:right w:val="single" w:color="000000" w:sz="8" w:space="0"/>
            </w:tcBorders>
            <w:vAlign w:val="center"/>
          </w:tcPr>
          <w:p w14:paraId="13ABE838">
            <w:pPr>
              <w:spacing w:line="360" w:lineRule="auto"/>
              <w:jc w:val="center"/>
              <w:rPr>
                <w:rFonts w:ascii="宋体" w:hAnsi="宋体" w:cs="宋体"/>
                <w:szCs w:val="21"/>
              </w:rPr>
            </w:pPr>
            <w:r>
              <w:rPr>
                <w:rFonts w:hint="eastAsia" w:ascii="宋体" w:hAnsi="宋体" w:cs="宋体"/>
                <w:szCs w:val="21"/>
              </w:rPr>
              <w:t>分项预算金额（万元）</w:t>
            </w:r>
          </w:p>
        </w:tc>
      </w:tr>
      <w:tr w14:paraId="5CD771D5">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284" w:type="pct"/>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20B411CD">
            <w:pPr>
              <w:spacing w:line="360" w:lineRule="auto"/>
              <w:jc w:val="center"/>
              <w:rPr>
                <w:rFonts w:ascii="宋体" w:hAnsi="宋体" w:cs="宋体"/>
                <w:szCs w:val="21"/>
              </w:rPr>
            </w:pPr>
            <w:r>
              <w:rPr>
                <w:rFonts w:hint="eastAsia" w:ascii="宋体" w:hAnsi="宋体" w:cs="宋体"/>
                <w:szCs w:val="21"/>
              </w:rPr>
              <w:t>1</w:t>
            </w:r>
          </w:p>
        </w:tc>
        <w:tc>
          <w:tcPr>
            <w:tcW w:w="379" w:type="pct"/>
            <w:tcBorders>
              <w:top w:val="single" w:color="000000" w:sz="8" w:space="0"/>
              <w:left w:val="single" w:color="000000" w:sz="6" w:space="0"/>
              <w:bottom w:val="single" w:color="000000" w:sz="6" w:space="0"/>
              <w:right w:val="single" w:color="000000" w:sz="6" w:space="0"/>
            </w:tcBorders>
            <w:vAlign w:val="center"/>
          </w:tcPr>
          <w:p w14:paraId="5248091E">
            <w:pPr>
              <w:spacing w:line="360" w:lineRule="auto"/>
              <w:jc w:val="center"/>
              <w:rPr>
                <w:rFonts w:ascii="宋体" w:hAnsi="宋体" w:cs="宋体"/>
                <w:szCs w:val="21"/>
              </w:rPr>
            </w:pPr>
            <w:r>
              <w:rPr>
                <w:rFonts w:hint="eastAsia" w:ascii="宋体" w:hAnsi="宋体" w:cs="宋体"/>
                <w:szCs w:val="21"/>
              </w:rPr>
              <w:t>南宁市市政工程管理处2025年隧道及人行地下通道常规定期检测专项</w:t>
            </w:r>
          </w:p>
        </w:tc>
        <w:tc>
          <w:tcPr>
            <w:tcW w:w="267" w:type="pct"/>
            <w:tcBorders>
              <w:top w:val="single" w:color="000000" w:sz="8" w:space="0"/>
              <w:left w:val="single" w:color="000000" w:sz="6" w:space="0"/>
              <w:bottom w:val="single" w:color="000000" w:sz="6" w:space="0"/>
              <w:right w:val="single" w:color="000000" w:sz="6" w:space="0"/>
            </w:tcBorders>
            <w:vAlign w:val="center"/>
          </w:tcPr>
          <w:p w14:paraId="113ADD37">
            <w:pPr>
              <w:spacing w:line="360" w:lineRule="auto"/>
              <w:jc w:val="center"/>
              <w:rPr>
                <w:rFonts w:ascii="宋体" w:hAnsi="宋体" w:cs="宋体"/>
                <w:szCs w:val="21"/>
              </w:rPr>
            </w:pPr>
            <w:r>
              <w:rPr>
                <w:rFonts w:hint="eastAsia" w:ascii="宋体" w:hAnsi="宋体" w:cs="宋体"/>
                <w:szCs w:val="21"/>
              </w:rPr>
              <w:t>1</w:t>
            </w:r>
          </w:p>
        </w:tc>
        <w:tc>
          <w:tcPr>
            <w:tcW w:w="386" w:type="pct"/>
            <w:tcBorders>
              <w:top w:val="single" w:color="000000" w:sz="8" w:space="0"/>
              <w:left w:val="single" w:color="000000" w:sz="6" w:space="0"/>
              <w:bottom w:val="single" w:color="000000" w:sz="6" w:space="0"/>
              <w:right w:val="single" w:color="000000" w:sz="6" w:space="0"/>
            </w:tcBorders>
            <w:vAlign w:val="center"/>
          </w:tcPr>
          <w:p w14:paraId="727D07B8">
            <w:pPr>
              <w:spacing w:line="360" w:lineRule="auto"/>
              <w:jc w:val="center"/>
              <w:rPr>
                <w:rFonts w:ascii="宋体" w:hAnsi="宋体" w:cs="宋体"/>
                <w:szCs w:val="21"/>
              </w:rPr>
            </w:pPr>
            <w:r>
              <w:rPr>
                <w:rFonts w:hint="eastAsia" w:ascii="宋体" w:hAnsi="宋体" w:cs="宋体"/>
                <w:szCs w:val="21"/>
              </w:rPr>
              <w:t>批</w:t>
            </w:r>
          </w:p>
        </w:tc>
        <w:tc>
          <w:tcPr>
            <w:tcW w:w="3229" w:type="pct"/>
            <w:tcBorders>
              <w:top w:val="single" w:color="000000" w:sz="8" w:space="0"/>
              <w:left w:val="single" w:color="000000" w:sz="6" w:space="0"/>
              <w:bottom w:val="single" w:color="000000" w:sz="6" w:space="0"/>
              <w:right w:val="single" w:color="000000" w:sz="6" w:space="0"/>
            </w:tcBorders>
            <w:vAlign w:val="center"/>
          </w:tcPr>
          <w:p w14:paraId="6B7F8585">
            <w:pPr>
              <w:spacing w:line="360" w:lineRule="auto"/>
              <w:rPr>
                <w:rFonts w:ascii="宋体" w:hAnsi="宋体" w:cs="宋体"/>
                <w:szCs w:val="21"/>
              </w:rPr>
            </w:pPr>
            <w:r>
              <w:rPr>
                <w:rFonts w:hint="eastAsia" w:ascii="宋体" w:hAnsi="宋体" w:cs="宋体"/>
                <w:szCs w:val="21"/>
              </w:rPr>
              <w:t>▲一、隧道及人行地下通道常规定期检测应严格按照《公路隧道养护技术规范》（JTGH12-2015）、《公路养护技术标准》（JTG 5110—2023）、《公路工程质量检验评定标准.第一册土建工程》（JTG F80/1-2017）、《公路桥涵养护规范》（JTG 5120-2021）、《回弹法检测混凝土抗压强度技术规程》（JGJ/T23-2011）、《混凝土中钢筋检测技术标准》（JGJ/T 152-2019）、《工程测量标准》（GB50026-2020）、《混凝土结构工程施工质量验收规范》（GB50204-2015）、《城市桥梁养护技术标准》（CJJ99-2017）及《建设工程安全生产管理条例》（中华人民共和国国务院令第393号)等相关法规的要求执行。</w:t>
            </w:r>
          </w:p>
          <w:p w14:paraId="7FE21E41">
            <w:pPr>
              <w:spacing w:line="360" w:lineRule="auto"/>
              <w:rPr>
                <w:rFonts w:ascii="宋体" w:hAnsi="宋体" w:cs="宋体"/>
                <w:szCs w:val="21"/>
              </w:rPr>
            </w:pPr>
            <w:r>
              <w:rPr>
                <w:rFonts w:hint="eastAsia" w:ascii="宋体" w:hAnsi="宋体" w:cs="宋体"/>
                <w:szCs w:val="21"/>
              </w:rPr>
              <w:t>▲二、检测工作应严格遵循规范和标准实施，须根据本次检测项目提出的内容、范围和要求并结合相关检测规范标准开展设施原始资料的调查、收集整理工作，了解检测对象的基本信息情况。</w:t>
            </w:r>
          </w:p>
          <w:p w14:paraId="3010DAE3">
            <w:pPr>
              <w:spacing w:line="360" w:lineRule="auto"/>
              <w:rPr>
                <w:rFonts w:ascii="宋体" w:hAnsi="宋体" w:cs="宋体"/>
                <w:szCs w:val="21"/>
              </w:rPr>
            </w:pPr>
            <w:r>
              <w:rPr>
                <w:rFonts w:hint="eastAsia" w:ascii="宋体" w:hAnsi="宋体" w:cs="宋体"/>
                <w:szCs w:val="21"/>
              </w:rPr>
              <w:t>▲三、隧道常规定期检测内容：</w:t>
            </w:r>
          </w:p>
          <w:p w14:paraId="751E69D0">
            <w:pPr>
              <w:spacing w:line="360" w:lineRule="auto"/>
              <w:rPr>
                <w:rFonts w:ascii="宋体" w:hAnsi="宋体" w:cs="宋体"/>
                <w:szCs w:val="21"/>
              </w:rPr>
            </w:pPr>
            <w:r>
              <w:rPr>
                <w:rFonts w:hint="eastAsia" w:ascii="宋体" w:hAnsi="宋体" w:cs="宋体"/>
                <w:szCs w:val="21"/>
              </w:rPr>
              <w:t>（一）《城市桥梁养护技术标准》（CJJ 99-2017）和《公路隧道养护技术规范》（JTGH12-2015）内规定内容。</w:t>
            </w:r>
          </w:p>
          <w:p w14:paraId="13B1C24C">
            <w:pPr>
              <w:spacing w:line="360" w:lineRule="auto"/>
              <w:rPr>
                <w:rFonts w:ascii="宋体" w:hAnsi="宋体" w:cs="宋体"/>
                <w:szCs w:val="21"/>
              </w:rPr>
            </w:pPr>
            <w:r>
              <w:rPr>
                <w:rFonts w:hint="eastAsia" w:ascii="宋体" w:hAnsi="宋体" w:cs="宋体"/>
                <w:szCs w:val="21"/>
              </w:rPr>
              <w:t>（二）隧道、通道的病害调查及统计，绘制病害分布图（包括主体结构缺陷病害、装饰结构、景观亮化设施、附着管线、机电设施及其它附属工程设施的病害）；和前次检测报告中出现的病害进行比较，分析判断病害产生原因，统计维修范围及提出维修建议及方案。</w:t>
            </w:r>
          </w:p>
          <w:p w14:paraId="639DBC94">
            <w:pPr>
              <w:spacing w:line="360" w:lineRule="auto"/>
              <w:rPr>
                <w:rFonts w:ascii="宋体" w:hAnsi="宋体" w:cs="宋体"/>
                <w:szCs w:val="21"/>
              </w:rPr>
            </w:pPr>
            <w:r>
              <w:rPr>
                <w:rFonts w:hint="eastAsia" w:ascii="宋体" w:hAnsi="宋体" w:cs="宋体"/>
                <w:szCs w:val="21"/>
              </w:rPr>
              <w:t>（三）隧道总面积、装饰板总面积、消防设施、照明设施、排风设施、排水设施的类型、位置及数量的复核和统计。</w:t>
            </w:r>
          </w:p>
          <w:p w14:paraId="0534DD0B">
            <w:pPr>
              <w:spacing w:line="360" w:lineRule="auto"/>
              <w:rPr>
                <w:rFonts w:ascii="宋体" w:hAnsi="宋体" w:cs="宋体"/>
                <w:szCs w:val="21"/>
              </w:rPr>
            </w:pPr>
            <w:r>
              <w:rPr>
                <w:rFonts w:hint="eastAsia" w:ascii="宋体" w:hAnsi="宋体" w:cs="宋体"/>
                <w:szCs w:val="21"/>
              </w:rPr>
              <w:t>（四）对隧道顶部覆盖物现状调查，顶部绿化种植及结构覆土是否符合设计及安全规范要求、是否存在违规建筑物及其他影响顶部结构的行为。</w:t>
            </w:r>
          </w:p>
          <w:p w14:paraId="65C7E678">
            <w:pPr>
              <w:spacing w:line="360" w:lineRule="auto"/>
              <w:rPr>
                <w:rFonts w:ascii="宋体" w:hAnsi="宋体" w:cs="宋体"/>
                <w:szCs w:val="21"/>
              </w:rPr>
            </w:pPr>
            <w:r>
              <w:rPr>
                <w:rFonts w:hint="eastAsia" w:ascii="宋体" w:hAnsi="宋体" w:cs="宋体"/>
                <w:szCs w:val="21"/>
              </w:rPr>
              <w:t>（五）对隧道采光段、洞内照明进行照度合理性评估，对洞口是否存在“暗反应”现象进行检测评估，并提供调整意见及建议。</w:t>
            </w:r>
          </w:p>
          <w:p w14:paraId="64ED2D1F">
            <w:pPr>
              <w:spacing w:line="360" w:lineRule="auto"/>
              <w:rPr>
                <w:rFonts w:ascii="宋体" w:hAnsi="宋体" w:cs="宋体"/>
                <w:szCs w:val="21"/>
              </w:rPr>
            </w:pPr>
            <w:r>
              <w:rPr>
                <w:rFonts w:hint="eastAsia" w:ascii="宋体" w:hAnsi="宋体" w:cs="宋体"/>
                <w:szCs w:val="21"/>
              </w:rPr>
              <w:t>（六）对隧道横断面测量，原则上测量间距不超过60米，两条施工变形缝之间至少测一个断面，对于小于60米的隧道，至少要测量两个断面。横断面测量完成后，与设计横断面或完好断面进行比较，分析隧道衬砌的变形情况。</w:t>
            </w:r>
          </w:p>
          <w:p w14:paraId="47980105">
            <w:pPr>
              <w:spacing w:line="360" w:lineRule="auto"/>
              <w:rPr>
                <w:rFonts w:ascii="宋体" w:hAnsi="宋体" w:cs="宋体"/>
                <w:szCs w:val="21"/>
              </w:rPr>
            </w:pPr>
            <w:r>
              <w:rPr>
                <w:rFonts w:hint="eastAsia" w:ascii="宋体" w:hAnsi="宋体" w:cs="宋体"/>
                <w:szCs w:val="21"/>
              </w:rPr>
              <w:t>（七）根据隧道、通道现状条件对设施发生内涝的风险进行判断并提供处治建议。</w:t>
            </w:r>
          </w:p>
          <w:p w14:paraId="30F04333">
            <w:pPr>
              <w:jc w:val="left"/>
              <w:rPr>
                <w:rFonts w:ascii="宋体" w:hAnsi="宋体" w:cs="宋体"/>
                <w:szCs w:val="21"/>
              </w:rPr>
            </w:pPr>
            <w:r>
              <w:rPr>
                <w:rFonts w:hint="eastAsia" w:ascii="宋体" w:hAnsi="宋体" w:cs="宋体"/>
                <w:szCs w:val="21"/>
              </w:rPr>
              <w:t>（八）隧道、通道除按相关规范的检测要求外，还应包括以下检测内容：①11座隧道漏水专项检查（包括平乐隧道、南湖隧道、青林隧道、凤岭南隧道、青山隧道、银象市政隧道、五象大道地道、连福—安吉立交、金湖东环主线地道、金湖西环主线地道、洪锦立交下穿隧道；检测要求依照《公路隧道养护技术规范》（JTGH12-2015）表4.4.7专项检查项目“漏水检查”对应内容,</w:t>
            </w:r>
            <w:r>
              <w:rPr>
                <w:rFonts w:hint="eastAsia" w:ascii="宋体" w:hAnsi="宋体"/>
                <w:bCs/>
                <w:kern w:val="0"/>
                <w:szCs w:val="20"/>
              </w:rPr>
              <w:t>取样检测内容根据现场渗漏水情况选取</w:t>
            </w:r>
            <w:r>
              <w:rPr>
                <w:rFonts w:hint="eastAsia" w:ascii="宋体" w:hAnsi="宋体" w:cs="宋体"/>
                <w:szCs w:val="21"/>
              </w:rPr>
              <w:t>）；②平乐隧道、凤岭南隧道、南湖隧道路面病害地质雷达探测；③12座主要干道隧道噪音检测（主要干道隧道包括下穿青秀路隧道、青林隧道、南湖隧道、平乐隧道、凤岭南隧道、青山隧道、青秀山大门隧道、银象市政隧道</w:t>
            </w:r>
            <w:r>
              <w:rPr>
                <w:rFonts w:hint="eastAsia" w:ascii="宋体" w:hAnsi="宋体" w:cs="宋体"/>
                <w:szCs w:val="21"/>
                <w:highlight w:val="none"/>
              </w:rPr>
              <w:t>、连福-安吉立交、金湖东环主线地道、金湖西环主线地道、洪锦立交下穿隧道）；④降桥村地下通道变形观测（含断面测量、线型测量）；⑤民族大道沿线5座人行地下通道的路面、步道防滑检测；⑥南湖隧道右幅逃生通道挡墙变形监测（监测范围包括一阶、二阶、三阶挡墙；监测内容包括墙体水平位移、垂直位移监测及坡顶后方环境巡视和裂缝变化情况检查等；工作要求包括监测系统建设（埋设观测点，采用人工监测方法）、监测周期不少于90天）；⑦146座隧道有害气体检测（有害气体种类包括一氧化碳（CO）、二氧化碳（</w:t>
            </w:r>
            <w:r>
              <w:rPr>
                <w:rFonts w:ascii="宋体" w:hAnsi="宋体" w:cs="宋体"/>
                <w:szCs w:val="21"/>
                <w:highlight w:val="none"/>
              </w:rPr>
              <w:t>CO₂</w:t>
            </w:r>
            <w:r>
              <w:rPr>
                <w:rFonts w:hint="eastAsia" w:ascii="宋体" w:hAnsi="宋体" w:cs="宋体"/>
                <w:szCs w:val="21"/>
                <w:highlight w:val="none"/>
              </w:rPr>
              <w:t>）、甲烷（</w:t>
            </w:r>
            <w:r>
              <w:rPr>
                <w:rFonts w:ascii="宋体" w:hAnsi="宋体" w:cs="宋体"/>
                <w:szCs w:val="21"/>
                <w:highlight w:val="none"/>
              </w:rPr>
              <w:t>CH₄</w:t>
            </w:r>
            <w:r>
              <w:rPr>
                <w:rFonts w:hint="eastAsia" w:ascii="宋体" w:hAnsi="宋体" w:cs="宋体"/>
                <w:szCs w:val="21"/>
                <w:highlight w:val="none"/>
              </w:rPr>
              <w:t>）等以及粉尘浓度、氧气含量；⑧42座隧道、过路通道（附表1第1-42号设施）无人机空中全景航拍摄像(涵盖设施全景及周边地形地貌)；⑨7座隧道（平乐隧道、南湖隧道、凤岭南隧道、青林隧道、连福-安吉立交、银象市政隧道、青山隧道）</w:t>
            </w:r>
            <w:r>
              <w:rPr>
                <w:rFonts w:hint="eastAsia" w:ascii="宋体" w:hAnsi="宋体" w:cs="宋体"/>
                <w:szCs w:val="21"/>
              </w:rPr>
              <w:t>路面抗滑性能检测（</w:t>
            </w:r>
            <w:r>
              <w:rPr>
                <w:rFonts w:hint="eastAsia"/>
              </w:rPr>
              <w:t>摩擦系数（BPN）检测，隧道单洞每200米1个检测点，小于200米的隧道，每侧至少2个检测点）。</w:t>
            </w:r>
          </w:p>
          <w:p w14:paraId="553240FF">
            <w:pPr>
              <w:spacing w:line="360" w:lineRule="auto"/>
              <w:rPr>
                <w:rFonts w:ascii="宋体" w:hAnsi="宋体" w:cs="宋体"/>
                <w:szCs w:val="21"/>
              </w:rPr>
            </w:pPr>
            <w:r>
              <w:rPr>
                <w:rFonts w:hint="eastAsia" w:ascii="宋体" w:hAnsi="宋体" w:cs="宋体"/>
                <w:szCs w:val="21"/>
              </w:rPr>
              <w:t xml:space="preserve">（九）出具隧道定期检测报告（含隧道技术状态评估），并对该隧道今后的维护管养提出合理化建议。 </w:t>
            </w:r>
          </w:p>
          <w:p w14:paraId="0EC035F8">
            <w:pPr>
              <w:spacing w:line="360" w:lineRule="auto"/>
              <w:rPr>
                <w:rFonts w:ascii="宋体" w:hAnsi="宋体" w:cs="宋体"/>
                <w:szCs w:val="21"/>
              </w:rPr>
            </w:pPr>
            <w:r>
              <w:rPr>
                <w:rFonts w:hint="eastAsia" w:ascii="宋体" w:hAnsi="宋体" w:cs="宋体"/>
                <w:szCs w:val="21"/>
              </w:rPr>
              <w:t>（十）根据检测结果对隧道进行技术状况评估和分级，对难以判断损坏程度和原因的构件，提出作特殊检测的建议，对损坏严重、危及安全的城市隧道、通道，提出限流以至暂时限制交通的建议，根据城市隧道技术状况，确定下次检测的时间。</w:t>
            </w:r>
          </w:p>
          <w:p w14:paraId="0F43E6C4">
            <w:pPr>
              <w:spacing w:line="360" w:lineRule="auto"/>
              <w:rPr>
                <w:rFonts w:ascii="宋体" w:hAnsi="宋体" w:cs="宋体"/>
                <w:szCs w:val="21"/>
              </w:rPr>
            </w:pPr>
            <w:r>
              <w:rPr>
                <w:rFonts w:hint="eastAsia" w:ascii="宋体" w:hAnsi="宋体" w:cs="宋体"/>
                <w:szCs w:val="21"/>
              </w:rPr>
              <w:t>▲四、隧道定期检测应包括下列范围（定期检测隧道及地下通道146座，基本情况明细表详见附表1）：</w:t>
            </w:r>
          </w:p>
          <w:p w14:paraId="59B68090">
            <w:pPr>
              <w:spacing w:line="360" w:lineRule="auto"/>
              <w:rPr>
                <w:rFonts w:ascii="宋体" w:hAnsi="宋体" w:cs="宋体"/>
                <w:szCs w:val="21"/>
              </w:rPr>
            </w:pPr>
            <w:r>
              <w:rPr>
                <w:rFonts w:hint="eastAsia" w:ascii="宋体" w:hAnsi="宋体" w:cs="宋体"/>
                <w:szCs w:val="21"/>
              </w:rPr>
              <w:t>（一）《城市桥梁养护技术标准》（CJJ 99-2017）内包含范围。</w:t>
            </w:r>
          </w:p>
          <w:p w14:paraId="1B1A6799">
            <w:pPr>
              <w:spacing w:line="360" w:lineRule="auto"/>
              <w:rPr>
                <w:rFonts w:ascii="宋体" w:hAnsi="宋体" w:cs="宋体"/>
                <w:szCs w:val="21"/>
              </w:rPr>
            </w:pPr>
            <w:r>
              <w:rPr>
                <w:rFonts w:hint="eastAsia" w:ascii="宋体" w:hAnsi="宋体" w:cs="宋体"/>
                <w:szCs w:val="21"/>
              </w:rPr>
              <w:t>（二）《公路隧道养护技术规范》（JTGH12-2015）内包含范围。</w:t>
            </w:r>
          </w:p>
          <w:p w14:paraId="1984536D">
            <w:pPr>
              <w:spacing w:line="360" w:lineRule="auto"/>
              <w:rPr>
                <w:rFonts w:ascii="宋体" w:hAnsi="宋体" w:cs="宋体"/>
                <w:szCs w:val="21"/>
              </w:rPr>
            </w:pPr>
            <w:r>
              <w:rPr>
                <w:rFonts w:hint="eastAsia" w:ascii="宋体" w:hAnsi="宋体" w:cs="宋体"/>
                <w:szCs w:val="21"/>
              </w:rPr>
              <w:t>（三）维修加固构件。</w:t>
            </w:r>
          </w:p>
          <w:p w14:paraId="267D098C">
            <w:pPr>
              <w:spacing w:line="360" w:lineRule="auto"/>
              <w:rPr>
                <w:rFonts w:ascii="宋体" w:hAnsi="宋体" w:cs="宋体"/>
                <w:szCs w:val="21"/>
              </w:rPr>
            </w:pPr>
            <w:r>
              <w:rPr>
                <w:rFonts w:hint="eastAsia" w:ascii="宋体" w:hAnsi="宋体" w:cs="宋体"/>
                <w:szCs w:val="21"/>
              </w:rPr>
              <w:t>（四）隧道附属管理用房及隧道管理区。</w:t>
            </w:r>
          </w:p>
          <w:p w14:paraId="00AB72AD">
            <w:pPr>
              <w:spacing w:line="360" w:lineRule="auto"/>
              <w:rPr>
                <w:rFonts w:ascii="宋体" w:hAnsi="宋体" w:cs="宋体"/>
                <w:szCs w:val="21"/>
              </w:rPr>
            </w:pPr>
            <w:r>
              <w:rPr>
                <w:rFonts w:hint="eastAsia" w:ascii="宋体" w:hAnsi="宋体" w:cs="宋体"/>
                <w:szCs w:val="21"/>
              </w:rPr>
              <w:t>▲五、提供科学合理的检测方案（包括待检隧道和人行地下通道检测方案），制定符合实际的进度、设备、人员投入等计划，并制定完善的进度质量、安全文明施工、交通组织措施等保证措施。</w:t>
            </w:r>
          </w:p>
          <w:p w14:paraId="74CDEC04">
            <w:pPr>
              <w:spacing w:line="360" w:lineRule="auto"/>
              <w:rPr>
                <w:rFonts w:ascii="宋体" w:hAnsi="宋体" w:cs="宋体"/>
                <w:szCs w:val="21"/>
              </w:rPr>
            </w:pPr>
            <w:r>
              <w:rPr>
                <w:rFonts w:hint="eastAsia" w:ascii="宋体" w:hAnsi="宋体" w:cs="宋体"/>
                <w:szCs w:val="21"/>
              </w:rPr>
              <w:t>▲六、投标人投标时应根据附件《隧道及地下通道基本情况明细表》提供一座定期检测隧道（长度300米以上）和一座人行地下通道具体检测方案，承诺中标后其余隧道检测方案编制均不低于投标时提供的检测方案的标准。</w:t>
            </w:r>
          </w:p>
          <w:p w14:paraId="1740AB5A">
            <w:pPr>
              <w:spacing w:line="360" w:lineRule="auto"/>
              <w:rPr>
                <w:rFonts w:ascii="宋体" w:hAnsi="宋体" w:cs="宋体"/>
                <w:szCs w:val="21"/>
              </w:rPr>
            </w:pPr>
            <w:r>
              <w:rPr>
                <w:rFonts w:hint="eastAsia" w:ascii="宋体" w:hAnsi="宋体" w:cs="宋体"/>
                <w:szCs w:val="21"/>
              </w:rPr>
              <w:t>▲七、</w:t>
            </w:r>
            <w:r>
              <w:rPr>
                <w:rFonts w:hint="eastAsia" w:ascii="宋体" w:hAnsi="宋体" w:cs="宋体"/>
                <w:b/>
                <w:bCs/>
                <w:szCs w:val="21"/>
              </w:rPr>
              <w:t>基本仪器设备配备要求：裂缝检测设备1台、全站仪1台、水准仪1台、测距仪1台、非金属超声检测仪1台、数字回弹仪1台、钢筋锈蚀检测仪1台、钢筋保护层检测仪1台、激光隧道断面检测仪1台、混凝土碳化深度测量仪1台、复合式气体检测仪1台、照度计1台、声级计1台、电阻</w:t>
            </w:r>
            <w:r>
              <w:rPr>
                <w:rFonts w:hint="eastAsia" w:ascii="宋体" w:hAnsi="宋体" w:cs="宋体"/>
                <w:b/>
                <w:bCs/>
                <w:szCs w:val="21"/>
                <w:highlight w:val="none"/>
              </w:rPr>
              <w:t>测试仪1台、摆式摩擦系数测定仪1台、</w:t>
            </w:r>
            <w:r>
              <w:rPr>
                <w:rFonts w:hint="eastAsia" w:ascii="宋体" w:hAnsi="宋体" w:cs="宋体"/>
                <w:b/>
                <w:bCs/>
                <w:szCs w:val="21"/>
              </w:rPr>
              <w:t>探地雷达1台等（以上投入的检测测量设备应在检定有效期内，须提供相关检定证明）</w:t>
            </w:r>
            <w:r>
              <w:rPr>
                <w:rFonts w:hint="eastAsia" w:ascii="宋体" w:hAnsi="宋体" w:cs="宋体"/>
                <w:szCs w:val="21"/>
              </w:rPr>
              <w:t>、</w:t>
            </w:r>
            <w:r>
              <w:rPr>
                <w:rFonts w:hint="eastAsia" w:ascii="宋体" w:hAnsi="宋体" w:cs="宋体"/>
                <w:b/>
                <w:bCs/>
                <w:szCs w:val="21"/>
              </w:rPr>
              <w:t>登高车1台（应在车辆年检有效期内，须提供车辆年检证明）、无人机1台（应提供无人机产品合格证）、作业工具1套等检测必备仪器及设备</w:t>
            </w:r>
            <w:r>
              <w:rPr>
                <w:rFonts w:hint="eastAsia" w:ascii="宋体" w:hAnsi="宋体" w:cs="宋体"/>
                <w:szCs w:val="21"/>
              </w:rPr>
              <w:t>。</w:t>
            </w:r>
          </w:p>
          <w:p w14:paraId="22513F78">
            <w:pPr>
              <w:spacing w:line="360" w:lineRule="auto"/>
              <w:rPr>
                <w:rFonts w:ascii="宋体" w:hAnsi="宋体" w:cs="宋体"/>
                <w:szCs w:val="21"/>
              </w:rPr>
            </w:pPr>
            <w:r>
              <w:rPr>
                <w:rFonts w:hint="eastAsia" w:ascii="宋体" w:hAnsi="宋体" w:cs="宋体"/>
                <w:szCs w:val="21"/>
              </w:rPr>
              <w:t>▲八、基本人员配备要求：项目负责人（具有高级工程师职称）1人、技术负责人（具有隧道相关专业高级工程师职称）1人、检测工程师（有工程师职称且持有隧道检测资格证）2人、检测员（持有隧道检测资格证）2人、安全员（持有安全员证）1人。</w:t>
            </w:r>
          </w:p>
          <w:p w14:paraId="0D957872">
            <w:pPr>
              <w:spacing w:line="360" w:lineRule="auto"/>
              <w:rPr>
                <w:rFonts w:ascii="宋体" w:hAnsi="宋体" w:cs="宋体"/>
                <w:szCs w:val="21"/>
              </w:rPr>
            </w:pPr>
            <w:r>
              <w:rPr>
                <w:rFonts w:hint="eastAsia" w:ascii="宋体" w:hAnsi="宋体" w:cs="宋体"/>
                <w:szCs w:val="21"/>
              </w:rPr>
              <w:t>▲九、本次隧道定期检测报告需通过采购人组织的专家评审验收，并按要求完成报告整改，达到合格要求。</w:t>
            </w:r>
          </w:p>
          <w:p w14:paraId="4D274C70">
            <w:pPr>
              <w:spacing w:line="360" w:lineRule="auto"/>
              <w:rPr>
                <w:rFonts w:ascii="宋体" w:hAnsi="宋体" w:cs="宋体"/>
                <w:szCs w:val="21"/>
              </w:rPr>
            </w:pPr>
            <w:r>
              <w:rPr>
                <w:rFonts w:hint="eastAsia" w:ascii="宋体" w:hAnsi="宋体" w:cs="宋体"/>
                <w:szCs w:val="21"/>
              </w:rPr>
              <w:t>▲十、提交服务成果</w:t>
            </w:r>
          </w:p>
          <w:p w14:paraId="4C1EA33E">
            <w:pPr>
              <w:spacing w:line="360" w:lineRule="auto"/>
              <w:rPr>
                <w:rFonts w:ascii="宋体" w:hAnsi="宋体" w:cs="宋体"/>
                <w:szCs w:val="21"/>
              </w:rPr>
            </w:pPr>
            <w:r>
              <w:rPr>
                <w:rFonts w:hint="eastAsia" w:ascii="宋体" w:hAnsi="宋体" w:cs="宋体"/>
                <w:szCs w:val="21"/>
              </w:rPr>
              <w:t>（一）隧道定期检测报告，内容应包括：</w:t>
            </w:r>
          </w:p>
          <w:p w14:paraId="13367B2A">
            <w:pPr>
              <w:spacing w:line="360" w:lineRule="auto"/>
              <w:rPr>
                <w:rFonts w:ascii="宋体" w:hAnsi="宋体" w:cs="宋体"/>
                <w:szCs w:val="21"/>
              </w:rPr>
            </w:pPr>
            <w:r>
              <w:rPr>
                <w:rFonts w:hint="eastAsia" w:ascii="宋体" w:hAnsi="宋体" w:cs="宋体"/>
                <w:szCs w:val="21"/>
              </w:rPr>
              <w:t>1.检测的主要经过，包括检测的组织实施、时间和主要工程等；</w:t>
            </w:r>
          </w:p>
          <w:p w14:paraId="1D4499A2">
            <w:pPr>
              <w:spacing w:line="360" w:lineRule="auto"/>
              <w:rPr>
                <w:rFonts w:ascii="宋体" w:hAnsi="宋体" w:cs="宋体"/>
                <w:szCs w:val="21"/>
              </w:rPr>
            </w:pPr>
            <w:r>
              <w:rPr>
                <w:rFonts w:hint="eastAsia" w:ascii="宋体" w:hAnsi="宋体" w:cs="宋体"/>
                <w:szCs w:val="21"/>
              </w:rPr>
              <w:t>2.所检查结构的技术状况，包括检查方法、试验与检测项目及内容、检测数据与结果分析以及缺损状态评价等；</w:t>
            </w:r>
          </w:p>
          <w:p w14:paraId="397AD24A">
            <w:pPr>
              <w:spacing w:line="360" w:lineRule="auto"/>
              <w:rPr>
                <w:rFonts w:ascii="宋体" w:hAnsi="宋体" w:cs="宋体"/>
                <w:szCs w:val="21"/>
              </w:rPr>
            </w:pPr>
            <w:r>
              <w:rPr>
                <w:rFonts w:hint="eastAsia" w:ascii="宋体" w:hAnsi="宋体" w:cs="宋体"/>
                <w:szCs w:val="21"/>
              </w:rPr>
              <w:t>3.编制设施资料卡和各类设施调查统计图表，绘制病害分布图，对比上次检测问题，对缺损或病害（由其是新增加）的成因、范围、程度等情况的分析，及其维修处治对策、技术以及所需工程量和费用等建议；</w:t>
            </w:r>
          </w:p>
          <w:p w14:paraId="015A3AE0">
            <w:pPr>
              <w:spacing w:line="360" w:lineRule="auto"/>
              <w:rPr>
                <w:rFonts w:ascii="宋体" w:hAnsi="宋体" w:cs="宋体"/>
                <w:szCs w:val="21"/>
              </w:rPr>
            </w:pPr>
            <w:r>
              <w:rPr>
                <w:rFonts w:hint="eastAsia" w:ascii="宋体" w:hAnsi="宋体" w:cs="宋体"/>
                <w:szCs w:val="21"/>
              </w:rPr>
              <w:t>4.隧道结构变形跟踪测量数据。</w:t>
            </w:r>
          </w:p>
          <w:p w14:paraId="4A1A99C2">
            <w:pPr>
              <w:spacing w:line="360" w:lineRule="auto"/>
              <w:rPr>
                <w:rFonts w:ascii="宋体" w:hAnsi="宋体" w:cs="宋体"/>
                <w:szCs w:val="21"/>
              </w:rPr>
            </w:pPr>
            <w:r>
              <w:rPr>
                <w:rFonts w:hint="eastAsia" w:ascii="宋体" w:hAnsi="宋体" w:cs="宋体"/>
                <w:szCs w:val="21"/>
              </w:rPr>
              <w:t>（二）对于采购人在中标人工作开展期间以及提交的检测报告中发现检查内容与规范标准或合同规定不符，存在缺漏项时，中标人应及时进行问题梳理，并按照采购人提出的返场补充检测具体要求予以落实。</w:t>
            </w:r>
          </w:p>
          <w:p w14:paraId="566A6DAE">
            <w:pPr>
              <w:spacing w:line="360" w:lineRule="auto"/>
              <w:rPr>
                <w:rFonts w:ascii="宋体" w:hAnsi="宋体" w:cs="宋体"/>
                <w:szCs w:val="21"/>
              </w:rPr>
            </w:pPr>
            <w:r>
              <w:rPr>
                <w:rFonts w:hint="eastAsia" w:ascii="宋体" w:hAnsi="宋体" w:cs="宋体"/>
                <w:szCs w:val="21"/>
              </w:rPr>
              <w:t>（三）所有报告（每座隧道4套报告）中照片均应彩色打印（照片应有时间、地点、检测类型等信息的水印），并附上报告word版及PDF版电子文档（刻录光盘两张）。</w:t>
            </w:r>
          </w:p>
          <w:p w14:paraId="4CBFB237">
            <w:pPr>
              <w:spacing w:line="360" w:lineRule="auto"/>
              <w:rPr>
                <w:rFonts w:ascii="宋体" w:hAnsi="宋体" w:cs="宋体"/>
                <w:szCs w:val="21"/>
              </w:rPr>
            </w:pPr>
            <w:r>
              <w:rPr>
                <w:rFonts w:hint="eastAsia" w:ascii="宋体" w:hAnsi="宋体" w:cs="宋体"/>
                <w:szCs w:val="21"/>
              </w:rPr>
              <w:t>▲十一、检测项目验收合格后，中标人需按采购人要求进行相关资料的收集整理、编辑以及移交归档工作。</w:t>
            </w:r>
          </w:p>
          <w:p w14:paraId="75705E0F">
            <w:pPr>
              <w:spacing w:line="360" w:lineRule="auto"/>
              <w:rPr>
                <w:rFonts w:ascii="宋体" w:hAnsi="宋体" w:cs="宋体"/>
                <w:szCs w:val="21"/>
              </w:rPr>
            </w:pPr>
            <w:r>
              <w:rPr>
                <w:rFonts w:hint="eastAsia" w:ascii="宋体" w:hAnsi="宋体" w:cs="宋体"/>
                <w:szCs w:val="21"/>
              </w:rPr>
              <w:t>▲十二、服务期内提供隧道技术咨询及应急检查（范围对象包含附表中隧道、通道）。</w:t>
            </w:r>
          </w:p>
          <w:p w14:paraId="449BE494">
            <w:pPr>
              <w:spacing w:line="360" w:lineRule="auto"/>
              <w:rPr>
                <w:rFonts w:ascii="宋体" w:hAnsi="宋体" w:cs="宋体"/>
                <w:szCs w:val="21"/>
              </w:rPr>
            </w:pPr>
            <w:r>
              <w:rPr>
                <w:rFonts w:hint="eastAsia" w:ascii="宋体" w:hAnsi="宋体" w:cs="宋体"/>
                <w:szCs w:val="21"/>
              </w:rPr>
              <w:t>（一）对隧道的养护、管理提供技术咨询服务。</w:t>
            </w:r>
          </w:p>
          <w:p w14:paraId="7F0E789B">
            <w:pPr>
              <w:spacing w:line="360" w:lineRule="auto"/>
              <w:rPr>
                <w:rFonts w:ascii="宋体" w:hAnsi="宋体" w:cs="宋体"/>
                <w:szCs w:val="21"/>
              </w:rPr>
            </w:pPr>
            <w:r>
              <w:rPr>
                <w:rFonts w:hint="eastAsia" w:ascii="宋体" w:hAnsi="宋体" w:cs="宋体"/>
                <w:szCs w:val="21"/>
              </w:rPr>
              <w:t>（二）发生突发事件（如车辆碰撞、人为破坏、网络舆情等）时，对隧道进行应急检查，初步判明隧道安全状况，给出处置建议并出具情况报告。</w:t>
            </w:r>
          </w:p>
        </w:tc>
        <w:tc>
          <w:tcPr>
            <w:tcW w:w="453" w:type="pct"/>
            <w:tcBorders>
              <w:top w:val="single" w:color="000000" w:sz="8" w:space="0"/>
              <w:left w:val="single" w:color="000000" w:sz="6" w:space="0"/>
              <w:bottom w:val="single" w:color="000000" w:sz="6" w:space="0"/>
              <w:right w:val="single" w:color="000000" w:sz="8" w:space="0"/>
            </w:tcBorders>
            <w:vAlign w:val="center"/>
          </w:tcPr>
          <w:p w14:paraId="732B244C">
            <w:pPr>
              <w:spacing w:line="360" w:lineRule="auto"/>
              <w:jc w:val="center"/>
              <w:rPr>
                <w:rFonts w:ascii="宋体" w:hAnsi="宋体" w:cs="宋体"/>
                <w:szCs w:val="21"/>
              </w:rPr>
            </w:pPr>
            <w:r>
              <w:rPr>
                <w:rFonts w:hint="eastAsia" w:ascii="宋体" w:hAnsi="宋体" w:cs="宋体"/>
                <w:szCs w:val="21"/>
              </w:rPr>
              <w:t>125</w:t>
            </w:r>
          </w:p>
        </w:tc>
      </w:tr>
      <w:tr w14:paraId="739DE01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63" w:type="pct"/>
            <w:gridSpan w:val="2"/>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1DABFEF7">
            <w:pPr>
              <w:spacing w:line="360" w:lineRule="auto"/>
              <w:jc w:val="center"/>
              <w:rPr>
                <w:rFonts w:ascii="宋体" w:hAnsi="宋体" w:cs="宋体"/>
                <w:szCs w:val="21"/>
              </w:rPr>
            </w:pPr>
            <w:r>
              <w:rPr>
                <w:rFonts w:hint="eastAsia" w:ascii="宋体" w:hAnsi="宋体" w:cs="宋体"/>
                <w:b/>
                <w:szCs w:val="21"/>
              </w:rPr>
              <w:t>商务条款</w:t>
            </w:r>
          </w:p>
        </w:tc>
        <w:tc>
          <w:tcPr>
            <w:tcW w:w="4336" w:type="pct"/>
            <w:gridSpan w:val="4"/>
            <w:tcBorders>
              <w:top w:val="single" w:color="000000" w:sz="8" w:space="0"/>
              <w:left w:val="single" w:color="000000" w:sz="6" w:space="0"/>
              <w:bottom w:val="single" w:color="000000" w:sz="6" w:space="0"/>
              <w:right w:val="single" w:color="000000" w:sz="8" w:space="0"/>
            </w:tcBorders>
          </w:tcPr>
          <w:p w14:paraId="42727A3D">
            <w:pPr>
              <w:spacing w:line="360" w:lineRule="auto"/>
              <w:ind w:firstLine="420" w:firstLineChars="200"/>
              <w:rPr>
                <w:rFonts w:ascii="宋体" w:hAnsi="宋体" w:cs="宋体"/>
                <w:bCs/>
                <w:szCs w:val="21"/>
              </w:rPr>
            </w:pPr>
            <w:r>
              <w:rPr>
                <w:rFonts w:hint="eastAsia" w:ascii="宋体" w:hAnsi="宋体" w:cs="宋体"/>
                <w:bCs/>
                <w:szCs w:val="21"/>
              </w:rPr>
              <w:t>▲一、合同签订期：自中标通知书发出之日起25日内。</w:t>
            </w:r>
          </w:p>
          <w:p w14:paraId="304ADBB7">
            <w:pPr>
              <w:spacing w:line="360" w:lineRule="auto"/>
              <w:ind w:firstLine="420" w:firstLineChars="200"/>
              <w:rPr>
                <w:rFonts w:ascii="宋体" w:hAnsi="宋体" w:cs="宋体"/>
                <w:bCs/>
                <w:szCs w:val="21"/>
              </w:rPr>
            </w:pPr>
            <w:r>
              <w:rPr>
                <w:rFonts w:hint="eastAsia" w:ascii="宋体" w:hAnsi="宋体" w:cs="宋体"/>
                <w:bCs/>
                <w:szCs w:val="21"/>
              </w:rPr>
              <w:t>▲二、提交服务成果时间：检测报告需自合同签订之日起150天内经评审合格后提交，服务期满后需提交服务期服务报告。</w:t>
            </w:r>
          </w:p>
          <w:p w14:paraId="10770DA0">
            <w:pPr>
              <w:spacing w:line="360" w:lineRule="auto"/>
              <w:ind w:firstLine="420" w:firstLineChars="200"/>
              <w:rPr>
                <w:rFonts w:ascii="宋体" w:hAnsi="宋体" w:cs="宋体"/>
                <w:bCs/>
                <w:szCs w:val="21"/>
              </w:rPr>
            </w:pPr>
            <w:r>
              <w:rPr>
                <w:rFonts w:hint="eastAsia" w:ascii="宋体" w:hAnsi="宋体" w:cs="宋体"/>
                <w:bCs/>
                <w:szCs w:val="21"/>
              </w:rPr>
              <w:t>▲三、服务地点：南宁市。</w:t>
            </w:r>
          </w:p>
          <w:p w14:paraId="50617BD7">
            <w:pPr>
              <w:spacing w:line="360" w:lineRule="auto"/>
              <w:ind w:firstLine="420" w:firstLineChars="200"/>
              <w:rPr>
                <w:rFonts w:ascii="宋体" w:hAnsi="宋体" w:cs="宋体"/>
                <w:bCs/>
                <w:szCs w:val="21"/>
              </w:rPr>
            </w:pPr>
            <w:r>
              <w:rPr>
                <w:rFonts w:hint="eastAsia" w:ascii="宋体" w:hAnsi="宋体" w:cs="宋体"/>
                <w:bCs/>
                <w:szCs w:val="21"/>
              </w:rPr>
              <w:t>▲四、验收标准、规范：按照《公路工程质量检验评定标准第一册土建工程》（JTG F80/1-2017）、《公路隧道养护技术规范》（JTG H12-2015）、《城市桥梁养护技术标准》（CJJ 99-2017）等国家和行业标准、规范进行验收。</w:t>
            </w:r>
          </w:p>
          <w:p w14:paraId="2725BA44">
            <w:pPr>
              <w:spacing w:line="360" w:lineRule="auto"/>
              <w:ind w:firstLine="420" w:firstLineChars="200"/>
              <w:rPr>
                <w:rFonts w:ascii="宋体" w:hAnsi="宋体" w:cs="宋体"/>
                <w:bCs/>
                <w:szCs w:val="21"/>
              </w:rPr>
            </w:pPr>
            <w:r>
              <w:rPr>
                <w:rFonts w:hint="eastAsia" w:ascii="宋体" w:hAnsi="宋体" w:cs="宋体"/>
                <w:bCs/>
                <w:szCs w:val="21"/>
              </w:rPr>
              <w:t>▲五、售后服务要求：</w:t>
            </w:r>
          </w:p>
          <w:p w14:paraId="18ED47EF">
            <w:pPr>
              <w:spacing w:line="360" w:lineRule="auto"/>
              <w:ind w:firstLine="420" w:firstLineChars="200"/>
              <w:rPr>
                <w:rFonts w:ascii="宋体" w:hAnsi="宋体" w:cs="宋体"/>
                <w:bCs/>
                <w:szCs w:val="21"/>
              </w:rPr>
            </w:pPr>
            <w:r>
              <w:rPr>
                <w:rFonts w:hint="eastAsia" w:ascii="宋体" w:hAnsi="宋体" w:cs="宋体"/>
                <w:bCs/>
                <w:szCs w:val="21"/>
              </w:rPr>
              <w:t>1.服务期：</w:t>
            </w:r>
            <w:r>
              <w:rPr>
                <w:rFonts w:hint="eastAsia" w:ascii="宋体" w:hAnsi="宋体"/>
                <w:szCs w:val="21"/>
              </w:rPr>
              <w:t>自合同签订之日</w:t>
            </w:r>
            <w:r>
              <w:rPr>
                <w:rFonts w:hint="eastAsia" w:asciiTheme="minorEastAsia" w:hAnsiTheme="minorEastAsia" w:eastAsiaTheme="minorEastAsia"/>
                <w:szCs w:val="21"/>
              </w:rPr>
              <w:t>起至2026年7月15日</w:t>
            </w:r>
            <w:r>
              <w:rPr>
                <w:rFonts w:hint="eastAsia" w:ascii="宋体" w:hAnsi="宋体" w:cs="宋体"/>
                <w:bCs/>
                <w:szCs w:val="21"/>
              </w:rPr>
              <w:t>。</w:t>
            </w:r>
          </w:p>
          <w:p w14:paraId="6BAF7B65">
            <w:pPr>
              <w:spacing w:line="360" w:lineRule="auto"/>
              <w:ind w:firstLine="420" w:firstLineChars="200"/>
              <w:rPr>
                <w:rFonts w:ascii="宋体" w:hAnsi="宋体" w:cs="宋体"/>
                <w:bCs/>
                <w:szCs w:val="21"/>
              </w:rPr>
            </w:pPr>
            <w:r>
              <w:rPr>
                <w:rFonts w:hint="eastAsia" w:ascii="宋体" w:hAnsi="宋体" w:cs="宋体"/>
                <w:bCs/>
                <w:szCs w:val="21"/>
              </w:rPr>
              <w:t>2.响应时间：接到采购人处理问题通知后5小时内到达采购人指定现场。</w:t>
            </w:r>
          </w:p>
          <w:p w14:paraId="1613EBB2">
            <w:pPr>
              <w:spacing w:line="360" w:lineRule="auto"/>
              <w:ind w:firstLine="420" w:firstLineChars="200"/>
              <w:rPr>
                <w:rFonts w:ascii="宋体" w:hAnsi="宋体" w:cs="宋体"/>
                <w:bCs/>
                <w:szCs w:val="21"/>
              </w:rPr>
            </w:pPr>
            <w:r>
              <w:rPr>
                <w:rFonts w:hint="eastAsia" w:ascii="宋体" w:hAnsi="宋体" w:cs="宋体"/>
                <w:bCs/>
                <w:szCs w:val="21"/>
              </w:rPr>
              <w:t>3.售后服务技术人员要求：专职人员。</w:t>
            </w:r>
          </w:p>
          <w:p w14:paraId="499E7CCC">
            <w:pPr>
              <w:spacing w:line="360" w:lineRule="auto"/>
              <w:ind w:firstLine="420" w:firstLineChars="200"/>
              <w:rPr>
                <w:rFonts w:ascii="宋体" w:hAnsi="宋体" w:cs="宋体"/>
                <w:bCs/>
                <w:szCs w:val="21"/>
              </w:rPr>
            </w:pPr>
            <w:r>
              <w:rPr>
                <w:rFonts w:hint="eastAsia" w:ascii="宋体" w:hAnsi="宋体" w:cs="宋体"/>
                <w:bCs/>
                <w:szCs w:val="21"/>
              </w:rPr>
              <w:t>4.其他：服务期内，项目服务人员未经允许不得擅自更换。</w:t>
            </w:r>
          </w:p>
          <w:p w14:paraId="56B74513">
            <w:pPr>
              <w:spacing w:line="360" w:lineRule="auto"/>
              <w:ind w:firstLine="420" w:firstLineChars="200"/>
              <w:rPr>
                <w:rFonts w:ascii="宋体" w:hAnsi="宋体" w:cs="宋体"/>
                <w:bCs/>
                <w:szCs w:val="21"/>
              </w:rPr>
            </w:pPr>
            <w:r>
              <w:rPr>
                <w:rFonts w:hint="eastAsia" w:ascii="宋体" w:hAnsi="宋体" w:cs="宋体"/>
                <w:bCs/>
                <w:szCs w:val="21"/>
              </w:rPr>
              <w:t>六、其他要求：</w:t>
            </w:r>
          </w:p>
          <w:p w14:paraId="45D6CB82">
            <w:pPr>
              <w:spacing w:line="360" w:lineRule="auto"/>
              <w:ind w:firstLine="420" w:firstLineChars="200"/>
              <w:rPr>
                <w:rFonts w:ascii="宋体" w:hAnsi="宋体" w:cs="宋体"/>
                <w:bCs/>
                <w:szCs w:val="21"/>
              </w:rPr>
            </w:pPr>
            <w:r>
              <w:rPr>
                <w:rFonts w:hint="eastAsia" w:ascii="宋体" w:hAnsi="宋体" w:cs="宋体"/>
                <w:bCs/>
                <w:szCs w:val="21"/>
              </w:rPr>
              <w:t>▲1.报价必须含以下部分，包括：</w:t>
            </w:r>
          </w:p>
          <w:p w14:paraId="70BDE654">
            <w:pPr>
              <w:spacing w:line="360" w:lineRule="auto"/>
              <w:ind w:firstLine="420" w:firstLineChars="200"/>
              <w:rPr>
                <w:rFonts w:ascii="宋体" w:hAnsi="宋体" w:cs="宋体"/>
                <w:bCs/>
                <w:szCs w:val="21"/>
              </w:rPr>
            </w:pPr>
            <w:r>
              <w:rPr>
                <w:rFonts w:hint="eastAsia" w:ascii="宋体" w:hAnsi="宋体" w:cs="宋体"/>
                <w:bCs/>
                <w:szCs w:val="21"/>
              </w:rPr>
              <w:t>（1）服务的价格；（包括装饰板拆除及恢复费、交通维护费、媒体公告费、图纸复印费、方案评审费及验收评审费）；</w:t>
            </w:r>
          </w:p>
          <w:p w14:paraId="13531FB7">
            <w:pPr>
              <w:spacing w:line="360" w:lineRule="auto"/>
              <w:ind w:firstLine="420" w:firstLineChars="200"/>
              <w:rPr>
                <w:rFonts w:ascii="宋体" w:hAnsi="宋体" w:cs="宋体"/>
                <w:bCs/>
                <w:szCs w:val="21"/>
              </w:rPr>
            </w:pPr>
            <w:r>
              <w:rPr>
                <w:rFonts w:hint="eastAsia" w:ascii="宋体" w:hAnsi="宋体" w:cs="宋体"/>
                <w:bCs/>
                <w:szCs w:val="21"/>
              </w:rPr>
              <w:t>（2）必要的保险费用和各项税金；</w:t>
            </w:r>
          </w:p>
          <w:p w14:paraId="39CDA183">
            <w:pPr>
              <w:spacing w:line="360" w:lineRule="auto"/>
              <w:ind w:firstLine="420" w:firstLineChars="200"/>
              <w:rPr>
                <w:rFonts w:ascii="宋体" w:hAnsi="宋体" w:cs="宋体"/>
                <w:bCs/>
                <w:szCs w:val="21"/>
              </w:rPr>
            </w:pPr>
            <w:r>
              <w:rPr>
                <w:rFonts w:hint="eastAsia" w:ascii="宋体" w:hAnsi="宋体" w:cs="宋体"/>
                <w:bCs/>
                <w:szCs w:val="21"/>
              </w:rPr>
              <w:t>（3）其他：运输、装卸、安装、调试、培训、技术支持、售后服务、更新升级、人工费、检测工作所需机械设备使用费及进退场等费用。</w:t>
            </w:r>
          </w:p>
          <w:p w14:paraId="33EBB486">
            <w:pPr>
              <w:spacing w:line="360" w:lineRule="auto"/>
              <w:ind w:firstLine="420" w:firstLineChars="200"/>
              <w:rPr>
                <w:rFonts w:ascii="宋体" w:hAnsi="宋体" w:cs="宋体"/>
                <w:bCs/>
                <w:szCs w:val="21"/>
              </w:rPr>
            </w:pPr>
            <w:r>
              <w:rPr>
                <w:rFonts w:hint="eastAsia" w:ascii="宋体" w:hAnsi="宋体" w:cs="宋体"/>
                <w:bCs/>
                <w:szCs w:val="21"/>
              </w:rPr>
              <w:t>▲2.付款方式：本项目无预付款，中标人按相关规范及合同要求做完现场全部外业检测并经考评服务单位和采购人确认后支付60%的合同款；供应商出具的检测报告经专家评审合格后支付30%的合同款，移交归档完整的检测资料和服务期满后支付10%的合同款。</w:t>
            </w:r>
          </w:p>
          <w:p w14:paraId="78FF9863">
            <w:pPr>
              <w:spacing w:line="360" w:lineRule="auto"/>
              <w:ind w:firstLine="420" w:firstLineChars="200"/>
              <w:rPr>
                <w:rFonts w:ascii="宋体" w:hAnsi="宋体" w:cs="宋体"/>
                <w:bCs/>
                <w:szCs w:val="21"/>
              </w:rPr>
            </w:pPr>
            <w:r>
              <w:rPr>
                <w:rFonts w:hint="eastAsia" w:ascii="宋体" w:hAnsi="宋体" w:cs="宋体"/>
                <w:bCs/>
                <w:szCs w:val="21"/>
              </w:rPr>
              <w:t>▲3.服务内容：（1）隧道定期检测。（2）在隧道正常使用情况下，合同服务期内中标人需对隧道的养护、管理提供技术咨询及应急检查服务（包括隧道相关信息咨询、对采购人设施维修专项方案和维修计划提供合理化意见和建议、为采购人提供隧道检测方案或计划制定的技术咨询，向采购人提供设施管养和检测方面的新技术咨询等服务）。</w:t>
            </w:r>
          </w:p>
          <w:p w14:paraId="0684BC9E">
            <w:pPr>
              <w:spacing w:line="360" w:lineRule="auto"/>
              <w:ind w:firstLine="420" w:firstLineChars="200"/>
              <w:rPr>
                <w:rFonts w:ascii="宋体" w:hAnsi="宋体" w:cs="宋体"/>
                <w:bCs/>
                <w:szCs w:val="21"/>
              </w:rPr>
            </w:pPr>
            <w:r>
              <w:rPr>
                <w:rFonts w:hint="eastAsia" w:ascii="宋体" w:hAnsi="宋体" w:cs="宋体"/>
                <w:bCs/>
                <w:szCs w:val="21"/>
              </w:rPr>
              <w:t>▲4.对合同条款的调整（如对验收、违约责任等有特殊要求的）：需经双方协商一致。</w:t>
            </w:r>
          </w:p>
          <w:p w14:paraId="640DF479">
            <w:pPr>
              <w:spacing w:line="360" w:lineRule="auto"/>
              <w:ind w:firstLine="420" w:firstLineChars="200"/>
              <w:rPr>
                <w:rFonts w:ascii="宋体" w:hAnsi="宋体" w:cs="宋体"/>
                <w:bCs/>
                <w:szCs w:val="21"/>
              </w:rPr>
            </w:pPr>
            <w:r>
              <w:rPr>
                <w:rFonts w:hint="eastAsia" w:ascii="宋体" w:hAnsi="宋体" w:cs="宋体"/>
                <w:bCs/>
                <w:szCs w:val="21"/>
              </w:rPr>
              <w:t>▲5.拆除和安装装饰板要求，检测时，应逐条开展，一次只拆除一条隧道装饰板，立即进行检测，结束后立即恢复该条隧道装饰板，再进行下一条隧道检测，严禁将所有待检隧道装饰板全部拆除后, 进行流水检测。</w:t>
            </w:r>
          </w:p>
          <w:p w14:paraId="4755B864">
            <w:pPr>
              <w:spacing w:line="360" w:lineRule="auto"/>
              <w:ind w:firstLine="420" w:firstLineChars="200"/>
              <w:rPr>
                <w:rFonts w:ascii="宋体" w:hAnsi="宋体" w:cs="宋体"/>
                <w:bCs/>
                <w:szCs w:val="21"/>
              </w:rPr>
            </w:pPr>
            <w:r>
              <w:rPr>
                <w:rFonts w:hint="eastAsia" w:ascii="宋体" w:hAnsi="宋体" w:cs="宋体"/>
                <w:bCs/>
                <w:szCs w:val="21"/>
              </w:rPr>
              <w:t>▲6.检测报告中的图片均采用彩色打印。</w:t>
            </w:r>
          </w:p>
          <w:p w14:paraId="1A84D574">
            <w:pPr>
              <w:spacing w:line="360" w:lineRule="auto"/>
              <w:ind w:firstLine="420" w:firstLineChars="200"/>
              <w:rPr>
                <w:rFonts w:ascii="宋体" w:hAnsi="宋体" w:cs="宋体"/>
                <w:bCs/>
                <w:szCs w:val="21"/>
              </w:rPr>
            </w:pPr>
            <w:r>
              <w:rPr>
                <w:rFonts w:hint="eastAsia" w:ascii="宋体" w:hAnsi="宋体" w:cs="宋体"/>
                <w:bCs/>
                <w:szCs w:val="21"/>
              </w:rPr>
              <w:t>7.投标人通过ISO9001质量管理体系认证、ISO14001环境管理体系认证、ISO45001职业健康安全管理体系认证（如有，请提供）。</w:t>
            </w:r>
          </w:p>
          <w:p w14:paraId="4E132B57">
            <w:pPr>
              <w:spacing w:line="360" w:lineRule="auto"/>
              <w:ind w:firstLine="420" w:firstLineChars="200"/>
              <w:rPr>
                <w:rFonts w:ascii="宋体" w:hAnsi="宋体" w:cs="宋体"/>
                <w:bCs/>
                <w:szCs w:val="21"/>
              </w:rPr>
            </w:pPr>
            <w:r>
              <w:rPr>
                <w:rFonts w:hint="eastAsia" w:ascii="宋体" w:hAnsi="宋体" w:cs="宋体"/>
                <w:bCs/>
                <w:szCs w:val="21"/>
              </w:rPr>
              <w:t>8.投标人2022年1月以来同类服务的业绩（隧道检测类）（如有，请提供）。</w:t>
            </w:r>
          </w:p>
          <w:p w14:paraId="4FAED1B7">
            <w:pPr>
              <w:spacing w:line="360" w:lineRule="auto"/>
              <w:ind w:firstLine="420" w:firstLineChars="200"/>
              <w:rPr>
                <w:rFonts w:ascii="宋体" w:hAnsi="宋体" w:cs="宋体"/>
                <w:szCs w:val="21"/>
              </w:rPr>
            </w:pPr>
            <w:r>
              <w:rPr>
                <w:rFonts w:hint="eastAsia" w:ascii="宋体" w:hAnsi="宋体" w:cs="宋体"/>
                <w:bCs/>
                <w:szCs w:val="21"/>
              </w:rPr>
              <w:t>9.项目负责人、技术负责人2022年1月以来参加过（或正从事）同类服务的业绩（隧道检测类）（如有，请提供）。</w:t>
            </w:r>
          </w:p>
        </w:tc>
      </w:tr>
      <w:tr w14:paraId="337F7410">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108" w:type="dxa"/>
            <w:bottom w:w="0" w:type="dxa"/>
            <w:right w:w="108" w:type="dxa"/>
          </w:tblCellMar>
        </w:tblPrEx>
        <w:tc>
          <w:tcPr>
            <w:tcW w:w="663" w:type="pct"/>
            <w:gridSpan w:val="2"/>
            <w:tcBorders>
              <w:top w:val="single" w:color="000000" w:sz="8" w:space="0"/>
              <w:left w:val="single" w:color="000000" w:sz="8" w:space="0"/>
              <w:bottom w:val="single" w:color="000000" w:sz="6" w:space="0"/>
              <w:right w:val="single" w:color="000000" w:sz="6" w:space="0"/>
            </w:tcBorders>
            <w:tcMar>
              <w:top w:w="0" w:type="dxa"/>
              <w:left w:w="0" w:type="dxa"/>
              <w:bottom w:w="0" w:type="dxa"/>
              <w:right w:w="0" w:type="dxa"/>
            </w:tcMar>
            <w:vAlign w:val="center"/>
          </w:tcPr>
          <w:p w14:paraId="578D2143">
            <w:pPr>
              <w:spacing w:line="360" w:lineRule="auto"/>
              <w:jc w:val="center"/>
              <w:rPr>
                <w:rFonts w:ascii="宋体" w:hAnsi="宋体" w:cs="宋体"/>
                <w:szCs w:val="21"/>
              </w:rPr>
            </w:pPr>
            <w:r>
              <w:rPr>
                <w:rFonts w:hint="eastAsia" w:ascii="宋体" w:hAnsi="宋体" w:cs="宋体"/>
                <w:szCs w:val="21"/>
              </w:rPr>
              <w:t>其他说明</w:t>
            </w:r>
          </w:p>
        </w:tc>
        <w:tc>
          <w:tcPr>
            <w:tcW w:w="4336" w:type="pct"/>
            <w:gridSpan w:val="4"/>
            <w:tcBorders>
              <w:top w:val="single" w:color="000000" w:sz="8" w:space="0"/>
              <w:left w:val="single" w:color="000000" w:sz="6" w:space="0"/>
              <w:bottom w:val="single" w:color="000000" w:sz="6" w:space="0"/>
              <w:right w:val="single" w:color="000000" w:sz="8" w:space="0"/>
            </w:tcBorders>
            <w:vAlign w:val="center"/>
          </w:tcPr>
          <w:p w14:paraId="7246550F">
            <w:pPr>
              <w:spacing w:line="360" w:lineRule="auto"/>
              <w:ind w:right="-57" w:rightChars="-27" w:firstLine="420" w:firstLineChars="200"/>
              <w:rPr>
                <w:rFonts w:ascii="宋体" w:hAnsi="宋体" w:cs="宋体"/>
                <w:szCs w:val="21"/>
              </w:rPr>
            </w:pPr>
            <w:r>
              <w:rPr>
                <w:rFonts w:hint="eastAsia" w:ascii="宋体" w:hAnsi="宋体" w:cs="宋体"/>
                <w:szCs w:val="21"/>
              </w:rPr>
              <w:t>一、进口产品说明（根据项目实际情况选择）</w:t>
            </w:r>
          </w:p>
          <w:p w14:paraId="0E4E4784">
            <w:pPr>
              <w:spacing w:line="360" w:lineRule="auto"/>
              <w:ind w:right="-57" w:rightChars="-27" w:firstLine="420" w:firstLineChars="200"/>
              <w:rPr>
                <w:rFonts w:ascii="宋体" w:hAnsi="宋体" w:cs="宋体"/>
                <w:szCs w:val="21"/>
              </w:rPr>
            </w:pPr>
            <w:r>
              <w:rPr>
                <w:rFonts w:hint="eastAsia" w:ascii="宋体" w:hAnsi="宋体" w:cs="宋体"/>
                <w:szCs w:val="21"/>
              </w:rPr>
              <w:t>□本表的第  项服务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其他货物不接受进口产品参与投标，否则作无效标处理。</w:t>
            </w:r>
          </w:p>
          <w:p w14:paraId="1C2406C1">
            <w:pPr>
              <w:spacing w:line="360" w:lineRule="auto"/>
              <w:ind w:right="-57" w:rightChars="-27" w:firstLine="420" w:firstLineChars="200"/>
              <w:rPr>
                <w:rFonts w:ascii="宋体" w:hAnsi="宋体" w:cs="宋体"/>
                <w:szCs w:val="21"/>
              </w:rPr>
            </w:pPr>
            <w:r>
              <w:rPr>
                <w:rFonts w:hint="eastAsia" w:ascii="宋体" w:hAnsi="宋体" w:cs="宋体"/>
                <w:szCs w:val="21"/>
              </w:rPr>
              <w:t>☑本分标服务所涉及的货物不接受进口产品（即通过中国海关报关验放进入中国境内且产自关境外的产品）参与投标，如有进口产品参与投标的作无效标处理。</w:t>
            </w:r>
          </w:p>
          <w:p w14:paraId="27BF8C68">
            <w:pPr>
              <w:spacing w:line="360" w:lineRule="auto"/>
              <w:ind w:right="-57" w:rightChars="-27" w:firstLine="420" w:firstLineChars="200"/>
              <w:rPr>
                <w:rFonts w:ascii="宋体" w:hAnsi="宋体" w:cs="宋体"/>
                <w:szCs w:val="21"/>
              </w:rPr>
            </w:pPr>
            <w:r>
              <w:rPr>
                <w:rFonts w:hint="eastAsia" w:ascii="宋体" w:hAnsi="宋体" w:cs="宋体"/>
                <w:szCs w:val="21"/>
              </w:rPr>
              <w:t>二、其他</w:t>
            </w:r>
          </w:p>
          <w:p w14:paraId="72D968D3">
            <w:pPr>
              <w:spacing w:line="360" w:lineRule="auto"/>
              <w:ind w:right="-57" w:rightChars="-27" w:firstLine="420" w:firstLineChars="200"/>
              <w:rPr>
                <w:rFonts w:ascii="宋体" w:hAnsi="宋体" w:cs="宋体"/>
                <w:szCs w:val="21"/>
              </w:rPr>
            </w:pPr>
            <w:r>
              <w:rPr>
                <w:rFonts w:hint="eastAsia" w:ascii="宋体" w:hAnsi="宋体" w:cs="宋体"/>
                <w:szCs w:val="21"/>
              </w:rPr>
              <w:t>1.不进行演示；</w:t>
            </w:r>
          </w:p>
          <w:p w14:paraId="4B011F76">
            <w:pPr>
              <w:spacing w:line="360" w:lineRule="auto"/>
              <w:ind w:right="-57" w:rightChars="-27" w:firstLine="420" w:firstLineChars="200"/>
              <w:rPr>
                <w:rFonts w:ascii="宋体" w:hAnsi="宋体" w:cs="宋体"/>
                <w:szCs w:val="21"/>
              </w:rPr>
            </w:pPr>
            <w:r>
              <w:rPr>
                <w:rFonts w:hint="eastAsia" w:ascii="宋体" w:hAnsi="宋体" w:cs="宋体"/>
                <w:szCs w:val="21"/>
              </w:rPr>
              <w:t>2.不要求提供样品；</w:t>
            </w:r>
          </w:p>
          <w:p w14:paraId="4F59CD17">
            <w:pPr>
              <w:spacing w:line="360" w:lineRule="auto"/>
              <w:ind w:right="-57" w:rightChars="-27" w:firstLine="420" w:firstLineChars="200"/>
              <w:rPr>
                <w:rFonts w:ascii="宋体" w:hAnsi="宋体" w:cs="宋体"/>
                <w:szCs w:val="21"/>
              </w:rPr>
            </w:pPr>
            <w:r>
              <w:rPr>
                <w:rFonts w:hint="eastAsia" w:ascii="宋体" w:hAnsi="宋体" w:cs="宋体"/>
                <w:szCs w:val="21"/>
              </w:rPr>
              <w:t>3.不组织现场踏勘；</w:t>
            </w:r>
          </w:p>
          <w:p w14:paraId="1D40F504">
            <w:pPr>
              <w:spacing w:line="360" w:lineRule="auto"/>
              <w:ind w:right="-57" w:rightChars="-27" w:firstLine="420" w:firstLineChars="200"/>
              <w:rPr>
                <w:rFonts w:ascii="宋体" w:hAnsi="宋体" w:cs="宋体"/>
                <w:szCs w:val="21"/>
              </w:rPr>
            </w:pPr>
            <w:r>
              <w:rPr>
                <w:rFonts w:hint="eastAsia" w:ascii="宋体" w:hAnsi="宋体" w:cs="宋体"/>
                <w:szCs w:val="21"/>
              </w:rPr>
              <w:t>4.合同延续年限、条件和方式：本项目合同到期后不续签。</w:t>
            </w:r>
          </w:p>
          <w:p w14:paraId="39FA5686">
            <w:pPr>
              <w:spacing w:line="360" w:lineRule="auto"/>
              <w:ind w:right="-57" w:rightChars="-27" w:firstLine="420" w:firstLineChars="200"/>
              <w:rPr>
                <w:rFonts w:ascii="宋体" w:hAnsi="宋体" w:cs="宋体"/>
                <w:szCs w:val="21"/>
              </w:rPr>
            </w:pPr>
            <w:r>
              <w:rPr>
                <w:rFonts w:hint="eastAsia" w:ascii="宋体" w:hAnsi="宋体"/>
                <w:szCs w:val="21"/>
              </w:rPr>
              <w:t>5.考评服务单位为采购人委托的第三方服务机构。</w:t>
            </w:r>
          </w:p>
        </w:tc>
      </w:tr>
      <w:bookmarkEnd w:id="33"/>
    </w:tbl>
    <w:p w14:paraId="48DBED8E"/>
    <w:p w14:paraId="14E7E102"/>
    <w:p w14:paraId="43326978"/>
    <w:p w14:paraId="295ADEE8">
      <w:pPr>
        <w:spacing w:line="428" w:lineRule="exact"/>
        <w:ind w:left="119"/>
      </w:pPr>
      <w:r>
        <w:br w:type="page"/>
      </w:r>
    </w:p>
    <w:p w14:paraId="79D1BAD2">
      <w:pPr>
        <w:wordWrap w:val="0"/>
        <w:spacing w:line="360" w:lineRule="exact"/>
        <w:ind w:right="480" w:firstLine="1054" w:firstLineChars="350"/>
        <w:rPr>
          <w:rFonts w:ascii="宋体" w:hAnsi="Courier New"/>
          <w:b/>
          <w:sz w:val="30"/>
          <w:szCs w:val="30"/>
        </w:rPr>
      </w:pPr>
      <w:r>
        <w:rPr>
          <w:rFonts w:hint="eastAsia"/>
          <w:b/>
          <w:sz w:val="30"/>
          <w:szCs w:val="30"/>
        </w:rPr>
        <w:t xml:space="preserve">附表1：    </w:t>
      </w:r>
      <w:r>
        <w:rPr>
          <w:rFonts w:hint="eastAsia" w:ascii="宋体" w:hAnsi="Courier New"/>
          <w:b/>
          <w:sz w:val="30"/>
          <w:szCs w:val="30"/>
        </w:rPr>
        <w:t>隧道及地下通道基本情况明细表</w:t>
      </w:r>
    </w:p>
    <w:tbl>
      <w:tblPr>
        <w:tblStyle w:val="32"/>
        <w:tblW w:w="9315" w:type="dxa"/>
        <w:tblInd w:w="7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80"/>
        <w:gridCol w:w="2635"/>
        <w:gridCol w:w="1775"/>
        <w:gridCol w:w="1335"/>
        <w:gridCol w:w="1230"/>
        <w:gridCol w:w="1260"/>
      </w:tblGrid>
      <w:tr w14:paraId="5DA28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00A9E767">
            <w:pPr>
              <w:jc w:val="center"/>
              <w:rPr>
                <w:rFonts w:ascii="宋体" w:hAnsi="宋体" w:cs="宋体"/>
                <w:szCs w:val="21"/>
              </w:rPr>
            </w:pPr>
            <w:r>
              <w:rPr>
                <w:rFonts w:hint="eastAsia" w:ascii="宋体" w:hAnsi="宋体" w:cs="宋体"/>
                <w:szCs w:val="21"/>
              </w:rPr>
              <w:t>序号</w:t>
            </w:r>
          </w:p>
        </w:tc>
        <w:tc>
          <w:tcPr>
            <w:tcW w:w="2635" w:type="dxa"/>
            <w:vAlign w:val="center"/>
          </w:tcPr>
          <w:p w14:paraId="79001CA4">
            <w:pPr>
              <w:jc w:val="center"/>
              <w:rPr>
                <w:rFonts w:ascii="宋体" w:hAnsi="宋体" w:cs="宋体"/>
                <w:szCs w:val="21"/>
              </w:rPr>
            </w:pPr>
            <w:r>
              <w:rPr>
                <w:rFonts w:hint="eastAsia" w:ascii="宋体" w:hAnsi="宋体" w:cs="宋体"/>
                <w:szCs w:val="21"/>
              </w:rPr>
              <w:t>名称</w:t>
            </w:r>
          </w:p>
        </w:tc>
        <w:tc>
          <w:tcPr>
            <w:tcW w:w="1775" w:type="dxa"/>
            <w:vAlign w:val="center"/>
          </w:tcPr>
          <w:p w14:paraId="4D1ACD9D">
            <w:pPr>
              <w:jc w:val="center"/>
              <w:rPr>
                <w:rFonts w:ascii="宋体" w:hAnsi="宋体" w:cs="宋体"/>
                <w:szCs w:val="21"/>
              </w:rPr>
            </w:pPr>
            <w:r>
              <w:rPr>
                <w:rFonts w:hint="eastAsia" w:ascii="宋体" w:hAnsi="宋体" w:cs="宋体"/>
                <w:szCs w:val="21"/>
              </w:rPr>
              <w:t>所在道路</w:t>
            </w:r>
          </w:p>
        </w:tc>
        <w:tc>
          <w:tcPr>
            <w:tcW w:w="1335" w:type="dxa"/>
            <w:vAlign w:val="center"/>
          </w:tcPr>
          <w:p w14:paraId="7AA5FCE0">
            <w:pPr>
              <w:jc w:val="center"/>
              <w:rPr>
                <w:rFonts w:ascii="宋体" w:hAnsi="宋体" w:cs="宋体"/>
                <w:szCs w:val="21"/>
              </w:rPr>
            </w:pPr>
            <w:r>
              <w:rPr>
                <w:rFonts w:hint="eastAsia" w:ascii="宋体" w:hAnsi="宋体" w:cs="宋体"/>
                <w:szCs w:val="21"/>
              </w:rPr>
              <w:t>长度（m）</w:t>
            </w:r>
          </w:p>
        </w:tc>
        <w:tc>
          <w:tcPr>
            <w:tcW w:w="1230" w:type="dxa"/>
            <w:vAlign w:val="center"/>
          </w:tcPr>
          <w:p w14:paraId="3859FD6E">
            <w:pPr>
              <w:jc w:val="center"/>
              <w:rPr>
                <w:rFonts w:ascii="宋体" w:hAnsi="宋体" w:cs="宋体"/>
                <w:szCs w:val="21"/>
              </w:rPr>
            </w:pPr>
            <w:r>
              <w:rPr>
                <w:rFonts w:hint="eastAsia" w:ascii="宋体" w:hAnsi="宋体" w:cs="宋体"/>
                <w:szCs w:val="21"/>
              </w:rPr>
              <w:t>宽度（m）</w:t>
            </w:r>
          </w:p>
        </w:tc>
        <w:tc>
          <w:tcPr>
            <w:tcW w:w="1260" w:type="dxa"/>
            <w:vAlign w:val="center"/>
          </w:tcPr>
          <w:p w14:paraId="26416AB8">
            <w:pPr>
              <w:jc w:val="center"/>
              <w:rPr>
                <w:rFonts w:ascii="宋体" w:hAnsi="宋体" w:cs="宋体"/>
                <w:szCs w:val="21"/>
              </w:rPr>
            </w:pPr>
            <w:r>
              <w:rPr>
                <w:rFonts w:hint="eastAsia" w:ascii="宋体" w:hAnsi="宋体" w:cs="宋体"/>
                <w:szCs w:val="21"/>
              </w:rPr>
              <w:t>净空高度</w:t>
            </w:r>
          </w:p>
        </w:tc>
      </w:tr>
      <w:tr w14:paraId="44E360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3C01E5D1">
            <w:pPr>
              <w:jc w:val="center"/>
              <w:rPr>
                <w:rFonts w:ascii="宋体" w:hAnsi="宋体" w:cs="宋体"/>
                <w:szCs w:val="21"/>
              </w:rPr>
            </w:pPr>
            <w:r>
              <w:rPr>
                <w:rFonts w:hint="eastAsia" w:ascii="宋体" w:hAnsi="宋体" w:cs="宋体"/>
                <w:szCs w:val="21"/>
              </w:rPr>
              <w:t>1</w:t>
            </w:r>
          </w:p>
        </w:tc>
        <w:tc>
          <w:tcPr>
            <w:tcW w:w="2635" w:type="dxa"/>
            <w:vAlign w:val="center"/>
          </w:tcPr>
          <w:p w14:paraId="1E8492A7">
            <w:pPr>
              <w:jc w:val="center"/>
              <w:rPr>
                <w:rFonts w:ascii="宋体" w:hAnsi="宋体" w:cs="宋体"/>
                <w:szCs w:val="21"/>
              </w:rPr>
            </w:pPr>
            <w:r>
              <w:rPr>
                <w:rFonts w:hint="eastAsia" w:ascii="宋体" w:hAnsi="宋体" w:cs="宋体"/>
                <w:szCs w:val="21"/>
              </w:rPr>
              <w:t>青林隧道</w:t>
            </w:r>
          </w:p>
        </w:tc>
        <w:tc>
          <w:tcPr>
            <w:tcW w:w="1775" w:type="dxa"/>
            <w:vAlign w:val="center"/>
          </w:tcPr>
          <w:p w14:paraId="6A92CE55">
            <w:pPr>
              <w:jc w:val="center"/>
              <w:rPr>
                <w:rFonts w:ascii="宋体" w:hAnsi="宋体" w:cs="宋体"/>
                <w:szCs w:val="21"/>
              </w:rPr>
            </w:pPr>
            <w:r>
              <w:rPr>
                <w:rFonts w:hint="eastAsia" w:ascii="宋体" w:hAnsi="宋体" w:cs="宋体"/>
                <w:szCs w:val="21"/>
              </w:rPr>
              <w:t>青林路</w:t>
            </w:r>
          </w:p>
        </w:tc>
        <w:tc>
          <w:tcPr>
            <w:tcW w:w="1335" w:type="dxa"/>
            <w:vAlign w:val="center"/>
          </w:tcPr>
          <w:p w14:paraId="7B31F40B">
            <w:pPr>
              <w:jc w:val="center"/>
              <w:rPr>
                <w:rFonts w:ascii="宋体" w:hAnsi="宋体" w:cs="宋体"/>
                <w:szCs w:val="21"/>
              </w:rPr>
            </w:pPr>
            <w:r>
              <w:rPr>
                <w:rFonts w:hint="eastAsia" w:ascii="宋体" w:hAnsi="宋体" w:cs="宋体"/>
                <w:szCs w:val="21"/>
              </w:rPr>
              <w:t>448.4</w:t>
            </w:r>
          </w:p>
        </w:tc>
        <w:tc>
          <w:tcPr>
            <w:tcW w:w="1230" w:type="dxa"/>
            <w:vAlign w:val="center"/>
          </w:tcPr>
          <w:p w14:paraId="41A820E5">
            <w:pPr>
              <w:jc w:val="center"/>
              <w:rPr>
                <w:rFonts w:ascii="宋体" w:hAnsi="宋体" w:cs="宋体"/>
                <w:szCs w:val="21"/>
              </w:rPr>
            </w:pPr>
            <w:r>
              <w:rPr>
                <w:rFonts w:hint="eastAsia" w:ascii="宋体" w:hAnsi="宋体" w:cs="宋体"/>
                <w:szCs w:val="21"/>
              </w:rPr>
              <w:t>19.6</w:t>
            </w:r>
          </w:p>
        </w:tc>
        <w:tc>
          <w:tcPr>
            <w:tcW w:w="1260" w:type="dxa"/>
            <w:vAlign w:val="center"/>
          </w:tcPr>
          <w:p w14:paraId="569569A9">
            <w:pPr>
              <w:jc w:val="center"/>
              <w:rPr>
                <w:rFonts w:ascii="宋体" w:hAnsi="宋体" w:cs="宋体"/>
                <w:szCs w:val="21"/>
              </w:rPr>
            </w:pPr>
            <w:r>
              <w:rPr>
                <w:rFonts w:hint="eastAsia" w:ascii="宋体" w:hAnsi="宋体" w:cs="宋体"/>
                <w:szCs w:val="21"/>
              </w:rPr>
              <w:t>5.35</w:t>
            </w:r>
          </w:p>
        </w:tc>
      </w:tr>
      <w:tr w14:paraId="2EDCE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0C3A3476">
            <w:pPr>
              <w:jc w:val="center"/>
              <w:rPr>
                <w:rFonts w:ascii="宋体" w:hAnsi="宋体" w:cs="宋体"/>
                <w:szCs w:val="21"/>
              </w:rPr>
            </w:pPr>
            <w:r>
              <w:rPr>
                <w:rFonts w:hint="eastAsia" w:ascii="宋体" w:hAnsi="宋体" w:cs="宋体"/>
                <w:szCs w:val="21"/>
              </w:rPr>
              <w:t>2</w:t>
            </w:r>
          </w:p>
        </w:tc>
        <w:tc>
          <w:tcPr>
            <w:tcW w:w="2635" w:type="dxa"/>
            <w:vAlign w:val="center"/>
          </w:tcPr>
          <w:p w14:paraId="11019969">
            <w:pPr>
              <w:jc w:val="center"/>
              <w:rPr>
                <w:rFonts w:ascii="宋体" w:hAnsi="宋体" w:cs="宋体"/>
                <w:szCs w:val="21"/>
              </w:rPr>
            </w:pPr>
            <w:r>
              <w:rPr>
                <w:rFonts w:hint="eastAsia" w:ascii="宋体" w:hAnsi="宋体" w:cs="宋体"/>
                <w:szCs w:val="21"/>
              </w:rPr>
              <w:t>南湖隧道</w:t>
            </w:r>
          </w:p>
        </w:tc>
        <w:tc>
          <w:tcPr>
            <w:tcW w:w="1775" w:type="dxa"/>
            <w:vAlign w:val="center"/>
          </w:tcPr>
          <w:p w14:paraId="1A4BF4F4">
            <w:pPr>
              <w:jc w:val="center"/>
              <w:rPr>
                <w:rFonts w:ascii="宋体" w:hAnsi="宋体" w:cs="宋体"/>
                <w:szCs w:val="21"/>
              </w:rPr>
            </w:pPr>
            <w:r>
              <w:rPr>
                <w:rFonts w:hint="eastAsia" w:ascii="宋体" w:hAnsi="宋体" w:cs="宋体"/>
                <w:szCs w:val="21"/>
              </w:rPr>
              <w:t>青山路</w:t>
            </w:r>
          </w:p>
        </w:tc>
        <w:tc>
          <w:tcPr>
            <w:tcW w:w="1335" w:type="dxa"/>
            <w:vAlign w:val="center"/>
          </w:tcPr>
          <w:p w14:paraId="0FB7A9E2">
            <w:pPr>
              <w:jc w:val="center"/>
              <w:rPr>
                <w:rFonts w:ascii="宋体" w:hAnsi="宋体" w:cs="宋体"/>
                <w:szCs w:val="21"/>
              </w:rPr>
            </w:pPr>
            <w:r>
              <w:rPr>
                <w:rFonts w:hint="eastAsia" w:ascii="宋体" w:hAnsi="宋体" w:cs="宋体"/>
                <w:szCs w:val="21"/>
              </w:rPr>
              <w:t>879</w:t>
            </w:r>
          </w:p>
        </w:tc>
        <w:tc>
          <w:tcPr>
            <w:tcW w:w="1230" w:type="dxa"/>
            <w:vAlign w:val="center"/>
          </w:tcPr>
          <w:p w14:paraId="0B2F72E7">
            <w:pPr>
              <w:jc w:val="center"/>
              <w:rPr>
                <w:rFonts w:ascii="宋体" w:hAnsi="宋体" w:cs="宋体"/>
                <w:szCs w:val="21"/>
              </w:rPr>
            </w:pPr>
            <w:r>
              <w:rPr>
                <w:rFonts w:hint="eastAsia" w:ascii="宋体" w:hAnsi="宋体" w:cs="宋体"/>
                <w:szCs w:val="21"/>
              </w:rPr>
              <w:t>28</w:t>
            </w:r>
          </w:p>
        </w:tc>
        <w:tc>
          <w:tcPr>
            <w:tcW w:w="1260" w:type="dxa"/>
            <w:vAlign w:val="center"/>
          </w:tcPr>
          <w:p w14:paraId="26104DCD">
            <w:pPr>
              <w:jc w:val="center"/>
              <w:rPr>
                <w:rFonts w:ascii="宋体" w:hAnsi="宋体" w:cs="宋体"/>
                <w:szCs w:val="21"/>
              </w:rPr>
            </w:pPr>
            <w:r>
              <w:rPr>
                <w:rFonts w:hint="eastAsia" w:ascii="宋体" w:hAnsi="宋体" w:cs="宋体"/>
                <w:szCs w:val="21"/>
              </w:rPr>
              <w:t>≥4.5</w:t>
            </w:r>
          </w:p>
        </w:tc>
      </w:tr>
      <w:tr w14:paraId="192896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695D8DC2">
            <w:pPr>
              <w:jc w:val="center"/>
              <w:rPr>
                <w:rFonts w:ascii="宋体" w:hAnsi="宋体" w:cs="宋体"/>
                <w:szCs w:val="21"/>
              </w:rPr>
            </w:pPr>
            <w:r>
              <w:rPr>
                <w:rFonts w:hint="eastAsia" w:ascii="宋体" w:hAnsi="宋体" w:cs="宋体"/>
                <w:szCs w:val="21"/>
              </w:rPr>
              <w:t>3</w:t>
            </w:r>
          </w:p>
        </w:tc>
        <w:tc>
          <w:tcPr>
            <w:tcW w:w="2635" w:type="dxa"/>
            <w:vAlign w:val="center"/>
          </w:tcPr>
          <w:p w14:paraId="784F714A">
            <w:pPr>
              <w:jc w:val="center"/>
              <w:rPr>
                <w:rFonts w:ascii="宋体" w:hAnsi="宋体" w:cs="宋体"/>
                <w:szCs w:val="21"/>
              </w:rPr>
            </w:pPr>
            <w:r>
              <w:rPr>
                <w:rFonts w:hint="eastAsia" w:ascii="宋体" w:hAnsi="宋体" w:cs="宋体"/>
                <w:szCs w:val="21"/>
              </w:rPr>
              <w:t>青山隧道</w:t>
            </w:r>
          </w:p>
        </w:tc>
        <w:tc>
          <w:tcPr>
            <w:tcW w:w="1775" w:type="dxa"/>
            <w:vAlign w:val="center"/>
          </w:tcPr>
          <w:p w14:paraId="43169E06">
            <w:pPr>
              <w:jc w:val="center"/>
              <w:rPr>
                <w:rFonts w:ascii="宋体" w:hAnsi="宋体" w:cs="宋体"/>
                <w:szCs w:val="21"/>
              </w:rPr>
            </w:pPr>
            <w:r>
              <w:rPr>
                <w:rFonts w:hint="eastAsia" w:ascii="宋体" w:hAnsi="宋体" w:cs="宋体"/>
                <w:szCs w:val="21"/>
              </w:rPr>
              <w:t>青山路</w:t>
            </w:r>
          </w:p>
        </w:tc>
        <w:tc>
          <w:tcPr>
            <w:tcW w:w="1335" w:type="dxa"/>
            <w:vAlign w:val="center"/>
          </w:tcPr>
          <w:p w14:paraId="51BBDBF8">
            <w:pPr>
              <w:jc w:val="center"/>
              <w:rPr>
                <w:rFonts w:ascii="宋体" w:hAnsi="宋体" w:cs="宋体"/>
                <w:szCs w:val="21"/>
              </w:rPr>
            </w:pPr>
            <w:r>
              <w:rPr>
                <w:rFonts w:hint="eastAsia" w:ascii="宋体" w:hAnsi="宋体" w:cs="宋体"/>
                <w:szCs w:val="21"/>
              </w:rPr>
              <w:t>469</w:t>
            </w:r>
          </w:p>
        </w:tc>
        <w:tc>
          <w:tcPr>
            <w:tcW w:w="1230" w:type="dxa"/>
            <w:vAlign w:val="center"/>
          </w:tcPr>
          <w:p w14:paraId="2C14B46A">
            <w:pPr>
              <w:jc w:val="center"/>
              <w:rPr>
                <w:rFonts w:ascii="宋体" w:hAnsi="宋体" w:cs="宋体"/>
                <w:szCs w:val="21"/>
              </w:rPr>
            </w:pPr>
            <w:r>
              <w:rPr>
                <w:rFonts w:hint="eastAsia" w:ascii="宋体" w:hAnsi="宋体" w:cs="宋体"/>
                <w:szCs w:val="21"/>
              </w:rPr>
              <w:t>18.6</w:t>
            </w:r>
          </w:p>
        </w:tc>
        <w:tc>
          <w:tcPr>
            <w:tcW w:w="1260" w:type="dxa"/>
            <w:vAlign w:val="center"/>
          </w:tcPr>
          <w:p w14:paraId="09984E44">
            <w:pPr>
              <w:jc w:val="center"/>
              <w:rPr>
                <w:rFonts w:ascii="宋体" w:hAnsi="宋体" w:cs="宋体"/>
                <w:szCs w:val="21"/>
              </w:rPr>
            </w:pPr>
            <w:r>
              <w:rPr>
                <w:rFonts w:hint="eastAsia" w:ascii="宋体" w:hAnsi="宋体" w:cs="宋体"/>
                <w:szCs w:val="21"/>
              </w:rPr>
              <w:t>5.0</w:t>
            </w:r>
          </w:p>
        </w:tc>
      </w:tr>
      <w:tr w14:paraId="022DF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750C69C2">
            <w:pPr>
              <w:jc w:val="center"/>
              <w:rPr>
                <w:rFonts w:ascii="宋体" w:hAnsi="宋体" w:cs="宋体"/>
                <w:szCs w:val="21"/>
              </w:rPr>
            </w:pPr>
            <w:r>
              <w:rPr>
                <w:rFonts w:hint="eastAsia" w:ascii="宋体" w:hAnsi="宋体" w:cs="宋体"/>
                <w:szCs w:val="21"/>
              </w:rPr>
              <w:t>4</w:t>
            </w:r>
          </w:p>
        </w:tc>
        <w:tc>
          <w:tcPr>
            <w:tcW w:w="2635" w:type="dxa"/>
            <w:vAlign w:val="center"/>
          </w:tcPr>
          <w:p w14:paraId="201278CC">
            <w:pPr>
              <w:jc w:val="center"/>
              <w:rPr>
                <w:rFonts w:ascii="宋体" w:hAnsi="宋体" w:cs="宋体"/>
                <w:szCs w:val="21"/>
              </w:rPr>
            </w:pPr>
            <w:r>
              <w:rPr>
                <w:rFonts w:hint="eastAsia" w:ascii="宋体" w:hAnsi="宋体" w:cs="宋体"/>
                <w:szCs w:val="21"/>
              </w:rPr>
              <w:t>平乐隧道</w:t>
            </w:r>
          </w:p>
        </w:tc>
        <w:tc>
          <w:tcPr>
            <w:tcW w:w="1775" w:type="dxa"/>
            <w:vAlign w:val="center"/>
          </w:tcPr>
          <w:p w14:paraId="729A900C">
            <w:pPr>
              <w:jc w:val="center"/>
              <w:rPr>
                <w:rFonts w:ascii="宋体" w:hAnsi="宋体" w:cs="宋体"/>
                <w:szCs w:val="21"/>
              </w:rPr>
            </w:pPr>
            <w:r>
              <w:rPr>
                <w:rFonts w:hint="eastAsia" w:ascii="宋体" w:hAnsi="宋体" w:cs="宋体"/>
                <w:szCs w:val="21"/>
              </w:rPr>
              <w:t>平乐大道</w:t>
            </w:r>
          </w:p>
        </w:tc>
        <w:tc>
          <w:tcPr>
            <w:tcW w:w="1335" w:type="dxa"/>
            <w:vAlign w:val="center"/>
          </w:tcPr>
          <w:p w14:paraId="2097952A">
            <w:pPr>
              <w:jc w:val="center"/>
              <w:rPr>
                <w:rFonts w:ascii="宋体" w:hAnsi="宋体" w:cs="宋体"/>
                <w:szCs w:val="21"/>
              </w:rPr>
            </w:pPr>
            <w:r>
              <w:rPr>
                <w:rFonts w:hint="eastAsia" w:ascii="宋体" w:hAnsi="宋体" w:cs="宋体"/>
                <w:szCs w:val="21"/>
              </w:rPr>
              <w:t>550</w:t>
            </w:r>
          </w:p>
        </w:tc>
        <w:tc>
          <w:tcPr>
            <w:tcW w:w="1230" w:type="dxa"/>
            <w:vAlign w:val="center"/>
          </w:tcPr>
          <w:p w14:paraId="45837498">
            <w:pPr>
              <w:jc w:val="center"/>
              <w:rPr>
                <w:rFonts w:ascii="宋体" w:hAnsi="宋体" w:cs="宋体"/>
                <w:szCs w:val="21"/>
              </w:rPr>
            </w:pPr>
            <w:r>
              <w:rPr>
                <w:rFonts w:hint="eastAsia" w:ascii="宋体" w:hAnsi="宋体" w:cs="宋体"/>
                <w:szCs w:val="21"/>
              </w:rPr>
              <w:t>49.5</w:t>
            </w:r>
          </w:p>
        </w:tc>
        <w:tc>
          <w:tcPr>
            <w:tcW w:w="1260" w:type="dxa"/>
            <w:vAlign w:val="center"/>
          </w:tcPr>
          <w:p w14:paraId="2D2A7753">
            <w:pPr>
              <w:jc w:val="center"/>
              <w:rPr>
                <w:rFonts w:ascii="宋体" w:hAnsi="宋体" w:cs="宋体"/>
                <w:szCs w:val="21"/>
              </w:rPr>
            </w:pPr>
            <w:r>
              <w:rPr>
                <w:rFonts w:hint="eastAsia" w:ascii="宋体" w:hAnsi="宋体" w:cs="宋体"/>
                <w:szCs w:val="21"/>
              </w:rPr>
              <w:t>6.5</w:t>
            </w:r>
          </w:p>
        </w:tc>
      </w:tr>
      <w:tr w14:paraId="1C0A4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7ADF32B1">
            <w:pPr>
              <w:jc w:val="center"/>
              <w:rPr>
                <w:rFonts w:ascii="宋体" w:hAnsi="宋体" w:cs="宋体"/>
                <w:szCs w:val="21"/>
              </w:rPr>
            </w:pPr>
            <w:r>
              <w:rPr>
                <w:rFonts w:hint="eastAsia" w:ascii="宋体" w:hAnsi="宋体" w:cs="宋体"/>
                <w:szCs w:val="21"/>
              </w:rPr>
              <w:t>5</w:t>
            </w:r>
          </w:p>
        </w:tc>
        <w:tc>
          <w:tcPr>
            <w:tcW w:w="2635" w:type="dxa"/>
            <w:vAlign w:val="center"/>
          </w:tcPr>
          <w:p w14:paraId="7C0149B1">
            <w:pPr>
              <w:jc w:val="center"/>
              <w:rPr>
                <w:rFonts w:ascii="宋体" w:hAnsi="宋体" w:cs="宋体"/>
                <w:szCs w:val="21"/>
              </w:rPr>
            </w:pPr>
            <w:r>
              <w:rPr>
                <w:rFonts w:hint="eastAsia" w:ascii="宋体" w:hAnsi="宋体" w:cs="宋体"/>
                <w:szCs w:val="21"/>
              </w:rPr>
              <w:t>凤岭南隧道</w:t>
            </w:r>
          </w:p>
        </w:tc>
        <w:tc>
          <w:tcPr>
            <w:tcW w:w="1775" w:type="dxa"/>
            <w:vAlign w:val="center"/>
          </w:tcPr>
          <w:p w14:paraId="55B8E1CE">
            <w:pPr>
              <w:jc w:val="center"/>
              <w:rPr>
                <w:rFonts w:ascii="宋体" w:hAnsi="宋体" w:cs="宋体"/>
                <w:szCs w:val="21"/>
              </w:rPr>
            </w:pPr>
            <w:r>
              <w:rPr>
                <w:rFonts w:hint="eastAsia" w:ascii="宋体" w:hAnsi="宋体" w:cs="宋体"/>
                <w:szCs w:val="21"/>
              </w:rPr>
              <w:t>凤岭南路</w:t>
            </w:r>
          </w:p>
        </w:tc>
        <w:tc>
          <w:tcPr>
            <w:tcW w:w="1335" w:type="dxa"/>
            <w:vAlign w:val="center"/>
          </w:tcPr>
          <w:p w14:paraId="388AE7B5">
            <w:pPr>
              <w:jc w:val="center"/>
              <w:rPr>
                <w:rFonts w:ascii="宋体" w:hAnsi="宋体" w:cs="宋体"/>
                <w:szCs w:val="21"/>
              </w:rPr>
            </w:pPr>
            <w:r>
              <w:rPr>
                <w:rFonts w:hint="eastAsia" w:ascii="宋体" w:hAnsi="宋体" w:cs="宋体"/>
                <w:szCs w:val="21"/>
              </w:rPr>
              <w:t>1000</w:t>
            </w:r>
          </w:p>
        </w:tc>
        <w:tc>
          <w:tcPr>
            <w:tcW w:w="1230" w:type="dxa"/>
            <w:vAlign w:val="center"/>
          </w:tcPr>
          <w:p w14:paraId="3999E08F">
            <w:pPr>
              <w:jc w:val="center"/>
              <w:rPr>
                <w:rFonts w:ascii="宋体" w:hAnsi="宋体" w:cs="宋体"/>
                <w:szCs w:val="21"/>
              </w:rPr>
            </w:pPr>
            <w:r>
              <w:rPr>
                <w:rFonts w:hint="eastAsia" w:ascii="宋体" w:hAnsi="宋体" w:cs="宋体"/>
                <w:szCs w:val="21"/>
              </w:rPr>
              <w:t>29.3</w:t>
            </w:r>
          </w:p>
        </w:tc>
        <w:tc>
          <w:tcPr>
            <w:tcW w:w="1260" w:type="dxa"/>
            <w:vAlign w:val="center"/>
          </w:tcPr>
          <w:p w14:paraId="04A3E5C9">
            <w:pPr>
              <w:jc w:val="center"/>
              <w:rPr>
                <w:rFonts w:ascii="宋体" w:hAnsi="宋体" w:cs="宋体"/>
                <w:szCs w:val="21"/>
              </w:rPr>
            </w:pPr>
            <w:r>
              <w:rPr>
                <w:rFonts w:hint="eastAsia" w:ascii="宋体" w:hAnsi="宋体" w:cs="宋体"/>
                <w:szCs w:val="21"/>
              </w:rPr>
              <w:t>5.5</w:t>
            </w:r>
          </w:p>
        </w:tc>
      </w:tr>
      <w:tr w14:paraId="2020F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5B0C68FB">
            <w:pPr>
              <w:jc w:val="center"/>
              <w:rPr>
                <w:rFonts w:ascii="宋体" w:hAnsi="宋体" w:cs="宋体"/>
                <w:szCs w:val="21"/>
              </w:rPr>
            </w:pPr>
            <w:r>
              <w:rPr>
                <w:rFonts w:hint="eastAsia" w:ascii="宋体" w:hAnsi="宋体" w:cs="宋体"/>
                <w:szCs w:val="21"/>
              </w:rPr>
              <w:t>6</w:t>
            </w:r>
          </w:p>
        </w:tc>
        <w:tc>
          <w:tcPr>
            <w:tcW w:w="2635" w:type="dxa"/>
            <w:vAlign w:val="center"/>
          </w:tcPr>
          <w:p w14:paraId="1C31890A">
            <w:pPr>
              <w:jc w:val="center"/>
              <w:rPr>
                <w:rFonts w:ascii="宋体" w:hAnsi="宋体" w:cs="宋体"/>
                <w:szCs w:val="21"/>
              </w:rPr>
            </w:pPr>
            <w:r>
              <w:rPr>
                <w:rFonts w:hint="eastAsia" w:ascii="宋体" w:hAnsi="宋体" w:cs="宋体"/>
                <w:szCs w:val="21"/>
              </w:rPr>
              <w:t>下穿青秀路隧道</w:t>
            </w:r>
          </w:p>
        </w:tc>
        <w:tc>
          <w:tcPr>
            <w:tcW w:w="1775" w:type="dxa"/>
            <w:vAlign w:val="center"/>
          </w:tcPr>
          <w:p w14:paraId="2CCEFEC7">
            <w:pPr>
              <w:jc w:val="center"/>
              <w:rPr>
                <w:rFonts w:ascii="宋体" w:hAnsi="宋体" w:cs="宋体"/>
                <w:szCs w:val="21"/>
              </w:rPr>
            </w:pPr>
            <w:r>
              <w:rPr>
                <w:rFonts w:hint="eastAsia" w:ascii="宋体" w:hAnsi="宋体" w:cs="宋体"/>
                <w:szCs w:val="21"/>
              </w:rPr>
              <w:t>民族大道</w:t>
            </w:r>
          </w:p>
        </w:tc>
        <w:tc>
          <w:tcPr>
            <w:tcW w:w="1335" w:type="dxa"/>
            <w:vAlign w:val="center"/>
          </w:tcPr>
          <w:p w14:paraId="4C62B7DE">
            <w:pPr>
              <w:jc w:val="center"/>
              <w:rPr>
                <w:rFonts w:ascii="宋体" w:hAnsi="宋体" w:cs="宋体"/>
                <w:szCs w:val="21"/>
              </w:rPr>
            </w:pPr>
            <w:r>
              <w:rPr>
                <w:rFonts w:hint="eastAsia" w:ascii="宋体" w:hAnsi="宋体" w:cs="宋体"/>
                <w:szCs w:val="21"/>
              </w:rPr>
              <w:t>530</w:t>
            </w:r>
          </w:p>
        </w:tc>
        <w:tc>
          <w:tcPr>
            <w:tcW w:w="1230" w:type="dxa"/>
            <w:vAlign w:val="center"/>
          </w:tcPr>
          <w:p w14:paraId="62C68A7C">
            <w:pPr>
              <w:jc w:val="center"/>
              <w:rPr>
                <w:rFonts w:ascii="宋体" w:hAnsi="宋体" w:cs="宋体"/>
                <w:szCs w:val="21"/>
              </w:rPr>
            </w:pPr>
            <w:r>
              <w:rPr>
                <w:rFonts w:hint="eastAsia" w:ascii="宋体" w:hAnsi="宋体" w:cs="宋体"/>
                <w:szCs w:val="21"/>
              </w:rPr>
              <w:t>27.5</w:t>
            </w:r>
          </w:p>
        </w:tc>
        <w:tc>
          <w:tcPr>
            <w:tcW w:w="1260" w:type="dxa"/>
            <w:vAlign w:val="center"/>
          </w:tcPr>
          <w:p w14:paraId="3C4864E0">
            <w:pPr>
              <w:jc w:val="center"/>
              <w:rPr>
                <w:rFonts w:ascii="宋体" w:hAnsi="宋体" w:cs="宋体"/>
                <w:szCs w:val="21"/>
              </w:rPr>
            </w:pPr>
            <w:r>
              <w:rPr>
                <w:rFonts w:hint="eastAsia" w:ascii="宋体" w:hAnsi="宋体" w:cs="宋体"/>
                <w:szCs w:val="21"/>
              </w:rPr>
              <w:t>5.5</w:t>
            </w:r>
          </w:p>
        </w:tc>
      </w:tr>
      <w:tr w14:paraId="22C7DB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7A5CC496">
            <w:pPr>
              <w:jc w:val="center"/>
              <w:rPr>
                <w:rFonts w:ascii="宋体" w:hAnsi="宋体" w:cs="宋体"/>
                <w:szCs w:val="21"/>
              </w:rPr>
            </w:pPr>
            <w:r>
              <w:rPr>
                <w:rFonts w:hint="eastAsia" w:ascii="宋体" w:hAnsi="宋体" w:cs="宋体"/>
                <w:szCs w:val="21"/>
              </w:rPr>
              <w:t>7</w:t>
            </w:r>
          </w:p>
        </w:tc>
        <w:tc>
          <w:tcPr>
            <w:tcW w:w="2635" w:type="dxa"/>
            <w:vAlign w:val="center"/>
          </w:tcPr>
          <w:p w14:paraId="595454FE">
            <w:pPr>
              <w:jc w:val="center"/>
              <w:rPr>
                <w:rFonts w:ascii="宋体" w:hAnsi="宋体" w:cs="宋体"/>
                <w:szCs w:val="21"/>
              </w:rPr>
            </w:pPr>
            <w:r>
              <w:rPr>
                <w:rFonts w:hint="eastAsia" w:ascii="宋体" w:hAnsi="宋体" w:cs="宋体"/>
                <w:szCs w:val="21"/>
              </w:rPr>
              <w:t>青秀山大门隧道</w:t>
            </w:r>
          </w:p>
        </w:tc>
        <w:tc>
          <w:tcPr>
            <w:tcW w:w="1775" w:type="dxa"/>
            <w:vAlign w:val="center"/>
          </w:tcPr>
          <w:p w14:paraId="594909CF">
            <w:pPr>
              <w:jc w:val="center"/>
              <w:rPr>
                <w:rFonts w:ascii="宋体" w:hAnsi="宋体" w:cs="宋体"/>
                <w:szCs w:val="21"/>
              </w:rPr>
            </w:pPr>
            <w:r>
              <w:rPr>
                <w:rFonts w:hint="eastAsia" w:ascii="宋体" w:hAnsi="宋体" w:cs="宋体"/>
                <w:szCs w:val="21"/>
              </w:rPr>
              <w:t>英华路</w:t>
            </w:r>
          </w:p>
        </w:tc>
        <w:tc>
          <w:tcPr>
            <w:tcW w:w="1335" w:type="dxa"/>
            <w:vAlign w:val="center"/>
          </w:tcPr>
          <w:p w14:paraId="49A0C2AE">
            <w:pPr>
              <w:jc w:val="center"/>
              <w:rPr>
                <w:rFonts w:ascii="宋体" w:hAnsi="宋体" w:cs="宋体"/>
                <w:szCs w:val="21"/>
              </w:rPr>
            </w:pPr>
            <w:r>
              <w:rPr>
                <w:rFonts w:hint="eastAsia" w:ascii="宋体" w:hAnsi="宋体" w:cs="宋体"/>
                <w:szCs w:val="21"/>
              </w:rPr>
              <w:t>318.4</w:t>
            </w:r>
          </w:p>
        </w:tc>
        <w:tc>
          <w:tcPr>
            <w:tcW w:w="1230" w:type="dxa"/>
            <w:vAlign w:val="center"/>
          </w:tcPr>
          <w:p w14:paraId="6217DCF4">
            <w:pPr>
              <w:jc w:val="center"/>
              <w:rPr>
                <w:rFonts w:ascii="宋体" w:hAnsi="宋体" w:cs="宋体"/>
                <w:szCs w:val="21"/>
              </w:rPr>
            </w:pPr>
            <w:r>
              <w:rPr>
                <w:rFonts w:hint="eastAsia" w:ascii="宋体" w:hAnsi="宋体" w:cs="宋体"/>
                <w:szCs w:val="21"/>
              </w:rPr>
              <w:t>23</w:t>
            </w:r>
          </w:p>
        </w:tc>
        <w:tc>
          <w:tcPr>
            <w:tcW w:w="1260" w:type="dxa"/>
            <w:vAlign w:val="center"/>
          </w:tcPr>
          <w:p w14:paraId="7CB2FE55">
            <w:pPr>
              <w:jc w:val="center"/>
              <w:rPr>
                <w:rFonts w:ascii="宋体" w:hAnsi="宋体" w:cs="宋体"/>
                <w:szCs w:val="21"/>
              </w:rPr>
            </w:pPr>
            <w:r>
              <w:rPr>
                <w:rFonts w:hint="eastAsia" w:ascii="宋体" w:hAnsi="宋体" w:cs="宋体"/>
                <w:szCs w:val="21"/>
              </w:rPr>
              <w:t>≥5</w:t>
            </w:r>
          </w:p>
        </w:tc>
      </w:tr>
      <w:tr w14:paraId="258FF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60" w:hRule="atLeast"/>
        </w:trPr>
        <w:tc>
          <w:tcPr>
            <w:tcW w:w="1080" w:type="dxa"/>
            <w:vAlign w:val="center"/>
          </w:tcPr>
          <w:p w14:paraId="1609258C">
            <w:pPr>
              <w:jc w:val="center"/>
              <w:rPr>
                <w:rFonts w:ascii="宋体" w:hAnsi="宋体" w:cs="宋体"/>
                <w:szCs w:val="21"/>
              </w:rPr>
            </w:pPr>
            <w:r>
              <w:rPr>
                <w:rFonts w:hint="eastAsia" w:ascii="宋体" w:hAnsi="宋体" w:cs="宋体"/>
                <w:szCs w:val="21"/>
              </w:rPr>
              <w:t>8</w:t>
            </w:r>
          </w:p>
        </w:tc>
        <w:tc>
          <w:tcPr>
            <w:tcW w:w="2635" w:type="dxa"/>
            <w:vAlign w:val="center"/>
          </w:tcPr>
          <w:p w14:paraId="2BD0713B">
            <w:pPr>
              <w:jc w:val="center"/>
              <w:rPr>
                <w:rFonts w:ascii="宋体" w:hAnsi="宋体" w:cs="宋体"/>
                <w:szCs w:val="21"/>
              </w:rPr>
            </w:pPr>
            <w:r>
              <w:rPr>
                <w:rFonts w:hint="eastAsia" w:ascii="宋体" w:hAnsi="宋体" w:cs="宋体"/>
                <w:szCs w:val="21"/>
              </w:rPr>
              <w:t>下穿高坡岭长堽路隧道</w:t>
            </w:r>
          </w:p>
        </w:tc>
        <w:tc>
          <w:tcPr>
            <w:tcW w:w="1775" w:type="dxa"/>
            <w:vAlign w:val="center"/>
          </w:tcPr>
          <w:p w14:paraId="5ECC29B0">
            <w:pPr>
              <w:jc w:val="center"/>
              <w:rPr>
                <w:rFonts w:ascii="宋体" w:hAnsi="宋体" w:cs="宋体"/>
                <w:szCs w:val="21"/>
              </w:rPr>
            </w:pPr>
            <w:r>
              <w:rPr>
                <w:rFonts w:hint="eastAsia" w:ascii="宋体" w:hAnsi="宋体" w:cs="宋体"/>
                <w:szCs w:val="21"/>
              </w:rPr>
              <w:t>东环高改快</w:t>
            </w:r>
          </w:p>
        </w:tc>
        <w:tc>
          <w:tcPr>
            <w:tcW w:w="1335" w:type="dxa"/>
            <w:vAlign w:val="center"/>
          </w:tcPr>
          <w:p w14:paraId="1EB72D75">
            <w:pPr>
              <w:jc w:val="center"/>
              <w:rPr>
                <w:rFonts w:ascii="宋体" w:hAnsi="宋体" w:cs="宋体"/>
                <w:szCs w:val="21"/>
              </w:rPr>
            </w:pPr>
            <w:r>
              <w:rPr>
                <w:rFonts w:hint="eastAsia" w:ascii="宋体" w:hAnsi="宋体" w:cs="宋体"/>
                <w:szCs w:val="21"/>
              </w:rPr>
              <w:t>左线105.4</w:t>
            </w:r>
          </w:p>
          <w:p w14:paraId="20BFBCB0">
            <w:pPr>
              <w:jc w:val="center"/>
              <w:rPr>
                <w:rFonts w:ascii="宋体" w:hAnsi="宋体" w:cs="宋体"/>
                <w:szCs w:val="21"/>
              </w:rPr>
            </w:pPr>
            <w:r>
              <w:rPr>
                <w:rFonts w:hint="eastAsia" w:ascii="宋体" w:hAnsi="宋体" w:cs="宋体"/>
                <w:szCs w:val="21"/>
              </w:rPr>
              <w:t>中线122.8右线228.3</w:t>
            </w:r>
          </w:p>
        </w:tc>
        <w:tc>
          <w:tcPr>
            <w:tcW w:w="1230" w:type="dxa"/>
            <w:vAlign w:val="center"/>
          </w:tcPr>
          <w:p w14:paraId="63954561">
            <w:pPr>
              <w:jc w:val="center"/>
              <w:rPr>
                <w:rFonts w:ascii="宋体" w:hAnsi="宋体" w:cs="宋体"/>
                <w:szCs w:val="21"/>
              </w:rPr>
            </w:pPr>
            <w:r>
              <w:rPr>
                <w:rFonts w:hint="eastAsia" w:ascii="宋体" w:hAnsi="宋体" w:cs="宋体"/>
                <w:szCs w:val="21"/>
              </w:rPr>
              <w:t>左线16.45中线37.2右线24.7</w:t>
            </w:r>
          </w:p>
        </w:tc>
        <w:tc>
          <w:tcPr>
            <w:tcW w:w="1260" w:type="dxa"/>
            <w:vAlign w:val="center"/>
          </w:tcPr>
          <w:p w14:paraId="12B5C14A">
            <w:pPr>
              <w:jc w:val="center"/>
              <w:rPr>
                <w:rFonts w:ascii="宋体" w:hAnsi="宋体" w:cs="宋体"/>
                <w:szCs w:val="21"/>
              </w:rPr>
            </w:pPr>
            <w:r>
              <w:rPr>
                <w:rFonts w:hint="eastAsia" w:ascii="宋体" w:hAnsi="宋体" w:cs="宋体"/>
                <w:szCs w:val="21"/>
              </w:rPr>
              <w:t>≥5.5</w:t>
            </w:r>
          </w:p>
        </w:tc>
      </w:tr>
      <w:tr w14:paraId="1F78D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13" w:hRule="atLeast"/>
        </w:trPr>
        <w:tc>
          <w:tcPr>
            <w:tcW w:w="1080" w:type="dxa"/>
            <w:vAlign w:val="center"/>
          </w:tcPr>
          <w:p w14:paraId="43F16A2A">
            <w:pPr>
              <w:jc w:val="center"/>
              <w:rPr>
                <w:rFonts w:ascii="宋体" w:hAnsi="宋体" w:cs="宋体"/>
                <w:szCs w:val="21"/>
              </w:rPr>
            </w:pPr>
            <w:r>
              <w:rPr>
                <w:rFonts w:hint="eastAsia" w:ascii="宋体" w:hAnsi="宋体" w:cs="宋体"/>
                <w:szCs w:val="21"/>
              </w:rPr>
              <w:t>9</w:t>
            </w:r>
          </w:p>
        </w:tc>
        <w:tc>
          <w:tcPr>
            <w:tcW w:w="2635" w:type="dxa"/>
            <w:vAlign w:val="center"/>
          </w:tcPr>
          <w:p w14:paraId="4638A0AA">
            <w:pPr>
              <w:jc w:val="center"/>
              <w:rPr>
                <w:rFonts w:ascii="宋体" w:hAnsi="宋体" w:cs="宋体"/>
                <w:szCs w:val="21"/>
              </w:rPr>
            </w:pPr>
            <w:r>
              <w:rPr>
                <w:rFonts w:hint="eastAsia" w:ascii="宋体" w:hAnsi="宋体" w:cs="宋体"/>
                <w:szCs w:val="21"/>
              </w:rPr>
              <w:t>银象市政隧道</w:t>
            </w:r>
          </w:p>
        </w:tc>
        <w:tc>
          <w:tcPr>
            <w:tcW w:w="1775" w:type="dxa"/>
            <w:vAlign w:val="center"/>
          </w:tcPr>
          <w:p w14:paraId="4B323C2A">
            <w:pPr>
              <w:jc w:val="center"/>
              <w:rPr>
                <w:rFonts w:ascii="宋体" w:hAnsi="宋体" w:cs="宋体"/>
                <w:szCs w:val="21"/>
              </w:rPr>
            </w:pPr>
            <w:r>
              <w:rPr>
                <w:rFonts w:hint="eastAsia" w:ascii="宋体" w:hAnsi="宋体" w:cs="宋体"/>
                <w:szCs w:val="21"/>
              </w:rPr>
              <w:t>银海大道</w:t>
            </w:r>
          </w:p>
        </w:tc>
        <w:tc>
          <w:tcPr>
            <w:tcW w:w="1335" w:type="dxa"/>
            <w:vAlign w:val="center"/>
          </w:tcPr>
          <w:p w14:paraId="5FCC3BC7">
            <w:pPr>
              <w:jc w:val="center"/>
              <w:rPr>
                <w:rFonts w:ascii="宋体" w:hAnsi="宋体" w:cs="宋体"/>
                <w:szCs w:val="21"/>
              </w:rPr>
            </w:pPr>
            <w:r>
              <w:rPr>
                <w:rFonts w:hint="eastAsia" w:ascii="宋体" w:hAnsi="宋体" w:cs="宋体"/>
                <w:szCs w:val="21"/>
              </w:rPr>
              <w:t>204</w:t>
            </w:r>
          </w:p>
        </w:tc>
        <w:tc>
          <w:tcPr>
            <w:tcW w:w="1230" w:type="dxa"/>
            <w:vAlign w:val="center"/>
          </w:tcPr>
          <w:p w14:paraId="143651AE">
            <w:pPr>
              <w:jc w:val="center"/>
              <w:rPr>
                <w:rFonts w:ascii="宋体" w:hAnsi="宋体" w:cs="宋体"/>
                <w:szCs w:val="21"/>
              </w:rPr>
            </w:pPr>
            <w:r>
              <w:rPr>
                <w:rFonts w:hint="eastAsia" w:ascii="宋体" w:hAnsi="宋体" w:cs="宋体"/>
                <w:szCs w:val="21"/>
              </w:rPr>
              <w:t>27.5</w:t>
            </w:r>
          </w:p>
        </w:tc>
        <w:tc>
          <w:tcPr>
            <w:tcW w:w="1260" w:type="dxa"/>
            <w:vAlign w:val="center"/>
          </w:tcPr>
          <w:p w14:paraId="3DFCEA42">
            <w:pPr>
              <w:jc w:val="center"/>
              <w:rPr>
                <w:rFonts w:ascii="宋体" w:hAnsi="宋体" w:cs="宋体"/>
                <w:szCs w:val="21"/>
              </w:rPr>
            </w:pPr>
            <w:r>
              <w:rPr>
                <w:rFonts w:hint="eastAsia" w:ascii="宋体" w:hAnsi="宋体" w:cs="宋体"/>
                <w:szCs w:val="21"/>
              </w:rPr>
              <w:t>5.5</w:t>
            </w:r>
          </w:p>
        </w:tc>
      </w:tr>
      <w:tr w14:paraId="5B263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0" w:hRule="atLeast"/>
        </w:trPr>
        <w:tc>
          <w:tcPr>
            <w:tcW w:w="1080" w:type="dxa"/>
            <w:vAlign w:val="center"/>
          </w:tcPr>
          <w:p w14:paraId="0A6F2867">
            <w:pPr>
              <w:jc w:val="center"/>
              <w:rPr>
                <w:rFonts w:ascii="宋体" w:hAnsi="宋体" w:cs="宋体"/>
                <w:szCs w:val="21"/>
              </w:rPr>
            </w:pPr>
            <w:r>
              <w:rPr>
                <w:rFonts w:hint="eastAsia" w:ascii="宋体" w:hAnsi="宋体" w:cs="宋体"/>
                <w:szCs w:val="21"/>
              </w:rPr>
              <w:t>10</w:t>
            </w:r>
          </w:p>
        </w:tc>
        <w:tc>
          <w:tcPr>
            <w:tcW w:w="2635" w:type="dxa"/>
            <w:vAlign w:val="center"/>
          </w:tcPr>
          <w:p w14:paraId="2D0560F3">
            <w:pPr>
              <w:jc w:val="center"/>
              <w:rPr>
                <w:rFonts w:ascii="宋体" w:hAnsi="宋体" w:cs="宋体"/>
                <w:szCs w:val="21"/>
              </w:rPr>
            </w:pPr>
            <w:r>
              <w:rPr>
                <w:rFonts w:hint="eastAsia" w:ascii="宋体" w:hAnsi="宋体" w:cs="宋体"/>
                <w:szCs w:val="21"/>
              </w:rPr>
              <w:t>五象大道地道</w:t>
            </w:r>
          </w:p>
        </w:tc>
        <w:tc>
          <w:tcPr>
            <w:tcW w:w="1775" w:type="dxa"/>
            <w:vAlign w:val="center"/>
          </w:tcPr>
          <w:p w14:paraId="2BD16201">
            <w:pPr>
              <w:jc w:val="center"/>
              <w:rPr>
                <w:rFonts w:ascii="宋体" w:hAnsi="宋体" w:cs="宋体"/>
                <w:szCs w:val="21"/>
              </w:rPr>
            </w:pPr>
            <w:r>
              <w:rPr>
                <w:rFonts w:hint="eastAsia" w:ascii="宋体" w:hAnsi="宋体" w:cs="宋体"/>
                <w:szCs w:val="21"/>
              </w:rPr>
              <w:t>五象大道</w:t>
            </w:r>
          </w:p>
        </w:tc>
        <w:tc>
          <w:tcPr>
            <w:tcW w:w="1335" w:type="dxa"/>
            <w:vAlign w:val="center"/>
          </w:tcPr>
          <w:p w14:paraId="0E0D9F23">
            <w:pPr>
              <w:jc w:val="center"/>
              <w:rPr>
                <w:rFonts w:ascii="宋体" w:hAnsi="宋体" w:cs="宋体"/>
                <w:szCs w:val="21"/>
              </w:rPr>
            </w:pPr>
            <w:r>
              <w:rPr>
                <w:rFonts w:hint="eastAsia" w:ascii="宋体" w:hAnsi="宋体" w:cs="宋体"/>
                <w:szCs w:val="21"/>
              </w:rPr>
              <w:t>主线435匝道395.8</w:t>
            </w:r>
          </w:p>
        </w:tc>
        <w:tc>
          <w:tcPr>
            <w:tcW w:w="1230" w:type="dxa"/>
            <w:vAlign w:val="center"/>
          </w:tcPr>
          <w:p w14:paraId="5E359362">
            <w:pPr>
              <w:jc w:val="center"/>
              <w:rPr>
                <w:rFonts w:ascii="宋体" w:hAnsi="宋体" w:cs="宋体"/>
                <w:szCs w:val="21"/>
              </w:rPr>
            </w:pPr>
            <w:r>
              <w:rPr>
                <w:rFonts w:hint="eastAsia" w:ascii="宋体" w:hAnsi="宋体" w:cs="宋体"/>
                <w:szCs w:val="21"/>
              </w:rPr>
              <w:t>38.7</w:t>
            </w:r>
          </w:p>
        </w:tc>
        <w:tc>
          <w:tcPr>
            <w:tcW w:w="1260" w:type="dxa"/>
            <w:vAlign w:val="center"/>
          </w:tcPr>
          <w:p w14:paraId="6A14243E">
            <w:pPr>
              <w:jc w:val="center"/>
              <w:rPr>
                <w:rFonts w:ascii="宋体" w:hAnsi="宋体" w:cs="宋体"/>
                <w:szCs w:val="21"/>
              </w:rPr>
            </w:pPr>
            <w:r>
              <w:rPr>
                <w:rFonts w:hint="eastAsia" w:ascii="宋体" w:hAnsi="宋体" w:cs="宋体"/>
                <w:szCs w:val="21"/>
              </w:rPr>
              <w:t>5.0</w:t>
            </w:r>
          </w:p>
        </w:tc>
      </w:tr>
      <w:tr w14:paraId="6B3BB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60" w:hRule="atLeast"/>
        </w:trPr>
        <w:tc>
          <w:tcPr>
            <w:tcW w:w="1080" w:type="dxa"/>
            <w:vAlign w:val="center"/>
          </w:tcPr>
          <w:p w14:paraId="0ADC4798">
            <w:pPr>
              <w:jc w:val="center"/>
              <w:rPr>
                <w:rFonts w:ascii="宋体" w:hAnsi="宋体" w:cs="宋体"/>
                <w:szCs w:val="21"/>
              </w:rPr>
            </w:pPr>
            <w:r>
              <w:rPr>
                <w:rFonts w:hint="eastAsia" w:ascii="宋体" w:hAnsi="宋体" w:cs="宋体"/>
                <w:szCs w:val="21"/>
              </w:rPr>
              <w:t>11</w:t>
            </w:r>
          </w:p>
        </w:tc>
        <w:tc>
          <w:tcPr>
            <w:tcW w:w="2635" w:type="dxa"/>
            <w:vAlign w:val="center"/>
          </w:tcPr>
          <w:p w14:paraId="2B4EC5C8">
            <w:pPr>
              <w:jc w:val="center"/>
              <w:rPr>
                <w:rFonts w:ascii="宋体" w:hAnsi="宋体" w:cs="宋体"/>
                <w:szCs w:val="21"/>
              </w:rPr>
            </w:pPr>
            <w:r>
              <w:rPr>
                <w:rFonts w:hint="eastAsia" w:ascii="宋体" w:hAnsi="宋体" w:cs="宋体"/>
                <w:szCs w:val="21"/>
              </w:rPr>
              <w:t>平乐大道-秋月路立交</w:t>
            </w:r>
          </w:p>
          <w:p w14:paraId="2633E8B4">
            <w:pPr>
              <w:jc w:val="center"/>
              <w:rPr>
                <w:rFonts w:ascii="宋体" w:hAnsi="宋体" w:cs="宋体"/>
                <w:szCs w:val="21"/>
              </w:rPr>
            </w:pPr>
            <w:r>
              <w:rPr>
                <w:rFonts w:hint="eastAsia" w:ascii="宋体" w:hAnsi="宋体" w:cs="宋体"/>
                <w:szCs w:val="21"/>
              </w:rPr>
              <w:t>（下穿通道）</w:t>
            </w:r>
          </w:p>
        </w:tc>
        <w:tc>
          <w:tcPr>
            <w:tcW w:w="1775" w:type="dxa"/>
            <w:vMerge w:val="restart"/>
            <w:vAlign w:val="center"/>
          </w:tcPr>
          <w:p w14:paraId="47C9194F">
            <w:pPr>
              <w:jc w:val="center"/>
              <w:rPr>
                <w:rFonts w:ascii="宋体" w:hAnsi="宋体" w:cs="宋体"/>
                <w:szCs w:val="21"/>
              </w:rPr>
            </w:pPr>
            <w:r>
              <w:rPr>
                <w:rFonts w:hint="eastAsia" w:ascii="宋体" w:hAnsi="宋体" w:cs="宋体"/>
                <w:szCs w:val="21"/>
              </w:rPr>
              <w:t>平乐大道</w:t>
            </w:r>
          </w:p>
        </w:tc>
        <w:tc>
          <w:tcPr>
            <w:tcW w:w="1335" w:type="dxa"/>
            <w:vAlign w:val="center"/>
          </w:tcPr>
          <w:p w14:paraId="1AF616D8">
            <w:pPr>
              <w:jc w:val="center"/>
              <w:rPr>
                <w:rFonts w:ascii="宋体" w:hAnsi="宋体" w:cs="宋体"/>
                <w:szCs w:val="21"/>
              </w:rPr>
            </w:pPr>
            <w:r>
              <w:rPr>
                <w:rFonts w:hint="eastAsia" w:ascii="宋体" w:hAnsi="宋体" w:cs="宋体"/>
                <w:szCs w:val="21"/>
              </w:rPr>
              <w:t>65.508</w:t>
            </w:r>
          </w:p>
        </w:tc>
        <w:tc>
          <w:tcPr>
            <w:tcW w:w="1230" w:type="dxa"/>
            <w:vAlign w:val="center"/>
          </w:tcPr>
          <w:p w14:paraId="799B77DC">
            <w:pPr>
              <w:jc w:val="center"/>
              <w:rPr>
                <w:rFonts w:ascii="宋体" w:hAnsi="宋体" w:cs="宋体"/>
                <w:szCs w:val="21"/>
              </w:rPr>
            </w:pPr>
            <w:r>
              <w:rPr>
                <w:rFonts w:hint="eastAsia" w:ascii="宋体" w:hAnsi="宋体" w:cs="宋体"/>
                <w:szCs w:val="21"/>
              </w:rPr>
              <w:t>30</w:t>
            </w:r>
          </w:p>
        </w:tc>
        <w:tc>
          <w:tcPr>
            <w:tcW w:w="1260" w:type="dxa"/>
            <w:vAlign w:val="center"/>
          </w:tcPr>
          <w:p w14:paraId="2C748932">
            <w:pPr>
              <w:jc w:val="center"/>
              <w:rPr>
                <w:rFonts w:ascii="宋体" w:hAnsi="宋体" w:cs="宋体"/>
                <w:szCs w:val="21"/>
              </w:rPr>
            </w:pPr>
            <w:r>
              <w:rPr>
                <w:rFonts w:hint="eastAsia" w:ascii="宋体" w:hAnsi="宋体" w:cs="宋体"/>
                <w:szCs w:val="21"/>
              </w:rPr>
              <w:t>≥5</w:t>
            </w:r>
          </w:p>
        </w:tc>
      </w:tr>
      <w:tr w14:paraId="0489CE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81" w:hRule="atLeast"/>
        </w:trPr>
        <w:tc>
          <w:tcPr>
            <w:tcW w:w="1080" w:type="dxa"/>
            <w:vAlign w:val="center"/>
          </w:tcPr>
          <w:p w14:paraId="106E30A6">
            <w:pPr>
              <w:jc w:val="center"/>
              <w:rPr>
                <w:rFonts w:ascii="宋体" w:hAnsi="宋体" w:cs="宋体"/>
                <w:szCs w:val="21"/>
              </w:rPr>
            </w:pPr>
            <w:r>
              <w:rPr>
                <w:rFonts w:hint="eastAsia" w:ascii="宋体" w:hAnsi="宋体" w:cs="宋体"/>
                <w:szCs w:val="21"/>
              </w:rPr>
              <w:t>12</w:t>
            </w:r>
          </w:p>
        </w:tc>
        <w:tc>
          <w:tcPr>
            <w:tcW w:w="2635" w:type="dxa"/>
            <w:vAlign w:val="center"/>
          </w:tcPr>
          <w:p w14:paraId="515C0B2B">
            <w:pPr>
              <w:jc w:val="center"/>
              <w:rPr>
                <w:rFonts w:ascii="宋体" w:hAnsi="宋体" w:cs="宋体"/>
                <w:szCs w:val="21"/>
              </w:rPr>
            </w:pPr>
            <w:r>
              <w:rPr>
                <w:rFonts w:hint="eastAsia" w:ascii="宋体" w:hAnsi="宋体" w:cs="宋体"/>
                <w:szCs w:val="21"/>
              </w:rPr>
              <w:t>歌海路-平乐大道立交</w:t>
            </w:r>
          </w:p>
          <w:p w14:paraId="39BCCEA5">
            <w:pPr>
              <w:jc w:val="center"/>
              <w:rPr>
                <w:rFonts w:ascii="宋体" w:hAnsi="宋体" w:cs="宋体"/>
                <w:szCs w:val="21"/>
              </w:rPr>
            </w:pPr>
            <w:r>
              <w:rPr>
                <w:rFonts w:hint="eastAsia" w:ascii="宋体" w:hAnsi="宋体" w:cs="宋体"/>
                <w:szCs w:val="21"/>
              </w:rPr>
              <w:t>（下穿通道）</w:t>
            </w:r>
          </w:p>
        </w:tc>
        <w:tc>
          <w:tcPr>
            <w:tcW w:w="1775" w:type="dxa"/>
            <w:vMerge w:val="continue"/>
            <w:vAlign w:val="center"/>
          </w:tcPr>
          <w:p w14:paraId="0B31782C">
            <w:pPr>
              <w:jc w:val="center"/>
              <w:rPr>
                <w:rFonts w:ascii="宋体" w:hAnsi="宋体" w:cs="宋体"/>
                <w:szCs w:val="21"/>
              </w:rPr>
            </w:pPr>
          </w:p>
        </w:tc>
        <w:tc>
          <w:tcPr>
            <w:tcW w:w="1335" w:type="dxa"/>
            <w:vAlign w:val="center"/>
          </w:tcPr>
          <w:p w14:paraId="716865BD">
            <w:pPr>
              <w:jc w:val="center"/>
              <w:rPr>
                <w:rFonts w:ascii="宋体" w:hAnsi="宋体" w:cs="宋体"/>
                <w:szCs w:val="21"/>
              </w:rPr>
            </w:pPr>
            <w:r>
              <w:rPr>
                <w:rFonts w:hint="eastAsia" w:ascii="宋体" w:hAnsi="宋体" w:cs="宋体"/>
                <w:szCs w:val="21"/>
              </w:rPr>
              <w:t>64</w:t>
            </w:r>
          </w:p>
        </w:tc>
        <w:tc>
          <w:tcPr>
            <w:tcW w:w="1230" w:type="dxa"/>
            <w:vAlign w:val="center"/>
          </w:tcPr>
          <w:p w14:paraId="61441E6F">
            <w:pPr>
              <w:jc w:val="center"/>
              <w:rPr>
                <w:rFonts w:ascii="宋体" w:hAnsi="宋体" w:cs="宋体"/>
                <w:szCs w:val="21"/>
              </w:rPr>
            </w:pPr>
            <w:r>
              <w:rPr>
                <w:rFonts w:hint="eastAsia" w:ascii="宋体" w:hAnsi="宋体" w:cs="宋体"/>
                <w:szCs w:val="21"/>
              </w:rPr>
              <w:t>30.5</w:t>
            </w:r>
          </w:p>
        </w:tc>
        <w:tc>
          <w:tcPr>
            <w:tcW w:w="1260" w:type="dxa"/>
            <w:vAlign w:val="center"/>
          </w:tcPr>
          <w:p w14:paraId="334CBB05">
            <w:pPr>
              <w:jc w:val="center"/>
              <w:rPr>
                <w:rFonts w:ascii="宋体" w:hAnsi="宋体" w:cs="宋体"/>
                <w:szCs w:val="21"/>
              </w:rPr>
            </w:pPr>
            <w:r>
              <w:rPr>
                <w:rFonts w:hint="eastAsia" w:ascii="宋体" w:hAnsi="宋体" w:cs="宋体"/>
                <w:szCs w:val="21"/>
              </w:rPr>
              <w:t>≥5</w:t>
            </w:r>
          </w:p>
        </w:tc>
      </w:tr>
      <w:tr w14:paraId="0B1DB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1080" w:type="dxa"/>
            <w:vAlign w:val="center"/>
          </w:tcPr>
          <w:p w14:paraId="47A41468">
            <w:pPr>
              <w:jc w:val="center"/>
              <w:rPr>
                <w:rFonts w:ascii="宋体" w:hAnsi="宋体" w:cs="宋体"/>
                <w:szCs w:val="21"/>
              </w:rPr>
            </w:pPr>
            <w:r>
              <w:rPr>
                <w:rFonts w:hint="eastAsia" w:ascii="宋体" w:hAnsi="宋体" w:cs="宋体"/>
                <w:szCs w:val="21"/>
              </w:rPr>
              <w:t>13</w:t>
            </w:r>
          </w:p>
        </w:tc>
        <w:tc>
          <w:tcPr>
            <w:tcW w:w="2635" w:type="dxa"/>
            <w:vAlign w:val="center"/>
          </w:tcPr>
          <w:p w14:paraId="291C3E97">
            <w:pPr>
              <w:jc w:val="center"/>
              <w:rPr>
                <w:rFonts w:ascii="宋体" w:hAnsi="宋体" w:cs="宋体"/>
                <w:szCs w:val="21"/>
              </w:rPr>
            </w:pPr>
            <w:r>
              <w:rPr>
                <w:rFonts w:hint="eastAsia" w:ascii="宋体" w:hAnsi="宋体" w:cs="宋体"/>
                <w:szCs w:val="21"/>
              </w:rPr>
              <w:t>连福—安吉立交</w:t>
            </w:r>
          </w:p>
          <w:p w14:paraId="4D111EF8">
            <w:pPr>
              <w:jc w:val="center"/>
              <w:rPr>
                <w:rFonts w:ascii="宋体" w:hAnsi="宋体" w:cs="宋体"/>
                <w:szCs w:val="21"/>
              </w:rPr>
            </w:pPr>
            <w:r>
              <w:rPr>
                <w:rFonts w:hint="eastAsia" w:ascii="宋体" w:hAnsi="宋体" w:cs="宋体"/>
                <w:szCs w:val="21"/>
              </w:rPr>
              <w:t>（下穿隧道）</w:t>
            </w:r>
          </w:p>
        </w:tc>
        <w:tc>
          <w:tcPr>
            <w:tcW w:w="1775" w:type="dxa"/>
            <w:vAlign w:val="center"/>
          </w:tcPr>
          <w:p w14:paraId="485ACADB">
            <w:pPr>
              <w:jc w:val="center"/>
              <w:rPr>
                <w:rFonts w:ascii="宋体" w:hAnsi="宋体" w:cs="宋体"/>
                <w:szCs w:val="21"/>
              </w:rPr>
            </w:pPr>
            <w:r>
              <w:rPr>
                <w:rFonts w:hint="eastAsia" w:ascii="宋体" w:hAnsi="宋体" w:cs="宋体"/>
                <w:szCs w:val="21"/>
              </w:rPr>
              <w:t>安吉大道</w:t>
            </w:r>
          </w:p>
        </w:tc>
        <w:tc>
          <w:tcPr>
            <w:tcW w:w="1335" w:type="dxa"/>
            <w:vAlign w:val="center"/>
          </w:tcPr>
          <w:p w14:paraId="6798BA73">
            <w:pPr>
              <w:jc w:val="center"/>
              <w:rPr>
                <w:rFonts w:ascii="宋体" w:hAnsi="宋体" w:cs="宋体"/>
                <w:szCs w:val="21"/>
              </w:rPr>
            </w:pPr>
            <w:r>
              <w:rPr>
                <w:rFonts w:hint="eastAsia" w:ascii="宋体" w:hAnsi="宋体" w:cs="宋体"/>
                <w:szCs w:val="21"/>
              </w:rPr>
              <w:t>410</w:t>
            </w:r>
          </w:p>
        </w:tc>
        <w:tc>
          <w:tcPr>
            <w:tcW w:w="1230" w:type="dxa"/>
            <w:vAlign w:val="center"/>
          </w:tcPr>
          <w:p w14:paraId="340D8045">
            <w:pPr>
              <w:jc w:val="center"/>
              <w:rPr>
                <w:rFonts w:ascii="宋体" w:hAnsi="宋体" w:cs="宋体"/>
                <w:szCs w:val="21"/>
              </w:rPr>
            </w:pPr>
            <w:r>
              <w:rPr>
                <w:rFonts w:hint="eastAsia" w:ascii="宋体" w:hAnsi="宋体" w:cs="宋体"/>
                <w:szCs w:val="21"/>
              </w:rPr>
              <w:t>27.8</w:t>
            </w:r>
          </w:p>
        </w:tc>
        <w:tc>
          <w:tcPr>
            <w:tcW w:w="1260" w:type="dxa"/>
            <w:vAlign w:val="center"/>
          </w:tcPr>
          <w:p w14:paraId="762B3A0F">
            <w:pPr>
              <w:jc w:val="center"/>
              <w:rPr>
                <w:rFonts w:ascii="宋体" w:hAnsi="宋体" w:cs="宋体"/>
                <w:szCs w:val="21"/>
              </w:rPr>
            </w:pPr>
            <w:r>
              <w:rPr>
                <w:rFonts w:hint="eastAsia" w:ascii="宋体" w:hAnsi="宋体" w:cs="宋体"/>
                <w:szCs w:val="21"/>
              </w:rPr>
              <w:t>≥5</w:t>
            </w:r>
          </w:p>
        </w:tc>
      </w:tr>
      <w:tr w14:paraId="4932E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1080" w:type="dxa"/>
            <w:vAlign w:val="center"/>
          </w:tcPr>
          <w:p w14:paraId="3F47781F">
            <w:pPr>
              <w:jc w:val="center"/>
              <w:rPr>
                <w:rFonts w:ascii="宋体" w:hAnsi="宋体" w:cs="宋体"/>
                <w:szCs w:val="21"/>
              </w:rPr>
            </w:pPr>
            <w:r>
              <w:rPr>
                <w:rFonts w:hint="eastAsia" w:ascii="宋体" w:hAnsi="宋体" w:cs="宋体"/>
                <w:szCs w:val="21"/>
              </w:rPr>
              <w:t>14</w:t>
            </w:r>
          </w:p>
        </w:tc>
        <w:tc>
          <w:tcPr>
            <w:tcW w:w="2635" w:type="dxa"/>
            <w:vAlign w:val="center"/>
          </w:tcPr>
          <w:p w14:paraId="7CD45915">
            <w:pPr>
              <w:jc w:val="center"/>
              <w:rPr>
                <w:rFonts w:ascii="宋体" w:hAnsi="宋体" w:cs="宋体"/>
                <w:szCs w:val="21"/>
              </w:rPr>
            </w:pPr>
            <w:r>
              <w:rPr>
                <w:rFonts w:hint="eastAsia" w:ascii="宋体" w:hAnsi="宋体" w:cs="宋体"/>
                <w:szCs w:val="21"/>
              </w:rPr>
              <w:t>金湖北路下穿东葛路</w:t>
            </w:r>
          </w:p>
          <w:p w14:paraId="2BF3F6F2">
            <w:pPr>
              <w:jc w:val="center"/>
              <w:rPr>
                <w:rFonts w:ascii="宋体" w:hAnsi="宋体" w:cs="宋体"/>
                <w:szCs w:val="21"/>
              </w:rPr>
            </w:pPr>
            <w:r>
              <w:rPr>
                <w:rFonts w:hint="eastAsia" w:ascii="宋体" w:hAnsi="宋体" w:cs="宋体"/>
                <w:szCs w:val="21"/>
              </w:rPr>
              <w:t>通道</w:t>
            </w:r>
          </w:p>
        </w:tc>
        <w:tc>
          <w:tcPr>
            <w:tcW w:w="1775" w:type="dxa"/>
            <w:vMerge w:val="restart"/>
            <w:vAlign w:val="center"/>
          </w:tcPr>
          <w:p w14:paraId="4CB3D5E6">
            <w:pPr>
              <w:jc w:val="center"/>
              <w:rPr>
                <w:rFonts w:ascii="宋体" w:hAnsi="宋体" w:cs="宋体"/>
                <w:szCs w:val="21"/>
              </w:rPr>
            </w:pPr>
            <w:r>
              <w:rPr>
                <w:rFonts w:hint="eastAsia" w:ascii="宋体" w:hAnsi="宋体" w:cs="宋体"/>
                <w:szCs w:val="21"/>
              </w:rPr>
              <w:t>金湖北路</w:t>
            </w:r>
          </w:p>
        </w:tc>
        <w:tc>
          <w:tcPr>
            <w:tcW w:w="1335" w:type="dxa"/>
            <w:vAlign w:val="center"/>
          </w:tcPr>
          <w:p w14:paraId="5DC3BA56">
            <w:pPr>
              <w:jc w:val="center"/>
              <w:rPr>
                <w:rFonts w:ascii="宋体" w:hAnsi="宋体" w:cs="宋体"/>
                <w:szCs w:val="21"/>
              </w:rPr>
            </w:pPr>
            <w:r>
              <w:rPr>
                <w:rFonts w:hint="eastAsia" w:ascii="宋体" w:hAnsi="宋体" w:cs="宋体"/>
                <w:szCs w:val="21"/>
              </w:rPr>
              <w:t>52</w:t>
            </w:r>
          </w:p>
        </w:tc>
        <w:tc>
          <w:tcPr>
            <w:tcW w:w="1230" w:type="dxa"/>
            <w:vAlign w:val="center"/>
          </w:tcPr>
          <w:p w14:paraId="7CA8FEFB">
            <w:pPr>
              <w:jc w:val="center"/>
              <w:rPr>
                <w:rFonts w:ascii="宋体" w:hAnsi="宋体" w:cs="宋体"/>
                <w:szCs w:val="21"/>
              </w:rPr>
            </w:pPr>
            <w:r>
              <w:rPr>
                <w:rFonts w:hint="eastAsia" w:ascii="宋体" w:hAnsi="宋体" w:cs="宋体"/>
                <w:szCs w:val="21"/>
              </w:rPr>
              <w:t>24.1</w:t>
            </w:r>
          </w:p>
        </w:tc>
        <w:tc>
          <w:tcPr>
            <w:tcW w:w="1260" w:type="dxa"/>
            <w:vAlign w:val="center"/>
          </w:tcPr>
          <w:p w14:paraId="2F72D898">
            <w:pPr>
              <w:jc w:val="center"/>
              <w:rPr>
                <w:rFonts w:ascii="宋体" w:hAnsi="宋体" w:cs="宋体"/>
                <w:szCs w:val="21"/>
              </w:rPr>
            </w:pPr>
            <w:r>
              <w:rPr>
                <w:rFonts w:hint="eastAsia" w:ascii="宋体" w:hAnsi="宋体" w:cs="宋体"/>
                <w:szCs w:val="21"/>
              </w:rPr>
              <w:t>5.0</w:t>
            </w:r>
          </w:p>
        </w:tc>
      </w:tr>
      <w:tr w14:paraId="2AF60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1080" w:type="dxa"/>
            <w:vAlign w:val="center"/>
          </w:tcPr>
          <w:p w14:paraId="68D2C13A">
            <w:pPr>
              <w:jc w:val="center"/>
              <w:rPr>
                <w:rFonts w:ascii="宋体" w:hAnsi="宋体" w:cs="宋体"/>
                <w:szCs w:val="21"/>
              </w:rPr>
            </w:pPr>
            <w:r>
              <w:rPr>
                <w:rFonts w:hint="eastAsia" w:ascii="宋体" w:hAnsi="宋体" w:cs="宋体"/>
                <w:szCs w:val="21"/>
              </w:rPr>
              <w:t>15</w:t>
            </w:r>
          </w:p>
        </w:tc>
        <w:tc>
          <w:tcPr>
            <w:tcW w:w="2635" w:type="dxa"/>
            <w:vAlign w:val="center"/>
          </w:tcPr>
          <w:p w14:paraId="07518BAA">
            <w:pPr>
              <w:jc w:val="center"/>
              <w:rPr>
                <w:rFonts w:ascii="宋体" w:hAnsi="宋体" w:cs="宋体"/>
                <w:szCs w:val="21"/>
              </w:rPr>
            </w:pPr>
            <w:r>
              <w:rPr>
                <w:rFonts w:hint="eastAsia" w:ascii="宋体" w:hAnsi="宋体" w:cs="宋体"/>
                <w:szCs w:val="21"/>
              </w:rPr>
              <w:t>金湖北路幼儿园地道</w:t>
            </w:r>
          </w:p>
        </w:tc>
        <w:tc>
          <w:tcPr>
            <w:tcW w:w="1775" w:type="dxa"/>
            <w:vMerge w:val="continue"/>
            <w:vAlign w:val="center"/>
          </w:tcPr>
          <w:p w14:paraId="0FB2E591">
            <w:pPr>
              <w:jc w:val="center"/>
              <w:rPr>
                <w:rFonts w:ascii="宋体" w:hAnsi="宋体" w:cs="宋体"/>
                <w:szCs w:val="21"/>
              </w:rPr>
            </w:pPr>
          </w:p>
        </w:tc>
        <w:tc>
          <w:tcPr>
            <w:tcW w:w="1335" w:type="dxa"/>
            <w:vAlign w:val="center"/>
          </w:tcPr>
          <w:p w14:paraId="22059F5A">
            <w:pPr>
              <w:jc w:val="center"/>
              <w:rPr>
                <w:rFonts w:ascii="宋体" w:hAnsi="宋体" w:cs="宋体"/>
                <w:szCs w:val="21"/>
              </w:rPr>
            </w:pPr>
            <w:r>
              <w:rPr>
                <w:rFonts w:hint="eastAsia" w:ascii="宋体" w:hAnsi="宋体" w:cs="宋体"/>
                <w:szCs w:val="21"/>
              </w:rPr>
              <w:t>30</w:t>
            </w:r>
          </w:p>
        </w:tc>
        <w:tc>
          <w:tcPr>
            <w:tcW w:w="1230" w:type="dxa"/>
            <w:vAlign w:val="center"/>
          </w:tcPr>
          <w:p w14:paraId="0C51C3A4">
            <w:pPr>
              <w:jc w:val="center"/>
              <w:rPr>
                <w:rFonts w:ascii="宋体" w:hAnsi="宋体" w:cs="宋体"/>
                <w:szCs w:val="21"/>
              </w:rPr>
            </w:pPr>
            <w:r>
              <w:rPr>
                <w:rFonts w:hint="eastAsia" w:ascii="宋体" w:hAnsi="宋体" w:cs="宋体"/>
                <w:szCs w:val="21"/>
              </w:rPr>
              <w:t>27.7</w:t>
            </w:r>
          </w:p>
        </w:tc>
        <w:tc>
          <w:tcPr>
            <w:tcW w:w="1260" w:type="dxa"/>
            <w:vAlign w:val="center"/>
          </w:tcPr>
          <w:p w14:paraId="6A259B21">
            <w:pPr>
              <w:jc w:val="center"/>
              <w:rPr>
                <w:rFonts w:ascii="宋体" w:hAnsi="宋体" w:cs="宋体"/>
                <w:szCs w:val="21"/>
              </w:rPr>
            </w:pPr>
            <w:r>
              <w:rPr>
                <w:rFonts w:hint="eastAsia" w:ascii="宋体" w:hAnsi="宋体" w:cs="宋体"/>
                <w:szCs w:val="21"/>
              </w:rPr>
              <w:t>5.0</w:t>
            </w:r>
          </w:p>
        </w:tc>
      </w:tr>
      <w:tr w14:paraId="238EA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1080" w:type="dxa"/>
            <w:vAlign w:val="center"/>
          </w:tcPr>
          <w:p w14:paraId="55A5B05A">
            <w:pPr>
              <w:jc w:val="center"/>
              <w:rPr>
                <w:rFonts w:ascii="宋体" w:hAnsi="宋体" w:cs="宋体"/>
                <w:szCs w:val="21"/>
              </w:rPr>
            </w:pPr>
            <w:r>
              <w:rPr>
                <w:rFonts w:hint="eastAsia" w:ascii="宋体" w:hAnsi="宋体" w:cs="宋体"/>
                <w:szCs w:val="21"/>
              </w:rPr>
              <w:t>16</w:t>
            </w:r>
          </w:p>
        </w:tc>
        <w:tc>
          <w:tcPr>
            <w:tcW w:w="2635" w:type="dxa"/>
            <w:vAlign w:val="center"/>
          </w:tcPr>
          <w:p w14:paraId="5F13D644">
            <w:pPr>
              <w:jc w:val="center"/>
              <w:rPr>
                <w:rFonts w:ascii="宋体" w:hAnsi="宋体" w:cs="宋体"/>
                <w:szCs w:val="21"/>
              </w:rPr>
            </w:pPr>
            <w:r>
              <w:rPr>
                <w:rFonts w:hint="eastAsia" w:ascii="宋体" w:hAnsi="宋体" w:cs="宋体"/>
                <w:szCs w:val="21"/>
              </w:rPr>
              <w:t>金湖东环主线地道</w:t>
            </w:r>
          </w:p>
        </w:tc>
        <w:tc>
          <w:tcPr>
            <w:tcW w:w="1775" w:type="dxa"/>
            <w:vAlign w:val="center"/>
          </w:tcPr>
          <w:p w14:paraId="12EB4CC8">
            <w:pPr>
              <w:jc w:val="center"/>
              <w:rPr>
                <w:rFonts w:ascii="宋体" w:hAnsi="宋体" w:cs="宋体"/>
                <w:szCs w:val="21"/>
              </w:rPr>
            </w:pPr>
            <w:r>
              <w:rPr>
                <w:rFonts w:hint="eastAsia" w:ascii="宋体" w:hAnsi="宋体" w:cs="宋体"/>
                <w:szCs w:val="21"/>
              </w:rPr>
              <w:t>金湖东路</w:t>
            </w:r>
          </w:p>
        </w:tc>
        <w:tc>
          <w:tcPr>
            <w:tcW w:w="1335" w:type="dxa"/>
            <w:vAlign w:val="center"/>
          </w:tcPr>
          <w:p w14:paraId="3D7A11B3">
            <w:pPr>
              <w:jc w:val="center"/>
              <w:rPr>
                <w:rFonts w:ascii="宋体" w:hAnsi="宋体" w:cs="宋体"/>
                <w:szCs w:val="21"/>
              </w:rPr>
            </w:pPr>
            <w:r>
              <w:rPr>
                <w:rFonts w:hint="eastAsia" w:ascii="宋体" w:hAnsi="宋体" w:cs="宋体"/>
                <w:szCs w:val="21"/>
              </w:rPr>
              <w:t>177</w:t>
            </w:r>
          </w:p>
        </w:tc>
        <w:tc>
          <w:tcPr>
            <w:tcW w:w="1230" w:type="dxa"/>
            <w:vAlign w:val="center"/>
          </w:tcPr>
          <w:p w14:paraId="3F7DEE99">
            <w:pPr>
              <w:jc w:val="center"/>
              <w:rPr>
                <w:rFonts w:ascii="宋体" w:hAnsi="宋体" w:cs="宋体"/>
                <w:szCs w:val="21"/>
              </w:rPr>
            </w:pPr>
            <w:r>
              <w:rPr>
                <w:rFonts w:hint="eastAsia" w:ascii="宋体" w:hAnsi="宋体" w:cs="宋体"/>
                <w:szCs w:val="21"/>
              </w:rPr>
              <w:t>14.1</w:t>
            </w:r>
          </w:p>
        </w:tc>
        <w:tc>
          <w:tcPr>
            <w:tcW w:w="1260" w:type="dxa"/>
            <w:vAlign w:val="center"/>
          </w:tcPr>
          <w:p w14:paraId="16BAD7A5">
            <w:pPr>
              <w:jc w:val="center"/>
              <w:rPr>
                <w:rFonts w:ascii="宋体" w:hAnsi="宋体" w:cs="宋体"/>
                <w:szCs w:val="21"/>
              </w:rPr>
            </w:pPr>
            <w:r>
              <w:rPr>
                <w:rFonts w:hint="eastAsia" w:ascii="宋体" w:hAnsi="宋体" w:cs="宋体"/>
                <w:szCs w:val="21"/>
              </w:rPr>
              <w:t>5.0</w:t>
            </w:r>
          </w:p>
        </w:tc>
      </w:tr>
      <w:tr w14:paraId="7CF8D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1080" w:type="dxa"/>
            <w:vAlign w:val="center"/>
          </w:tcPr>
          <w:p w14:paraId="1C8478C0">
            <w:pPr>
              <w:jc w:val="center"/>
              <w:rPr>
                <w:rFonts w:ascii="宋体" w:hAnsi="宋体" w:cs="宋体"/>
                <w:szCs w:val="21"/>
              </w:rPr>
            </w:pPr>
            <w:r>
              <w:rPr>
                <w:rFonts w:hint="eastAsia" w:ascii="宋体" w:hAnsi="宋体" w:cs="宋体"/>
                <w:szCs w:val="21"/>
              </w:rPr>
              <w:t>17</w:t>
            </w:r>
          </w:p>
        </w:tc>
        <w:tc>
          <w:tcPr>
            <w:tcW w:w="2635" w:type="dxa"/>
            <w:vAlign w:val="center"/>
          </w:tcPr>
          <w:p w14:paraId="11243C4E">
            <w:pPr>
              <w:jc w:val="center"/>
              <w:rPr>
                <w:rFonts w:ascii="宋体" w:hAnsi="宋体" w:cs="宋体"/>
                <w:szCs w:val="21"/>
              </w:rPr>
            </w:pPr>
            <w:r>
              <w:rPr>
                <w:rFonts w:hint="eastAsia" w:ascii="宋体" w:hAnsi="宋体" w:cs="宋体"/>
                <w:szCs w:val="21"/>
              </w:rPr>
              <w:t>金湖西环主线地道</w:t>
            </w:r>
          </w:p>
        </w:tc>
        <w:tc>
          <w:tcPr>
            <w:tcW w:w="1775" w:type="dxa"/>
            <w:vAlign w:val="center"/>
          </w:tcPr>
          <w:p w14:paraId="38AE6846">
            <w:pPr>
              <w:jc w:val="center"/>
              <w:rPr>
                <w:rFonts w:ascii="宋体" w:hAnsi="宋体" w:cs="宋体"/>
                <w:szCs w:val="21"/>
              </w:rPr>
            </w:pPr>
            <w:r>
              <w:rPr>
                <w:rFonts w:hint="eastAsia" w:ascii="宋体" w:hAnsi="宋体" w:cs="宋体"/>
                <w:szCs w:val="21"/>
              </w:rPr>
              <w:t>金湖西路</w:t>
            </w:r>
          </w:p>
        </w:tc>
        <w:tc>
          <w:tcPr>
            <w:tcW w:w="1335" w:type="dxa"/>
            <w:vAlign w:val="center"/>
          </w:tcPr>
          <w:p w14:paraId="537294CD">
            <w:pPr>
              <w:jc w:val="center"/>
              <w:rPr>
                <w:rFonts w:ascii="宋体" w:hAnsi="宋体" w:cs="宋体"/>
                <w:szCs w:val="21"/>
              </w:rPr>
            </w:pPr>
            <w:r>
              <w:rPr>
                <w:rFonts w:hint="eastAsia" w:ascii="宋体" w:hAnsi="宋体" w:cs="宋体"/>
                <w:szCs w:val="21"/>
              </w:rPr>
              <w:t>177</w:t>
            </w:r>
          </w:p>
        </w:tc>
        <w:tc>
          <w:tcPr>
            <w:tcW w:w="1230" w:type="dxa"/>
            <w:vAlign w:val="center"/>
          </w:tcPr>
          <w:p w14:paraId="3FD925E2">
            <w:pPr>
              <w:jc w:val="center"/>
              <w:rPr>
                <w:rFonts w:ascii="宋体" w:hAnsi="宋体" w:cs="宋体"/>
                <w:szCs w:val="21"/>
              </w:rPr>
            </w:pPr>
            <w:r>
              <w:rPr>
                <w:rFonts w:hint="eastAsia" w:ascii="宋体" w:hAnsi="宋体" w:cs="宋体"/>
                <w:szCs w:val="21"/>
              </w:rPr>
              <w:t>14.1</w:t>
            </w:r>
          </w:p>
        </w:tc>
        <w:tc>
          <w:tcPr>
            <w:tcW w:w="1260" w:type="dxa"/>
            <w:vAlign w:val="center"/>
          </w:tcPr>
          <w:p w14:paraId="5CB08BA8">
            <w:pPr>
              <w:jc w:val="center"/>
              <w:rPr>
                <w:rFonts w:ascii="宋体" w:hAnsi="宋体" w:cs="宋体"/>
                <w:szCs w:val="21"/>
              </w:rPr>
            </w:pPr>
            <w:r>
              <w:rPr>
                <w:rFonts w:hint="eastAsia" w:ascii="宋体" w:hAnsi="宋体" w:cs="宋体"/>
                <w:szCs w:val="21"/>
              </w:rPr>
              <w:t>5.0</w:t>
            </w:r>
          </w:p>
        </w:tc>
      </w:tr>
      <w:tr w14:paraId="497DF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1080" w:type="dxa"/>
            <w:vAlign w:val="center"/>
          </w:tcPr>
          <w:p w14:paraId="77F59B2C">
            <w:pPr>
              <w:jc w:val="center"/>
              <w:rPr>
                <w:rFonts w:ascii="宋体" w:hAnsi="宋体" w:cs="宋体"/>
                <w:szCs w:val="21"/>
              </w:rPr>
            </w:pPr>
            <w:r>
              <w:rPr>
                <w:rFonts w:hint="eastAsia" w:ascii="宋体" w:hAnsi="宋体" w:cs="宋体"/>
                <w:szCs w:val="21"/>
              </w:rPr>
              <w:t>18</w:t>
            </w:r>
          </w:p>
        </w:tc>
        <w:tc>
          <w:tcPr>
            <w:tcW w:w="2635" w:type="dxa"/>
            <w:vAlign w:val="center"/>
          </w:tcPr>
          <w:p w14:paraId="786A8FB6">
            <w:pPr>
              <w:widowControl/>
              <w:jc w:val="center"/>
              <w:textAlignment w:val="center"/>
              <w:rPr>
                <w:rFonts w:ascii="宋体" w:hAnsi="宋体" w:cs="宋体"/>
                <w:szCs w:val="21"/>
              </w:rPr>
            </w:pPr>
            <w:r>
              <w:rPr>
                <w:rFonts w:hint="eastAsia" w:ascii="宋体" w:hAnsi="宋体" w:cs="宋体"/>
                <w:kern w:val="0"/>
                <w:szCs w:val="21"/>
              </w:rPr>
              <w:t>洪锦立交下穿隧道</w:t>
            </w:r>
          </w:p>
        </w:tc>
        <w:tc>
          <w:tcPr>
            <w:tcW w:w="1775" w:type="dxa"/>
            <w:vAlign w:val="center"/>
          </w:tcPr>
          <w:p w14:paraId="62FE7932">
            <w:pPr>
              <w:jc w:val="center"/>
              <w:rPr>
                <w:rFonts w:ascii="宋体" w:hAnsi="宋体" w:cs="宋体"/>
                <w:szCs w:val="21"/>
              </w:rPr>
            </w:pPr>
            <w:r>
              <w:rPr>
                <w:rFonts w:hint="eastAsia" w:ascii="宋体" w:hAnsi="宋体" w:cs="宋体"/>
                <w:szCs w:val="21"/>
              </w:rPr>
              <w:t>那洪大道</w:t>
            </w:r>
          </w:p>
        </w:tc>
        <w:tc>
          <w:tcPr>
            <w:tcW w:w="1335" w:type="dxa"/>
            <w:vAlign w:val="center"/>
          </w:tcPr>
          <w:p w14:paraId="1639B43E">
            <w:pPr>
              <w:jc w:val="center"/>
              <w:rPr>
                <w:rFonts w:ascii="宋体" w:hAnsi="宋体" w:cs="宋体"/>
                <w:szCs w:val="21"/>
              </w:rPr>
            </w:pPr>
            <w:r>
              <w:rPr>
                <w:rFonts w:hint="eastAsia" w:ascii="宋体" w:hAnsi="宋体" w:cs="宋体"/>
                <w:szCs w:val="21"/>
              </w:rPr>
              <w:t>145.35</w:t>
            </w:r>
          </w:p>
        </w:tc>
        <w:tc>
          <w:tcPr>
            <w:tcW w:w="1230" w:type="dxa"/>
            <w:vAlign w:val="center"/>
          </w:tcPr>
          <w:p w14:paraId="73B6A4D0">
            <w:pPr>
              <w:jc w:val="center"/>
              <w:rPr>
                <w:rFonts w:ascii="宋体" w:hAnsi="宋体" w:cs="宋体"/>
                <w:szCs w:val="21"/>
              </w:rPr>
            </w:pPr>
            <w:r>
              <w:rPr>
                <w:rFonts w:hint="eastAsia" w:ascii="宋体" w:hAnsi="宋体" w:cs="宋体"/>
                <w:szCs w:val="21"/>
              </w:rPr>
              <w:t>25.5</w:t>
            </w:r>
          </w:p>
        </w:tc>
        <w:tc>
          <w:tcPr>
            <w:tcW w:w="1260" w:type="dxa"/>
            <w:vAlign w:val="center"/>
          </w:tcPr>
          <w:p w14:paraId="614ADAAD">
            <w:pPr>
              <w:jc w:val="center"/>
              <w:rPr>
                <w:rFonts w:ascii="宋体" w:hAnsi="宋体" w:cs="宋体"/>
                <w:szCs w:val="21"/>
              </w:rPr>
            </w:pPr>
            <w:r>
              <w:rPr>
                <w:rFonts w:hint="eastAsia" w:ascii="宋体" w:hAnsi="宋体" w:cs="宋体"/>
                <w:szCs w:val="21"/>
              </w:rPr>
              <w:t>4.5</w:t>
            </w:r>
          </w:p>
        </w:tc>
      </w:tr>
      <w:tr w14:paraId="6F498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1080" w:type="dxa"/>
            <w:vAlign w:val="center"/>
          </w:tcPr>
          <w:p w14:paraId="4212B934">
            <w:pPr>
              <w:jc w:val="center"/>
              <w:rPr>
                <w:rFonts w:ascii="宋体" w:hAnsi="宋体" w:cs="宋体"/>
                <w:szCs w:val="21"/>
              </w:rPr>
            </w:pPr>
            <w:r>
              <w:rPr>
                <w:rFonts w:hint="eastAsia" w:ascii="宋体" w:hAnsi="宋体" w:cs="宋体"/>
                <w:szCs w:val="21"/>
              </w:rPr>
              <w:t>19</w:t>
            </w:r>
          </w:p>
        </w:tc>
        <w:tc>
          <w:tcPr>
            <w:tcW w:w="2635" w:type="dxa"/>
            <w:vAlign w:val="center"/>
          </w:tcPr>
          <w:p w14:paraId="55F86E38">
            <w:pPr>
              <w:widowControl/>
              <w:jc w:val="center"/>
              <w:textAlignment w:val="center"/>
              <w:rPr>
                <w:rFonts w:ascii="宋体" w:hAnsi="宋体" w:cs="宋体"/>
                <w:szCs w:val="21"/>
              </w:rPr>
            </w:pPr>
            <w:r>
              <w:rPr>
                <w:rFonts w:hint="eastAsia" w:ascii="宋体" w:hAnsi="宋体" w:cs="宋体"/>
                <w:kern w:val="0"/>
                <w:szCs w:val="21"/>
              </w:rPr>
              <w:t>亭洪路延长线（规划一路-规划四路) 通道</w:t>
            </w:r>
          </w:p>
        </w:tc>
        <w:tc>
          <w:tcPr>
            <w:tcW w:w="1775" w:type="dxa"/>
            <w:vAlign w:val="center"/>
          </w:tcPr>
          <w:p w14:paraId="56356735">
            <w:pPr>
              <w:jc w:val="center"/>
              <w:rPr>
                <w:rFonts w:ascii="宋体" w:hAnsi="宋体" w:cs="宋体"/>
                <w:szCs w:val="21"/>
              </w:rPr>
            </w:pPr>
            <w:r>
              <w:rPr>
                <w:rFonts w:hint="eastAsia" w:ascii="宋体" w:hAnsi="宋体" w:cs="宋体"/>
                <w:szCs w:val="21"/>
              </w:rPr>
              <w:t>亭洪路</w:t>
            </w:r>
          </w:p>
        </w:tc>
        <w:tc>
          <w:tcPr>
            <w:tcW w:w="1335" w:type="dxa"/>
            <w:vAlign w:val="center"/>
          </w:tcPr>
          <w:p w14:paraId="6AC40222">
            <w:pPr>
              <w:rPr>
                <w:rFonts w:ascii="宋体" w:hAnsi="宋体" w:cs="宋体"/>
                <w:szCs w:val="21"/>
              </w:rPr>
            </w:pPr>
            <w:r>
              <w:rPr>
                <w:rFonts w:hint="eastAsia" w:ascii="宋体" w:hAnsi="宋体" w:cs="宋体"/>
                <w:szCs w:val="21"/>
              </w:rPr>
              <w:t>两节框架共64.19</w:t>
            </w:r>
          </w:p>
        </w:tc>
        <w:tc>
          <w:tcPr>
            <w:tcW w:w="1230" w:type="dxa"/>
            <w:vAlign w:val="center"/>
          </w:tcPr>
          <w:p w14:paraId="1CAB566C">
            <w:pPr>
              <w:jc w:val="center"/>
              <w:rPr>
                <w:rFonts w:ascii="宋体" w:hAnsi="宋体" w:cs="宋体"/>
                <w:szCs w:val="21"/>
              </w:rPr>
            </w:pPr>
            <w:r>
              <w:rPr>
                <w:rFonts w:hint="eastAsia" w:ascii="宋体" w:hAnsi="宋体" w:cs="宋体"/>
                <w:szCs w:val="21"/>
              </w:rPr>
              <w:t>42</w:t>
            </w:r>
          </w:p>
        </w:tc>
        <w:tc>
          <w:tcPr>
            <w:tcW w:w="1260" w:type="dxa"/>
            <w:vAlign w:val="center"/>
          </w:tcPr>
          <w:p w14:paraId="4C5B67A0">
            <w:pPr>
              <w:jc w:val="center"/>
              <w:rPr>
                <w:rFonts w:ascii="宋体" w:hAnsi="宋体" w:cs="宋体"/>
                <w:szCs w:val="21"/>
              </w:rPr>
            </w:pPr>
            <w:r>
              <w:rPr>
                <w:rFonts w:hint="eastAsia" w:ascii="宋体" w:hAnsi="宋体" w:cs="宋体"/>
                <w:szCs w:val="21"/>
              </w:rPr>
              <w:t>5</w:t>
            </w:r>
          </w:p>
        </w:tc>
      </w:tr>
      <w:tr w14:paraId="58F9A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1080" w:type="dxa"/>
            <w:vAlign w:val="center"/>
          </w:tcPr>
          <w:p w14:paraId="7970340E">
            <w:pPr>
              <w:jc w:val="center"/>
              <w:rPr>
                <w:rFonts w:ascii="宋体" w:hAnsi="宋体" w:cs="宋体"/>
                <w:szCs w:val="21"/>
              </w:rPr>
            </w:pPr>
            <w:r>
              <w:rPr>
                <w:rFonts w:hint="eastAsia" w:ascii="宋体" w:hAnsi="宋体" w:cs="宋体"/>
                <w:szCs w:val="21"/>
              </w:rPr>
              <w:t>20</w:t>
            </w:r>
          </w:p>
        </w:tc>
        <w:tc>
          <w:tcPr>
            <w:tcW w:w="2635" w:type="dxa"/>
            <w:vAlign w:val="center"/>
          </w:tcPr>
          <w:p w14:paraId="701AF690">
            <w:pPr>
              <w:widowControl/>
              <w:jc w:val="center"/>
              <w:textAlignment w:val="center"/>
              <w:rPr>
                <w:rFonts w:ascii="宋体" w:hAnsi="宋体" w:cs="宋体"/>
                <w:szCs w:val="21"/>
              </w:rPr>
            </w:pPr>
            <w:r>
              <w:rPr>
                <w:rFonts w:hint="eastAsia" w:ascii="宋体" w:hAnsi="宋体" w:cs="宋体"/>
                <w:kern w:val="0"/>
                <w:szCs w:val="21"/>
              </w:rPr>
              <w:t>长湖路北下穿长堽路隧道</w:t>
            </w:r>
          </w:p>
        </w:tc>
        <w:tc>
          <w:tcPr>
            <w:tcW w:w="1775" w:type="dxa"/>
            <w:vAlign w:val="center"/>
          </w:tcPr>
          <w:p w14:paraId="5201FDB3">
            <w:pPr>
              <w:jc w:val="center"/>
              <w:rPr>
                <w:rFonts w:ascii="宋体" w:hAnsi="宋体" w:cs="宋体"/>
                <w:szCs w:val="21"/>
              </w:rPr>
            </w:pPr>
            <w:r>
              <w:rPr>
                <w:rFonts w:hint="eastAsia" w:ascii="宋体" w:hAnsi="宋体" w:cs="宋体"/>
                <w:szCs w:val="21"/>
              </w:rPr>
              <w:t>长湖北路</w:t>
            </w:r>
          </w:p>
        </w:tc>
        <w:tc>
          <w:tcPr>
            <w:tcW w:w="1335" w:type="dxa"/>
            <w:vAlign w:val="center"/>
          </w:tcPr>
          <w:p w14:paraId="5E991A51">
            <w:pPr>
              <w:jc w:val="center"/>
              <w:rPr>
                <w:rFonts w:ascii="宋体" w:hAnsi="宋体" w:cs="宋体"/>
                <w:szCs w:val="21"/>
              </w:rPr>
            </w:pPr>
            <w:r>
              <w:rPr>
                <w:rFonts w:hint="eastAsia" w:ascii="宋体" w:hAnsi="宋体" w:cs="宋体"/>
                <w:szCs w:val="21"/>
              </w:rPr>
              <w:t>45</w:t>
            </w:r>
          </w:p>
        </w:tc>
        <w:tc>
          <w:tcPr>
            <w:tcW w:w="1230" w:type="dxa"/>
            <w:vAlign w:val="center"/>
          </w:tcPr>
          <w:p w14:paraId="460A861A">
            <w:pPr>
              <w:jc w:val="center"/>
              <w:rPr>
                <w:rFonts w:ascii="宋体" w:hAnsi="宋体" w:cs="宋体"/>
                <w:szCs w:val="21"/>
              </w:rPr>
            </w:pPr>
            <w:r>
              <w:rPr>
                <w:rFonts w:hint="eastAsia" w:ascii="宋体" w:hAnsi="宋体" w:cs="宋体"/>
                <w:szCs w:val="21"/>
              </w:rPr>
              <w:t>42</w:t>
            </w:r>
          </w:p>
        </w:tc>
        <w:tc>
          <w:tcPr>
            <w:tcW w:w="1260" w:type="dxa"/>
            <w:vAlign w:val="center"/>
          </w:tcPr>
          <w:p w14:paraId="3FA3BE5C">
            <w:pPr>
              <w:jc w:val="center"/>
              <w:rPr>
                <w:rFonts w:ascii="宋体" w:hAnsi="宋体" w:cs="宋体"/>
                <w:szCs w:val="21"/>
              </w:rPr>
            </w:pPr>
            <w:r>
              <w:rPr>
                <w:rFonts w:hint="eastAsia" w:ascii="宋体" w:hAnsi="宋体" w:cs="宋体"/>
                <w:szCs w:val="21"/>
              </w:rPr>
              <w:t>5</w:t>
            </w:r>
          </w:p>
        </w:tc>
      </w:tr>
      <w:tr w14:paraId="3C3D4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1080" w:type="dxa"/>
            <w:vAlign w:val="center"/>
          </w:tcPr>
          <w:p w14:paraId="4FE91FCE">
            <w:pPr>
              <w:jc w:val="center"/>
              <w:rPr>
                <w:rFonts w:ascii="宋体" w:hAnsi="宋体" w:cs="宋体"/>
                <w:szCs w:val="21"/>
              </w:rPr>
            </w:pPr>
            <w:r>
              <w:rPr>
                <w:rFonts w:hint="eastAsia" w:ascii="宋体" w:hAnsi="宋体" w:cs="宋体"/>
                <w:szCs w:val="21"/>
              </w:rPr>
              <w:t>21</w:t>
            </w:r>
          </w:p>
        </w:tc>
        <w:tc>
          <w:tcPr>
            <w:tcW w:w="2635" w:type="dxa"/>
            <w:vAlign w:val="center"/>
          </w:tcPr>
          <w:p w14:paraId="5528C361">
            <w:pPr>
              <w:jc w:val="center"/>
              <w:rPr>
                <w:rFonts w:ascii="宋体" w:hAnsi="宋体" w:cs="宋体"/>
                <w:szCs w:val="21"/>
              </w:rPr>
            </w:pPr>
            <w:r>
              <w:rPr>
                <w:rFonts w:hint="eastAsia" w:ascii="宋体" w:hAnsi="宋体" w:cs="宋体"/>
                <w:szCs w:val="21"/>
              </w:rPr>
              <w:t>清川大道直行下穿隧道</w:t>
            </w:r>
          </w:p>
        </w:tc>
        <w:tc>
          <w:tcPr>
            <w:tcW w:w="1775" w:type="dxa"/>
            <w:vAlign w:val="center"/>
          </w:tcPr>
          <w:p w14:paraId="742C81B6">
            <w:pPr>
              <w:jc w:val="center"/>
              <w:rPr>
                <w:rFonts w:ascii="宋体" w:hAnsi="宋体" w:cs="宋体"/>
                <w:szCs w:val="21"/>
              </w:rPr>
            </w:pPr>
            <w:r>
              <w:rPr>
                <w:rFonts w:hint="eastAsia" w:ascii="宋体" w:hAnsi="宋体" w:cs="宋体"/>
                <w:szCs w:val="21"/>
              </w:rPr>
              <w:t>清川大道</w:t>
            </w:r>
          </w:p>
        </w:tc>
        <w:tc>
          <w:tcPr>
            <w:tcW w:w="1335" w:type="dxa"/>
            <w:vAlign w:val="center"/>
          </w:tcPr>
          <w:p w14:paraId="332F3FAB">
            <w:pPr>
              <w:jc w:val="center"/>
              <w:rPr>
                <w:rFonts w:ascii="宋体" w:hAnsi="宋体" w:cs="宋体"/>
                <w:szCs w:val="21"/>
              </w:rPr>
            </w:pPr>
            <w:r>
              <w:rPr>
                <w:rFonts w:hint="eastAsia" w:ascii="宋体" w:hAnsi="宋体" w:cs="宋体"/>
                <w:szCs w:val="21"/>
              </w:rPr>
              <w:t>32</w:t>
            </w:r>
          </w:p>
        </w:tc>
        <w:tc>
          <w:tcPr>
            <w:tcW w:w="1230" w:type="dxa"/>
            <w:vAlign w:val="center"/>
          </w:tcPr>
          <w:p w14:paraId="3DDF3E51">
            <w:pPr>
              <w:jc w:val="center"/>
              <w:rPr>
                <w:rFonts w:ascii="宋体" w:hAnsi="宋体" w:cs="宋体"/>
                <w:szCs w:val="21"/>
              </w:rPr>
            </w:pPr>
            <w:r>
              <w:rPr>
                <w:rFonts w:hint="eastAsia" w:ascii="宋体" w:hAnsi="宋体" w:cs="宋体"/>
                <w:szCs w:val="21"/>
              </w:rPr>
              <w:t>31.5</w:t>
            </w:r>
          </w:p>
        </w:tc>
        <w:tc>
          <w:tcPr>
            <w:tcW w:w="1260" w:type="dxa"/>
            <w:vAlign w:val="center"/>
          </w:tcPr>
          <w:p w14:paraId="6EA17728">
            <w:pPr>
              <w:jc w:val="center"/>
              <w:rPr>
                <w:rFonts w:ascii="宋体" w:hAnsi="宋体" w:cs="宋体"/>
                <w:szCs w:val="21"/>
              </w:rPr>
            </w:pPr>
            <w:r>
              <w:rPr>
                <w:rFonts w:hint="eastAsia" w:ascii="宋体" w:hAnsi="宋体" w:cs="宋体"/>
                <w:szCs w:val="21"/>
              </w:rPr>
              <w:t>≥5</w:t>
            </w:r>
          </w:p>
        </w:tc>
      </w:tr>
      <w:tr w14:paraId="5B2C8D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1080" w:type="dxa"/>
            <w:vAlign w:val="center"/>
          </w:tcPr>
          <w:p w14:paraId="6FE32B90">
            <w:pPr>
              <w:jc w:val="center"/>
              <w:rPr>
                <w:rFonts w:ascii="宋体" w:hAnsi="宋体" w:cs="宋体"/>
                <w:szCs w:val="21"/>
              </w:rPr>
            </w:pPr>
            <w:r>
              <w:rPr>
                <w:rFonts w:hint="eastAsia" w:ascii="宋体" w:hAnsi="宋体" w:cs="宋体"/>
                <w:szCs w:val="21"/>
              </w:rPr>
              <w:t>22</w:t>
            </w:r>
          </w:p>
        </w:tc>
        <w:tc>
          <w:tcPr>
            <w:tcW w:w="2635" w:type="dxa"/>
            <w:vAlign w:val="center"/>
          </w:tcPr>
          <w:p w14:paraId="357BB19D">
            <w:pPr>
              <w:jc w:val="center"/>
              <w:rPr>
                <w:rFonts w:ascii="宋体" w:hAnsi="宋体" w:cs="宋体"/>
                <w:szCs w:val="21"/>
              </w:rPr>
            </w:pPr>
            <w:r>
              <w:rPr>
                <w:rFonts w:hint="eastAsia" w:ascii="宋体" w:hAnsi="宋体" w:cs="宋体"/>
                <w:szCs w:val="21"/>
              </w:rPr>
              <w:t>望民路隧道</w:t>
            </w:r>
          </w:p>
        </w:tc>
        <w:tc>
          <w:tcPr>
            <w:tcW w:w="1775" w:type="dxa"/>
            <w:vAlign w:val="center"/>
          </w:tcPr>
          <w:p w14:paraId="75D247D9">
            <w:pPr>
              <w:jc w:val="center"/>
              <w:rPr>
                <w:rFonts w:ascii="宋体" w:hAnsi="宋体" w:cs="宋体"/>
                <w:szCs w:val="21"/>
              </w:rPr>
            </w:pPr>
            <w:r>
              <w:rPr>
                <w:rFonts w:hint="eastAsia" w:ascii="宋体" w:hAnsi="宋体" w:cs="宋体"/>
                <w:szCs w:val="21"/>
              </w:rPr>
              <w:t>民族大道北侧规划路</w:t>
            </w:r>
          </w:p>
        </w:tc>
        <w:tc>
          <w:tcPr>
            <w:tcW w:w="1335" w:type="dxa"/>
            <w:vAlign w:val="center"/>
          </w:tcPr>
          <w:p w14:paraId="4C7EDEA2">
            <w:pPr>
              <w:jc w:val="center"/>
              <w:rPr>
                <w:rFonts w:ascii="宋体" w:hAnsi="宋体" w:cs="宋体"/>
                <w:szCs w:val="21"/>
              </w:rPr>
            </w:pPr>
            <w:r>
              <w:rPr>
                <w:rFonts w:hint="eastAsia" w:ascii="宋体" w:hAnsi="宋体" w:cs="宋体"/>
                <w:szCs w:val="21"/>
              </w:rPr>
              <w:t>42</w:t>
            </w:r>
          </w:p>
        </w:tc>
        <w:tc>
          <w:tcPr>
            <w:tcW w:w="1230" w:type="dxa"/>
            <w:vAlign w:val="center"/>
          </w:tcPr>
          <w:p w14:paraId="084E739F">
            <w:pPr>
              <w:jc w:val="center"/>
              <w:rPr>
                <w:rFonts w:ascii="宋体" w:hAnsi="宋体" w:cs="宋体"/>
                <w:szCs w:val="21"/>
              </w:rPr>
            </w:pPr>
            <w:r>
              <w:rPr>
                <w:rFonts w:hint="eastAsia" w:ascii="宋体" w:hAnsi="宋体" w:cs="宋体"/>
                <w:szCs w:val="21"/>
              </w:rPr>
              <w:t>30.6</w:t>
            </w:r>
          </w:p>
        </w:tc>
        <w:tc>
          <w:tcPr>
            <w:tcW w:w="1260" w:type="dxa"/>
            <w:vAlign w:val="center"/>
          </w:tcPr>
          <w:p w14:paraId="4DAD3CF6">
            <w:pPr>
              <w:jc w:val="center"/>
              <w:rPr>
                <w:rFonts w:ascii="宋体" w:hAnsi="宋体" w:cs="宋体"/>
                <w:szCs w:val="21"/>
              </w:rPr>
            </w:pPr>
            <w:r>
              <w:rPr>
                <w:rFonts w:hint="eastAsia" w:ascii="宋体" w:hAnsi="宋体" w:cs="宋体"/>
                <w:szCs w:val="21"/>
              </w:rPr>
              <w:t>≥5</w:t>
            </w:r>
          </w:p>
        </w:tc>
      </w:tr>
      <w:tr w14:paraId="30FF3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1" w:hRule="atLeast"/>
        </w:trPr>
        <w:tc>
          <w:tcPr>
            <w:tcW w:w="1080" w:type="dxa"/>
            <w:vAlign w:val="center"/>
          </w:tcPr>
          <w:p w14:paraId="7513B501">
            <w:pPr>
              <w:jc w:val="center"/>
              <w:rPr>
                <w:rFonts w:ascii="宋体" w:hAnsi="宋体" w:cs="宋体"/>
                <w:szCs w:val="21"/>
              </w:rPr>
            </w:pPr>
            <w:r>
              <w:rPr>
                <w:rFonts w:hint="eastAsia" w:ascii="宋体" w:hAnsi="宋体" w:cs="宋体"/>
                <w:szCs w:val="21"/>
              </w:rPr>
              <w:t>23</w:t>
            </w:r>
          </w:p>
        </w:tc>
        <w:tc>
          <w:tcPr>
            <w:tcW w:w="2635" w:type="dxa"/>
            <w:vAlign w:val="center"/>
          </w:tcPr>
          <w:p w14:paraId="6D59CBD8">
            <w:pPr>
              <w:jc w:val="center"/>
              <w:rPr>
                <w:rFonts w:ascii="宋体" w:hAnsi="宋体" w:cs="宋体"/>
                <w:szCs w:val="21"/>
              </w:rPr>
            </w:pPr>
            <w:r>
              <w:rPr>
                <w:rFonts w:hint="eastAsia" w:ascii="宋体" w:hAnsi="宋体" w:cs="宋体"/>
                <w:szCs w:val="21"/>
              </w:rPr>
              <w:t>兴贤村地下通道</w:t>
            </w:r>
          </w:p>
        </w:tc>
        <w:tc>
          <w:tcPr>
            <w:tcW w:w="1775" w:type="dxa"/>
            <w:vAlign w:val="center"/>
          </w:tcPr>
          <w:p w14:paraId="57AB2DF6">
            <w:pPr>
              <w:jc w:val="center"/>
              <w:rPr>
                <w:rFonts w:ascii="宋体" w:hAnsi="宋体" w:cs="宋体"/>
                <w:szCs w:val="21"/>
              </w:rPr>
            </w:pPr>
            <w:r>
              <w:rPr>
                <w:rFonts w:hint="eastAsia" w:ascii="宋体" w:hAnsi="宋体" w:cs="宋体"/>
                <w:szCs w:val="21"/>
              </w:rPr>
              <w:t>G324国道</w:t>
            </w:r>
          </w:p>
        </w:tc>
        <w:tc>
          <w:tcPr>
            <w:tcW w:w="1335" w:type="dxa"/>
            <w:vAlign w:val="center"/>
          </w:tcPr>
          <w:p w14:paraId="46BDA018">
            <w:pPr>
              <w:jc w:val="center"/>
              <w:rPr>
                <w:rFonts w:ascii="宋体" w:hAnsi="宋体" w:cs="宋体"/>
                <w:szCs w:val="21"/>
              </w:rPr>
            </w:pPr>
            <w:r>
              <w:rPr>
                <w:rFonts w:hint="eastAsia" w:ascii="宋体" w:hAnsi="宋体" w:cs="宋体"/>
                <w:szCs w:val="21"/>
              </w:rPr>
              <w:t>40</w:t>
            </w:r>
          </w:p>
        </w:tc>
        <w:tc>
          <w:tcPr>
            <w:tcW w:w="1230" w:type="dxa"/>
            <w:vAlign w:val="center"/>
          </w:tcPr>
          <w:p w14:paraId="57CF050B">
            <w:pPr>
              <w:jc w:val="center"/>
              <w:rPr>
                <w:rFonts w:ascii="宋体" w:hAnsi="宋体" w:cs="宋体"/>
                <w:szCs w:val="21"/>
              </w:rPr>
            </w:pPr>
            <w:r>
              <w:rPr>
                <w:rFonts w:hint="eastAsia" w:ascii="宋体" w:hAnsi="宋体" w:cs="宋体"/>
                <w:szCs w:val="21"/>
              </w:rPr>
              <w:t>6</w:t>
            </w:r>
          </w:p>
        </w:tc>
        <w:tc>
          <w:tcPr>
            <w:tcW w:w="1260" w:type="dxa"/>
            <w:vAlign w:val="center"/>
          </w:tcPr>
          <w:p w14:paraId="3ECE826E">
            <w:pPr>
              <w:jc w:val="center"/>
              <w:rPr>
                <w:rFonts w:ascii="宋体" w:hAnsi="宋体" w:cs="宋体"/>
                <w:szCs w:val="21"/>
              </w:rPr>
            </w:pPr>
            <w:r>
              <w:rPr>
                <w:rFonts w:hint="eastAsia" w:ascii="宋体" w:hAnsi="宋体" w:cs="宋体"/>
                <w:szCs w:val="21"/>
              </w:rPr>
              <w:t>3.5</w:t>
            </w:r>
          </w:p>
        </w:tc>
      </w:tr>
      <w:tr w14:paraId="75F397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4F10C286">
            <w:pPr>
              <w:jc w:val="center"/>
              <w:rPr>
                <w:rFonts w:ascii="宋体" w:hAnsi="宋体" w:cs="宋体"/>
                <w:szCs w:val="21"/>
              </w:rPr>
            </w:pPr>
            <w:r>
              <w:rPr>
                <w:rFonts w:hint="eastAsia" w:ascii="宋体" w:hAnsi="宋体" w:cs="宋体"/>
                <w:szCs w:val="21"/>
              </w:rPr>
              <w:t>24</w:t>
            </w:r>
          </w:p>
        </w:tc>
        <w:tc>
          <w:tcPr>
            <w:tcW w:w="2635" w:type="dxa"/>
            <w:vAlign w:val="center"/>
          </w:tcPr>
          <w:p w14:paraId="37F734D2">
            <w:pPr>
              <w:jc w:val="center"/>
              <w:rPr>
                <w:rFonts w:ascii="宋体" w:hAnsi="宋体" w:cs="宋体"/>
                <w:szCs w:val="21"/>
              </w:rPr>
            </w:pPr>
            <w:r>
              <w:rPr>
                <w:rFonts w:hint="eastAsia" w:ascii="宋体" w:hAnsi="宋体" w:cs="宋体"/>
                <w:szCs w:val="21"/>
              </w:rPr>
              <w:t>金洲路人行地下通道</w:t>
            </w:r>
          </w:p>
        </w:tc>
        <w:tc>
          <w:tcPr>
            <w:tcW w:w="1775" w:type="dxa"/>
            <w:vMerge w:val="restart"/>
            <w:vAlign w:val="center"/>
          </w:tcPr>
          <w:p w14:paraId="4A6E962D">
            <w:pPr>
              <w:jc w:val="center"/>
              <w:rPr>
                <w:rFonts w:ascii="宋体" w:hAnsi="宋体" w:cs="宋体"/>
                <w:szCs w:val="21"/>
              </w:rPr>
            </w:pPr>
            <w:r>
              <w:rPr>
                <w:rFonts w:hint="eastAsia" w:ascii="宋体" w:hAnsi="宋体" w:cs="宋体"/>
                <w:szCs w:val="21"/>
              </w:rPr>
              <w:t>民族大道</w:t>
            </w:r>
          </w:p>
        </w:tc>
        <w:tc>
          <w:tcPr>
            <w:tcW w:w="1335" w:type="dxa"/>
            <w:vAlign w:val="center"/>
          </w:tcPr>
          <w:p w14:paraId="1BB0C588">
            <w:pPr>
              <w:jc w:val="center"/>
              <w:rPr>
                <w:rFonts w:ascii="宋体" w:hAnsi="宋体" w:cs="宋体"/>
                <w:szCs w:val="21"/>
              </w:rPr>
            </w:pPr>
            <w:r>
              <w:rPr>
                <w:rFonts w:hint="eastAsia" w:ascii="宋体" w:hAnsi="宋体" w:cs="宋体"/>
                <w:szCs w:val="21"/>
              </w:rPr>
              <w:t>50</w:t>
            </w:r>
          </w:p>
        </w:tc>
        <w:tc>
          <w:tcPr>
            <w:tcW w:w="1230" w:type="dxa"/>
            <w:vAlign w:val="center"/>
          </w:tcPr>
          <w:p w14:paraId="28EAE580">
            <w:pPr>
              <w:jc w:val="center"/>
              <w:rPr>
                <w:rFonts w:ascii="宋体" w:hAnsi="宋体" w:cs="宋体"/>
                <w:szCs w:val="21"/>
              </w:rPr>
            </w:pPr>
            <w:r>
              <w:rPr>
                <w:rFonts w:hint="eastAsia" w:ascii="宋体" w:hAnsi="宋体" w:cs="宋体"/>
                <w:szCs w:val="21"/>
              </w:rPr>
              <w:t>12</w:t>
            </w:r>
          </w:p>
        </w:tc>
        <w:tc>
          <w:tcPr>
            <w:tcW w:w="1260" w:type="dxa"/>
            <w:vAlign w:val="center"/>
          </w:tcPr>
          <w:p w14:paraId="4AAB50EA">
            <w:pPr>
              <w:jc w:val="center"/>
              <w:rPr>
                <w:rFonts w:ascii="宋体" w:hAnsi="宋体" w:cs="宋体"/>
                <w:szCs w:val="21"/>
              </w:rPr>
            </w:pPr>
            <w:r>
              <w:rPr>
                <w:rFonts w:hint="eastAsia" w:ascii="宋体" w:hAnsi="宋体" w:cs="宋体"/>
                <w:szCs w:val="21"/>
              </w:rPr>
              <w:t>3.2</w:t>
            </w:r>
          </w:p>
        </w:tc>
      </w:tr>
      <w:tr w14:paraId="18A68E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7BEF4E1B">
            <w:pPr>
              <w:jc w:val="center"/>
              <w:rPr>
                <w:rFonts w:ascii="宋体" w:hAnsi="宋体" w:cs="宋体"/>
                <w:szCs w:val="21"/>
              </w:rPr>
            </w:pPr>
            <w:r>
              <w:rPr>
                <w:rFonts w:hint="eastAsia" w:ascii="宋体" w:hAnsi="宋体" w:cs="宋体"/>
                <w:szCs w:val="21"/>
              </w:rPr>
              <w:t>25</w:t>
            </w:r>
          </w:p>
        </w:tc>
        <w:tc>
          <w:tcPr>
            <w:tcW w:w="2635" w:type="dxa"/>
            <w:vAlign w:val="center"/>
          </w:tcPr>
          <w:p w14:paraId="483FA03D">
            <w:pPr>
              <w:jc w:val="center"/>
              <w:rPr>
                <w:rFonts w:ascii="宋体" w:hAnsi="宋体" w:cs="宋体"/>
                <w:szCs w:val="21"/>
              </w:rPr>
            </w:pPr>
            <w:r>
              <w:rPr>
                <w:rFonts w:hint="eastAsia" w:ascii="宋体" w:hAnsi="宋体" w:cs="宋体"/>
                <w:szCs w:val="21"/>
              </w:rPr>
              <w:t>鲤湾路人行地下通道</w:t>
            </w:r>
          </w:p>
        </w:tc>
        <w:tc>
          <w:tcPr>
            <w:tcW w:w="1775" w:type="dxa"/>
            <w:vMerge w:val="continue"/>
            <w:vAlign w:val="center"/>
          </w:tcPr>
          <w:p w14:paraId="3FC058BC">
            <w:pPr>
              <w:jc w:val="center"/>
              <w:rPr>
                <w:rFonts w:ascii="宋体" w:hAnsi="宋体" w:cs="宋体"/>
                <w:szCs w:val="21"/>
              </w:rPr>
            </w:pPr>
          </w:p>
        </w:tc>
        <w:tc>
          <w:tcPr>
            <w:tcW w:w="1335" w:type="dxa"/>
            <w:vAlign w:val="center"/>
          </w:tcPr>
          <w:p w14:paraId="20243EC8">
            <w:pPr>
              <w:jc w:val="center"/>
              <w:rPr>
                <w:rFonts w:ascii="宋体" w:hAnsi="宋体" w:cs="宋体"/>
                <w:szCs w:val="21"/>
              </w:rPr>
            </w:pPr>
            <w:r>
              <w:rPr>
                <w:rFonts w:hint="eastAsia" w:ascii="宋体" w:hAnsi="宋体" w:cs="宋体"/>
                <w:szCs w:val="21"/>
              </w:rPr>
              <w:t>61.2</w:t>
            </w:r>
          </w:p>
        </w:tc>
        <w:tc>
          <w:tcPr>
            <w:tcW w:w="1230" w:type="dxa"/>
            <w:vAlign w:val="center"/>
          </w:tcPr>
          <w:p w14:paraId="7EF56DF8">
            <w:pPr>
              <w:jc w:val="center"/>
              <w:rPr>
                <w:rFonts w:ascii="宋体" w:hAnsi="宋体" w:cs="宋体"/>
                <w:szCs w:val="21"/>
              </w:rPr>
            </w:pPr>
            <w:r>
              <w:rPr>
                <w:rFonts w:hint="eastAsia" w:ascii="宋体" w:hAnsi="宋体" w:cs="宋体"/>
                <w:szCs w:val="21"/>
              </w:rPr>
              <w:t>5.9</w:t>
            </w:r>
          </w:p>
        </w:tc>
        <w:tc>
          <w:tcPr>
            <w:tcW w:w="1260" w:type="dxa"/>
            <w:vAlign w:val="center"/>
          </w:tcPr>
          <w:p w14:paraId="6B9655FB">
            <w:pPr>
              <w:jc w:val="center"/>
              <w:rPr>
                <w:rFonts w:ascii="宋体" w:hAnsi="宋体" w:cs="宋体"/>
                <w:szCs w:val="21"/>
              </w:rPr>
            </w:pPr>
            <w:r>
              <w:rPr>
                <w:rFonts w:hint="eastAsia" w:ascii="宋体" w:hAnsi="宋体" w:cs="宋体"/>
                <w:szCs w:val="21"/>
              </w:rPr>
              <w:t>3.9</w:t>
            </w:r>
          </w:p>
        </w:tc>
      </w:tr>
      <w:tr w14:paraId="44B50F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508BA0D4">
            <w:pPr>
              <w:jc w:val="center"/>
              <w:rPr>
                <w:rFonts w:ascii="宋体" w:hAnsi="宋体" w:cs="宋体"/>
                <w:szCs w:val="21"/>
              </w:rPr>
            </w:pPr>
            <w:r>
              <w:rPr>
                <w:rFonts w:hint="eastAsia" w:ascii="宋体" w:hAnsi="宋体" w:cs="宋体"/>
                <w:szCs w:val="21"/>
              </w:rPr>
              <w:t>26</w:t>
            </w:r>
          </w:p>
        </w:tc>
        <w:tc>
          <w:tcPr>
            <w:tcW w:w="2635" w:type="dxa"/>
            <w:vAlign w:val="center"/>
          </w:tcPr>
          <w:p w14:paraId="46B2D6F5">
            <w:pPr>
              <w:jc w:val="center"/>
              <w:rPr>
                <w:rFonts w:ascii="宋体" w:hAnsi="宋体" w:cs="宋体"/>
                <w:szCs w:val="21"/>
              </w:rPr>
            </w:pPr>
            <w:r>
              <w:rPr>
                <w:rFonts w:hint="eastAsia" w:ascii="宋体" w:hAnsi="宋体" w:cs="宋体"/>
                <w:szCs w:val="21"/>
              </w:rPr>
              <w:t>麻村人行地下通道</w:t>
            </w:r>
          </w:p>
        </w:tc>
        <w:tc>
          <w:tcPr>
            <w:tcW w:w="1775" w:type="dxa"/>
            <w:vMerge w:val="continue"/>
            <w:vAlign w:val="center"/>
          </w:tcPr>
          <w:p w14:paraId="7701F072">
            <w:pPr>
              <w:jc w:val="center"/>
              <w:rPr>
                <w:rFonts w:ascii="宋体" w:hAnsi="宋体" w:cs="宋体"/>
                <w:szCs w:val="21"/>
              </w:rPr>
            </w:pPr>
          </w:p>
        </w:tc>
        <w:tc>
          <w:tcPr>
            <w:tcW w:w="1335" w:type="dxa"/>
            <w:vAlign w:val="center"/>
          </w:tcPr>
          <w:p w14:paraId="311CC89B">
            <w:pPr>
              <w:jc w:val="center"/>
              <w:rPr>
                <w:rFonts w:ascii="宋体" w:hAnsi="宋体" w:cs="宋体"/>
                <w:szCs w:val="21"/>
              </w:rPr>
            </w:pPr>
            <w:r>
              <w:rPr>
                <w:rFonts w:hint="eastAsia" w:ascii="宋体" w:hAnsi="宋体" w:cs="宋体"/>
                <w:szCs w:val="21"/>
              </w:rPr>
              <w:t>59.7</w:t>
            </w:r>
          </w:p>
        </w:tc>
        <w:tc>
          <w:tcPr>
            <w:tcW w:w="1230" w:type="dxa"/>
            <w:vAlign w:val="center"/>
          </w:tcPr>
          <w:p w14:paraId="1E7A35E1">
            <w:pPr>
              <w:jc w:val="center"/>
              <w:rPr>
                <w:rFonts w:ascii="宋体" w:hAnsi="宋体" w:cs="宋体"/>
                <w:szCs w:val="21"/>
              </w:rPr>
            </w:pPr>
            <w:r>
              <w:rPr>
                <w:rFonts w:hint="eastAsia" w:ascii="宋体" w:hAnsi="宋体" w:cs="宋体"/>
                <w:szCs w:val="21"/>
              </w:rPr>
              <w:t>5.9</w:t>
            </w:r>
          </w:p>
        </w:tc>
        <w:tc>
          <w:tcPr>
            <w:tcW w:w="1260" w:type="dxa"/>
            <w:vAlign w:val="center"/>
          </w:tcPr>
          <w:p w14:paraId="5E41BF04">
            <w:pPr>
              <w:jc w:val="center"/>
              <w:rPr>
                <w:rFonts w:ascii="宋体" w:hAnsi="宋体" w:cs="宋体"/>
                <w:szCs w:val="21"/>
              </w:rPr>
            </w:pPr>
            <w:r>
              <w:rPr>
                <w:rFonts w:hint="eastAsia" w:ascii="宋体" w:hAnsi="宋体" w:cs="宋体"/>
                <w:szCs w:val="21"/>
              </w:rPr>
              <w:t>3.9</w:t>
            </w:r>
          </w:p>
        </w:tc>
      </w:tr>
      <w:tr w14:paraId="15564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 w:hRule="atLeast"/>
        </w:trPr>
        <w:tc>
          <w:tcPr>
            <w:tcW w:w="1080" w:type="dxa"/>
            <w:vAlign w:val="center"/>
          </w:tcPr>
          <w:p w14:paraId="271DED42">
            <w:pPr>
              <w:jc w:val="center"/>
              <w:rPr>
                <w:rFonts w:ascii="宋体" w:hAnsi="宋体" w:cs="宋体"/>
                <w:szCs w:val="21"/>
              </w:rPr>
            </w:pPr>
            <w:r>
              <w:rPr>
                <w:rFonts w:hint="eastAsia" w:ascii="宋体" w:hAnsi="宋体" w:cs="宋体"/>
                <w:szCs w:val="21"/>
              </w:rPr>
              <w:t>27</w:t>
            </w:r>
          </w:p>
        </w:tc>
        <w:tc>
          <w:tcPr>
            <w:tcW w:w="2635" w:type="dxa"/>
            <w:vAlign w:val="center"/>
          </w:tcPr>
          <w:p w14:paraId="6A968B02">
            <w:pPr>
              <w:jc w:val="center"/>
              <w:rPr>
                <w:rFonts w:ascii="宋体" w:hAnsi="宋体" w:cs="宋体"/>
                <w:szCs w:val="21"/>
              </w:rPr>
            </w:pPr>
            <w:r>
              <w:rPr>
                <w:rFonts w:hint="eastAsia" w:ascii="宋体" w:hAnsi="宋体" w:cs="宋体"/>
                <w:szCs w:val="21"/>
              </w:rPr>
              <w:t>民族广场人行地下通道</w:t>
            </w:r>
          </w:p>
        </w:tc>
        <w:tc>
          <w:tcPr>
            <w:tcW w:w="1775" w:type="dxa"/>
            <w:vMerge w:val="continue"/>
            <w:vAlign w:val="center"/>
          </w:tcPr>
          <w:p w14:paraId="3BAA9A88">
            <w:pPr>
              <w:jc w:val="center"/>
              <w:rPr>
                <w:rFonts w:ascii="宋体" w:hAnsi="宋体" w:cs="宋体"/>
                <w:szCs w:val="21"/>
              </w:rPr>
            </w:pPr>
          </w:p>
        </w:tc>
        <w:tc>
          <w:tcPr>
            <w:tcW w:w="1335" w:type="dxa"/>
            <w:vAlign w:val="center"/>
          </w:tcPr>
          <w:p w14:paraId="455F89F9">
            <w:pPr>
              <w:jc w:val="center"/>
              <w:rPr>
                <w:rFonts w:ascii="宋体" w:hAnsi="宋体" w:cs="宋体"/>
                <w:szCs w:val="21"/>
              </w:rPr>
            </w:pPr>
            <w:r>
              <w:rPr>
                <w:rFonts w:hint="eastAsia" w:ascii="宋体" w:hAnsi="宋体" w:cs="宋体"/>
                <w:szCs w:val="21"/>
              </w:rPr>
              <w:t>88.3</w:t>
            </w:r>
          </w:p>
        </w:tc>
        <w:tc>
          <w:tcPr>
            <w:tcW w:w="1230" w:type="dxa"/>
            <w:vAlign w:val="center"/>
          </w:tcPr>
          <w:p w14:paraId="34A4986D">
            <w:pPr>
              <w:jc w:val="center"/>
              <w:rPr>
                <w:rFonts w:ascii="宋体" w:hAnsi="宋体" w:cs="宋体"/>
                <w:szCs w:val="21"/>
              </w:rPr>
            </w:pPr>
            <w:r>
              <w:rPr>
                <w:rFonts w:hint="eastAsia" w:ascii="宋体" w:hAnsi="宋体" w:cs="宋体"/>
                <w:szCs w:val="21"/>
              </w:rPr>
              <w:t>5.9</w:t>
            </w:r>
          </w:p>
        </w:tc>
        <w:tc>
          <w:tcPr>
            <w:tcW w:w="1260" w:type="dxa"/>
            <w:vAlign w:val="center"/>
          </w:tcPr>
          <w:p w14:paraId="18A6D11B">
            <w:pPr>
              <w:jc w:val="center"/>
              <w:rPr>
                <w:rFonts w:ascii="宋体" w:hAnsi="宋体" w:cs="宋体"/>
                <w:szCs w:val="21"/>
              </w:rPr>
            </w:pPr>
            <w:r>
              <w:rPr>
                <w:rFonts w:hint="eastAsia" w:ascii="宋体" w:hAnsi="宋体" w:cs="宋体"/>
                <w:szCs w:val="21"/>
              </w:rPr>
              <w:t>3.9</w:t>
            </w:r>
          </w:p>
        </w:tc>
      </w:tr>
      <w:tr w14:paraId="39A845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CFD53DD">
            <w:pPr>
              <w:jc w:val="center"/>
              <w:rPr>
                <w:rFonts w:ascii="宋体" w:hAnsi="宋体" w:cs="宋体"/>
                <w:szCs w:val="21"/>
              </w:rPr>
            </w:pPr>
            <w:r>
              <w:rPr>
                <w:rFonts w:hint="eastAsia" w:ascii="宋体" w:hAnsi="宋体" w:cs="宋体"/>
                <w:szCs w:val="21"/>
              </w:rPr>
              <w:t>28</w:t>
            </w:r>
          </w:p>
        </w:tc>
        <w:tc>
          <w:tcPr>
            <w:tcW w:w="2635" w:type="dxa"/>
            <w:vAlign w:val="center"/>
          </w:tcPr>
          <w:p w14:paraId="0B3BE4C3">
            <w:pPr>
              <w:jc w:val="center"/>
              <w:rPr>
                <w:rFonts w:ascii="宋体" w:hAnsi="宋体" w:cs="宋体"/>
                <w:szCs w:val="21"/>
              </w:rPr>
            </w:pPr>
            <w:r>
              <w:rPr>
                <w:rFonts w:hint="eastAsia" w:ascii="宋体" w:hAnsi="宋体" w:cs="宋体"/>
                <w:szCs w:val="21"/>
              </w:rPr>
              <w:t>七叉路口人行地下通道</w:t>
            </w:r>
          </w:p>
        </w:tc>
        <w:tc>
          <w:tcPr>
            <w:tcW w:w="1775" w:type="dxa"/>
            <w:vMerge w:val="continue"/>
            <w:vAlign w:val="center"/>
          </w:tcPr>
          <w:p w14:paraId="718A7DFE">
            <w:pPr>
              <w:jc w:val="center"/>
              <w:rPr>
                <w:rFonts w:ascii="宋体" w:hAnsi="宋体" w:cs="宋体"/>
                <w:szCs w:val="21"/>
              </w:rPr>
            </w:pPr>
          </w:p>
        </w:tc>
        <w:tc>
          <w:tcPr>
            <w:tcW w:w="1335" w:type="dxa"/>
            <w:vAlign w:val="center"/>
          </w:tcPr>
          <w:p w14:paraId="2827B9F3">
            <w:pPr>
              <w:jc w:val="center"/>
              <w:rPr>
                <w:rFonts w:ascii="宋体" w:hAnsi="宋体" w:cs="宋体"/>
                <w:szCs w:val="21"/>
              </w:rPr>
            </w:pPr>
            <w:r>
              <w:rPr>
                <w:rFonts w:hint="eastAsia" w:ascii="宋体" w:hAnsi="宋体" w:cs="宋体"/>
                <w:szCs w:val="21"/>
              </w:rPr>
              <w:t>127</w:t>
            </w:r>
          </w:p>
        </w:tc>
        <w:tc>
          <w:tcPr>
            <w:tcW w:w="1230" w:type="dxa"/>
            <w:vAlign w:val="center"/>
          </w:tcPr>
          <w:p w14:paraId="47E77694">
            <w:pPr>
              <w:jc w:val="center"/>
              <w:rPr>
                <w:rFonts w:ascii="宋体" w:hAnsi="宋体" w:cs="宋体"/>
                <w:szCs w:val="21"/>
              </w:rPr>
            </w:pPr>
            <w:r>
              <w:rPr>
                <w:rFonts w:hint="eastAsia" w:ascii="宋体" w:hAnsi="宋体" w:cs="宋体"/>
                <w:szCs w:val="21"/>
              </w:rPr>
              <w:t>9.0</w:t>
            </w:r>
          </w:p>
        </w:tc>
        <w:tc>
          <w:tcPr>
            <w:tcW w:w="1260" w:type="dxa"/>
            <w:vAlign w:val="center"/>
          </w:tcPr>
          <w:p w14:paraId="383CEC92">
            <w:pPr>
              <w:jc w:val="center"/>
              <w:rPr>
                <w:rFonts w:ascii="宋体" w:hAnsi="宋体" w:cs="宋体"/>
                <w:szCs w:val="21"/>
              </w:rPr>
            </w:pPr>
            <w:r>
              <w:rPr>
                <w:rFonts w:hint="eastAsia" w:ascii="宋体" w:hAnsi="宋体" w:cs="宋体"/>
                <w:szCs w:val="21"/>
              </w:rPr>
              <w:t>3.5</w:t>
            </w:r>
          </w:p>
        </w:tc>
      </w:tr>
      <w:tr w14:paraId="33EE8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C919F3C">
            <w:pPr>
              <w:jc w:val="center"/>
              <w:rPr>
                <w:rFonts w:ascii="宋体" w:hAnsi="宋体" w:cs="宋体"/>
                <w:szCs w:val="21"/>
              </w:rPr>
            </w:pPr>
            <w:r>
              <w:rPr>
                <w:rFonts w:hint="eastAsia" w:ascii="宋体" w:hAnsi="宋体" w:cs="宋体"/>
                <w:szCs w:val="21"/>
              </w:rPr>
              <w:t>29</w:t>
            </w:r>
          </w:p>
        </w:tc>
        <w:tc>
          <w:tcPr>
            <w:tcW w:w="2635" w:type="dxa"/>
            <w:vAlign w:val="center"/>
          </w:tcPr>
          <w:p w14:paraId="1DE344E8">
            <w:pPr>
              <w:jc w:val="center"/>
              <w:rPr>
                <w:rFonts w:ascii="宋体" w:hAnsi="宋体" w:cs="宋体"/>
                <w:szCs w:val="21"/>
              </w:rPr>
            </w:pPr>
            <w:r>
              <w:rPr>
                <w:rFonts w:hint="eastAsia" w:ascii="宋体" w:hAnsi="宋体" w:cs="宋体"/>
                <w:szCs w:val="21"/>
              </w:rPr>
              <w:t>大岭村地下通道</w:t>
            </w:r>
          </w:p>
        </w:tc>
        <w:tc>
          <w:tcPr>
            <w:tcW w:w="1775" w:type="dxa"/>
            <w:vMerge w:val="restart"/>
            <w:vAlign w:val="center"/>
          </w:tcPr>
          <w:p w14:paraId="086C0280">
            <w:pPr>
              <w:jc w:val="center"/>
              <w:rPr>
                <w:rFonts w:ascii="宋体" w:hAnsi="宋体" w:cs="宋体"/>
                <w:szCs w:val="21"/>
              </w:rPr>
            </w:pPr>
            <w:r>
              <w:rPr>
                <w:rFonts w:hint="eastAsia" w:ascii="宋体" w:hAnsi="宋体" w:cs="宋体"/>
                <w:szCs w:val="21"/>
              </w:rPr>
              <w:t>秀厢大道</w:t>
            </w:r>
          </w:p>
        </w:tc>
        <w:tc>
          <w:tcPr>
            <w:tcW w:w="1335" w:type="dxa"/>
            <w:vAlign w:val="center"/>
          </w:tcPr>
          <w:p w14:paraId="2F780F73">
            <w:pPr>
              <w:jc w:val="center"/>
              <w:rPr>
                <w:rFonts w:ascii="宋体" w:hAnsi="宋体" w:cs="宋体"/>
                <w:szCs w:val="21"/>
              </w:rPr>
            </w:pPr>
            <w:r>
              <w:rPr>
                <w:rFonts w:hint="eastAsia" w:ascii="宋体" w:hAnsi="宋体" w:cs="宋体"/>
                <w:szCs w:val="21"/>
              </w:rPr>
              <w:t>60</w:t>
            </w:r>
          </w:p>
        </w:tc>
        <w:tc>
          <w:tcPr>
            <w:tcW w:w="1230" w:type="dxa"/>
            <w:vAlign w:val="center"/>
          </w:tcPr>
          <w:p w14:paraId="2AC675D1">
            <w:pPr>
              <w:jc w:val="center"/>
              <w:rPr>
                <w:rFonts w:ascii="宋体" w:hAnsi="宋体" w:cs="宋体"/>
                <w:szCs w:val="21"/>
              </w:rPr>
            </w:pPr>
            <w:r>
              <w:rPr>
                <w:rFonts w:hint="eastAsia" w:ascii="宋体" w:hAnsi="宋体" w:cs="宋体"/>
                <w:szCs w:val="21"/>
              </w:rPr>
              <w:t>9.5</w:t>
            </w:r>
          </w:p>
        </w:tc>
        <w:tc>
          <w:tcPr>
            <w:tcW w:w="1260" w:type="dxa"/>
            <w:vAlign w:val="center"/>
          </w:tcPr>
          <w:p w14:paraId="436DF846">
            <w:pPr>
              <w:jc w:val="center"/>
              <w:rPr>
                <w:rFonts w:ascii="宋体" w:hAnsi="宋体" w:cs="宋体"/>
                <w:szCs w:val="21"/>
              </w:rPr>
            </w:pPr>
            <w:r>
              <w:rPr>
                <w:rFonts w:hint="eastAsia" w:ascii="宋体" w:hAnsi="宋体" w:cs="宋体"/>
                <w:szCs w:val="21"/>
              </w:rPr>
              <w:t>3.5</w:t>
            </w:r>
          </w:p>
        </w:tc>
      </w:tr>
      <w:tr w14:paraId="60C29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1080" w:type="dxa"/>
            <w:vAlign w:val="center"/>
          </w:tcPr>
          <w:p w14:paraId="5E9CF579">
            <w:pPr>
              <w:jc w:val="center"/>
              <w:rPr>
                <w:rFonts w:ascii="宋体" w:hAnsi="宋体" w:cs="宋体"/>
                <w:szCs w:val="21"/>
              </w:rPr>
            </w:pPr>
            <w:r>
              <w:rPr>
                <w:rFonts w:hint="eastAsia" w:ascii="宋体" w:hAnsi="宋体" w:cs="宋体"/>
                <w:szCs w:val="21"/>
              </w:rPr>
              <w:t>30</w:t>
            </w:r>
          </w:p>
        </w:tc>
        <w:tc>
          <w:tcPr>
            <w:tcW w:w="2635" w:type="dxa"/>
            <w:vAlign w:val="center"/>
          </w:tcPr>
          <w:p w14:paraId="461EB330">
            <w:pPr>
              <w:jc w:val="center"/>
              <w:rPr>
                <w:rFonts w:ascii="宋体" w:hAnsi="宋体" w:cs="宋体"/>
                <w:szCs w:val="21"/>
              </w:rPr>
            </w:pPr>
            <w:r>
              <w:rPr>
                <w:rFonts w:hint="eastAsia" w:ascii="宋体" w:hAnsi="宋体" w:cs="宋体"/>
                <w:szCs w:val="21"/>
              </w:rPr>
              <w:t>心圩村地下通道</w:t>
            </w:r>
          </w:p>
        </w:tc>
        <w:tc>
          <w:tcPr>
            <w:tcW w:w="1775" w:type="dxa"/>
            <w:vMerge w:val="continue"/>
            <w:vAlign w:val="center"/>
          </w:tcPr>
          <w:p w14:paraId="3AC43AF3">
            <w:pPr>
              <w:jc w:val="center"/>
              <w:rPr>
                <w:rFonts w:ascii="宋体" w:hAnsi="宋体" w:cs="宋体"/>
                <w:szCs w:val="21"/>
              </w:rPr>
            </w:pPr>
          </w:p>
        </w:tc>
        <w:tc>
          <w:tcPr>
            <w:tcW w:w="1335" w:type="dxa"/>
            <w:vAlign w:val="center"/>
          </w:tcPr>
          <w:p w14:paraId="25CFFECB">
            <w:pPr>
              <w:jc w:val="center"/>
              <w:rPr>
                <w:rFonts w:ascii="宋体" w:hAnsi="宋体" w:cs="宋体"/>
                <w:szCs w:val="21"/>
              </w:rPr>
            </w:pPr>
            <w:r>
              <w:rPr>
                <w:rFonts w:hint="eastAsia" w:ascii="宋体" w:hAnsi="宋体" w:cs="宋体"/>
                <w:szCs w:val="21"/>
              </w:rPr>
              <w:t>60</w:t>
            </w:r>
          </w:p>
        </w:tc>
        <w:tc>
          <w:tcPr>
            <w:tcW w:w="1230" w:type="dxa"/>
            <w:vAlign w:val="center"/>
          </w:tcPr>
          <w:p w14:paraId="740012F4">
            <w:pPr>
              <w:jc w:val="center"/>
              <w:rPr>
                <w:rFonts w:ascii="宋体" w:hAnsi="宋体" w:cs="宋体"/>
                <w:szCs w:val="21"/>
              </w:rPr>
            </w:pPr>
            <w:r>
              <w:rPr>
                <w:rFonts w:hint="eastAsia" w:ascii="宋体" w:hAnsi="宋体" w:cs="宋体"/>
                <w:szCs w:val="21"/>
              </w:rPr>
              <w:t>9.5</w:t>
            </w:r>
          </w:p>
        </w:tc>
        <w:tc>
          <w:tcPr>
            <w:tcW w:w="1260" w:type="dxa"/>
            <w:vAlign w:val="center"/>
          </w:tcPr>
          <w:p w14:paraId="5EE5A725">
            <w:pPr>
              <w:jc w:val="center"/>
              <w:rPr>
                <w:rFonts w:ascii="宋体" w:hAnsi="宋体" w:cs="宋体"/>
                <w:szCs w:val="21"/>
              </w:rPr>
            </w:pPr>
            <w:r>
              <w:rPr>
                <w:rFonts w:hint="eastAsia" w:ascii="宋体" w:hAnsi="宋体" w:cs="宋体"/>
                <w:szCs w:val="21"/>
              </w:rPr>
              <w:t>5.0</w:t>
            </w:r>
          </w:p>
        </w:tc>
      </w:tr>
      <w:tr w14:paraId="5A2C2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D3617DA">
            <w:pPr>
              <w:jc w:val="center"/>
              <w:rPr>
                <w:rFonts w:ascii="宋体" w:hAnsi="宋体" w:cs="宋体"/>
                <w:szCs w:val="21"/>
              </w:rPr>
            </w:pPr>
            <w:r>
              <w:rPr>
                <w:rFonts w:hint="eastAsia" w:ascii="宋体" w:hAnsi="宋体" w:cs="宋体"/>
                <w:szCs w:val="21"/>
              </w:rPr>
              <w:t>31</w:t>
            </w:r>
          </w:p>
        </w:tc>
        <w:tc>
          <w:tcPr>
            <w:tcW w:w="2635" w:type="dxa"/>
            <w:vAlign w:val="center"/>
          </w:tcPr>
          <w:p w14:paraId="1310A192">
            <w:pPr>
              <w:jc w:val="center"/>
              <w:rPr>
                <w:rFonts w:ascii="宋体" w:hAnsi="宋体" w:cs="宋体"/>
                <w:szCs w:val="21"/>
              </w:rPr>
            </w:pPr>
            <w:r>
              <w:rPr>
                <w:rFonts w:hint="eastAsia" w:ascii="宋体" w:hAnsi="宋体" w:cs="宋体"/>
                <w:szCs w:val="21"/>
              </w:rPr>
              <w:t>鹧鸪渌村地下通道</w:t>
            </w:r>
          </w:p>
        </w:tc>
        <w:tc>
          <w:tcPr>
            <w:tcW w:w="1775" w:type="dxa"/>
            <w:vMerge w:val="continue"/>
            <w:vAlign w:val="center"/>
          </w:tcPr>
          <w:p w14:paraId="011F1D26">
            <w:pPr>
              <w:jc w:val="center"/>
              <w:rPr>
                <w:rFonts w:ascii="宋体" w:hAnsi="宋体" w:cs="宋体"/>
                <w:szCs w:val="21"/>
              </w:rPr>
            </w:pPr>
          </w:p>
        </w:tc>
        <w:tc>
          <w:tcPr>
            <w:tcW w:w="1335" w:type="dxa"/>
            <w:vAlign w:val="center"/>
          </w:tcPr>
          <w:p w14:paraId="29B3577A">
            <w:pPr>
              <w:jc w:val="center"/>
              <w:rPr>
                <w:rFonts w:ascii="宋体" w:hAnsi="宋体" w:cs="宋体"/>
                <w:szCs w:val="21"/>
              </w:rPr>
            </w:pPr>
            <w:r>
              <w:rPr>
                <w:rFonts w:hint="eastAsia" w:ascii="宋体" w:hAnsi="宋体" w:cs="宋体"/>
                <w:szCs w:val="21"/>
              </w:rPr>
              <w:t>88.53</w:t>
            </w:r>
          </w:p>
        </w:tc>
        <w:tc>
          <w:tcPr>
            <w:tcW w:w="1230" w:type="dxa"/>
            <w:vAlign w:val="center"/>
          </w:tcPr>
          <w:p w14:paraId="092CD2ED">
            <w:pPr>
              <w:jc w:val="center"/>
              <w:rPr>
                <w:rFonts w:ascii="宋体" w:hAnsi="宋体" w:cs="宋体"/>
                <w:szCs w:val="21"/>
              </w:rPr>
            </w:pPr>
            <w:r>
              <w:rPr>
                <w:rFonts w:hint="eastAsia" w:ascii="宋体" w:hAnsi="宋体" w:cs="宋体"/>
                <w:szCs w:val="21"/>
              </w:rPr>
              <w:t>9.5</w:t>
            </w:r>
          </w:p>
        </w:tc>
        <w:tc>
          <w:tcPr>
            <w:tcW w:w="1260" w:type="dxa"/>
            <w:vAlign w:val="center"/>
          </w:tcPr>
          <w:p w14:paraId="6984BEE4">
            <w:pPr>
              <w:jc w:val="center"/>
              <w:rPr>
                <w:rFonts w:ascii="宋体" w:hAnsi="宋体" w:cs="宋体"/>
                <w:szCs w:val="21"/>
              </w:rPr>
            </w:pPr>
            <w:r>
              <w:rPr>
                <w:rFonts w:hint="eastAsia" w:ascii="宋体" w:hAnsi="宋体" w:cs="宋体"/>
                <w:szCs w:val="21"/>
              </w:rPr>
              <w:t>4.5</w:t>
            </w:r>
          </w:p>
        </w:tc>
      </w:tr>
      <w:tr w14:paraId="256C7F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4C80ED1">
            <w:pPr>
              <w:jc w:val="center"/>
              <w:rPr>
                <w:rFonts w:ascii="宋体" w:hAnsi="宋体" w:cs="宋体"/>
                <w:szCs w:val="21"/>
              </w:rPr>
            </w:pPr>
            <w:r>
              <w:rPr>
                <w:rFonts w:hint="eastAsia" w:ascii="宋体" w:hAnsi="宋体" w:cs="宋体"/>
                <w:szCs w:val="21"/>
              </w:rPr>
              <w:t>32</w:t>
            </w:r>
          </w:p>
        </w:tc>
        <w:tc>
          <w:tcPr>
            <w:tcW w:w="2635" w:type="dxa"/>
            <w:vAlign w:val="center"/>
          </w:tcPr>
          <w:p w14:paraId="14CE3DA3">
            <w:pPr>
              <w:jc w:val="center"/>
              <w:rPr>
                <w:rFonts w:ascii="宋体" w:hAnsi="宋体" w:cs="宋体"/>
                <w:szCs w:val="21"/>
              </w:rPr>
            </w:pPr>
            <w:r>
              <w:rPr>
                <w:rFonts w:hint="eastAsia" w:ascii="宋体" w:hAnsi="宋体" w:cs="宋体"/>
                <w:szCs w:val="21"/>
              </w:rPr>
              <w:t>行健学院地下通道</w:t>
            </w:r>
          </w:p>
        </w:tc>
        <w:tc>
          <w:tcPr>
            <w:tcW w:w="1775" w:type="dxa"/>
            <w:vMerge w:val="continue"/>
            <w:vAlign w:val="center"/>
          </w:tcPr>
          <w:p w14:paraId="1F780F98">
            <w:pPr>
              <w:jc w:val="center"/>
              <w:rPr>
                <w:rFonts w:ascii="宋体" w:hAnsi="宋体" w:cs="宋体"/>
                <w:szCs w:val="21"/>
              </w:rPr>
            </w:pPr>
          </w:p>
        </w:tc>
        <w:tc>
          <w:tcPr>
            <w:tcW w:w="1335" w:type="dxa"/>
            <w:vAlign w:val="center"/>
          </w:tcPr>
          <w:p w14:paraId="4CA9DE22">
            <w:pPr>
              <w:jc w:val="center"/>
              <w:rPr>
                <w:rFonts w:ascii="宋体" w:hAnsi="宋体" w:cs="宋体"/>
                <w:szCs w:val="21"/>
              </w:rPr>
            </w:pPr>
            <w:r>
              <w:rPr>
                <w:rFonts w:hint="eastAsia" w:ascii="宋体" w:hAnsi="宋体" w:cs="宋体"/>
                <w:szCs w:val="21"/>
              </w:rPr>
              <w:t>60</w:t>
            </w:r>
          </w:p>
        </w:tc>
        <w:tc>
          <w:tcPr>
            <w:tcW w:w="1230" w:type="dxa"/>
            <w:vAlign w:val="center"/>
          </w:tcPr>
          <w:p w14:paraId="20BD7888">
            <w:pPr>
              <w:jc w:val="center"/>
              <w:rPr>
                <w:rFonts w:ascii="宋体" w:hAnsi="宋体" w:cs="宋体"/>
                <w:szCs w:val="21"/>
              </w:rPr>
            </w:pPr>
            <w:r>
              <w:rPr>
                <w:rFonts w:hint="eastAsia" w:ascii="宋体" w:hAnsi="宋体" w:cs="宋体"/>
                <w:szCs w:val="21"/>
              </w:rPr>
              <w:t>9.5</w:t>
            </w:r>
          </w:p>
        </w:tc>
        <w:tc>
          <w:tcPr>
            <w:tcW w:w="1260" w:type="dxa"/>
            <w:vAlign w:val="center"/>
          </w:tcPr>
          <w:p w14:paraId="287B1C82">
            <w:pPr>
              <w:jc w:val="center"/>
              <w:rPr>
                <w:rFonts w:ascii="宋体" w:hAnsi="宋体" w:cs="宋体"/>
                <w:szCs w:val="21"/>
              </w:rPr>
            </w:pPr>
            <w:r>
              <w:rPr>
                <w:rFonts w:hint="eastAsia" w:ascii="宋体" w:hAnsi="宋体" w:cs="宋体"/>
                <w:szCs w:val="21"/>
              </w:rPr>
              <w:t>3.5</w:t>
            </w:r>
          </w:p>
        </w:tc>
      </w:tr>
      <w:tr w14:paraId="079CFC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DDE10A9">
            <w:pPr>
              <w:jc w:val="center"/>
              <w:rPr>
                <w:rFonts w:ascii="宋体" w:hAnsi="宋体" w:cs="宋体"/>
                <w:szCs w:val="21"/>
              </w:rPr>
            </w:pPr>
            <w:r>
              <w:rPr>
                <w:rFonts w:hint="eastAsia" w:ascii="宋体" w:hAnsi="宋体" w:cs="宋体"/>
                <w:szCs w:val="21"/>
              </w:rPr>
              <w:t>33</w:t>
            </w:r>
          </w:p>
        </w:tc>
        <w:tc>
          <w:tcPr>
            <w:tcW w:w="2635" w:type="dxa"/>
            <w:vAlign w:val="center"/>
          </w:tcPr>
          <w:p w14:paraId="029757D9">
            <w:pPr>
              <w:jc w:val="center"/>
              <w:rPr>
                <w:rFonts w:ascii="宋体" w:hAnsi="宋体" w:cs="宋体"/>
                <w:szCs w:val="21"/>
              </w:rPr>
            </w:pPr>
            <w:r>
              <w:rPr>
                <w:rFonts w:hint="eastAsia" w:ascii="宋体" w:hAnsi="宋体" w:cs="宋体"/>
                <w:szCs w:val="21"/>
              </w:rPr>
              <w:t>鸡村2地下通道</w:t>
            </w:r>
          </w:p>
        </w:tc>
        <w:tc>
          <w:tcPr>
            <w:tcW w:w="1775" w:type="dxa"/>
            <w:vMerge w:val="continue"/>
            <w:vAlign w:val="center"/>
          </w:tcPr>
          <w:p w14:paraId="1150AEDD">
            <w:pPr>
              <w:jc w:val="center"/>
              <w:rPr>
                <w:rFonts w:ascii="宋体" w:hAnsi="宋体" w:cs="宋体"/>
                <w:szCs w:val="21"/>
              </w:rPr>
            </w:pPr>
          </w:p>
        </w:tc>
        <w:tc>
          <w:tcPr>
            <w:tcW w:w="1335" w:type="dxa"/>
            <w:vAlign w:val="center"/>
          </w:tcPr>
          <w:p w14:paraId="4F41986F">
            <w:pPr>
              <w:jc w:val="center"/>
              <w:rPr>
                <w:rFonts w:ascii="宋体" w:hAnsi="宋体" w:cs="宋体"/>
                <w:szCs w:val="21"/>
              </w:rPr>
            </w:pPr>
            <w:r>
              <w:rPr>
                <w:rFonts w:hint="eastAsia" w:ascii="宋体" w:hAnsi="宋体" w:cs="宋体"/>
                <w:szCs w:val="21"/>
              </w:rPr>
              <w:t>60</w:t>
            </w:r>
          </w:p>
        </w:tc>
        <w:tc>
          <w:tcPr>
            <w:tcW w:w="1230" w:type="dxa"/>
            <w:vAlign w:val="center"/>
          </w:tcPr>
          <w:p w14:paraId="6B95810E">
            <w:pPr>
              <w:jc w:val="center"/>
              <w:rPr>
                <w:rFonts w:ascii="宋体" w:hAnsi="宋体" w:cs="宋体"/>
                <w:szCs w:val="21"/>
              </w:rPr>
            </w:pPr>
            <w:r>
              <w:rPr>
                <w:rFonts w:hint="eastAsia" w:ascii="宋体" w:hAnsi="宋体" w:cs="宋体"/>
                <w:szCs w:val="21"/>
              </w:rPr>
              <w:t>9.5</w:t>
            </w:r>
          </w:p>
        </w:tc>
        <w:tc>
          <w:tcPr>
            <w:tcW w:w="1260" w:type="dxa"/>
            <w:vAlign w:val="center"/>
          </w:tcPr>
          <w:p w14:paraId="454FD9B8">
            <w:pPr>
              <w:jc w:val="center"/>
              <w:rPr>
                <w:rFonts w:ascii="宋体" w:hAnsi="宋体" w:cs="宋体"/>
                <w:szCs w:val="21"/>
              </w:rPr>
            </w:pPr>
            <w:r>
              <w:rPr>
                <w:rFonts w:hint="eastAsia" w:ascii="宋体" w:hAnsi="宋体" w:cs="宋体"/>
                <w:szCs w:val="21"/>
              </w:rPr>
              <w:t>5.0</w:t>
            </w:r>
          </w:p>
        </w:tc>
      </w:tr>
      <w:tr w14:paraId="1EEA6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09E431D">
            <w:pPr>
              <w:jc w:val="center"/>
              <w:rPr>
                <w:rFonts w:ascii="宋体" w:hAnsi="宋体" w:cs="宋体"/>
                <w:szCs w:val="21"/>
              </w:rPr>
            </w:pPr>
            <w:r>
              <w:rPr>
                <w:rFonts w:hint="eastAsia" w:ascii="宋体" w:hAnsi="宋体" w:cs="宋体"/>
                <w:szCs w:val="21"/>
              </w:rPr>
              <w:t>34</w:t>
            </w:r>
          </w:p>
        </w:tc>
        <w:tc>
          <w:tcPr>
            <w:tcW w:w="2635" w:type="dxa"/>
            <w:vAlign w:val="center"/>
          </w:tcPr>
          <w:p w14:paraId="44DAC07C">
            <w:pPr>
              <w:jc w:val="center"/>
              <w:rPr>
                <w:rFonts w:ascii="宋体" w:hAnsi="宋体" w:cs="宋体"/>
                <w:szCs w:val="21"/>
              </w:rPr>
            </w:pPr>
            <w:r>
              <w:rPr>
                <w:rFonts w:hint="eastAsia" w:ascii="宋体" w:hAnsi="宋体" w:cs="宋体"/>
                <w:szCs w:val="21"/>
              </w:rPr>
              <w:t>降桥村地下通道</w:t>
            </w:r>
          </w:p>
        </w:tc>
        <w:tc>
          <w:tcPr>
            <w:tcW w:w="1775" w:type="dxa"/>
            <w:vMerge w:val="continue"/>
            <w:vAlign w:val="center"/>
          </w:tcPr>
          <w:p w14:paraId="4039DAEF">
            <w:pPr>
              <w:jc w:val="center"/>
              <w:rPr>
                <w:rFonts w:ascii="宋体" w:hAnsi="宋体" w:cs="宋体"/>
                <w:szCs w:val="21"/>
              </w:rPr>
            </w:pPr>
          </w:p>
        </w:tc>
        <w:tc>
          <w:tcPr>
            <w:tcW w:w="1335" w:type="dxa"/>
            <w:vAlign w:val="center"/>
          </w:tcPr>
          <w:p w14:paraId="08AA96AF">
            <w:pPr>
              <w:jc w:val="center"/>
              <w:rPr>
                <w:rFonts w:ascii="宋体" w:hAnsi="宋体" w:cs="宋体"/>
                <w:szCs w:val="21"/>
              </w:rPr>
            </w:pPr>
            <w:r>
              <w:rPr>
                <w:rFonts w:hint="eastAsia" w:ascii="宋体" w:hAnsi="宋体" w:cs="宋体"/>
                <w:szCs w:val="21"/>
              </w:rPr>
              <w:t>70</w:t>
            </w:r>
          </w:p>
        </w:tc>
        <w:tc>
          <w:tcPr>
            <w:tcW w:w="1230" w:type="dxa"/>
            <w:vAlign w:val="center"/>
          </w:tcPr>
          <w:p w14:paraId="28D458BF">
            <w:pPr>
              <w:jc w:val="center"/>
              <w:rPr>
                <w:rFonts w:ascii="宋体" w:hAnsi="宋体" w:cs="宋体"/>
                <w:szCs w:val="21"/>
              </w:rPr>
            </w:pPr>
            <w:r>
              <w:rPr>
                <w:rFonts w:hint="eastAsia" w:ascii="宋体" w:hAnsi="宋体" w:cs="宋体"/>
                <w:szCs w:val="21"/>
              </w:rPr>
              <w:t>9.5</w:t>
            </w:r>
          </w:p>
        </w:tc>
        <w:tc>
          <w:tcPr>
            <w:tcW w:w="1260" w:type="dxa"/>
            <w:vAlign w:val="center"/>
          </w:tcPr>
          <w:p w14:paraId="645CD4CF">
            <w:pPr>
              <w:jc w:val="center"/>
              <w:rPr>
                <w:rFonts w:ascii="宋体" w:hAnsi="宋体" w:cs="宋体"/>
                <w:szCs w:val="21"/>
              </w:rPr>
            </w:pPr>
            <w:r>
              <w:rPr>
                <w:rFonts w:hint="eastAsia" w:ascii="宋体" w:hAnsi="宋体" w:cs="宋体"/>
                <w:szCs w:val="21"/>
              </w:rPr>
              <w:t>4.05</w:t>
            </w:r>
          </w:p>
        </w:tc>
      </w:tr>
      <w:tr w14:paraId="3647C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3EF870A">
            <w:pPr>
              <w:jc w:val="center"/>
              <w:rPr>
                <w:rFonts w:ascii="宋体" w:hAnsi="宋体" w:cs="宋体"/>
                <w:szCs w:val="21"/>
              </w:rPr>
            </w:pPr>
            <w:r>
              <w:rPr>
                <w:rFonts w:hint="eastAsia" w:ascii="宋体" w:hAnsi="宋体" w:cs="宋体"/>
                <w:szCs w:val="21"/>
              </w:rPr>
              <w:t>35</w:t>
            </w:r>
          </w:p>
        </w:tc>
        <w:tc>
          <w:tcPr>
            <w:tcW w:w="2635" w:type="dxa"/>
            <w:vAlign w:val="center"/>
          </w:tcPr>
          <w:p w14:paraId="40271E0A">
            <w:pPr>
              <w:jc w:val="center"/>
              <w:rPr>
                <w:rFonts w:ascii="宋体" w:hAnsi="宋体" w:cs="宋体"/>
                <w:szCs w:val="21"/>
              </w:rPr>
            </w:pPr>
            <w:r>
              <w:rPr>
                <w:rFonts w:hint="eastAsia" w:ascii="宋体" w:hAnsi="宋体" w:cs="宋体"/>
                <w:szCs w:val="21"/>
              </w:rPr>
              <w:t>富德村地下通道</w:t>
            </w:r>
          </w:p>
        </w:tc>
        <w:tc>
          <w:tcPr>
            <w:tcW w:w="1775" w:type="dxa"/>
            <w:vAlign w:val="center"/>
          </w:tcPr>
          <w:p w14:paraId="2F844FCA">
            <w:pPr>
              <w:jc w:val="center"/>
              <w:rPr>
                <w:rFonts w:ascii="宋体" w:hAnsi="宋体" w:cs="宋体"/>
                <w:szCs w:val="21"/>
              </w:rPr>
            </w:pPr>
            <w:r>
              <w:rPr>
                <w:rFonts w:hint="eastAsia" w:ascii="宋体" w:hAnsi="宋体" w:cs="宋体"/>
                <w:szCs w:val="21"/>
              </w:rPr>
              <w:t>壮锦大道</w:t>
            </w:r>
          </w:p>
        </w:tc>
        <w:tc>
          <w:tcPr>
            <w:tcW w:w="1335" w:type="dxa"/>
            <w:vAlign w:val="center"/>
          </w:tcPr>
          <w:p w14:paraId="448B50F7">
            <w:pPr>
              <w:jc w:val="center"/>
              <w:rPr>
                <w:rFonts w:ascii="宋体" w:hAnsi="宋体" w:cs="宋体"/>
                <w:szCs w:val="21"/>
              </w:rPr>
            </w:pPr>
            <w:r>
              <w:rPr>
                <w:rFonts w:hint="eastAsia" w:ascii="宋体" w:hAnsi="宋体" w:cs="宋体"/>
                <w:szCs w:val="21"/>
              </w:rPr>
              <w:t>29</w:t>
            </w:r>
          </w:p>
        </w:tc>
        <w:tc>
          <w:tcPr>
            <w:tcW w:w="1230" w:type="dxa"/>
            <w:vAlign w:val="center"/>
          </w:tcPr>
          <w:p w14:paraId="36816135">
            <w:pPr>
              <w:jc w:val="center"/>
              <w:rPr>
                <w:rFonts w:ascii="宋体" w:hAnsi="宋体" w:cs="宋体"/>
                <w:szCs w:val="21"/>
              </w:rPr>
            </w:pPr>
            <w:r>
              <w:rPr>
                <w:rFonts w:hint="eastAsia" w:ascii="宋体" w:hAnsi="宋体" w:cs="宋体"/>
                <w:szCs w:val="21"/>
              </w:rPr>
              <w:t>5.0</w:t>
            </w:r>
          </w:p>
        </w:tc>
        <w:tc>
          <w:tcPr>
            <w:tcW w:w="1260" w:type="dxa"/>
            <w:vAlign w:val="center"/>
          </w:tcPr>
          <w:p w14:paraId="4C7E067D">
            <w:pPr>
              <w:jc w:val="center"/>
              <w:rPr>
                <w:rFonts w:ascii="宋体" w:hAnsi="宋体" w:cs="宋体"/>
                <w:szCs w:val="21"/>
              </w:rPr>
            </w:pPr>
            <w:r>
              <w:rPr>
                <w:rFonts w:hint="eastAsia" w:ascii="宋体" w:hAnsi="宋体" w:cs="宋体"/>
                <w:szCs w:val="21"/>
              </w:rPr>
              <w:t>3.7</w:t>
            </w:r>
          </w:p>
        </w:tc>
      </w:tr>
      <w:tr w14:paraId="1A2BF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E0D27B7">
            <w:pPr>
              <w:jc w:val="center"/>
              <w:rPr>
                <w:rFonts w:ascii="宋体" w:hAnsi="宋体" w:cs="宋体"/>
                <w:szCs w:val="21"/>
              </w:rPr>
            </w:pPr>
            <w:r>
              <w:rPr>
                <w:rFonts w:hint="eastAsia" w:ascii="宋体" w:hAnsi="宋体" w:cs="宋体"/>
                <w:szCs w:val="21"/>
              </w:rPr>
              <w:t>36</w:t>
            </w:r>
          </w:p>
        </w:tc>
        <w:tc>
          <w:tcPr>
            <w:tcW w:w="2635" w:type="dxa"/>
            <w:vAlign w:val="center"/>
          </w:tcPr>
          <w:p w14:paraId="55443D78">
            <w:pPr>
              <w:jc w:val="center"/>
              <w:rPr>
                <w:rFonts w:ascii="宋体" w:hAnsi="宋体" w:cs="宋体"/>
                <w:szCs w:val="21"/>
              </w:rPr>
            </w:pPr>
            <w:r>
              <w:rPr>
                <w:rFonts w:hint="eastAsia" w:ascii="宋体" w:hAnsi="宋体" w:cs="宋体"/>
                <w:szCs w:val="21"/>
              </w:rPr>
              <w:t>乐村路地下通道</w:t>
            </w:r>
          </w:p>
        </w:tc>
        <w:tc>
          <w:tcPr>
            <w:tcW w:w="1775" w:type="dxa"/>
            <w:vAlign w:val="center"/>
          </w:tcPr>
          <w:p w14:paraId="01E449E5">
            <w:pPr>
              <w:jc w:val="center"/>
              <w:rPr>
                <w:rFonts w:ascii="宋体" w:hAnsi="宋体" w:cs="宋体"/>
                <w:szCs w:val="21"/>
              </w:rPr>
            </w:pPr>
            <w:r>
              <w:rPr>
                <w:rFonts w:hint="eastAsia" w:ascii="宋体" w:hAnsi="宋体" w:cs="宋体"/>
                <w:szCs w:val="21"/>
              </w:rPr>
              <w:t>乐村路</w:t>
            </w:r>
          </w:p>
        </w:tc>
        <w:tc>
          <w:tcPr>
            <w:tcW w:w="1335" w:type="dxa"/>
            <w:vAlign w:val="center"/>
          </w:tcPr>
          <w:p w14:paraId="3C82DB83">
            <w:pPr>
              <w:jc w:val="center"/>
              <w:rPr>
                <w:rFonts w:ascii="宋体" w:hAnsi="宋体" w:cs="宋体"/>
                <w:szCs w:val="21"/>
              </w:rPr>
            </w:pPr>
            <w:r>
              <w:rPr>
                <w:rFonts w:hint="eastAsia" w:ascii="宋体" w:hAnsi="宋体" w:cs="宋体"/>
                <w:szCs w:val="21"/>
              </w:rPr>
              <w:t>42</w:t>
            </w:r>
          </w:p>
        </w:tc>
        <w:tc>
          <w:tcPr>
            <w:tcW w:w="1230" w:type="dxa"/>
            <w:vAlign w:val="center"/>
          </w:tcPr>
          <w:p w14:paraId="7605392F">
            <w:pPr>
              <w:jc w:val="center"/>
              <w:rPr>
                <w:rFonts w:ascii="宋体" w:hAnsi="宋体" w:cs="宋体"/>
                <w:szCs w:val="21"/>
              </w:rPr>
            </w:pPr>
            <w:r>
              <w:rPr>
                <w:rFonts w:hint="eastAsia" w:ascii="宋体" w:hAnsi="宋体" w:cs="宋体"/>
                <w:szCs w:val="21"/>
              </w:rPr>
              <w:t>6.0</w:t>
            </w:r>
          </w:p>
        </w:tc>
        <w:tc>
          <w:tcPr>
            <w:tcW w:w="1260" w:type="dxa"/>
            <w:vAlign w:val="center"/>
          </w:tcPr>
          <w:p w14:paraId="0B9BFA8E">
            <w:pPr>
              <w:jc w:val="center"/>
              <w:rPr>
                <w:rFonts w:ascii="宋体" w:hAnsi="宋体" w:cs="宋体"/>
                <w:szCs w:val="21"/>
              </w:rPr>
            </w:pPr>
            <w:r>
              <w:rPr>
                <w:rFonts w:hint="eastAsia" w:ascii="宋体" w:hAnsi="宋体" w:cs="宋体"/>
                <w:szCs w:val="21"/>
              </w:rPr>
              <w:t>3.6</w:t>
            </w:r>
          </w:p>
        </w:tc>
      </w:tr>
      <w:tr w14:paraId="7D4C8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FB550F2">
            <w:pPr>
              <w:jc w:val="center"/>
              <w:rPr>
                <w:rFonts w:ascii="宋体" w:hAnsi="宋体" w:cs="宋体"/>
                <w:szCs w:val="21"/>
              </w:rPr>
            </w:pPr>
            <w:r>
              <w:rPr>
                <w:rFonts w:hint="eastAsia" w:ascii="宋体" w:hAnsi="宋体" w:cs="宋体"/>
                <w:szCs w:val="21"/>
              </w:rPr>
              <w:t>37</w:t>
            </w:r>
          </w:p>
        </w:tc>
        <w:tc>
          <w:tcPr>
            <w:tcW w:w="2635" w:type="dxa"/>
            <w:vAlign w:val="center"/>
          </w:tcPr>
          <w:p w14:paraId="0C4055E5">
            <w:pPr>
              <w:jc w:val="center"/>
              <w:rPr>
                <w:rFonts w:ascii="宋体" w:hAnsi="宋体" w:cs="宋体"/>
                <w:szCs w:val="21"/>
              </w:rPr>
            </w:pPr>
            <w:r>
              <w:rPr>
                <w:rFonts w:hint="eastAsia" w:ascii="宋体" w:hAnsi="宋体" w:cs="宋体"/>
                <w:szCs w:val="21"/>
              </w:rPr>
              <w:t>玉洞大道K20+766通道</w:t>
            </w:r>
          </w:p>
        </w:tc>
        <w:tc>
          <w:tcPr>
            <w:tcW w:w="1775" w:type="dxa"/>
            <w:vMerge w:val="restart"/>
            <w:vAlign w:val="center"/>
          </w:tcPr>
          <w:p w14:paraId="2E59D64E">
            <w:pPr>
              <w:jc w:val="center"/>
              <w:rPr>
                <w:rFonts w:ascii="宋体" w:hAnsi="宋体" w:cs="宋体"/>
                <w:szCs w:val="21"/>
              </w:rPr>
            </w:pPr>
            <w:r>
              <w:rPr>
                <w:rFonts w:hint="eastAsia" w:ascii="宋体" w:hAnsi="宋体" w:cs="宋体"/>
                <w:szCs w:val="21"/>
              </w:rPr>
              <w:t>玉洞大道</w:t>
            </w:r>
          </w:p>
        </w:tc>
        <w:tc>
          <w:tcPr>
            <w:tcW w:w="1335" w:type="dxa"/>
            <w:vAlign w:val="center"/>
          </w:tcPr>
          <w:p w14:paraId="27C19EB2">
            <w:pPr>
              <w:jc w:val="center"/>
              <w:rPr>
                <w:rFonts w:ascii="宋体" w:hAnsi="宋体" w:cs="宋体"/>
                <w:szCs w:val="21"/>
              </w:rPr>
            </w:pPr>
            <w:r>
              <w:rPr>
                <w:rFonts w:hint="eastAsia" w:ascii="宋体" w:hAnsi="宋体" w:cs="宋体"/>
                <w:szCs w:val="21"/>
              </w:rPr>
              <w:t>73.45</w:t>
            </w:r>
          </w:p>
        </w:tc>
        <w:tc>
          <w:tcPr>
            <w:tcW w:w="1230" w:type="dxa"/>
            <w:vAlign w:val="center"/>
          </w:tcPr>
          <w:p w14:paraId="56BDC4BD">
            <w:pPr>
              <w:jc w:val="center"/>
              <w:rPr>
                <w:rFonts w:ascii="宋体" w:hAnsi="宋体" w:cs="宋体"/>
                <w:szCs w:val="21"/>
              </w:rPr>
            </w:pPr>
            <w:r>
              <w:rPr>
                <w:rFonts w:hint="eastAsia" w:ascii="宋体" w:hAnsi="宋体" w:cs="宋体"/>
                <w:szCs w:val="21"/>
              </w:rPr>
              <w:t>6.0</w:t>
            </w:r>
          </w:p>
        </w:tc>
        <w:tc>
          <w:tcPr>
            <w:tcW w:w="1260" w:type="dxa"/>
            <w:vAlign w:val="center"/>
          </w:tcPr>
          <w:p w14:paraId="215184B7">
            <w:pPr>
              <w:jc w:val="center"/>
              <w:rPr>
                <w:rFonts w:ascii="宋体" w:hAnsi="宋体" w:cs="宋体"/>
                <w:szCs w:val="21"/>
              </w:rPr>
            </w:pPr>
            <w:r>
              <w:rPr>
                <w:rFonts w:hint="eastAsia" w:ascii="宋体" w:hAnsi="宋体" w:cs="宋体"/>
                <w:szCs w:val="21"/>
              </w:rPr>
              <w:t>5.0</w:t>
            </w:r>
          </w:p>
        </w:tc>
      </w:tr>
      <w:tr w14:paraId="779FB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88C0B87">
            <w:pPr>
              <w:jc w:val="center"/>
              <w:rPr>
                <w:rFonts w:ascii="宋体" w:hAnsi="宋体" w:cs="宋体"/>
                <w:szCs w:val="21"/>
              </w:rPr>
            </w:pPr>
            <w:r>
              <w:rPr>
                <w:rFonts w:hint="eastAsia" w:ascii="宋体" w:hAnsi="宋体" w:cs="宋体"/>
                <w:szCs w:val="21"/>
              </w:rPr>
              <w:t>38</w:t>
            </w:r>
          </w:p>
        </w:tc>
        <w:tc>
          <w:tcPr>
            <w:tcW w:w="2635" w:type="dxa"/>
            <w:vAlign w:val="center"/>
          </w:tcPr>
          <w:p w14:paraId="4F2537F3">
            <w:pPr>
              <w:jc w:val="center"/>
              <w:rPr>
                <w:rFonts w:ascii="宋体" w:hAnsi="宋体" w:cs="宋体"/>
                <w:szCs w:val="21"/>
              </w:rPr>
            </w:pPr>
            <w:r>
              <w:rPr>
                <w:rFonts w:hint="eastAsia" w:ascii="宋体" w:hAnsi="宋体" w:cs="宋体"/>
                <w:szCs w:val="21"/>
              </w:rPr>
              <w:t>玉洞大道K21+256通道</w:t>
            </w:r>
          </w:p>
        </w:tc>
        <w:tc>
          <w:tcPr>
            <w:tcW w:w="1775" w:type="dxa"/>
            <w:vMerge w:val="continue"/>
            <w:vAlign w:val="center"/>
          </w:tcPr>
          <w:p w14:paraId="74500902">
            <w:pPr>
              <w:jc w:val="center"/>
              <w:rPr>
                <w:rFonts w:ascii="宋体" w:hAnsi="宋体" w:cs="宋体"/>
                <w:szCs w:val="21"/>
              </w:rPr>
            </w:pPr>
          </w:p>
        </w:tc>
        <w:tc>
          <w:tcPr>
            <w:tcW w:w="1335" w:type="dxa"/>
            <w:vAlign w:val="center"/>
          </w:tcPr>
          <w:p w14:paraId="2BF92623">
            <w:pPr>
              <w:jc w:val="center"/>
              <w:rPr>
                <w:rFonts w:ascii="宋体" w:hAnsi="宋体" w:cs="宋体"/>
                <w:szCs w:val="21"/>
              </w:rPr>
            </w:pPr>
            <w:r>
              <w:rPr>
                <w:rFonts w:hint="eastAsia" w:ascii="宋体" w:hAnsi="宋体" w:cs="宋体"/>
                <w:szCs w:val="21"/>
              </w:rPr>
              <w:t>91.45</w:t>
            </w:r>
          </w:p>
        </w:tc>
        <w:tc>
          <w:tcPr>
            <w:tcW w:w="1230" w:type="dxa"/>
            <w:vAlign w:val="center"/>
          </w:tcPr>
          <w:p w14:paraId="20CBD375">
            <w:pPr>
              <w:jc w:val="center"/>
              <w:rPr>
                <w:rFonts w:ascii="宋体" w:hAnsi="宋体" w:cs="宋体"/>
                <w:szCs w:val="21"/>
              </w:rPr>
            </w:pPr>
            <w:r>
              <w:rPr>
                <w:rFonts w:hint="eastAsia" w:ascii="宋体" w:hAnsi="宋体" w:cs="宋体"/>
                <w:szCs w:val="21"/>
              </w:rPr>
              <w:t>4.0</w:t>
            </w:r>
          </w:p>
        </w:tc>
        <w:tc>
          <w:tcPr>
            <w:tcW w:w="1260" w:type="dxa"/>
            <w:vAlign w:val="center"/>
          </w:tcPr>
          <w:p w14:paraId="1BB08B14">
            <w:pPr>
              <w:jc w:val="center"/>
              <w:rPr>
                <w:rFonts w:ascii="宋体" w:hAnsi="宋体" w:cs="宋体"/>
                <w:szCs w:val="21"/>
              </w:rPr>
            </w:pPr>
            <w:r>
              <w:rPr>
                <w:rFonts w:hint="eastAsia" w:ascii="宋体" w:hAnsi="宋体" w:cs="宋体"/>
                <w:szCs w:val="21"/>
              </w:rPr>
              <w:t>4.5</w:t>
            </w:r>
          </w:p>
        </w:tc>
      </w:tr>
      <w:tr w14:paraId="15B9F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22D0EF9">
            <w:pPr>
              <w:jc w:val="center"/>
              <w:rPr>
                <w:rFonts w:ascii="宋体" w:hAnsi="宋体" w:cs="宋体"/>
                <w:szCs w:val="21"/>
              </w:rPr>
            </w:pPr>
            <w:r>
              <w:rPr>
                <w:rFonts w:hint="eastAsia" w:ascii="宋体" w:hAnsi="宋体" w:cs="宋体"/>
                <w:szCs w:val="21"/>
              </w:rPr>
              <w:t>39</w:t>
            </w:r>
          </w:p>
        </w:tc>
        <w:tc>
          <w:tcPr>
            <w:tcW w:w="2635" w:type="dxa"/>
            <w:vAlign w:val="center"/>
          </w:tcPr>
          <w:p w14:paraId="2BA3AEFE">
            <w:pPr>
              <w:jc w:val="center"/>
              <w:rPr>
                <w:rFonts w:ascii="宋体" w:hAnsi="宋体" w:cs="宋体"/>
                <w:szCs w:val="21"/>
              </w:rPr>
            </w:pPr>
            <w:r>
              <w:rPr>
                <w:rFonts w:hint="eastAsia" w:ascii="宋体" w:hAnsi="宋体" w:cs="宋体"/>
                <w:szCs w:val="21"/>
              </w:rPr>
              <w:t>疏港大道K3+499通道</w:t>
            </w:r>
          </w:p>
        </w:tc>
        <w:tc>
          <w:tcPr>
            <w:tcW w:w="1775" w:type="dxa"/>
            <w:vAlign w:val="center"/>
          </w:tcPr>
          <w:p w14:paraId="66BFD10B">
            <w:pPr>
              <w:jc w:val="center"/>
              <w:rPr>
                <w:rFonts w:ascii="宋体" w:hAnsi="宋体" w:cs="宋体"/>
                <w:szCs w:val="21"/>
              </w:rPr>
            </w:pPr>
            <w:r>
              <w:rPr>
                <w:rFonts w:hint="eastAsia" w:ascii="宋体" w:hAnsi="宋体" w:cs="宋体"/>
                <w:szCs w:val="21"/>
              </w:rPr>
              <w:t>疏港大道</w:t>
            </w:r>
          </w:p>
        </w:tc>
        <w:tc>
          <w:tcPr>
            <w:tcW w:w="1335" w:type="dxa"/>
            <w:vAlign w:val="center"/>
          </w:tcPr>
          <w:p w14:paraId="5A7F380C">
            <w:pPr>
              <w:jc w:val="center"/>
              <w:rPr>
                <w:rFonts w:ascii="宋体" w:hAnsi="宋体" w:cs="宋体"/>
                <w:szCs w:val="21"/>
              </w:rPr>
            </w:pPr>
            <w:r>
              <w:rPr>
                <w:rFonts w:hint="eastAsia" w:ascii="宋体" w:hAnsi="宋体" w:cs="宋体"/>
                <w:szCs w:val="21"/>
              </w:rPr>
              <w:t>102</w:t>
            </w:r>
          </w:p>
        </w:tc>
        <w:tc>
          <w:tcPr>
            <w:tcW w:w="1230" w:type="dxa"/>
            <w:vAlign w:val="center"/>
          </w:tcPr>
          <w:p w14:paraId="30713E4B">
            <w:pPr>
              <w:jc w:val="center"/>
              <w:rPr>
                <w:rFonts w:ascii="宋体" w:hAnsi="宋体" w:cs="宋体"/>
                <w:szCs w:val="21"/>
              </w:rPr>
            </w:pPr>
            <w:r>
              <w:rPr>
                <w:rFonts w:hint="eastAsia" w:ascii="宋体" w:hAnsi="宋体" w:cs="宋体"/>
                <w:szCs w:val="21"/>
              </w:rPr>
              <w:t>4.0</w:t>
            </w:r>
          </w:p>
        </w:tc>
        <w:tc>
          <w:tcPr>
            <w:tcW w:w="1260" w:type="dxa"/>
            <w:vAlign w:val="center"/>
          </w:tcPr>
          <w:p w14:paraId="3F27B1B4">
            <w:pPr>
              <w:jc w:val="center"/>
              <w:rPr>
                <w:rFonts w:ascii="宋体" w:hAnsi="宋体" w:cs="宋体"/>
                <w:szCs w:val="21"/>
              </w:rPr>
            </w:pPr>
            <w:r>
              <w:rPr>
                <w:rFonts w:hint="eastAsia" w:ascii="宋体" w:hAnsi="宋体" w:cs="宋体"/>
                <w:szCs w:val="21"/>
              </w:rPr>
              <w:t>4.32</w:t>
            </w:r>
          </w:p>
        </w:tc>
      </w:tr>
      <w:tr w14:paraId="47FC90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D803788">
            <w:pPr>
              <w:jc w:val="center"/>
              <w:rPr>
                <w:rFonts w:ascii="宋体" w:hAnsi="宋体" w:cs="宋体"/>
                <w:szCs w:val="21"/>
              </w:rPr>
            </w:pPr>
            <w:r>
              <w:rPr>
                <w:rFonts w:hint="eastAsia" w:ascii="宋体" w:hAnsi="宋体" w:cs="宋体"/>
                <w:szCs w:val="21"/>
              </w:rPr>
              <w:t>40</w:t>
            </w:r>
          </w:p>
        </w:tc>
        <w:tc>
          <w:tcPr>
            <w:tcW w:w="2635" w:type="dxa"/>
            <w:vAlign w:val="center"/>
          </w:tcPr>
          <w:p w14:paraId="452522DD">
            <w:pPr>
              <w:jc w:val="center"/>
              <w:rPr>
                <w:rFonts w:ascii="宋体" w:hAnsi="宋体" w:cs="宋体"/>
                <w:szCs w:val="21"/>
              </w:rPr>
            </w:pPr>
            <w:r>
              <w:rPr>
                <w:rFonts w:hint="eastAsia" w:ascii="宋体" w:hAnsi="宋体" w:cs="宋体"/>
                <w:szCs w:val="21"/>
              </w:rPr>
              <w:t>仙鹤路K5+773通道</w:t>
            </w:r>
          </w:p>
        </w:tc>
        <w:tc>
          <w:tcPr>
            <w:tcW w:w="1775" w:type="dxa"/>
            <w:vAlign w:val="center"/>
          </w:tcPr>
          <w:p w14:paraId="3567D7FF">
            <w:pPr>
              <w:jc w:val="center"/>
              <w:rPr>
                <w:rFonts w:ascii="宋体" w:hAnsi="宋体" w:cs="宋体"/>
                <w:szCs w:val="21"/>
              </w:rPr>
            </w:pPr>
            <w:r>
              <w:rPr>
                <w:rFonts w:hint="eastAsia" w:ascii="宋体" w:hAnsi="宋体" w:cs="宋体"/>
                <w:szCs w:val="21"/>
              </w:rPr>
              <w:t>仙鹤路</w:t>
            </w:r>
          </w:p>
        </w:tc>
        <w:tc>
          <w:tcPr>
            <w:tcW w:w="1335" w:type="dxa"/>
            <w:vAlign w:val="center"/>
          </w:tcPr>
          <w:p w14:paraId="6C8A1ED9">
            <w:pPr>
              <w:jc w:val="center"/>
              <w:rPr>
                <w:rFonts w:ascii="宋体" w:hAnsi="宋体" w:cs="宋体"/>
                <w:szCs w:val="21"/>
              </w:rPr>
            </w:pPr>
            <w:r>
              <w:rPr>
                <w:rFonts w:hint="eastAsia" w:ascii="宋体" w:hAnsi="宋体" w:cs="宋体"/>
                <w:szCs w:val="21"/>
              </w:rPr>
              <w:t>88.96</w:t>
            </w:r>
          </w:p>
        </w:tc>
        <w:tc>
          <w:tcPr>
            <w:tcW w:w="1230" w:type="dxa"/>
            <w:vAlign w:val="center"/>
          </w:tcPr>
          <w:p w14:paraId="527C8357">
            <w:pPr>
              <w:jc w:val="center"/>
              <w:rPr>
                <w:rFonts w:ascii="宋体" w:hAnsi="宋体" w:cs="宋体"/>
                <w:szCs w:val="21"/>
              </w:rPr>
            </w:pPr>
            <w:r>
              <w:rPr>
                <w:rFonts w:hint="eastAsia" w:ascii="宋体" w:hAnsi="宋体" w:cs="宋体"/>
                <w:szCs w:val="21"/>
              </w:rPr>
              <w:t>5.0</w:t>
            </w:r>
          </w:p>
        </w:tc>
        <w:tc>
          <w:tcPr>
            <w:tcW w:w="1260" w:type="dxa"/>
            <w:vAlign w:val="center"/>
          </w:tcPr>
          <w:p w14:paraId="0B24A3FB">
            <w:pPr>
              <w:jc w:val="center"/>
              <w:rPr>
                <w:rFonts w:ascii="宋体" w:hAnsi="宋体" w:cs="宋体"/>
                <w:szCs w:val="21"/>
              </w:rPr>
            </w:pPr>
            <w:r>
              <w:rPr>
                <w:rFonts w:hint="eastAsia" w:ascii="宋体" w:hAnsi="宋体" w:cs="宋体"/>
                <w:szCs w:val="21"/>
              </w:rPr>
              <w:t>4.5</w:t>
            </w:r>
          </w:p>
        </w:tc>
      </w:tr>
      <w:tr w14:paraId="55905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CD2DF50">
            <w:pPr>
              <w:jc w:val="center"/>
              <w:rPr>
                <w:rFonts w:ascii="宋体" w:hAnsi="宋体" w:cs="宋体"/>
                <w:szCs w:val="21"/>
              </w:rPr>
            </w:pPr>
            <w:r>
              <w:rPr>
                <w:rFonts w:hint="eastAsia" w:ascii="宋体" w:hAnsi="宋体" w:cs="宋体"/>
                <w:szCs w:val="21"/>
              </w:rPr>
              <w:t>41</w:t>
            </w:r>
          </w:p>
        </w:tc>
        <w:tc>
          <w:tcPr>
            <w:tcW w:w="2635" w:type="dxa"/>
            <w:vAlign w:val="center"/>
          </w:tcPr>
          <w:p w14:paraId="7D0226E8">
            <w:pPr>
              <w:jc w:val="center"/>
              <w:rPr>
                <w:rFonts w:ascii="宋体" w:hAnsi="宋体" w:cs="宋体"/>
                <w:szCs w:val="21"/>
              </w:rPr>
            </w:pPr>
            <w:r>
              <w:rPr>
                <w:rFonts w:hint="eastAsia" w:ascii="宋体" w:hAnsi="宋体" w:cs="宋体"/>
                <w:szCs w:val="21"/>
              </w:rPr>
              <w:t>凤岭北路通道</w:t>
            </w:r>
          </w:p>
        </w:tc>
        <w:tc>
          <w:tcPr>
            <w:tcW w:w="1775" w:type="dxa"/>
            <w:vAlign w:val="center"/>
          </w:tcPr>
          <w:p w14:paraId="4C8AD444">
            <w:pPr>
              <w:jc w:val="center"/>
              <w:rPr>
                <w:rFonts w:ascii="宋体" w:hAnsi="宋体" w:cs="宋体"/>
                <w:szCs w:val="21"/>
              </w:rPr>
            </w:pPr>
            <w:r>
              <w:rPr>
                <w:rFonts w:hint="eastAsia" w:ascii="宋体" w:hAnsi="宋体" w:cs="宋体"/>
                <w:szCs w:val="21"/>
              </w:rPr>
              <w:t>凤岭北路</w:t>
            </w:r>
          </w:p>
        </w:tc>
        <w:tc>
          <w:tcPr>
            <w:tcW w:w="1335" w:type="dxa"/>
            <w:vAlign w:val="center"/>
          </w:tcPr>
          <w:p w14:paraId="71D4B1F2">
            <w:pPr>
              <w:jc w:val="center"/>
              <w:rPr>
                <w:rFonts w:ascii="宋体" w:hAnsi="宋体" w:cs="宋体"/>
                <w:szCs w:val="21"/>
              </w:rPr>
            </w:pPr>
            <w:r>
              <w:rPr>
                <w:rFonts w:hint="eastAsia" w:ascii="宋体" w:hAnsi="宋体" w:cs="宋体"/>
                <w:szCs w:val="21"/>
              </w:rPr>
              <w:t>72.5</w:t>
            </w:r>
          </w:p>
        </w:tc>
        <w:tc>
          <w:tcPr>
            <w:tcW w:w="1230" w:type="dxa"/>
            <w:vAlign w:val="center"/>
          </w:tcPr>
          <w:p w14:paraId="2585D57C">
            <w:pPr>
              <w:jc w:val="center"/>
              <w:rPr>
                <w:rFonts w:ascii="宋体" w:hAnsi="宋体" w:cs="宋体"/>
                <w:szCs w:val="21"/>
              </w:rPr>
            </w:pPr>
            <w:r>
              <w:rPr>
                <w:rFonts w:hint="eastAsia" w:ascii="宋体" w:hAnsi="宋体" w:cs="宋体"/>
                <w:szCs w:val="21"/>
              </w:rPr>
              <w:t>5.0</w:t>
            </w:r>
          </w:p>
        </w:tc>
        <w:tc>
          <w:tcPr>
            <w:tcW w:w="1260" w:type="dxa"/>
            <w:vAlign w:val="center"/>
          </w:tcPr>
          <w:p w14:paraId="0D34AF9C">
            <w:pPr>
              <w:jc w:val="center"/>
              <w:rPr>
                <w:rFonts w:ascii="宋体" w:hAnsi="宋体" w:cs="宋体"/>
                <w:szCs w:val="21"/>
              </w:rPr>
            </w:pPr>
            <w:r>
              <w:rPr>
                <w:rFonts w:hint="eastAsia" w:ascii="宋体" w:hAnsi="宋体" w:cs="宋体"/>
                <w:szCs w:val="21"/>
              </w:rPr>
              <w:t>4.5</w:t>
            </w:r>
          </w:p>
        </w:tc>
      </w:tr>
      <w:tr w14:paraId="2579C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557A329">
            <w:pPr>
              <w:jc w:val="center"/>
              <w:rPr>
                <w:rFonts w:ascii="宋体" w:hAnsi="宋体" w:cs="宋体"/>
                <w:szCs w:val="21"/>
              </w:rPr>
            </w:pPr>
            <w:r>
              <w:rPr>
                <w:rFonts w:hint="eastAsia" w:ascii="宋体" w:hAnsi="宋体" w:cs="宋体"/>
                <w:szCs w:val="21"/>
              </w:rPr>
              <w:t>42</w:t>
            </w:r>
          </w:p>
        </w:tc>
        <w:tc>
          <w:tcPr>
            <w:tcW w:w="2635" w:type="dxa"/>
            <w:vAlign w:val="center"/>
          </w:tcPr>
          <w:p w14:paraId="4F93AE30">
            <w:pPr>
              <w:jc w:val="center"/>
              <w:rPr>
                <w:rFonts w:ascii="宋体" w:hAnsi="宋体" w:cs="宋体"/>
                <w:szCs w:val="21"/>
              </w:rPr>
            </w:pPr>
            <w:r>
              <w:rPr>
                <w:rFonts w:hint="eastAsia" w:ascii="宋体" w:hAnsi="宋体" w:cs="宋体"/>
                <w:szCs w:val="21"/>
              </w:rPr>
              <w:t>体育局通道</w:t>
            </w:r>
          </w:p>
        </w:tc>
        <w:tc>
          <w:tcPr>
            <w:tcW w:w="1775" w:type="dxa"/>
            <w:vAlign w:val="center"/>
          </w:tcPr>
          <w:p w14:paraId="2AC96113">
            <w:pPr>
              <w:jc w:val="center"/>
              <w:rPr>
                <w:rFonts w:ascii="宋体" w:hAnsi="宋体" w:cs="宋体"/>
                <w:szCs w:val="21"/>
              </w:rPr>
            </w:pPr>
            <w:r>
              <w:rPr>
                <w:rFonts w:hint="eastAsia" w:ascii="宋体" w:hAnsi="宋体" w:cs="宋体"/>
                <w:szCs w:val="21"/>
              </w:rPr>
              <w:t>柳沙路</w:t>
            </w:r>
          </w:p>
        </w:tc>
        <w:tc>
          <w:tcPr>
            <w:tcW w:w="1335" w:type="dxa"/>
            <w:vAlign w:val="center"/>
          </w:tcPr>
          <w:p w14:paraId="5719FFBA">
            <w:pPr>
              <w:jc w:val="center"/>
              <w:rPr>
                <w:rFonts w:ascii="宋体" w:hAnsi="宋体" w:cs="宋体"/>
                <w:szCs w:val="21"/>
              </w:rPr>
            </w:pPr>
            <w:r>
              <w:rPr>
                <w:rFonts w:hint="eastAsia" w:ascii="宋体" w:hAnsi="宋体" w:cs="宋体"/>
                <w:szCs w:val="21"/>
              </w:rPr>
              <w:t>45.4</w:t>
            </w:r>
          </w:p>
        </w:tc>
        <w:tc>
          <w:tcPr>
            <w:tcW w:w="1230" w:type="dxa"/>
            <w:vAlign w:val="center"/>
          </w:tcPr>
          <w:p w14:paraId="4B094285">
            <w:pPr>
              <w:jc w:val="center"/>
              <w:rPr>
                <w:rFonts w:ascii="宋体" w:hAnsi="宋体" w:cs="宋体"/>
                <w:szCs w:val="21"/>
              </w:rPr>
            </w:pPr>
            <w:r>
              <w:rPr>
                <w:rFonts w:hint="eastAsia" w:ascii="宋体" w:hAnsi="宋体" w:cs="宋体"/>
                <w:szCs w:val="21"/>
              </w:rPr>
              <w:t>9.0</w:t>
            </w:r>
          </w:p>
        </w:tc>
        <w:tc>
          <w:tcPr>
            <w:tcW w:w="1260" w:type="dxa"/>
            <w:vAlign w:val="center"/>
          </w:tcPr>
          <w:p w14:paraId="61F432D7">
            <w:pPr>
              <w:jc w:val="center"/>
              <w:rPr>
                <w:rFonts w:ascii="宋体" w:hAnsi="宋体" w:cs="宋体"/>
                <w:szCs w:val="21"/>
              </w:rPr>
            </w:pPr>
            <w:r>
              <w:rPr>
                <w:rFonts w:hint="eastAsia" w:ascii="宋体" w:hAnsi="宋体" w:cs="宋体"/>
                <w:szCs w:val="21"/>
              </w:rPr>
              <w:t>3.8</w:t>
            </w:r>
          </w:p>
        </w:tc>
      </w:tr>
      <w:tr w14:paraId="57679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F8B8EAD">
            <w:pPr>
              <w:jc w:val="center"/>
              <w:rPr>
                <w:rFonts w:ascii="宋体" w:hAnsi="宋体" w:cs="宋体"/>
                <w:szCs w:val="21"/>
              </w:rPr>
            </w:pPr>
            <w:r>
              <w:rPr>
                <w:rFonts w:hint="eastAsia" w:ascii="宋体" w:hAnsi="宋体" w:cs="宋体"/>
                <w:szCs w:val="21"/>
              </w:rPr>
              <w:t>43</w:t>
            </w:r>
          </w:p>
        </w:tc>
        <w:tc>
          <w:tcPr>
            <w:tcW w:w="2635" w:type="dxa"/>
            <w:vAlign w:val="center"/>
          </w:tcPr>
          <w:p w14:paraId="36C28280">
            <w:pPr>
              <w:jc w:val="center"/>
              <w:rPr>
                <w:rFonts w:ascii="宋体" w:hAnsi="宋体" w:cs="宋体"/>
                <w:szCs w:val="21"/>
              </w:rPr>
            </w:pPr>
            <w:r>
              <w:rPr>
                <w:rFonts w:hint="eastAsia" w:ascii="宋体" w:hAnsi="宋体" w:cs="宋体"/>
                <w:szCs w:val="21"/>
              </w:rPr>
              <w:t>友谊路K9+424通道</w:t>
            </w:r>
          </w:p>
        </w:tc>
        <w:tc>
          <w:tcPr>
            <w:tcW w:w="1775" w:type="dxa"/>
            <w:vMerge w:val="restart"/>
            <w:vAlign w:val="center"/>
          </w:tcPr>
          <w:p w14:paraId="1E495DE5">
            <w:pPr>
              <w:jc w:val="center"/>
              <w:rPr>
                <w:rFonts w:ascii="宋体" w:hAnsi="宋体" w:cs="宋体"/>
                <w:szCs w:val="21"/>
              </w:rPr>
            </w:pPr>
            <w:r>
              <w:rPr>
                <w:rFonts w:hint="eastAsia" w:ascii="宋体" w:hAnsi="宋体" w:cs="宋体"/>
                <w:szCs w:val="21"/>
              </w:rPr>
              <w:t>友谊路</w:t>
            </w:r>
          </w:p>
        </w:tc>
        <w:tc>
          <w:tcPr>
            <w:tcW w:w="1335" w:type="dxa"/>
            <w:vAlign w:val="center"/>
          </w:tcPr>
          <w:p w14:paraId="08EDF4D5">
            <w:pPr>
              <w:jc w:val="center"/>
              <w:rPr>
                <w:rFonts w:ascii="宋体" w:hAnsi="宋体" w:cs="宋体"/>
                <w:szCs w:val="21"/>
              </w:rPr>
            </w:pPr>
            <w:r>
              <w:rPr>
                <w:rFonts w:hint="eastAsia" w:ascii="宋体" w:hAnsi="宋体" w:cs="宋体"/>
                <w:szCs w:val="21"/>
              </w:rPr>
              <w:t>47.8</w:t>
            </w:r>
          </w:p>
        </w:tc>
        <w:tc>
          <w:tcPr>
            <w:tcW w:w="1230" w:type="dxa"/>
            <w:vAlign w:val="center"/>
          </w:tcPr>
          <w:p w14:paraId="1762B222">
            <w:pPr>
              <w:jc w:val="center"/>
              <w:rPr>
                <w:rFonts w:ascii="宋体" w:hAnsi="宋体" w:cs="宋体"/>
                <w:szCs w:val="21"/>
              </w:rPr>
            </w:pPr>
            <w:r>
              <w:rPr>
                <w:rFonts w:hint="eastAsia" w:ascii="宋体" w:hAnsi="宋体" w:cs="宋体"/>
                <w:szCs w:val="21"/>
              </w:rPr>
              <w:t>4.0</w:t>
            </w:r>
          </w:p>
        </w:tc>
        <w:tc>
          <w:tcPr>
            <w:tcW w:w="1260" w:type="dxa"/>
            <w:vAlign w:val="center"/>
          </w:tcPr>
          <w:p w14:paraId="5CC611B0">
            <w:pPr>
              <w:jc w:val="center"/>
              <w:rPr>
                <w:rFonts w:ascii="宋体" w:hAnsi="宋体" w:cs="宋体"/>
                <w:szCs w:val="21"/>
              </w:rPr>
            </w:pPr>
            <w:r>
              <w:rPr>
                <w:rFonts w:hint="eastAsia" w:ascii="宋体" w:hAnsi="宋体" w:cs="宋体"/>
                <w:szCs w:val="21"/>
              </w:rPr>
              <w:t>3.5</w:t>
            </w:r>
          </w:p>
        </w:tc>
      </w:tr>
      <w:tr w14:paraId="77C4B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1080" w:type="dxa"/>
            <w:vAlign w:val="center"/>
          </w:tcPr>
          <w:p w14:paraId="29800E65">
            <w:pPr>
              <w:jc w:val="center"/>
              <w:rPr>
                <w:rFonts w:ascii="宋体" w:hAnsi="宋体" w:cs="宋体"/>
                <w:szCs w:val="21"/>
              </w:rPr>
            </w:pPr>
            <w:r>
              <w:rPr>
                <w:rFonts w:hint="eastAsia" w:ascii="宋体" w:hAnsi="宋体" w:cs="宋体"/>
                <w:szCs w:val="21"/>
              </w:rPr>
              <w:t>44</w:t>
            </w:r>
          </w:p>
        </w:tc>
        <w:tc>
          <w:tcPr>
            <w:tcW w:w="2635" w:type="dxa"/>
            <w:vAlign w:val="center"/>
          </w:tcPr>
          <w:p w14:paraId="753E6328">
            <w:pPr>
              <w:jc w:val="center"/>
              <w:rPr>
                <w:rFonts w:ascii="宋体" w:hAnsi="宋体" w:cs="宋体"/>
                <w:szCs w:val="21"/>
              </w:rPr>
            </w:pPr>
            <w:r>
              <w:rPr>
                <w:rFonts w:hint="eastAsia" w:ascii="宋体" w:hAnsi="宋体" w:cs="宋体"/>
                <w:szCs w:val="21"/>
              </w:rPr>
              <w:t>友谊路K10+160通道</w:t>
            </w:r>
          </w:p>
        </w:tc>
        <w:tc>
          <w:tcPr>
            <w:tcW w:w="1775" w:type="dxa"/>
            <w:vMerge w:val="continue"/>
            <w:vAlign w:val="center"/>
          </w:tcPr>
          <w:p w14:paraId="6E1BB51B">
            <w:pPr>
              <w:jc w:val="center"/>
              <w:rPr>
                <w:rFonts w:ascii="宋体" w:hAnsi="宋体" w:cs="宋体"/>
                <w:szCs w:val="21"/>
              </w:rPr>
            </w:pPr>
          </w:p>
        </w:tc>
        <w:tc>
          <w:tcPr>
            <w:tcW w:w="1335" w:type="dxa"/>
            <w:vAlign w:val="center"/>
          </w:tcPr>
          <w:p w14:paraId="5A514AC4">
            <w:pPr>
              <w:jc w:val="center"/>
              <w:rPr>
                <w:rFonts w:ascii="宋体" w:hAnsi="宋体" w:cs="宋体"/>
                <w:szCs w:val="21"/>
              </w:rPr>
            </w:pPr>
            <w:r>
              <w:rPr>
                <w:rFonts w:hint="eastAsia" w:ascii="宋体" w:hAnsi="宋体" w:cs="宋体"/>
                <w:szCs w:val="21"/>
              </w:rPr>
              <w:t>47.26</w:t>
            </w:r>
          </w:p>
        </w:tc>
        <w:tc>
          <w:tcPr>
            <w:tcW w:w="1230" w:type="dxa"/>
            <w:vAlign w:val="center"/>
          </w:tcPr>
          <w:p w14:paraId="6AF4C2BD">
            <w:pPr>
              <w:jc w:val="center"/>
              <w:rPr>
                <w:rFonts w:ascii="宋体" w:hAnsi="宋体" w:cs="宋体"/>
                <w:szCs w:val="21"/>
              </w:rPr>
            </w:pPr>
            <w:r>
              <w:rPr>
                <w:rFonts w:hint="eastAsia" w:ascii="宋体" w:hAnsi="宋体" w:cs="宋体"/>
                <w:szCs w:val="21"/>
              </w:rPr>
              <w:t>4.0</w:t>
            </w:r>
          </w:p>
        </w:tc>
        <w:tc>
          <w:tcPr>
            <w:tcW w:w="1260" w:type="dxa"/>
            <w:vAlign w:val="center"/>
          </w:tcPr>
          <w:p w14:paraId="38B7CC7F">
            <w:pPr>
              <w:jc w:val="center"/>
              <w:rPr>
                <w:rFonts w:ascii="宋体" w:hAnsi="宋体" w:cs="宋体"/>
                <w:szCs w:val="21"/>
              </w:rPr>
            </w:pPr>
            <w:r>
              <w:rPr>
                <w:rFonts w:hint="eastAsia" w:ascii="宋体" w:hAnsi="宋体" w:cs="宋体"/>
                <w:szCs w:val="21"/>
              </w:rPr>
              <w:t>3.0</w:t>
            </w:r>
          </w:p>
        </w:tc>
      </w:tr>
      <w:tr w14:paraId="6FF04D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BF04C33">
            <w:pPr>
              <w:jc w:val="center"/>
              <w:rPr>
                <w:rFonts w:ascii="宋体" w:hAnsi="宋体" w:cs="宋体"/>
                <w:szCs w:val="21"/>
              </w:rPr>
            </w:pPr>
            <w:r>
              <w:rPr>
                <w:rFonts w:hint="eastAsia" w:ascii="宋体" w:hAnsi="宋体" w:cs="宋体"/>
                <w:szCs w:val="21"/>
              </w:rPr>
              <w:t>45</w:t>
            </w:r>
          </w:p>
        </w:tc>
        <w:tc>
          <w:tcPr>
            <w:tcW w:w="2635" w:type="dxa"/>
            <w:vAlign w:val="center"/>
          </w:tcPr>
          <w:p w14:paraId="2EA3C415">
            <w:pPr>
              <w:jc w:val="center"/>
              <w:rPr>
                <w:rFonts w:ascii="宋体" w:hAnsi="宋体" w:cs="宋体"/>
                <w:szCs w:val="21"/>
              </w:rPr>
            </w:pPr>
            <w:r>
              <w:rPr>
                <w:rFonts w:hint="eastAsia" w:ascii="宋体" w:hAnsi="宋体" w:cs="宋体"/>
                <w:szCs w:val="21"/>
              </w:rPr>
              <w:t>机场高速公路（T2）CK0+647.5通道</w:t>
            </w:r>
          </w:p>
        </w:tc>
        <w:tc>
          <w:tcPr>
            <w:tcW w:w="1775" w:type="dxa"/>
            <w:vMerge w:val="restart"/>
            <w:vAlign w:val="center"/>
          </w:tcPr>
          <w:p w14:paraId="39E37DDA">
            <w:pPr>
              <w:jc w:val="center"/>
              <w:rPr>
                <w:rFonts w:ascii="宋体" w:hAnsi="宋体" w:cs="宋体"/>
                <w:szCs w:val="21"/>
              </w:rPr>
            </w:pPr>
            <w:r>
              <w:rPr>
                <w:rFonts w:hint="eastAsia" w:ascii="宋体" w:hAnsi="宋体" w:cs="宋体"/>
                <w:szCs w:val="21"/>
              </w:rPr>
              <w:t>机场高速延长线（T2）</w:t>
            </w:r>
          </w:p>
        </w:tc>
        <w:tc>
          <w:tcPr>
            <w:tcW w:w="1335" w:type="dxa"/>
            <w:vAlign w:val="center"/>
          </w:tcPr>
          <w:p w14:paraId="71298717">
            <w:pPr>
              <w:jc w:val="center"/>
              <w:rPr>
                <w:rFonts w:ascii="宋体" w:hAnsi="宋体" w:cs="宋体"/>
                <w:szCs w:val="21"/>
              </w:rPr>
            </w:pPr>
            <w:r>
              <w:rPr>
                <w:rFonts w:hint="eastAsia" w:ascii="宋体" w:hAnsi="宋体" w:cs="宋体"/>
                <w:szCs w:val="21"/>
              </w:rPr>
              <w:t>105</w:t>
            </w:r>
          </w:p>
        </w:tc>
        <w:tc>
          <w:tcPr>
            <w:tcW w:w="1230" w:type="dxa"/>
            <w:vAlign w:val="center"/>
          </w:tcPr>
          <w:p w14:paraId="57F2668D">
            <w:pPr>
              <w:jc w:val="center"/>
              <w:rPr>
                <w:rFonts w:ascii="宋体" w:hAnsi="宋体" w:cs="宋体"/>
                <w:szCs w:val="21"/>
              </w:rPr>
            </w:pPr>
            <w:r>
              <w:rPr>
                <w:rFonts w:hint="eastAsia" w:ascii="宋体" w:hAnsi="宋体" w:cs="宋体"/>
                <w:szCs w:val="21"/>
              </w:rPr>
              <w:t>6.0</w:t>
            </w:r>
          </w:p>
        </w:tc>
        <w:tc>
          <w:tcPr>
            <w:tcW w:w="1260" w:type="dxa"/>
            <w:vAlign w:val="center"/>
          </w:tcPr>
          <w:p w14:paraId="331A3219">
            <w:pPr>
              <w:jc w:val="center"/>
              <w:rPr>
                <w:rFonts w:ascii="宋体" w:hAnsi="宋体" w:cs="宋体"/>
                <w:szCs w:val="21"/>
              </w:rPr>
            </w:pPr>
            <w:r>
              <w:rPr>
                <w:rFonts w:hint="eastAsia" w:ascii="宋体" w:hAnsi="宋体" w:cs="宋体"/>
                <w:szCs w:val="21"/>
              </w:rPr>
              <w:t>4.5</w:t>
            </w:r>
          </w:p>
        </w:tc>
      </w:tr>
      <w:tr w14:paraId="5ABAE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1DC4DC9">
            <w:pPr>
              <w:jc w:val="center"/>
              <w:rPr>
                <w:rFonts w:ascii="宋体" w:hAnsi="宋体" w:cs="宋体"/>
                <w:szCs w:val="21"/>
              </w:rPr>
            </w:pPr>
            <w:r>
              <w:rPr>
                <w:rFonts w:hint="eastAsia" w:ascii="宋体" w:hAnsi="宋体" w:cs="宋体"/>
                <w:szCs w:val="21"/>
              </w:rPr>
              <w:t>46</w:t>
            </w:r>
          </w:p>
        </w:tc>
        <w:tc>
          <w:tcPr>
            <w:tcW w:w="2635" w:type="dxa"/>
            <w:vAlign w:val="center"/>
          </w:tcPr>
          <w:p w14:paraId="4254BE62">
            <w:pPr>
              <w:jc w:val="center"/>
              <w:rPr>
                <w:rFonts w:ascii="宋体" w:hAnsi="宋体" w:cs="宋体"/>
                <w:szCs w:val="21"/>
              </w:rPr>
            </w:pPr>
            <w:r>
              <w:rPr>
                <w:rFonts w:hint="eastAsia" w:ascii="宋体" w:hAnsi="宋体" w:cs="宋体"/>
                <w:szCs w:val="21"/>
              </w:rPr>
              <w:t>机场高速公路（T2）CK1+280通道</w:t>
            </w:r>
          </w:p>
        </w:tc>
        <w:tc>
          <w:tcPr>
            <w:tcW w:w="1775" w:type="dxa"/>
            <w:vMerge w:val="continue"/>
            <w:vAlign w:val="center"/>
          </w:tcPr>
          <w:p w14:paraId="1A755A7C">
            <w:pPr>
              <w:jc w:val="center"/>
              <w:rPr>
                <w:rFonts w:ascii="宋体" w:hAnsi="宋体" w:cs="宋体"/>
                <w:szCs w:val="21"/>
              </w:rPr>
            </w:pPr>
          </w:p>
        </w:tc>
        <w:tc>
          <w:tcPr>
            <w:tcW w:w="1335" w:type="dxa"/>
            <w:vAlign w:val="center"/>
          </w:tcPr>
          <w:p w14:paraId="7C63EFCC">
            <w:pPr>
              <w:jc w:val="center"/>
              <w:rPr>
                <w:rFonts w:ascii="宋体" w:hAnsi="宋体" w:cs="宋体"/>
                <w:szCs w:val="21"/>
              </w:rPr>
            </w:pPr>
            <w:r>
              <w:rPr>
                <w:rFonts w:hint="eastAsia" w:ascii="宋体" w:hAnsi="宋体" w:cs="宋体"/>
                <w:szCs w:val="21"/>
              </w:rPr>
              <w:t>45</w:t>
            </w:r>
          </w:p>
        </w:tc>
        <w:tc>
          <w:tcPr>
            <w:tcW w:w="1230" w:type="dxa"/>
            <w:vAlign w:val="center"/>
          </w:tcPr>
          <w:p w14:paraId="623A8C06">
            <w:pPr>
              <w:jc w:val="center"/>
              <w:rPr>
                <w:rFonts w:ascii="宋体" w:hAnsi="宋体" w:cs="宋体"/>
                <w:szCs w:val="21"/>
              </w:rPr>
            </w:pPr>
            <w:r>
              <w:rPr>
                <w:rFonts w:hint="eastAsia" w:ascii="宋体" w:hAnsi="宋体" w:cs="宋体"/>
                <w:szCs w:val="21"/>
              </w:rPr>
              <w:t>6.0</w:t>
            </w:r>
          </w:p>
        </w:tc>
        <w:tc>
          <w:tcPr>
            <w:tcW w:w="1260" w:type="dxa"/>
            <w:vAlign w:val="center"/>
          </w:tcPr>
          <w:p w14:paraId="395D6A93">
            <w:pPr>
              <w:jc w:val="center"/>
              <w:rPr>
                <w:rFonts w:ascii="宋体" w:hAnsi="宋体" w:cs="宋体"/>
                <w:szCs w:val="21"/>
              </w:rPr>
            </w:pPr>
            <w:r>
              <w:rPr>
                <w:rFonts w:hint="eastAsia" w:ascii="宋体" w:hAnsi="宋体" w:cs="宋体"/>
                <w:szCs w:val="21"/>
              </w:rPr>
              <w:t>4.5</w:t>
            </w:r>
          </w:p>
        </w:tc>
      </w:tr>
      <w:tr w14:paraId="427BE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4817899">
            <w:pPr>
              <w:jc w:val="center"/>
              <w:rPr>
                <w:rFonts w:ascii="宋体" w:hAnsi="宋体" w:cs="宋体"/>
                <w:szCs w:val="21"/>
              </w:rPr>
            </w:pPr>
            <w:r>
              <w:rPr>
                <w:rFonts w:hint="eastAsia" w:ascii="宋体" w:hAnsi="宋体" w:cs="宋体"/>
                <w:szCs w:val="21"/>
              </w:rPr>
              <w:t>47</w:t>
            </w:r>
          </w:p>
        </w:tc>
        <w:tc>
          <w:tcPr>
            <w:tcW w:w="2635" w:type="dxa"/>
            <w:vAlign w:val="center"/>
          </w:tcPr>
          <w:p w14:paraId="0452492A">
            <w:pPr>
              <w:jc w:val="center"/>
              <w:rPr>
                <w:rFonts w:ascii="宋体" w:hAnsi="宋体" w:cs="宋体"/>
                <w:szCs w:val="21"/>
              </w:rPr>
            </w:pPr>
            <w:r>
              <w:rPr>
                <w:rFonts w:hint="eastAsia" w:ascii="宋体" w:hAnsi="宋体" w:cs="宋体"/>
                <w:szCs w:val="21"/>
              </w:rPr>
              <w:t>机场高速公路（T2）AK0+559通道</w:t>
            </w:r>
          </w:p>
        </w:tc>
        <w:tc>
          <w:tcPr>
            <w:tcW w:w="1775" w:type="dxa"/>
            <w:vMerge w:val="continue"/>
            <w:vAlign w:val="center"/>
          </w:tcPr>
          <w:p w14:paraId="7B36CEE0">
            <w:pPr>
              <w:jc w:val="center"/>
              <w:rPr>
                <w:rFonts w:ascii="宋体" w:hAnsi="宋体" w:cs="宋体"/>
                <w:szCs w:val="21"/>
              </w:rPr>
            </w:pPr>
          </w:p>
        </w:tc>
        <w:tc>
          <w:tcPr>
            <w:tcW w:w="1335" w:type="dxa"/>
            <w:vAlign w:val="center"/>
          </w:tcPr>
          <w:p w14:paraId="25E4A052">
            <w:pPr>
              <w:jc w:val="center"/>
              <w:rPr>
                <w:rFonts w:ascii="宋体" w:hAnsi="宋体" w:cs="宋体"/>
                <w:szCs w:val="21"/>
              </w:rPr>
            </w:pPr>
            <w:r>
              <w:rPr>
                <w:rFonts w:hint="eastAsia" w:ascii="宋体" w:hAnsi="宋体" w:cs="宋体"/>
                <w:szCs w:val="21"/>
              </w:rPr>
              <w:t>20</w:t>
            </w:r>
          </w:p>
        </w:tc>
        <w:tc>
          <w:tcPr>
            <w:tcW w:w="1230" w:type="dxa"/>
            <w:vAlign w:val="center"/>
          </w:tcPr>
          <w:p w14:paraId="1FAC2B08">
            <w:pPr>
              <w:jc w:val="center"/>
              <w:rPr>
                <w:rFonts w:ascii="宋体" w:hAnsi="宋体" w:cs="宋体"/>
                <w:szCs w:val="21"/>
              </w:rPr>
            </w:pPr>
            <w:r>
              <w:rPr>
                <w:rFonts w:hint="eastAsia" w:ascii="宋体" w:hAnsi="宋体" w:cs="宋体"/>
                <w:szCs w:val="21"/>
              </w:rPr>
              <w:t>4.0</w:t>
            </w:r>
          </w:p>
        </w:tc>
        <w:tc>
          <w:tcPr>
            <w:tcW w:w="1260" w:type="dxa"/>
            <w:vAlign w:val="center"/>
          </w:tcPr>
          <w:p w14:paraId="0A55943A">
            <w:pPr>
              <w:jc w:val="center"/>
              <w:rPr>
                <w:rFonts w:ascii="宋体" w:hAnsi="宋体" w:cs="宋体"/>
                <w:szCs w:val="21"/>
              </w:rPr>
            </w:pPr>
            <w:r>
              <w:rPr>
                <w:rFonts w:hint="eastAsia" w:ascii="宋体" w:hAnsi="宋体" w:cs="宋体"/>
                <w:szCs w:val="21"/>
              </w:rPr>
              <w:t>4.0</w:t>
            </w:r>
          </w:p>
        </w:tc>
      </w:tr>
      <w:tr w14:paraId="17249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C5434A9">
            <w:pPr>
              <w:jc w:val="center"/>
              <w:rPr>
                <w:rFonts w:ascii="宋体" w:hAnsi="宋体" w:cs="宋体"/>
                <w:szCs w:val="21"/>
              </w:rPr>
            </w:pPr>
            <w:r>
              <w:rPr>
                <w:rFonts w:hint="eastAsia" w:ascii="宋体" w:hAnsi="宋体" w:cs="宋体"/>
                <w:szCs w:val="21"/>
              </w:rPr>
              <w:t>48</w:t>
            </w:r>
          </w:p>
        </w:tc>
        <w:tc>
          <w:tcPr>
            <w:tcW w:w="2635" w:type="dxa"/>
            <w:vAlign w:val="center"/>
          </w:tcPr>
          <w:p w14:paraId="6D881DA7">
            <w:pPr>
              <w:jc w:val="center"/>
              <w:rPr>
                <w:rFonts w:ascii="宋体" w:hAnsi="宋体" w:cs="宋体"/>
                <w:szCs w:val="21"/>
              </w:rPr>
            </w:pPr>
            <w:r>
              <w:rPr>
                <w:rFonts w:hint="eastAsia" w:ascii="宋体" w:hAnsi="宋体" w:cs="宋体"/>
                <w:szCs w:val="21"/>
              </w:rPr>
              <w:t>机场高速公路（T2）AK1+028通道</w:t>
            </w:r>
          </w:p>
        </w:tc>
        <w:tc>
          <w:tcPr>
            <w:tcW w:w="1775" w:type="dxa"/>
            <w:vMerge w:val="continue"/>
            <w:vAlign w:val="center"/>
          </w:tcPr>
          <w:p w14:paraId="6D6D53D6">
            <w:pPr>
              <w:jc w:val="center"/>
              <w:rPr>
                <w:rFonts w:ascii="宋体" w:hAnsi="宋体" w:cs="宋体"/>
                <w:szCs w:val="21"/>
              </w:rPr>
            </w:pPr>
          </w:p>
        </w:tc>
        <w:tc>
          <w:tcPr>
            <w:tcW w:w="1335" w:type="dxa"/>
            <w:vAlign w:val="center"/>
          </w:tcPr>
          <w:p w14:paraId="2989E8F7">
            <w:pPr>
              <w:jc w:val="center"/>
              <w:rPr>
                <w:rFonts w:ascii="宋体" w:hAnsi="宋体" w:cs="宋体"/>
                <w:szCs w:val="21"/>
              </w:rPr>
            </w:pPr>
            <w:r>
              <w:rPr>
                <w:rFonts w:hint="eastAsia" w:ascii="宋体" w:hAnsi="宋体" w:cs="宋体"/>
                <w:szCs w:val="21"/>
              </w:rPr>
              <w:t>29</w:t>
            </w:r>
          </w:p>
        </w:tc>
        <w:tc>
          <w:tcPr>
            <w:tcW w:w="1230" w:type="dxa"/>
            <w:vAlign w:val="center"/>
          </w:tcPr>
          <w:p w14:paraId="11420498">
            <w:pPr>
              <w:jc w:val="center"/>
              <w:rPr>
                <w:rFonts w:ascii="宋体" w:hAnsi="宋体" w:cs="宋体"/>
                <w:szCs w:val="21"/>
              </w:rPr>
            </w:pPr>
            <w:r>
              <w:rPr>
                <w:rFonts w:hint="eastAsia" w:ascii="宋体" w:hAnsi="宋体" w:cs="宋体"/>
                <w:szCs w:val="21"/>
              </w:rPr>
              <w:t>4.0</w:t>
            </w:r>
          </w:p>
        </w:tc>
        <w:tc>
          <w:tcPr>
            <w:tcW w:w="1260" w:type="dxa"/>
            <w:vAlign w:val="center"/>
          </w:tcPr>
          <w:p w14:paraId="2AEB464D">
            <w:pPr>
              <w:jc w:val="center"/>
              <w:rPr>
                <w:rFonts w:ascii="宋体" w:hAnsi="宋体" w:cs="宋体"/>
                <w:szCs w:val="21"/>
              </w:rPr>
            </w:pPr>
            <w:r>
              <w:rPr>
                <w:rFonts w:hint="eastAsia" w:ascii="宋体" w:hAnsi="宋体" w:cs="宋体"/>
                <w:szCs w:val="21"/>
              </w:rPr>
              <w:t>4.0</w:t>
            </w:r>
          </w:p>
        </w:tc>
      </w:tr>
      <w:tr w14:paraId="6D5AE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2529A45">
            <w:pPr>
              <w:jc w:val="center"/>
              <w:rPr>
                <w:rFonts w:ascii="宋体" w:hAnsi="宋体" w:cs="宋体"/>
                <w:szCs w:val="21"/>
              </w:rPr>
            </w:pPr>
            <w:r>
              <w:rPr>
                <w:rFonts w:hint="eastAsia" w:ascii="宋体" w:hAnsi="宋体" w:cs="宋体"/>
                <w:szCs w:val="21"/>
              </w:rPr>
              <w:t>49</w:t>
            </w:r>
          </w:p>
        </w:tc>
        <w:tc>
          <w:tcPr>
            <w:tcW w:w="2635" w:type="dxa"/>
            <w:vAlign w:val="center"/>
          </w:tcPr>
          <w:p w14:paraId="4964575C">
            <w:pPr>
              <w:jc w:val="center"/>
              <w:rPr>
                <w:rFonts w:ascii="宋体" w:hAnsi="宋体" w:cs="宋体"/>
                <w:szCs w:val="21"/>
              </w:rPr>
            </w:pPr>
            <w:r>
              <w:rPr>
                <w:rFonts w:hint="eastAsia" w:ascii="宋体" w:hAnsi="宋体" w:cs="宋体"/>
                <w:szCs w:val="21"/>
              </w:rPr>
              <w:t>机场高速公路（T2）AK1+958通道</w:t>
            </w:r>
          </w:p>
        </w:tc>
        <w:tc>
          <w:tcPr>
            <w:tcW w:w="1775" w:type="dxa"/>
            <w:vMerge w:val="continue"/>
            <w:vAlign w:val="center"/>
          </w:tcPr>
          <w:p w14:paraId="6D37AC80">
            <w:pPr>
              <w:jc w:val="center"/>
              <w:rPr>
                <w:rFonts w:ascii="宋体" w:hAnsi="宋体" w:cs="宋体"/>
                <w:szCs w:val="21"/>
              </w:rPr>
            </w:pPr>
          </w:p>
        </w:tc>
        <w:tc>
          <w:tcPr>
            <w:tcW w:w="1335" w:type="dxa"/>
            <w:vAlign w:val="center"/>
          </w:tcPr>
          <w:p w14:paraId="463BC5B3">
            <w:pPr>
              <w:jc w:val="center"/>
              <w:rPr>
                <w:rFonts w:ascii="宋体" w:hAnsi="宋体" w:cs="宋体"/>
                <w:szCs w:val="21"/>
              </w:rPr>
            </w:pPr>
            <w:r>
              <w:rPr>
                <w:rFonts w:hint="eastAsia" w:ascii="宋体" w:hAnsi="宋体" w:cs="宋体"/>
                <w:szCs w:val="21"/>
              </w:rPr>
              <w:t>42</w:t>
            </w:r>
          </w:p>
        </w:tc>
        <w:tc>
          <w:tcPr>
            <w:tcW w:w="1230" w:type="dxa"/>
            <w:vAlign w:val="center"/>
          </w:tcPr>
          <w:p w14:paraId="4FC07068">
            <w:pPr>
              <w:jc w:val="center"/>
              <w:rPr>
                <w:rFonts w:ascii="宋体" w:hAnsi="宋体" w:cs="宋体"/>
                <w:szCs w:val="21"/>
              </w:rPr>
            </w:pPr>
            <w:r>
              <w:rPr>
                <w:rFonts w:hint="eastAsia" w:ascii="宋体" w:hAnsi="宋体" w:cs="宋体"/>
                <w:szCs w:val="21"/>
              </w:rPr>
              <w:t>4.0</w:t>
            </w:r>
          </w:p>
        </w:tc>
        <w:tc>
          <w:tcPr>
            <w:tcW w:w="1260" w:type="dxa"/>
            <w:vAlign w:val="center"/>
          </w:tcPr>
          <w:p w14:paraId="4B7585F8">
            <w:pPr>
              <w:jc w:val="center"/>
              <w:rPr>
                <w:rFonts w:ascii="宋体" w:hAnsi="宋体" w:cs="宋体"/>
                <w:szCs w:val="21"/>
              </w:rPr>
            </w:pPr>
            <w:r>
              <w:rPr>
                <w:rFonts w:hint="eastAsia" w:ascii="宋体" w:hAnsi="宋体" w:cs="宋体"/>
                <w:szCs w:val="21"/>
              </w:rPr>
              <w:t>4.0</w:t>
            </w:r>
          </w:p>
        </w:tc>
      </w:tr>
      <w:tr w14:paraId="18525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80" w:type="dxa"/>
            <w:vAlign w:val="center"/>
          </w:tcPr>
          <w:p w14:paraId="662C2943">
            <w:pPr>
              <w:jc w:val="center"/>
              <w:rPr>
                <w:rFonts w:ascii="宋体" w:hAnsi="宋体" w:cs="宋体"/>
                <w:szCs w:val="21"/>
              </w:rPr>
            </w:pPr>
            <w:r>
              <w:rPr>
                <w:rFonts w:hint="eastAsia" w:ascii="宋体" w:hAnsi="宋体" w:cs="宋体"/>
                <w:szCs w:val="21"/>
              </w:rPr>
              <w:t>50</w:t>
            </w:r>
          </w:p>
        </w:tc>
        <w:tc>
          <w:tcPr>
            <w:tcW w:w="2635" w:type="dxa"/>
            <w:vAlign w:val="center"/>
          </w:tcPr>
          <w:p w14:paraId="60A0EF76">
            <w:pPr>
              <w:jc w:val="center"/>
              <w:rPr>
                <w:rFonts w:ascii="宋体" w:hAnsi="宋体" w:cs="宋体"/>
                <w:szCs w:val="21"/>
              </w:rPr>
            </w:pPr>
            <w:r>
              <w:rPr>
                <w:rFonts w:hint="eastAsia" w:ascii="宋体" w:hAnsi="宋体" w:cs="宋体"/>
                <w:szCs w:val="21"/>
              </w:rPr>
              <w:t>机场高速公路（T2）BK0+520通道</w:t>
            </w:r>
          </w:p>
        </w:tc>
        <w:tc>
          <w:tcPr>
            <w:tcW w:w="1775" w:type="dxa"/>
            <w:vMerge w:val="continue"/>
            <w:vAlign w:val="center"/>
          </w:tcPr>
          <w:p w14:paraId="322B6965">
            <w:pPr>
              <w:jc w:val="center"/>
              <w:rPr>
                <w:rFonts w:ascii="宋体" w:hAnsi="宋体" w:cs="宋体"/>
                <w:szCs w:val="21"/>
              </w:rPr>
            </w:pPr>
          </w:p>
        </w:tc>
        <w:tc>
          <w:tcPr>
            <w:tcW w:w="1335" w:type="dxa"/>
            <w:vAlign w:val="center"/>
          </w:tcPr>
          <w:p w14:paraId="69F31D39">
            <w:pPr>
              <w:jc w:val="center"/>
              <w:rPr>
                <w:rFonts w:ascii="宋体" w:hAnsi="宋体" w:cs="宋体"/>
                <w:szCs w:val="21"/>
              </w:rPr>
            </w:pPr>
            <w:r>
              <w:rPr>
                <w:rFonts w:hint="eastAsia" w:ascii="宋体" w:hAnsi="宋体" w:cs="宋体"/>
                <w:szCs w:val="21"/>
              </w:rPr>
              <w:t>18</w:t>
            </w:r>
          </w:p>
        </w:tc>
        <w:tc>
          <w:tcPr>
            <w:tcW w:w="1230" w:type="dxa"/>
            <w:vAlign w:val="center"/>
          </w:tcPr>
          <w:p w14:paraId="4009116C">
            <w:pPr>
              <w:jc w:val="center"/>
              <w:rPr>
                <w:rFonts w:ascii="宋体" w:hAnsi="宋体" w:cs="宋体"/>
                <w:szCs w:val="21"/>
              </w:rPr>
            </w:pPr>
            <w:r>
              <w:rPr>
                <w:rFonts w:hint="eastAsia" w:ascii="宋体" w:hAnsi="宋体" w:cs="宋体"/>
                <w:szCs w:val="21"/>
              </w:rPr>
              <w:t>4.0</w:t>
            </w:r>
          </w:p>
        </w:tc>
        <w:tc>
          <w:tcPr>
            <w:tcW w:w="1260" w:type="dxa"/>
            <w:vAlign w:val="center"/>
          </w:tcPr>
          <w:p w14:paraId="6878C38A">
            <w:pPr>
              <w:jc w:val="center"/>
              <w:rPr>
                <w:rFonts w:ascii="宋体" w:hAnsi="宋体" w:cs="宋体"/>
                <w:szCs w:val="21"/>
              </w:rPr>
            </w:pPr>
            <w:r>
              <w:rPr>
                <w:rFonts w:hint="eastAsia" w:ascii="宋体" w:hAnsi="宋体" w:cs="宋体"/>
                <w:szCs w:val="21"/>
              </w:rPr>
              <w:t>4.0</w:t>
            </w:r>
          </w:p>
        </w:tc>
      </w:tr>
      <w:tr w14:paraId="457C5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2EBA0B0">
            <w:pPr>
              <w:jc w:val="center"/>
              <w:rPr>
                <w:rFonts w:ascii="宋体" w:hAnsi="宋体" w:cs="宋体"/>
                <w:szCs w:val="21"/>
              </w:rPr>
            </w:pPr>
            <w:r>
              <w:rPr>
                <w:rFonts w:hint="eastAsia" w:ascii="宋体" w:hAnsi="宋体" w:cs="宋体"/>
                <w:szCs w:val="21"/>
              </w:rPr>
              <w:t>51</w:t>
            </w:r>
          </w:p>
        </w:tc>
        <w:tc>
          <w:tcPr>
            <w:tcW w:w="2635" w:type="dxa"/>
            <w:vAlign w:val="center"/>
          </w:tcPr>
          <w:p w14:paraId="585DA47F">
            <w:pPr>
              <w:jc w:val="center"/>
              <w:rPr>
                <w:rFonts w:ascii="宋体" w:hAnsi="宋体" w:cs="宋体"/>
                <w:szCs w:val="21"/>
              </w:rPr>
            </w:pPr>
            <w:r>
              <w:rPr>
                <w:rFonts w:hint="eastAsia" w:ascii="宋体" w:hAnsi="宋体" w:cs="宋体"/>
                <w:szCs w:val="21"/>
              </w:rPr>
              <w:t>机场高速公路（T2）BK0+597通道</w:t>
            </w:r>
          </w:p>
        </w:tc>
        <w:tc>
          <w:tcPr>
            <w:tcW w:w="1775" w:type="dxa"/>
            <w:vMerge w:val="continue"/>
            <w:vAlign w:val="center"/>
          </w:tcPr>
          <w:p w14:paraId="6CEF9DCA">
            <w:pPr>
              <w:jc w:val="center"/>
              <w:rPr>
                <w:rFonts w:ascii="宋体" w:hAnsi="宋体" w:cs="宋体"/>
                <w:szCs w:val="21"/>
              </w:rPr>
            </w:pPr>
          </w:p>
        </w:tc>
        <w:tc>
          <w:tcPr>
            <w:tcW w:w="1335" w:type="dxa"/>
            <w:vAlign w:val="center"/>
          </w:tcPr>
          <w:p w14:paraId="2A530C2F">
            <w:pPr>
              <w:jc w:val="center"/>
              <w:rPr>
                <w:rFonts w:ascii="宋体" w:hAnsi="宋体" w:cs="宋体"/>
                <w:szCs w:val="21"/>
              </w:rPr>
            </w:pPr>
            <w:r>
              <w:rPr>
                <w:rFonts w:hint="eastAsia" w:ascii="宋体" w:hAnsi="宋体" w:cs="宋体"/>
                <w:szCs w:val="21"/>
              </w:rPr>
              <w:t xml:space="preserve">18 </w:t>
            </w:r>
          </w:p>
        </w:tc>
        <w:tc>
          <w:tcPr>
            <w:tcW w:w="1230" w:type="dxa"/>
            <w:vAlign w:val="center"/>
          </w:tcPr>
          <w:p w14:paraId="58E42705">
            <w:pPr>
              <w:jc w:val="center"/>
              <w:rPr>
                <w:rFonts w:ascii="宋体" w:hAnsi="宋体" w:cs="宋体"/>
                <w:szCs w:val="21"/>
              </w:rPr>
            </w:pPr>
            <w:r>
              <w:rPr>
                <w:rFonts w:hint="eastAsia" w:ascii="宋体" w:hAnsi="宋体" w:cs="宋体"/>
                <w:szCs w:val="21"/>
              </w:rPr>
              <w:t>4.0</w:t>
            </w:r>
          </w:p>
        </w:tc>
        <w:tc>
          <w:tcPr>
            <w:tcW w:w="1260" w:type="dxa"/>
            <w:vAlign w:val="center"/>
          </w:tcPr>
          <w:p w14:paraId="5F7014F9">
            <w:pPr>
              <w:jc w:val="center"/>
              <w:rPr>
                <w:rFonts w:ascii="宋体" w:hAnsi="宋体" w:cs="宋体"/>
                <w:szCs w:val="21"/>
              </w:rPr>
            </w:pPr>
            <w:r>
              <w:rPr>
                <w:rFonts w:hint="eastAsia" w:ascii="宋体" w:hAnsi="宋体" w:cs="宋体"/>
                <w:szCs w:val="21"/>
              </w:rPr>
              <w:t>4.0</w:t>
            </w:r>
          </w:p>
        </w:tc>
      </w:tr>
      <w:tr w14:paraId="4F1E0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835E668">
            <w:pPr>
              <w:jc w:val="center"/>
              <w:rPr>
                <w:rFonts w:ascii="宋体" w:hAnsi="宋体" w:cs="宋体"/>
                <w:szCs w:val="21"/>
              </w:rPr>
            </w:pPr>
            <w:r>
              <w:rPr>
                <w:rFonts w:hint="eastAsia" w:ascii="宋体" w:hAnsi="宋体" w:cs="宋体"/>
                <w:szCs w:val="21"/>
              </w:rPr>
              <w:t>52</w:t>
            </w:r>
          </w:p>
        </w:tc>
        <w:tc>
          <w:tcPr>
            <w:tcW w:w="2635" w:type="dxa"/>
            <w:vAlign w:val="center"/>
          </w:tcPr>
          <w:p w14:paraId="52CEF826">
            <w:pPr>
              <w:jc w:val="center"/>
              <w:rPr>
                <w:rFonts w:ascii="宋体" w:hAnsi="宋体" w:cs="宋体"/>
                <w:szCs w:val="21"/>
              </w:rPr>
            </w:pPr>
            <w:r>
              <w:rPr>
                <w:rFonts w:hint="eastAsia" w:ascii="宋体" w:hAnsi="宋体" w:cs="宋体"/>
                <w:szCs w:val="21"/>
              </w:rPr>
              <w:t>机场高速公路（T2）DK0+371.86通道</w:t>
            </w:r>
          </w:p>
        </w:tc>
        <w:tc>
          <w:tcPr>
            <w:tcW w:w="1775" w:type="dxa"/>
            <w:vMerge w:val="continue"/>
            <w:vAlign w:val="center"/>
          </w:tcPr>
          <w:p w14:paraId="017BECE9">
            <w:pPr>
              <w:jc w:val="center"/>
              <w:rPr>
                <w:rFonts w:ascii="宋体" w:hAnsi="宋体" w:cs="宋体"/>
                <w:szCs w:val="21"/>
              </w:rPr>
            </w:pPr>
          </w:p>
        </w:tc>
        <w:tc>
          <w:tcPr>
            <w:tcW w:w="1335" w:type="dxa"/>
            <w:vAlign w:val="center"/>
          </w:tcPr>
          <w:p w14:paraId="492E1350">
            <w:pPr>
              <w:jc w:val="center"/>
              <w:rPr>
                <w:rFonts w:ascii="宋体" w:hAnsi="宋体" w:cs="宋体"/>
                <w:szCs w:val="21"/>
              </w:rPr>
            </w:pPr>
            <w:r>
              <w:rPr>
                <w:rFonts w:hint="eastAsia" w:ascii="宋体" w:hAnsi="宋体" w:cs="宋体"/>
                <w:szCs w:val="21"/>
              </w:rPr>
              <w:t>左线92，右线78</w:t>
            </w:r>
          </w:p>
        </w:tc>
        <w:tc>
          <w:tcPr>
            <w:tcW w:w="1230" w:type="dxa"/>
            <w:vAlign w:val="center"/>
          </w:tcPr>
          <w:p w14:paraId="75171059">
            <w:pPr>
              <w:jc w:val="center"/>
              <w:rPr>
                <w:rFonts w:ascii="宋体" w:hAnsi="宋体" w:cs="宋体"/>
                <w:szCs w:val="21"/>
              </w:rPr>
            </w:pPr>
            <w:r>
              <w:rPr>
                <w:rFonts w:hint="eastAsia" w:ascii="宋体" w:hAnsi="宋体" w:cs="宋体"/>
                <w:szCs w:val="21"/>
              </w:rPr>
              <w:t>左线16.5，右线12.0</w:t>
            </w:r>
          </w:p>
        </w:tc>
        <w:tc>
          <w:tcPr>
            <w:tcW w:w="1260" w:type="dxa"/>
            <w:vAlign w:val="center"/>
          </w:tcPr>
          <w:p w14:paraId="3C508A18">
            <w:pPr>
              <w:jc w:val="center"/>
              <w:rPr>
                <w:rFonts w:ascii="宋体" w:hAnsi="宋体" w:cs="宋体"/>
                <w:szCs w:val="21"/>
              </w:rPr>
            </w:pPr>
            <w:r>
              <w:rPr>
                <w:rFonts w:hint="eastAsia" w:ascii="宋体" w:hAnsi="宋体" w:cs="宋体"/>
                <w:szCs w:val="21"/>
              </w:rPr>
              <w:t>5.0</w:t>
            </w:r>
          </w:p>
        </w:tc>
      </w:tr>
      <w:tr w14:paraId="55A9F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FFFAE25">
            <w:pPr>
              <w:jc w:val="center"/>
              <w:rPr>
                <w:rFonts w:ascii="宋体" w:hAnsi="宋体" w:cs="宋体"/>
                <w:szCs w:val="21"/>
              </w:rPr>
            </w:pPr>
            <w:r>
              <w:rPr>
                <w:rFonts w:hint="eastAsia" w:ascii="宋体" w:hAnsi="宋体" w:cs="宋体"/>
                <w:szCs w:val="21"/>
              </w:rPr>
              <w:t>53</w:t>
            </w:r>
          </w:p>
        </w:tc>
        <w:tc>
          <w:tcPr>
            <w:tcW w:w="2635" w:type="dxa"/>
            <w:vAlign w:val="center"/>
          </w:tcPr>
          <w:p w14:paraId="1ACB2EE1">
            <w:pPr>
              <w:jc w:val="center"/>
              <w:rPr>
                <w:rFonts w:ascii="宋体" w:hAnsi="宋体" w:cs="宋体"/>
                <w:szCs w:val="21"/>
              </w:rPr>
            </w:pPr>
            <w:r>
              <w:rPr>
                <w:rFonts w:hint="eastAsia" w:ascii="宋体" w:hAnsi="宋体" w:cs="宋体"/>
                <w:szCs w:val="21"/>
              </w:rPr>
              <w:t>机场高速公路（T1）</w:t>
            </w:r>
          </w:p>
          <w:p w14:paraId="76FF8389">
            <w:pPr>
              <w:jc w:val="center"/>
              <w:rPr>
                <w:rFonts w:ascii="宋体" w:hAnsi="宋体" w:cs="宋体"/>
                <w:szCs w:val="21"/>
              </w:rPr>
            </w:pPr>
            <w:r>
              <w:rPr>
                <w:rFonts w:hint="eastAsia" w:ascii="宋体" w:hAnsi="宋体" w:cs="宋体"/>
                <w:szCs w:val="21"/>
              </w:rPr>
              <w:t>K0+355通道</w:t>
            </w:r>
          </w:p>
        </w:tc>
        <w:tc>
          <w:tcPr>
            <w:tcW w:w="1775" w:type="dxa"/>
            <w:vMerge w:val="restart"/>
            <w:vAlign w:val="center"/>
          </w:tcPr>
          <w:p w14:paraId="2D204630">
            <w:pPr>
              <w:jc w:val="center"/>
              <w:rPr>
                <w:rFonts w:ascii="宋体" w:hAnsi="宋体" w:cs="宋体"/>
                <w:szCs w:val="21"/>
              </w:rPr>
            </w:pPr>
            <w:r>
              <w:rPr>
                <w:rFonts w:hint="eastAsia" w:ascii="宋体" w:hAnsi="宋体" w:cs="宋体"/>
                <w:szCs w:val="21"/>
              </w:rPr>
              <w:t>机场高速公路（T1）</w:t>
            </w:r>
          </w:p>
        </w:tc>
        <w:tc>
          <w:tcPr>
            <w:tcW w:w="1335" w:type="dxa"/>
            <w:vAlign w:val="center"/>
          </w:tcPr>
          <w:p w14:paraId="3C8737CF">
            <w:pPr>
              <w:jc w:val="center"/>
              <w:rPr>
                <w:rFonts w:ascii="宋体" w:hAnsi="宋体" w:cs="宋体"/>
                <w:szCs w:val="21"/>
              </w:rPr>
            </w:pPr>
            <w:r>
              <w:rPr>
                <w:rFonts w:hint="eastAsia" w:ascii="宋体" w:hAnsi="宋体" w:cs="宋体"/>
                <w:szCs w:val="21"/>
              </w:rPr>
              <w:t>55</w:t>
            </w:r>
          </w:p>
        </w:tc>
        <w:tc>
          <w:tcPr>
            <w:tcW w:w="1230" w:type="dxa"/>
            <w:vAlign w:val="center"/>
          </w:tcPr>
          <w:p w14:paraId="6573F919">
            <w:pPr>
              <w:jc w:val="center"/>
              <w:rPr>
                <w:rFonts w:ascii="宋体" w:hAnsi="宋体" w:cs="宋体"/>
                <w:szCs w:val="21"/>
              </w:rPr>
            </w:pPr>
            <w:r>
              <w:rPr>
                <w:rFonts w:hint="eastAsia" w:ascii="宋体" w:hAnsi="宋体" w:cs="宋体"/>
                <w:szCs w:val="21"/>
              </w:rPr>
              <w:t>9.0</w:t>
            </w:r>
          </w:p>
        </w:tc>
        <w:tc>
          <w:tcPr>
            <w:tcW w:w="1260" w:type="dxa"/>
            <w:vAlign w:val="center"/>
          </w:tcPr>
          <w:p w14:paraId="42B0A4F7">
            <w:pPr>
              <w:jc w:val="center"/>
              <w:rPr>
                <w:rFonts w:ascii="宋体" w:hAnsi="宋体" w:cs="宋体"/>
                <w:szCs w:val="21"/>
              </w:rPr>
            </w:pPr>
            <w:r>
              <w:rPr>
                <w:rFonts w:hint="eastAsia" w:ascii="宋体" w:hAnsi="宋体" w:cs="宋体"/>
                <w:szCs w:val="21"/>
              </w:rPr>
              <w:t>5.9</w:t>
            </w:r>
          </w:p>
        </w:tc>
      </w:tr>
      <w:tr w14:paraId="4CB0F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52CB6FE">
            <w:pPr>
              <w:jc w:val="center"/>
              <w:rPr>
                <w:rFonts w:ascii="宋体" w:hAnsi="宋体" w:cs="宋体"/>
                <w:szCs w:val="21"/>
              </w:rPr>
            </w:pPr>
            <w:r>
              <w:rPr>
                <w:rFonts w:hint="eastAsia" w:ascii="宋体" w:hAnsi="宋体" w:cs="宋体"/>
                <w:szCs w:val="21"/>
              </w:rPr>
              <w:t>54</w:t>
            </w:r>
          </w:p>
        </w:tc>
        <w:tc>
          <w:tcPr>
            <w:tcW w:w="2635" w:type="dxa"/>
            <w:vAlign w:val="center"/>
          </w:tcPr>
          <w:p w14:paraId="6D18D979">
            <w:pPr>
              <w:jc w:val="center"/>
              <w:rPr>
                <w:rFonts w:ascii="宋体" w:hAnsi="宋体" w:cs="宋体"/>
                <w:szCs w:val="21"/>
              </w:rPr>
            </w:pPr>
            <w:r>
              <w:rPr>
                <w:rFonts w:hint="eastAsia" w:ascii="宋体" w:hAnsi="宋体" w:cs="宋体"/>
                <w:szCs w:val="21"/>
              </w:rPr>
              <w:t>机场高速公路（T1）</w:t>
            </w:r>
          </w:p>
          <w:p w14:paraId="793ABA4E">
            <w:pPr>
              <w:jc w:val="center"/>
              <w:rPr>
                <w:rFonts w:ascii="宋体" w:hAnsi="宋体" w:cs="宋体"/>
                <w:szCs w:val="21"/>
              </w:rPr>
            </w:pPr>
            <w:r>
              <w:rPr>
                <w:rFonts w:hint="eastAsia" w:ascii="宋体" w:hAnsi="宋体" w:cs="宋体"/>
                <w:szCs w:val="21"/>
              </w:rPr>
              <w:t>K1+173通道</w:t>
            </w:r>
          </w:p>
        </w:tc>
        <w:tc>
          <w:tcPr>
            <w:tcW w:w="1775" w:type="dxa"/>
            <w:vMerge w:val="continue"/>
            <w:vAlign w:val="center"/>
          </w:tcPr>
          <w:p w14:paraId="3BCBA9A3">
            <w:pPr>
              <w:jc w:val="center"/>
              <w:rPr>
                <w:rFonts w:ascii="宋体" w:hAnsi="宋体" w:cs="宋体"/>
                <w:szCs w:val="21"/>
              </w:rPr>
            </w:pPr>
          </w:p>
        </w:tc>
        <w:tc>
          <w:tcPr>
            <w:tcW w:w="1335" w:type="dxa"/>
            <w:vAlign w:val="center"/>
          </w:tcPr>
          <w:p w14:paraId="738F73C2">
            <w:pPr>
              <w:jc w:val="center"/>
              <w:rPr>
                <w:rFonts w:ascii="宋体" w:hAnsi="宋体" w:cs="宋体"/>
                <w:szCs w:val="21"/>
              </w:rPr>
            </w:pPr>
            <w:r>
              <w:rPr>
                <w:rFonts w:hint="eastAsia" w:ascii="宋体" w:hAnsi="宋体" w:cs="宋体"/>
                <w:szCs w:val="21"/>
              </w:rPr>
              <w:t>55</w:t>
            </w:r>
          </w:p>
        </w:tc>
        <w:tc>
          <w:tcPr>
            <w:tcW w:w="1230" w:type="dxa"/>
            <w:vAlign w:val="center"/>
          </w:tcPr>
          <w:p w14:paraId="0777E29A">
            <w:pPr>
              <w:jc w:val="center"/>
              <w:rPr>
                <w:rFonts w:ascii="宋体" w:hAnsi="宋体" w:cs="宋体"/>
                <w:szCs w:val="21"/>
              </w:rPr>
            </w:pPr>
            <w:r>
              <w:rPr>
                <w:rFonts w:hint="eastAsia" w:ascii="宋体" w:hAnsi="宋体" w:cs="宋体"/>
                <w:szCs w:val="21"/>
              </w:rPr>
              <w:t>4.0</w:t>
            </w:r>
          </w:p>
        </w:tc>
        <w:tc>
          <w:tcPr>
            <w:tcW w:w="1260" w:type="dxa"/>
            <w:vAlign w:val="center"/>
          </w:tcPr>
          <w:p w14:paraId="741F2974">
            <w:pPr>
              <w:jc w:val="center"/>
              <w:rPr>
                <w:rFonts w:ascii="宋体" w:hAnsi="宋体" w:cs="宋体"/>
                <w:szCs w:val="21"/>
              </w:rPr>
            </w:pPr>
            <w:r>
              <w:rPr>
                <w:rFonts w:hint="eastAsia" w:ascii="宋体" w:hAnsi="宋体" w:cs="宋体"/>
                <w:szCs w:val="21"/>
              </w:rPr>
              <w:t>4.0</w:t>
            </w:r>
          </w:p>
        </w:tc>
      </w:tr>
      <w:tr w14:paraId="6841DC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7D5B2DA">
            <w:pPr>
              <w:jc w:val="center"/>
              <w:rPr>
                <w:rFonts w:ascii="宋体" w:hAnsi="宋体" w:cs="宋体"/>
                <w:szCs w:val="21"/>
              </w:rPr>
            </w:pPr>
            <w:r>
              <w:rPr>
                <w:rFonts w:hint="eastAsia" w:ascii="宋体" w:hAnsi="宋体" w:cs="宋体"/>
                <w:szCs w:val="21"/>
              </w:rPr>
              <w:t>55</w:t>
            </w:r>
          </w:p>
        </w:tc>
        <w:tc>
          <w:tcPr>
            <w:tcW w:w="2635" w:type="dxa"/>
            <w:vAlign w:val="center"/>
          </w:tcPr>
          <w:p w14:paraId="0A984110">
            <w:pPr>
              <w:jc w:val="center"/>
              <w:rPr>
                <w:rFonts w:ascii="宋体" w:hAnsi="宋体" w:cs="宋体"/>
                <w:szCs w:val="21"/>
              </w:rPr>
            </w:pPr>
            <w:r>
              <w:rPr>
                <w:rFonts w:hint="eastAsia" w:ascii="宋体" w:hAnsi="宋体" w:cs="宋体"/>
                <w:szCs w:val="21"/>
              </w:rPr>
              <w:t>机场高速公路（T1）</w:t>
            </w:r>
          </w:p>
          <w:p w14:paraId="723FCA14">
            <w:pPr>
              <w:jc w:val="center"/>
              <w:rPr>
                <w:rFonts w:ascii="宋体" w:hAnsi="宋体" w:cs="宋体"/>
                <w:szCs w:val="21"/>
              </w:rPr>
            </w:pPr>
            <w:r>
              <w:rPr>
                <w:rFonts w:hint="eastAsia" w:ascii="宋体" w:hAnsi="宋体" w:cs="宋体"/>
                <w:szCs w:val="21"/>
              </w:rPr>
              <w:t>K1+526通道</w:t>
            </w:r>
          </w:p>
        </w:tc>
        <w:tc>
          <w:tcPr>
            <w:tcW w:w="1775" w:type="dxa"/>
            <w:vMerge w:val="continue"/>
            <w:vAlign w:val="center"/>
          </w:tcPr>
          <w:p w14:paraId="1E401CAD">
            <w:pPr>
              <w:jc w:val="center"/>
              <w:rPr>
                <w:rFonts w:ascii="宋体" w:hAnsi="宋体" w:cs="宋体"/>
                <w:szCs w:val="21"/>
              </w:rPr>
            </w:pPr>
          </w:p>
        </w:tc>
        <w:tc>
          <w:tcPr>
            <w:tcW w:w="1335" w:type="dxa"/>
            <w:vAlign w:val="center"/>
          </w:tcPr>
          <w:p w14:paraId="17EA1238">
            <w:pPr>
              <w:jc w:val="center"/>
              <w:rPr>
                <w:rFonts w:ascii="宋体" w:hAnsi="宋体" w:cs="宋体"/>
                <w:szCs w:val="21"/>
              </w:rPr>
            </w:pPr>
            <w:r>
              <w:rPr>
                <w:rFonts w:hint="eastAsia" w:ascii="宋体" w:hAnsi="宋体" w:cs="宋体"/>
                <w:szCs w:val="21"/>
              </w:rPr>
              <w:t>55</w:t>
            </w:r>
          </w:p>
        </w:tc>
        <w:tc>
          <w:tcPr>
            <w:tcW w:w="1230" w:type="dxa"/>
            <w:vAlign w:val="center"/>
          </w:tcPr>
          <w:p w14:paraId="4DCD2BB1">
            <w:pPr>
              <w:jc w:val="center"/>
              <w:rPr>
                <w:rFonts w:ascii="宋体" w:hAnsi="宋体" w:cs="宋体"/>
                <w:szCs w:val="21"/>
              </w:rPr>
            </w:pPr>
            <w:r>
              <w:rPr>
                <w:rFonts w:hint="eastAsia" w:ascii="宋体" w:hAnsi="宋体" w:cs="宋体"/>
                <w:szCs w:val="21"/>
              </w:rPr>
              <w:t>8.1</w:t>
            </w:r>
          </w:p>
        </w:tc>
        <w:tc>
          <w:tcPr>
            <w:tcW w:w="1260" w:type="dxa"/>
            <w:vAlign w:val="center"/>
          </w:tcPr>
          <w:p w14:paraId="24207238">
            <w:pPr>
              <w:jc w:val="center"/>
              <w:rPr>
                <w:rFonts w:ascii="宋体" w:hAnsi="宋体" w:cs="宋体"/>
                <w:szCs w:val="21"/>
              </w:rPr>
            </w:pPr>
            <w:r>
              <w:rPr>
                <w:rFonts w:hint="eastAsia" w:ascii="宋体" w:hAnsi="宋体" w:cs="宋体"/>
                <w:szCs w:val="21"/>
              </w:rPr>
              <w:t>5.8</w:t>
            </w:r>
          </w:p>
        </w:tc>
      </w:tr>
      <w:tr w14:paraId="22DED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8C94B34">
            <w:pPr>
              <w:jc w:val="center"/>
              <w:rPr>
                <w:rFonts w:ascii="宋体" w:hAnsi="宋体" w:cs="宋体"/>
                <w:szCs w:val="21"/>
              </w:rPr>
            </w:pPr>
            <w:r>
              <w:rPr>
                <w:rFonts w:hint="eastAsia" w:ascii="宋体" w:hAnsi="宋体" w:cs="宋体"/>
                <w:szCs w:val="21"/>
              </w:rPr>
              <w:t>56</w:t>
            </w:r>
          </w:p>
        </w:tc>
        <w:tc>
          <w:tcPr>
            <w:tcW w:w="2635" w:type="dxa"/>
            <w:vAlign w:val="center"/>
          </w:tcPr>
          <w:p w14:paraId="5F4A59CB">
            <w:pPr>
              <w:jc w:val="center"/>
              <w:rPr>
                <w:rFonts w:ascii="宋体" w:hAnsi="宋体" w:cs="宋体"/>
                <w:szCs w:val="21"/>
              </w:rPr>
            </w:pPr>
            <w:r>
              <w:rPr>
                <w:rFonts w:hint="eastAsia" w:ascii="宋体" w:hAnsi="宋体" w:cs="宋体"/>
                <w:szCs w:val="21"/>
              </w:rPr>
              <w:t>机场高速公路（T1）</w:t>
            </w:r>
          </w:p>
          <w:p w14:paraId="48FD319A">
            <w:pPr>
              <w:jc w:val="center"/>
              <w:rPr>
                <w:rFonts w:ascii="宋体" w:hAnsi="宋体" w:cs="宋体"/>
                <w:szCs w:val="21"/>
              </w:rPr>
            </w:pPr>
            <w:r>
              <w:rPr>
                <w:rFonts w:hint="eastAsia" w:ascii="宋体" w:hAnsi="宋体" w:cs="宋体"/>
                <w:szCs w:val="21"/>
              </w:rPr>
              <w:t>K1+740通道</w:t>
            </w:r>
          </w:p>
        </w:tc>
        <w:tc>
          <w:tcPr>
            <w:tcW w:w="1775" w:type="dxa"/>
            <w:vMerge w:val="continue"/>
            <w:vAlign w:val="center"/>
          </w:tcPr>
          <w:p w14:paraId="48AD3D93">
            <w:pPr>
              <w:jc w:val="center"/>
              <w:rPr>
                <w:rFonts w:ascii="宋体" w:hAnsi="宋体" w:cs="宋体"/>
                <w:szCs w:val="21"/>
              </w:rPr>
            </w:pPr>
          </w:p>
        </w:tc>
        <w:tc>
          <w:tcPr>
            <w:tcW w:w="1335" w:type="dxa"/>
            <w:vAlign w:val="center"/>
          </w:tcPr>
          <w:p w14:paraId="103DD5B2">
            <w:pPr>
              <w:jc w:val="center"/>
              <w:rPr>
                <w:rFonts w:ascii="宋体" w:hAnsi="宋体" w:cs="宋体"/>
                <w:szCs w:val="21"/>
              </w:rPr>
            </w:pPr>
            <w:r>
              <w:rPr>
                <w:rFonts w:hint="eastAsia" w:ascii="宋体" w:hAnsi="宋体" w:cs="宋体"/>
                <w:szCs w:val="21"/>
              </w:rPr>
              <w:t>55</w:t>
            </w:r>
          </w:p>
        </w:tc>
        <w:tc>
          <w:tcPr>
            <w:tcW w:w="1230" w:type="dxa"/>
            <w:vAlign w:val="center"/>
          </w:tcPr>
          <w:p w14:paraId="3D47C993">
            <w:pPr>
              <w:jc w:val="center"/>
              <w:rPr>
                <w:rFonts w:ascii="宋体" w:hAnsi="宋体" w:cs="宋体"/>
                <w:szCs w:val="21"/>
              </w:rPr>
            </w:pPr>
            <w:r>
              <w:rPr>
                <w:rFonts w:hint="eastAsia" w:ascii="宋体" w:hAnsi="宋体" w:cs="宋体"/>
                <w:szCs w:val="21"/>
              </w:rPr>
              <w:t>4.0</w:t>
            </w:r>
          </w:p>
        </w:tc>
        <w:tc>
          <w:tcPr>
            <w:tcW w:w="1260" w:type="dxa"/>
            <w:vAlign w:val="center"/>
          </w:tcPr>
          <w:p w14:paraId="6D3A4764">
            <w:pPr>
              <w:jc w:val="center"/>
              <w:rPr>
                <w:rFonts w:ascii="宋体" w:hAnsi="宋体" w:cs="宋体"/>
                <w:szCs w:val="21"/>
              </w:rPr>
            </w:pPr>
            <w:r>
              <w:rPr>
                <w:rFonts w:hint="eastAsia" w:ascii="宋体" w:hAnsi="宋体" w:cs="宋体"/>
                <w:szCs w:val="21"/>
              </w:rPr>
              <w:t>4.0</w:t>
            </w:r>
          </w:p>
        </w:tc>
      </w:tr>
      <w:tr w14:paraId="32DE4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A4CE78B">
            <w:pPr>
              <w:jc w:val="center"/>
              <w:rPr>
                <w:rFonts w:ascii="宋体" w:hAnsi="宋体" w:cs="宋体"/>
                <w:szCs w:val="21"/>
              </w:rPr>
            </w:pPr>
            <w:r>
              <w:rPr>
                <w:rFonts w:hint="eastAsia" w:ascii="宋体" w:hAnsi="宋体" w:cs="宋体"/>
                <w:szCs w:val="21"/>
              </w:rPr>
              <w:t>57</w:t>
            </w:r>
          </w:p>
        </w:tc>
        <w:tc>
          <w:tcPr>
            <w:tcW w:w="2635" w:type="dxa"/>
            <w:vAlign w:val="center"/>
          </w:tcPr>
          <w:p w14:paraId="14DE0C0B">
            <w:pPr>
              <w:jc w:val="center"/>
              <w:rPr>
                <w:rFonts w:ascii="宋体" w:hAnsi="宋体" w:cs="宋体"/>
                <w:szCs w:val="21"/>
              </w:rPr>
            </w:pPr>
            <w:r>
              <w:rPr>
                <w:rFonts w:hint="eastAsia" w:ascii="宋体" w:hAnsi="宋体" w:cs="宋体"/>
                <w:szCs w:val="21"/>
              </w:rPr>
              <w:t>机场高速公路（T1）</w:t>
            </w:r>
          </w:p>
          <w:p w14:paraId="3E33BD6F">
            <w:pPr>
              <w:jc w:val="center"/>
              <w:rPr>
                <w:rFonts w:ascii="宋体" w:hAnsi="宋体" w:cs="宋体"/>
                <w:szCs w:val="21"/>
              </w:rPr>
            </w:pPr>
            <w:r>
              <w:rPr>
                <w:rFonts w:hint="eastAsia" w:ascii="宋体" w:hAnsi="宋体" w:cs="宋体"/>
                <w:szCs w:val="21"/>
              </w:rPr>
              <w:t>K1+894通道</w:t>
            </w:r>
          </w:p>
        </w:tc>
        <w:tc>
          <w:tcPr>
            <w:tcW w:w="1775" w:type="dxa"/>
            <w:vMerge w:val="continue"/>
            <w:vAlign w:val="center"/>
          </w:tcPr>
          <w:p w14:paraId="11896773">
            <w:pPr>
              <w:jc w:val="center"/>
              <w:rPr>
                <w:rFonts w:ascii="宋体" w:hAnsi="宋体" w:cs="宋体"/>
                <w:szCs w:val="21"/>
              </w:rPr>
            </w:pPr>
          </w:p>
        </w:tc>
        <w:tc>
          <w:tcPr>
            <w:tcW w:w="1335" w:type="dxa"/>
            <w:vAlign w:val="center"/>
          </w:tcPr>
          <w:p w14:paraId="7DD5B3CD">
            <w:pPr>
              <w:jc w:val="center"/>
              <w:rPr>
                <w:rFonts w:ascii="宋体" w:hAnsi="宋体" w:cs="宋体"/>
                <w:szCs w:val="21"/>
              </w:rPr>
            </w:pPr>
            <w:r>
              <w:rPr>
                <w:rFonts w:hint="eastAsia" w:ascii="宋体" w:hAnsi="宋体" w:cs="宋体"/>
                <w:szCs w:val="21"/>
              </w:rPr>
              <w:t>47</w:t>
            </w:r>
          </w:p>
        </w:tc>
        <w:tc>
          <w:tcPr>
            <w:tcW w:w="1230" w:type="dxa"/>
            <w:vAlign w:val="center"/>
          </w:tcPr>
          <w:p w14:paraId="1DDFA962">
            <w:pPr>
              <w:jc w:val="center"/>
              <w:rPr>
                <w:rFonts w:ascii="宋体" w:hAnsi="宋体" w:cs="宋体"/>
                <w:szCs w:val="21"/>
              </w:rPr>
            </w:pPr>
            <w:r>
              <w:rPr>
                <w:rFonts w:hint="eastAsia" w:ascii="宋体" w:hAnsi="宋体" w:cs="宋体"/>
                <w:szCs w:val="21"/>
              </w:rPr>
              <w:t>3.8</w:t>
            </w:r>
          </w:p>
        </w:tc>
        <w:tc>
          <w:tcPr>
            <w:tcW w:w="1260" w:type="dxa"/>
            <w:vAlign w:val="center"/>
          </w:tcPr>
          <w:p w14:paraId="36B39872">
            <w:pPr>
              <w:jc w:val="center"/>
              <w:rPr>
                <w:rFonts w:ascii="宋体" w:hAnsi="宋体" w:cs="宋体"/>
                <w:szCs w:val="21"/>
              </w:rPr>
            </w:pPr>
            <w:r>
              <w:rPr>
                <w:rFonts w:hint="eastAsia" w:ascii="宋体" w:hAnsi="宋体" w:cs="宋体"/>
                <w:szCs w:val="21"/>
              </w:rPr>
              <w:t>3.8</w:t>
            </w:r>
          </w:p>
        </w:tc>
      </w:tr>
      <w:tr w14:paraId="29128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743BE5B">
            <w:pPr>
              <w:jc w:val="center"/>
              <w:rPr>
                <w:rFonts w:ascii="宋体" w:hAnsi="宋体" w:cs="宋体"/>
                <w:szCs w:val="21"/>
              </w:rPr>
            </w:pPr>
            <w:r>
              <w:rPr>
                <w:rFonts w:hint="eastAsia" w:ascii="宋体" w:hAnsi="宋体" w:cs="宋体"/>
                <w:szCs w:val="21"/>
              </w:rPr>
              <w:t>58</w:t>
            </w:r>
          </w:p>
        </w:tc>
        <w:tc>
          <w:tcPr>
            <w:tcW w:w="2635" w:type="dxa"/>
            <w:vAlign w:val="center"/>
          </w:tcPr>
          <w:p w14:paraId="11390623">
            <w:pPr>
              <w:jc w:val="center"/>
              <w:rPr>
                <w:rFonts w:ascii="宋体" w:hAnsi="宋体" w:cs="宋体"/>
                <w:szCs w:val="21"/>
              </w:rPr>
            </w:pPr>
            <w:r>
              <w:rPr>
                <w:rFonts w:hint="eastAsia" w:ascii="宋体" w:hAnsi="宋体" w:cs="宋体"/>
                <w:szCs w:val="21"/>
              </w:rPr>
              <w:t>机场高速公路（T1）</w:t>
            </w:r>
          </w:p>
          <w:p w14:paraId="3F3A019E">
            <w:pPr>
              <w:jc w:val="center"/>
              <w:rPr>
                <w:rFonts w:ascii="宋体" w:hAnsi="宋体" w:cs="宋体"/>
                <w:szCs w:val="21"/>
              </w:rPr>
            </w:pPr>
            <w:r>
              <w:rPr>
                <w:rFonts w:hint="eastAsia" w:ascii="宋体" w:hAnsi="宋体" w:cs="宋体"/>
                <w:szCs w:val="21"/>
              </w:rPr>
              <w:t>K2+130通道</w:t>
            </w:r>
          </w:p>
        </w:tc>
        <w:tc>
          <w:tcPr>
            <w:tcW w:w="1775" w:type="dxa"/>
            <w:vMerge w:val="continue"/>
            <w:vAlign w:val="center"/>
          </w:tcPr>
          <w:p w14:paraId="56AEE758">
            <w:pPr>
              <w:jc w:val="center"/>
              <w:rPr>
                <w:rFonts w:ascii="宋体" w:hAnsi="宋体" w:cs="宋体"/>
                <w:szCs w:val="21"/>
              </w:rPr>
            </w:pPr>
          </w:p>
        </w:tc>
        <w:tc>
          <w:tcPr>
            <w:tcW w:w="1335" w:type="dxa"/>
            <w:vAlign w:val="center"/>
          </w:tcPr>
          <w:p w14:paraId="19D34E2D">
            <w:pPr>
              <w:jc w:val="center"/>
              <w:rPr>
                <w:rFonts w:ascii="宋体" w:hAnsi="宋体" w:cs="宋体"/>
                <w:szCs w:val="21"/>
              </w:rPr>
            </w:pPr>
            <w:r>
              <w:rPr>
                <w:rFonts w:hint="eastAsia" w:ascii="宋体" w:hAnsi="宋体" w:cs="宋体"/>
                <w:szCs w:val="21"/>
              </w:rPr>
              <w:t>47</w:t>
            </w:r>
          </w:p>
        </w:tc>
        <w:tc>
          <w:tcPr>
            <w:tcW w:w="1230" w:type="dxa"/>
            <w:vAlign w:val="center"/>
          </w:tcPr>
          <w:p w14:paraId="621717D3">
            <w:pPr>
              <w:jc w:val="center"/>
              <w:rPr>
                <w:rFonts w:ascii="宋体" w:hAnsi="宋体" w:cs="宋体"/>
                <w:szCs w:val="21"/>
              </w:rPr>
            </w:pPr>
            <w:r>
              <w:rPr>
                <w:rFonts w:hint="eastAsia" w:ascii="宋体" w:hAnsi="宋体" w:cs="宋体"/>
                <w:szCs w:val="21"/>
              </w:rPr>
              <w:t>4.0</w:t>
            </w:r>
          </w:p>
        </w:tc>
        <w:tc>
          <w:tcPr>
            <w:tcW w:w="1260" w:type="dxa"/>
            <w:vAlign w:val="center"/>
          </w:tcPr>
          <w:p w14:paraId="1075403B">
            <w:pPr>
              <w:jc w:val="center"/>
              <w:rPr>
                <w:rFonts w:ascii="宋体" w:hAnsi="宋体" w:cs="宋体"/>
                <w:szCs w:val="21"/>
              </w:rPr>
            </w:pPr>
            <w:r>
              <w:rPr>
                <w:rFonts w:hint="eastAsia" w:ascii="宋体" w:hAnsi="宋体" w:cs="宋体"/>
                <w:szCs w:val="21"/>
              </w:rPr>
              <w:t>4.0</w:t>
            </w:r>
          </w:p>
        </w:tc>
      </w:tr>
      <w:tr w14:paraId="55016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80" w:type="dxa"/>
            <w:vAlign w:val="center"/>
          </w:tcPr>
          <w:p w14:paraId="6FB0150C">
            <w:pPr>
              <w:jc w:val="center"/>
              <w:rPr>
                <w:rFonts w:ascii="宋体" w:hAnsi="宋体" w:cs="宋体"/>
                <w:szCs w:val="21"/>
              </w:rPr>
            </w:pPr>
            <w:r>
              <w:rPr>
                <w:rFonts w:hint="eastAsia" w:ascii="宋体" w:hAnsi="宋体" w:cs="宋体"/>
                <w:szCs w:val="21"/>
              </w:rPr>
              <w:t>59</w:t>
            </w:r>
          </w:p>
        </w:tc>
        <w:tc>
          <w:tcPr>
            <w:tcW w:w="2635" w:type="dxa"/>
            <w:vAlign w:val="center"/>
          </w:tcPr>
          <w:p w14:paraId="7F0C524B">
            <w:pPr>
              <w:jc w:val="center"/>
              <w:rPr>
                <w:rFonts w:ascii="宋体" w:hAnsi="宋体" w:cs="宋体"/>
                <w:szCs w:val="21"/>
              </w:rPr>
            </w:pPr>
            <w:r>
              <w:rPr>
                <w:rFonts w:hint="eastAsia" w:ascii="宋体" w:hAnsi="宋体" w:cs="宋体"/>
                <w:szCs w:val="21"/>
              </w:rPr>
              <w:t>机场高速公路（T1）</w:t>
            </w:r>
          </w:p>
          <w:p w14:paraId="08CBAD81">
            <w:pPr>
              <w:jc w:val="center"/>
              <w:rPr>
                <w:rFonts w:ascii="宋体" w:hAnsi="宋体" w:cs="宋体"/>
                <w:szCs w:val="21"/>
              </w:rPr>
            </w:pPr>
            <w:r>
              <w:rPr>
                <w:rFonts w:hint="eastAsia" w:ascii="宋体" w:hAnsi="宋体" w:cs="宋体"/>
                <w:szCs w:val="21"/>
              </w:rPr>
              <w:t>K2+527通道</w:t>
            </w:r>
          </w:p>
        </w:tc>
        <w:tc>
          <w:tcPr>
            <w:tcW w:w="1775" w:type="dxa"/>
            <w:vMerge w:val="continue"/>
            <w:vAlign w:val="center"/>
          </w:tcPr>
          <w:p w14:paraId="124F58F4">
            <w:pPr>
              <w:jc w:val="center"/>
              <w:rPr>
                <w:rFonts w:ascii="宋体" w:hAnsi="宋体" w:cs="宋体"/>
                <w:szCs w:val="21"/>
              </w:rPr>
            </w:pPr>
          </w:p>
        </w:tc>
        <w:tc>
          <w:tcPr>
            <w:tcW w:w="1335" w:type="dxa"/>
            <w:vAlign w:val="center"/>
          </w:tcPr>
          <w:p w14:paraId="60A3980F">
            <w:pPr>
              <w:jc w:val="center"/>
              <w:rPr>
                <w:rFonts w:ascii="宋体" w:hAnsi="宋体" w:cs="宋体"/>
                <w:szCs w:val="21"/>
              </w:rPr>
            </w:pPr>
            <w:r>
              <w:rPr>
                <w:rFonts w:hint="eastAsia" w:ascii="宋体" w:hAnsi="宋体" w:cs="宋体"/>
                <w:szCs w:val="21"/>
              </w:rPr>
              <w:t>57</w:t>
            </w:r>
          </w:p>
        </w:tc>
        <w:tc>
          <w:tcPr>
            <w:tcW w:w="1230" w:type="dxa"/>
            <w:vAlign w:val="center"/>
          </w:tcPr>
          <w:p w14:paraId="4DC2F08B">
            <w:pPr>
              <w:jc w:val="center"/>
              <w:rPr>
                <w:rFonts w:ascii="宋体" w:hAnsi="宋体" w:cs="宋体"/>
                <w:szCs w:val="21"/>
              </w:rPr>
            </w:pPr>
            <w:r>
              <w:rPr>
                <w:rFonts w:hint="eastAsia" w:ascii="宋体" w:hAnsi="宋体" w:cs="宋体"/>
                <w:szCs w:val="21"/>
              </w:rPr>
              <w:t>3.8</w:t>
            </w:r>
          </w:p>
        </w:tc>
        <w:tc>
          <w:tcPr>
            <w:tcW w:w="1260" w:type="dxa"/>
            <w:vAlign w:val="center"/>
          </w:tcPr>
          <w:p w14:paraId="6E97548A">
            <w:pPr>
              <w:jc w:val="center"/>
              <w:rPr>
                <w:rFonts w:ascii="宋体" w:hAnsi="宋体" w:cs="宋体"/>
                <w:szCs w:val="21"/>
              </w:rPr>
            </w:pPr>
            <w:r>
              <w:rPr>
                <w:rFonts w:hint="eastAsia" w:ascii="宋体" w:hAnsi="宋体" w:cs="宋体"/>
                <w:szCs w:val="21"/>
              </w:rPr>
              <w:t>3.8</w:t>
            </w:r>
          </w:p>
        </w:tc>
      </w:tr>
      <w:tr w14:paraId="7FC6C8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AB5BF37">
            <w:pPr>
              <w:jc w:val="center"/>
              <w:rPr>
                <w:rFonts w:ascii="宋体" w:hAnsi="宋体" w:cs="宋体"/>
                <w:szCs w:val="21"/>
              </w:rPr>
            </w:pPr>
            <w:r>
              <w:rPr>
                <w:rFonts w:hint="eastAsia" w:ascii="宋体" w:hAnsi="宋体" w:cs="宋体"/>
                <w:szCs w:val="21"/>
              </w:rPr>
              <w:t>60</w:t>
            </w:r>
          </w:p>
        </w:tc>
        <w:tc>
          <w:tcPr>
            <w:tcW w:w="2635" w:type="dxa"/>
            <w:vAlign w:val="center"/>
          </w:tcPr>
          <w:p w14:paraId="5602EF36">
            <w:pPr>
              <w:jc w:val="center"/>
              <w:rPr>
                <w:rFonts w:ascii="宋体" w:hAnsi="宋体" w:cs="宋体"/>
                <w:szCs w:val="21"/>
              </w:rPr>
            </w:pPr>
            <w:r>
              <w:rPr>
                <w:rFonts w:hint="eastAsia" w:ascii="宋体" w:hAnsi="宋体" w:cs="宋体"/>
                <w:szCs w:val="21"/>
              </w:rPr>
              <w:t>机场高速公路（T1）</w:t>
            </w:r>
          </w:p>
          <w:p w14:paraId="7F820CA6">
            <w:pPr>
              <w:jc w:val="center"/>
              <w:rPr>
                <w:rFonts w:ascii="宋体" w:hAnsi="宋体" w:cs="宋体"/>
                <w:szCs w:val="21"/>
              </w:rPr>
            </w:pPr>
            <w:r>
              <w:rPr>
                <w:rFonts w:hint="eastAsia" w:ascii="宋体" w:hAnsi="宋体" w:cs="宋体"/>
                <w:szCs w:val="21"/>
              </w:rPr>
              <w:t>K3+000通道</w:t>
            </w:r>
          </w:p>
        </w:tc>
        <w:tc>
          <w:tcPr>
            <w:tcW w:w="1775" w:type="dxa"/>
            <w:vMerge w:val="continue"/>
            <w:vAlign w:val="center"/>
          </w:tcPr>
          <w:p w14:paraId="3AACEC69">
            <w:pPr>
              <w:jc w:val="center"/>
              <w:rPr>
                <w:rFonts w:ascii="宋体" w:hAnsi="宋体" w:cs="宋体"/>
                <w:szCs w:val="21"/>
              </w:rPr>
            </w:pPr>
          </w:p>
        </w:tc>
        <w:tc>
          <w:tcPr>
            <w:tcW w:w="1335" w:type="dxa"/>
            <w:vAlign w:val="center"/>
          </w:tcPr>
          <w:p w14:paraId="4DF00077">
            <w:pPr>
              <w:jc w:val="center"/>
              <w:rPr>
                <w:rFonts w:ascii="宋体" w:hAnsi="宋体" w:cs="宋体"/>
                <w:szCs w:val="21"/>
              </w:rPr>
            </w:pPr>
            <w:r>
              <w:rPr>
                <w:rFonts w:hint="eastAsia" w:ascii="宋体" w:hAnsi="宋体" w:cs="宋体"/>
                <w:szCs w:val="21"/>
              </w:rPr>
              <w:t>62.3</w:t>
            </w:r>
          </w:p>
        </w:tc>
        <w:tc>
          <w:tcPr>
            <w:tcW w:w="1230" w:type="dxa"/>
            <w:vAlign w:val="center"/>
          </w:tcPr>
          <w:p w14:paraId="6469569A">
            <w:pPr>
              <w:jc w:val="center"/>
              <w:rPr>
                <w:rFonts w:ascii="宋体" w:hAnsi="宋体" w:cs="宋体"/>
                <w:szCs w:val="21"/>
              </w:rPr>
            </w:pPr>
            <w:r>
              <w:rPr>
                <w:rFonts w:hint="eastAsia" w:ascii="宋体" w:hAnsi="宋体" w:cs="宋体"/>
                <w:szCs w:val="21"/>
              </w:rPr>
              <w:t>4.0</w:t>
            </w:r>
          </w:p>
        </w:tc>
        <w:tc>
          <w:tcPr>
            <w:tcW w:w="1260" w:type="dxa"/>
            <w:vAlign w:val="center"/>
          </w:tcPr>
          <w:p w14:paraId="1C8041B1">
            <w:pPr>
              <w:jc w:val="center"/>
              <w:rPr>
                <w:rFonts w:ascii="宋体" w:hAnsi="宋体" w:cs="宋体"/>
                <w:szCs w:val="21"/>
              </w:rPr>
            </w:pPr>
            <w:r>
              <w:rPr>
                <w:rFonts w:hint="eastAsia" w:ascii="宋体" w:hAnsi="宋体" w:cs="宋体"/>
                <w:szCs w:val="21"/>
              </w:rPr>
              <w:t>4.0</w:t>
            </w:r>
          </w:p>
        </w:tc>
      </w:tr>
      <w:tr w14:paraId="457FBC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03E671E">
            <w:pPr>
              <w:jc w:val="center"/>
              <w:rPr>
                <w:rFonts w:ascii="宋体" w:hAnsi="宋体" w:cs="宋体"/>
                <w:szCs w:val="21"/>
              </w:rPr>
            </w:pPr>
            <w:r>
              <w:rPr>
                <w:rFonts w:hint="eastAsia" w:ascii="宋体" w:hAnsi="宋体" w:cs="宋体"/>
                <w:szCs w:val="21"/>
              </w:rPr>
              <w:t>61</w:t>
            </w:r>
          </w:p>
        </w:tc>
        <w:tc>
          <w:tcPr>
            <w:tcW w:w="2635" w:type="dxa"/>
            <w:vAlign w:val="center"/>
          </w:tcPr>
          <w:p w14:paraId="427F69B6">
            <w:pPr>
              <w:jc w:val="center"/>
              <w:rPr>
                <w:rFonts w:ascii="宋体" w:hAnsi="宋体" w:cs="宋体"/>
                <w:szCs w:val="21"/>
              </w:rPr>
            </w:pPr>
            <w:r>
              <w:rPr>
                <w:rFonts w:hint="eastAsia" w:ascii="宋体" w:hAnsi="宋体" w:cs="宋体"/>
                <w:szCs w:val="21"/>
              </w:rPr>
              <w:t>机场高速公路（T1）</w:t>
            </w:r>
          </w:p>
          <w:p w14:paraId="3FDFA7E7">
            <w:pPr>
              <w:jc w:val="center"/>
              <w:rPr>
                <w:rFonts w:ascii="宋体" w:hAnsi="宋体" w:cs="宋体"/>
                <w:szCs w:val="21"/>
              </w:rPr>
            </w:pPr>
            <w:r>
              <w:rPr>
                <w:rFonts w:hint="eastAsia" w:ascii="宋体" w:hAnsi="宋体" w:cs="宋体"/>
                <w:szCs w:val="21"/>
              </w:rPr>
              <w:t>K3+690通道</w:t>
            </w:r>
          </w:p>
        </w:tc>
        <w:tc>
          <w:tcPr>
            <w:tcW w:w="1775" w:type="dxa"/>
            <w:vMerge w:val="continue"/>
            <w:vAlign w:val="center"/>
          </w:tcPr>
          <w:p w14:paraId="38AB862B">
            <w:pPr>
              <w:jc w:val="center"/>
              <w:rPr>
                <w:rFonts w:ascii="宋体" w:hAnsi="宋体" w:cs="宋体"/>
                <w:szCs w:val="21"/>
              </w:rPr>
            </w:pPr>
          </w:p>
        </w:tc>
        <w:tc>
          <w:tcPr>
            <w:tcW w:w="1335" w:type="dxa"/>
            <w:vAlign w:val="center"/>
          </w:tcPr>
          <w:p w14:paraId="393DB7CC">
            <w:pPr>
              <w:jc w:val="center"/>
              <w:rPr>
                <w:rFonts w:ascii="宋体" w:hAnsi="宋体" w:cs="宋体"/>
                <w:szCs w:val="21"/>
              </w:rPr>
            </w:pPr>
            <w:r>
              <w:rPr>
                <w:rFonts w:hint="eastAsia" w:ascii="宋体" w:hAnsi="宋体" w:cs="宋体"/>
                <w:szCs w:val="21"/>
              </w:rPr>
              <w:t>59</w:t>
            </w:r>
          </w:p>
        </w:tc>
        <w:tc>
          <w:tcPr>
            <w:tcW w:w="1230" w:type="dxa"/>
            <w:vAlign w:val="center"/>
          </w:tcPr>
          <w:p w14:paraId="45A6830E">
            <w:pPr>
              <w:jc w:val="center"/>
              <w:rPr>
                <w:rFonts w:ascii="宋体" w:hAnsi="宋体" w:cs="宋体"/>
                <w:szCs w:val="21"/>
              </w:rPr>
            </w:pPr>
            <w:r>
              <w:rPr>
                <w:rFonts w:hint="eastAsia" w:ascii="宋体" w:hAnsi="宋体" w:cs="宋体"/>
                <w:szCs w:val="21"/>
              </w:rPr>
              <w:t>4.0</w:t>
            </w:r>
          </w:p>
        </w:tc>
        <w:tc>
          <w:tcPr>
            <w:tcW w:w="1260" w:type="dxa"/>
            <w:vAlign w:val="center"/>
          </w:tcPr>
          <w:p w14:paraId="702E692F">
            <w:pPr>
              <w:jc w:val="center"/>
              <w:rPr>
                <w:rFonts w:ascii="宋体" w:hAnsi="宋体" w:cs="宋体"/>
                <w:szCs w:val="21"/>
              </w:rPr>
            </w:pPr>
            <w:r>
              <w:rPr>
                <w:rFonts w:hint="eastAsia" w:ascii="宋体" w:hAnsi="宋体" w:cs="宋体"/>
                <w:szCs w:val="21"/>
              </w:rPr>
              <w:t>4.0</w:t>
            </w:r>
          </w:p>
        </w:tc>
      </w:tr>
      <w:tr w14:paraId="2B075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7C25388">
            <w:pPr>
              <w:jc w:val="center"/>
              <w:rPr>
                <w:rFonts w:ascii="宋体" w:hAnsi="宋体" w:cs="宋体"/>
                <w:szCs w:val="21"/>
              </w:rPr>
            </w:pPr>
            <w:r>
              <w:rPr>
                <w:rFonts w:hint="eastAsia" w:ascii="宋体" w:hAnsi="宋体" w:cs="宋体"/>
                <w:szCs w:val="21"/>
              </w:rPr>
              <w:t>62</w:t>
            </w:r>
          </w:p>
        </w:tc>
        <w:tc>
          <w:tcPr>
            <w:tcW w:w="2635" w:type="dxa"/>
            <w:vAlign w:val="center"/>
          </w:tcPr>
          <w:p w14:paraId="5238BB9F">
            <w:pPr>
              <w:jc w:val="center"/>
              <w:rPr>
                <w:rFonts w:ascii="宋体" w:hAnsi="宋体" w:cs="宋体"/>
                <w:szCs w:val="21"/>
              </w:rPr>
            </w:pPr>
            <w:r>
              <w:rPr>
                <w:rFonts w:hint="eastAsia" w:ascii="宋体" w:hAnsi="宋体" w:cs="宋体"/>
                <w:szCs w:val="21"/>
              </w:rPr>
              <w:t>机场高速公路（T1）</w:t>
            </w:r>
          </w:p>
          <w:p w14:paraId="37C25FE1">
            <w:pPr>
              <w:jc w:val="center"/>
              <w:rPr>
                <w:rFonts w:ascii="宋体" w:hAnsi="宋体" w:cs="宋体"/>
                <w:szCs w:val="21"/>
              </w:rPr>
            </w:pPr>
            <w:r>
              <w:rPr>
                <w:rFonts w:hint="eastAsia" w:ascii="宋体" w:hAnsi="宋体" w:cs="宋体"/>
                <w:szCs w:val="21"/>
              </w:rPr>
              <w:t>K3+956通道</w:t>
            </w:r>
          </w:p>
        </w:tc>
        <w:tc>
          <w:tcPr>
            <w:tcW w:w="1775" w:type="dxa"/>
            <w:vMerge w:val="continue"/>
            <w:vAlign w:val="center"/>
          </w:tcPr>
          <w:p w14:paraId="650644C8">
            <w:pPr>
              <w:jc w:val="center"/>
              <w:rPr>
                <w:rFonts w:ascii="宋体" w:hAnsi="宋体" w:cs="宋体"/>
                <w:szCs w:val="21"/>
              </w:rPr>
            </w:pPr>
          </w:p>
        </w:tc>
        <w:tc>
          <w:tcPr>
            <w:tcW w:w="1335" w:type="dxa"/>
            <w:vAlign w:val="center"/>
          </w:tcPr>
          <w:p w14:paraId="1EADD7B9">
            <w:pPr>
              <w:jc w:val="center"/>
              <w:rPr>
                <w:rFonts w:ascii="宋体" w:hAnsi="宋体" w:cs="宋体"/>
                <w:szCs w:val="21"/>
              </w:rPr>
            </w:pPr>
            <w:r>
              <w:rPr>
                <w:rFonts w:hint="eastAsia" w:ascii="宋体" w:hAnsi="宋体" w:cs="宋体"/>
                <w:szCs w:val="21"/>
              </w:rPr>
              <w:t>57</w:t>
            </w:r>
          </w:p>
        </w:tc>
        <w:tc>
          <w:tcPr>
            <w:tcW w:w="1230" w:type="dxa"/>
            <w:vAlign w:val="center"/>
          </w:tcPr>
          <w:p w14:paraId="21870316">
            <w:pPr>
              <w:jc w:val="center"/>
              <w:rPr>
                <w:rFonts w:ascii="宋体" w:hAnsi="宋体" w:cs="宋体"/>
                <w:szCs w:val="21"/>
              </w:rPr>
            </w:pPr>
            <w:r>
              <w:rPr>
                <w:rFonts w:hint="eastAsia" w:ascii="宋体" w:hAnsi="宋体" w:cs="宋体"/>
                <w:szCs w:val="21"/>
              </w:rPr>
              <w:t>4.0</w:t>
            </w:r>
          </w:p>
        </w:tc>
        <w:tc>
          <w:tcPr>
            <w:tcW w:w="1260" w:type="dxa"/>
            <w:vAlign w:val="center"/>
          </w:tcPr>
          <w:p w14:paraId="471153CE">
            <w:pPr>
              <w:jc w:val="center"/>
              <w:rPr>
                <w:rFonts w:ascii="宋体" w:hAnsi="宋体" w:cs="宋体"/>
                <w:szCs w:val="21"/>
              </w:rPr>
            </w:pPr>
            <w:r>
              <w:rPr>
                <w:rFonts w:hint="eastAsia" w:ascii="宋体" w:hAnsi="宋体" w:cs="宋体"/>
                <w:szCs w:val="21"/>
              </w:rPr>
              <w:t>4.5</w:t>
            </w:r>
          </w:p>
        </w:tc>
      </w:tr>
      <w:tr w14:paraId="66B16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929709A">
            <w:pPr>
              <w:jc w:val="center"/>
              <w:rPr>
                <w:rFonts w:ascii="宋体" w:hAnsi="宋体" w:cs="宋体"/>
                <w:szCs w:val="21"/>
              </w:rPr>
            </w:pPr>
            <w:r>
              <w:rPr>
                <w:rFonts w:hint="eastAsia" w:ascii="宋体" w:hAnsi="宋体" w:cs="宋体"/>
                <w:szCs w:val="21"/>
              </w:rPr>
              <w:t>63</w:t>
            </w:r>
          </w:p>
        </w:tc>
        <w:tc>
          <w:tcPr>
            <w:tcW w:w="2635" w:type="dxa"/>
            <w:vAlign w:val="center"/>
          </w:tcPr>
          <w:p w14:paraId="54BE049A">
            <w:pPr>
              <w:jc w:val="center"/>
              <w:rPr>
                <w:rFonts w:ascii="宋体" w:hAnsi="宋体" w:cs="宋体"/>
                <w:szCs w:val="21"/>
              </w:rPr>
            </w:pPr>
            <w:r>
              <w:rPr>
                <w:rFonts w:hint="eastAsia" w:ascii="宋体" w:hAnsi="宋体" w:cs="宋体"/>
                <w:szCs w:val="21"/>
              </w:rPr>
              <w:t>机场高速公路（T1）</w:t>
            </w:r>
          </w:p>
          <w:p w14:paraId="21A38C92">
            <w:pPr>
              <w:jc w:val="center"/>
              <w:rPr>
                <w:rFonts w:ascii="宋体" w:hAnsi="宋体" w:cs="宋体"/>
                <w:szCs w:val="21"/>
              </w:rPr>
            </w:pPr>
            <w:r>
              <w:rPr>
                <w:rFonts w:hint="eastAsia" w:ascii="宋体" w:hAnsi="宋体" w:cs="宋体"/>
                <w:szCs w:val="21"/>
              </w:rPr>
              <w:t>K4+440通道</w:t>
            </w:r>
          </w:p>
        </w:tc>
        <w:tc>
          <w:tcPr>
            <w:tcW w:w="1775" w:type="dxa"/>
            <w:vMerge w:val="continue"/>
            <w:vAlign w:val="center"/>
          </w:tcPr>
          <w:p w14:paraId="5935CFCC">
            <w:pPr>
              <w:jc w:val="center"/>
              <w:rPr>
                <w:rFonts w:ascii="宋体" w:hAnsi="宋体" w:cs="宋体"/>
                <w:szCs w:val="21"/>
              </w:rPr>
            </w:pPr>
          </w:p>
        </w:tc>
        <w:tc>
          <w:tcPr>
            <w:tcW w:w="1335" w:type="dxa"/>
            <w:vAlign w:val="center"/>
          </w:tcPr>
          <w:p w14:paraId="44A73966">
            <w:pPr>
              <w:jc w:val="center"/>
              <w:rPr>
                <w:rFonts w:ascii="宋体" w:hAnsi="宋体" w:cs="宋体"/>
                <w:szCs w:val="21"/>
              </w:rPr>
            </w:pPr>
            <w:r>
              <w:rPr>
                <w:rFonts w:hint="eastAsia" w:ascii="宋体" w:hAnsi="宋体" w:cs="宋体"/>
                <w:szCs w:val="21"/>
              </w:rPr>
              <w:t>45</w:t>
            </w:r>
          </w:p>
        </w:tc>
        <w:tc>
          <w:tcPr>
            <w:tcW w:w="1230" w:type="dxa"/>
            <w:vAlign w:val="center"/>
          </w:tcPr>
          <w:p w14:paraId="314EB57D">
            <w:pPr>
              <w:jc w:val="center"/>
              <w:rPr>
                <w:rFonts w:ascii="宋体" w:hAnsi="宋体" w:cs="宋体"/>
                <w:szCs w:val="21"/>
              </w:rPr>
            </w:pPr>
            <w:r>
              <w:rPr>
                <w:rFonts w:hint="eastAsia" w:ascii="宋体" w:hAnsi="宋体" w:cs="宋体"/>
                <w:szCs w:val="21"/>
              </w:rPr>
              <w:t>4.0</w:t>
            </w:r>
          </w:p>
        </w:tc>
        <w:tc>
          <w:tcPr>
            <w:tcW w:w="1260" w:type="dxa"/>
            <w:vAlign w:val="center"/>
          </w:tcPr>
          <w:p w14:paraId="5ACB33FC">
            <w:pPr>
              <w:jc w:val="center"/>
              <w:rPr>
                <w:rFonts w:ascii="宋体" w:hAnsi="宋体" w:cs="宋体"/>
                <w:szCs w:val="21"/>
              </w:rPr>
            </w:pPr>
            <w:r>
              <w:rPr>
                <w:rFonts w:hint="eastAsia" w:ascii="宋体" w:hAnsi="宋体" w:cs="宋体"/>
                <w:szCs w:val="21"/>
              </w:rPr>
              <w:t>4.5</w:t>
            </w:r>
          </w:p>
        </w:tc>
      </w:tr>
      <w:tr w14:paraId="53109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FF2F425">
            <w:pPr>
              <w:jc w:val="center"/>
              <w:rPr>
                <w:rFonts w:ascii="宋体" w:hAnsi="宋体" w:cs="宋体"/>
                <w:szCs w:val="21"/>
              </w:rPr>
            </w:pPr>
            <w:r>
              <w:rPr>
                <w:rFonts w:hint="eastAsia" w:ascii="宋体" w:hAnsi="宋体" w:cs="宋体"/>
                <w:szCs w:val="21"/>
              </w:rPr>
              <w:t>64</w:t>
            </w:r>
          </w:p>
        </w:tc>
        <w:tc>
          <w:tcPr>
            <w:tcW w:w="2635" w:type="dxa"/>
            <w:vAlign w:val="center"/>
          </w:tcPr>
          <w:p w14:paraId="684AB36B">
            <w:pPr>
              <w:jc w:val="center"/>
              <w:rPr>
                <w:rFonts w:ascii="宋体" w:hAnsi="宋体" w:cs="宋体"/>
                <w:szCs w:val="21"/>
              </w:rPr>
            </w:pPr>
            <w:r>
              <w:rPr>
                <w:rFonts w:hint="eastAsia" w:ascii="宋体" w:hAnsi="宋体" w:cs="宋体"/>
                <w:szCs w:val="21"/>
              </w:rPr>
              <w:t>机场高速公路（T1）</w:t>
            </w:r>
          </w:p>
          <w:p w14:paraId="03A19ADC">
            <w:pPr>
              <w:jc w:val="center"/>
              <w:rPr>
                <w:rFonts w:ascii="宋体" w:hAnsi="宋体" w:cs="宋体"/>
                <w:szCs w:val="21"/>
              </w:rPr>
            </w:pPr>
            <w:r>
              <w:rPr>
                <w:rFonts w:hint="eastAsia" w:ascii="宋体" w:hAnsi="宋体" w:cs="宋体"/>
                <w:szCs w:val="21"/>
              </w:rPr>
              <w:t>K5+150通道</w:t>
            </w:r>
          </w:p>
        </w:tc>
        <w:tc>
          <w:tcPr>
            <w:tcW w:w="1775" w:type="dxa"/>
            <w:vMerge w:val="continue"/>
            <w:vAlign w:val="center"/>
          </w:tcPr>
          <w:p w14:paraId="7777BA1A">
            <w:pPr>
              <w:jc w:val="center"/>
              <w:rPr>
                <w:rFonts w:ascii="宋体" w:hAnsi="宋体" w:cs="宋体"/>
                <w:szCs w:val="21"/>
              </w:rPr>
            </w:pPr>
          </w:p>
        </w:tc>
        <w:tc>
          <w:tcPr>
            <w:tcW w:w="1335" w:type="dxa"/>
            <w:vAlign w:val="center"/>
          </w:tcPr>
          <w:p w14:paraId="434BD15A">
            <w:pPr>
              <w:jc w:val="center"/>
              <w:rPr>
                <w:rFonts w:ascii="宋体" w:hAnsi="宋体" w:cs="宋体"/>
                <w:szCs w:val="21"/>
              </w:rPr>
            </w:pPr>
            <w:r>
              <w:rPr>
                <w:rFonts w:hint="eastAsia" w:ascii="宋体" w:hAnsi="宋体" w:cs="宋体"/>
                <w:szCs w:val="21"/>
              </w:rPr>
              <w:t>50</w:t>
            </w:r>
          </w:p>
        </w:tc>
        <w:tc>
          <w:tcPr>
            <w:tcW w:w="1230" w:type="dxa"/>
            <w:vAlign w:val="center"/>
          </w:tcPr>
          <w:p w14:paraId="4480C873">
            <w:pPr>
              <w:jc w:val="center"/>
              <w:rPr>
                <w:rFonts w:ascii="宋体" w:hAnsi="宋体" w:cs="宋体"/>
                <w:szCs w:val="21"/>
              </w:rPr>
            </w:pPr>
            <w:r>
              <w:rPr>
                <w:rFonts w:hint="eastAsia" w:ascii="宋体" w:hAnsi="宋体" w:cs="宋体"/>
                <w:szCs w:val="21"/>
              </w:rPr>
              <w:t>3.8</w:t>
            </w:r>
          </w:p>
        </w:tc>
        <w:tc>
          <w:tcPr>
            <w:tcW w:w="1260" w:type="dxa"/>
            <w:vAlign w:val="center"/>
          </w:tcPr>
          <w:p w14:paraId="13A6F40A">
            <w:pPr>
              <w:jc w:val="center"/>
              <w:rPr>
                <w:rFonts w:ascii="宋体" w:hAnsi="宋体" w:cs="宋体"/>
                <w:szCs w:val="21"/>
              </w:rPr>
            </w:pPr>
            <w:r>
              <w:rPr>
                <w:rFonts w:hint="eastAsia" w:ascii="宋体" w:hAnsi="宋体" w:cs="宋体"/>
                <w:szCs w:val="21"/>
              </w:rPr>
              <w:t>4.0</w:t>
            </w:r>
          </w:p>
        </w:tc>
      </w:tr>
      <w:tr w14:paraId="0F171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77A8221">
            <w:pPr>
              <w:jc w:val="center"/>
              <w:rPr>
                <w:rFonts w:ascii="宋体" w:hAnsi="宋体" w:cs="宋体"/>
                <w:szCs w:val="21"/>
              </w:rPr>
            </w:pPr>
            <w:r>
              <w:rPr>
                <w:rFonts w:hint="eastAsia" w:ascii="宋体" w:hAnsi="宋体" w:cs="宋体"/>
                <w:szCs w:val="21"/>
              </w:rPr>
              <w:t>65</w:t>
            </w:r>
          </w:p>
        </w:tc>
        <w:tc>
          <w:tcPr>
            <w:tcW w:w="2635" w:type="dxa"/>
            <w:vAlign w:val="center"/>
          </w:tcPr>
          <w:p w14:paraId="7AF57467">
            <w:pPr>
              <w:jc w:val="center"/>
              <w:rPr>
                <w:rFonts w:ascii="宋体" w:hAnsi="宋体" w:cs="宋体"/>
                <w:szCs w:val="21"/>
              </w:rPr>
            </w:pPr>
            <w:r>
              <w:rPr>
                <w:rFonts w:hint="eastAsia" w:ascii="宋体" w:hAnsi="宋体" w:cs="宋体"/>
                <w:szCs w:val="21"/>
              </w:rPr>
              <w:t>机场高速公路（T1）</w:t>
            </w:r>
          </w:p>
          <w:p w14:paraId="24252FAE">
            <w:pPr>
              <w:jc w:val="center"/>
              <w:rPr>
                <w:rFonts w:ascii="宋体" w:hAnsi="宋体" w:cs="宋体"/>
                <w:szCs w:val="21"/>
              </w:rPr>
            </w:pPr>
            <w:r>
              <w:rPr>
                <w:rFonts w:hint="eastAsia" w:ascii="宋体" w:hAnsi="宋体" w:cs="宋体"/>
                <w:szCs w:val="21"/>
              </w:rPr>
              <w:t>K5+731通道</w:t>
            </w:r>
          </w:p>
        </w:tc>
        <w:tc>
          <w:tcPr>
            <w:tcW w:w="1775" w:type="dxa"/>
            <w:vMerge w:val="continue"/>
            <w:vAlign w:val="center"/>
          </w:tcPr>
          <w:p w14:paraId="27DF9BA8">
            <w:pPr>
              <w:jc w:val="center"/>
              <w:rPr>
                <w:rFonts w:ascii="宋体" w:hAnsi="宋体" w:cs="宋体"/>
                <w:szCs w:val="21"/>
              </w:rPr>
            </w:pPr>
          </w:p>
        </w:tc>
        <w:tc>
          <w:tcPr>
            <w:tcW w:w="1335" w:type="dxa"/>
            <w:vAlign w:val="center"/>
          </w:tcPr>
          <w:p w14:paraId="34BF63BE">
            <w:pPr>
              <w:jc w:val="center"/>
              <w:rPr>
                <w:rFonts w:ascii="宋体" w:hAnsi="宋体" w:cs="宋体"/>
                <w:szCs w:val="21"/>
              </w:rPr>
            </w:pPr>
            <w:r>
              <w:rPr>
                <w:rFonts w:hint="eastAsia" w:ascii="宋体" w:hAnsi="宋体" w:cs="宋体"/>
                <w:szCs w:val="21"/>
              </w:rPr>
              <w:t>50</w:t>
            </w:r>
          </w:p>
        </w:tc>
        <w:tc>
          <w:tcPr>
            <w:tcW w:w="1230" w:type="dxa"/>
            <w:vAlign w:val="center"/>
          </w:tcPr>
          <w:p w14:paraId="52CA980A">
            <w:pPr>
              <w:jc w:val="center"/>
              <w:rPr>
                <w:rFonts w:ascii="宋体" w:hAnsi="宋体" w:cs="宋体"/>
                <w:szCs w:val="21"/>
              </w:rPr>
            </w:pPr>
            <w:r>
              <w:rPr>
                <w:rFonts w:hint="eastAsia" w:ascii="宋体" w:hAnsi="宋体" w:cs="宋体"/>
                <w:szCs w:val="21"/>
              </w:rPr>
              <w:t>4.0</w:t>
            </w:r>
          </w:p>
        </w:tc>
        <w:tc>
          <w:tcPr>
            <w:tcW w:w="1260" w:type="dxa"/>
            <w:vAlign w:val="center"/>
          </w:tcPr>
          <w:p w14:paraId="12FEECE4">
            <w:pPr>
              <w:jc w:val="center"/>
              <w:rPr>
                <w:rFonts w:ascii="宋体" w:hAnsi="宋体" w:cs="宋体"/>
                <w:szCs w:val="21"/>
              </w:rPr>
            </w:pPr>
            <w:r>
              <w:rPr>
                <w:rFonts w:hint="eastAsia" w:ascii="宋体" w:hAnsi="宋体" w:cs="宋体"/>
                <w:szCs w:val="21"/>
              </w:rPr>
              <w:t>4.0</w:t>
            </w:r>
          </w:p>
        </w:tc>
      </w:tr>
      <w:tr w14:paraId="5F46A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091ECB7">
            <w:pPr>
              <w:jc w:val="center"/>
              <w:rPr>
                <w:rFonts w:ascii="宋体" w:hAnsi="宋体" w:cs="宋体"/>
                <w:szCs w:val="21"/>
              </w:rPr>
            </w:pPr>
            <w:r>
              <w:rPr>
                <w:rFonts w:hint="eastAsia" w:ascii="宋体" w:hAnsi="宋体" w:cs="宋体"/>
                <w:szCs w:val="21"/>
              </w:rPr>
              <w:t>66</w:t>
            </w:r>
          </w:p>
        </w:tc>
        <w:tc>
          <w:tcPr>
            <w:tcW w:w="2635" w:type="dxa"/>
            <w:vAlign w:val="center"/>
          </w:tcPr>
          <w:p w14:paraId="4ABA01B6">
            <w:pPr>
              <w:jc w:val="center"/>
              <w:rPr>
                <w:rFonts w:ascii="宋体" w:hAnsi="宋体" w:cs="宋体"/>
                <w:szCs w:val="21"/>
              </w:rPr>
            </w:pPr>
            <w:r>
              <w:rPr>
                <w:rFonts w:hint="eastAsia" w:ascii="宋体" w:hAnsi="宋体" w:cs="宋体"/>
                <w:szCs w:val="21"/>
              </w:rPr>
              <w:t xml:space="preserve">机场高速公路（T1）    </w:t>
            </w:r>
          </w:p>
          <w:p w14:paraId="15EE36F4">
            <w:pPr>
              <w:jc w:val="center"/>
              <w:rPr>
                <w:rFonts w:ascii="宋体" w:hAnsi="宋体" w:cs="宋体"/>
                <w:szCs w:val="21"/>
              </w:rPr>
            </w:pPr>
            <w:r>
              <w:rPr>
                <w:rFonts w:hint="eastAsia" w:ascii="宋体" w:hAnsi="宋体" w:cs="宋体"/>
                <w:szCs w:val="21"/>
              </w:rPr>
              <w:t>K6+200通道</w:t>
            </w:r>
          </w:p>
        </w:tc>
        <w:tc>
          <w:tcPr>
            <w:tcW w:w="1775" w:type="dxa"/>
            <w:vMerge w:val="continue"/>
            <w:vAlign w:val="center"/>
          </w:tcPr>
          <w:p w14:paraId="6CD26BA4">
            <w:pPr>
              <w:jc w:val="center"/>
              <w:rPr>
                <w:rFonts w:ascii="宋体" w:hAnsi="宋体" w:cs="宋体"/>
                <w:szCs w:val="21"/>
              </w:rPr>
            </w:pPr>
          </w:p>
        </w:tc>
        <w:tc>
          <w:tcPr>
            <w:tcW w:w="1335" w:type="dxa"/>
            <w:vAlign w:val="center"/>
          </w:tcPr>
          <w:p w14:paraId="304E674F">
            <w:pPr>
              <w:jc w:val="center"/>
              <w:rPr>
                <w:rFonts w:ascii="宋体" w:hAnsi="宋体" w:cs="宋体"/>
                <w:szCs w:val="21"/>
              </w:rPr>
            </w:pPr>
            <w:r>
              <w:rPr>
                <w:rFonts w:hint="eastAsia" w:ascii="宋体" w:hAnsi="宋体" w:cs="宋体"/>
                <w:szCs w:val="21"/>
              </w:rPr>
              <w:t>70</w:t>
            </w:r>
          </w:p>
        </w:tc>
        <w:tc>
          <w:tcPr>
            <w:tcW w:w="1230" w:type="dxa"/>
            <w:vAlign w:val="center"/>
          </w:tcPr>
          <w:p w14:paraId="7665B569">
            <w:pPr>
              <w:jc w:val="center"/>
              <w:rPr>
                <w:rFonts w:ascii="宋体" w:hAnsi="宋体" w:cs="宋体"/>
                <w:szCs w:val="21"/>
              </w:rPr>
            </w:pPr>
            <w:r>
              <w:rPr>
                <w:rFonts w:hint="eastAsia" w:ascii="宋体" w:hAnsi="宋体" w:cs="宋体"/>
                <w:szCs w:val="21"/>
              </w:rPr>
              <w:t>4.0</w:t>
            </w:r>
          </w:p>
        </w:tc>
        <w:tc>
          <w:tcPr>
            <w:tcW w:w="1260" w:type="dxa"/>
            <w:vAlign w:val="center"/>
          </w:tcPr>
          <w:p w14:paraId="62EE0E02">
            <w:pPr>
              <w:jc w:val="center"/>
              <w:rPr>
                <w:rFonts w:ascii="宋体" w:hAnsi="宋体" w:cs="宋体"/>
                <w:szCs w:val="21"/>
              </w:rPr>
            </w:pPr>
            <w:r>
              <w:rPr>
                <w:rFonts w:hint="eastAsia" w:ascii="宋体" w:hAnsi="宋体" w:cs="宋体"/>
                <w:szCs w:val="21"/>
              </w:rPr>
              <w:t>5.0</w:t>
            </w:r>
          </w:p>
        </w:tc>
      </w:tr>
      <w:tr w14:paraId="6D030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74033AF">
            <w:pPr>
              <w:jc w:val="center"/>
              <w:rPr>
                <w:rFonts w:ascii="宋体" w:hAnsi="宋体" w:cs="宋体"/>
                <w:szCs w:val="21"/>
              </w:rPr>
            </w:pPr>
            <w:r>
              <w:rPr>
                <w:rFonts w:hint="eastAsia" w:ascii="宋体" w:hAnsi="宋体" w:cs="宋体"/>
                <w:szCs w:val="21"/>
              </w:rPr>
              <w:t>67</w:t>
            </w:r>
          </w:p>
        </w:tc>
        <w:tc>
          <w:tcPr>
            <w:tcW w:w="2635" w:type="dxa"/>
            <w:vAlign w:val="center"/>
          </w:tcPr>
          <w:p w14:paraId="64C60E92">
            <w:pPr>
              <w:jc w:val="center"/>
              <w:rPr>
                <w:rFonts w:ascii="宋体" w:hAnsi="宋体" w:cs="宋体"/>
                <w:szCs w:val="21"/>
              </w:rPr>
            </w:pPr>
            <w:r>
              <w:rPr>
                <w:rFonts w:hint="eastAsia" w:ascii="宋体" w:hAnsi="宋体" w:cs="宋体"/>
                <w:szCs w:val="21"/>
              </w:rPr>
              <w:t>机场高速公路（T1）</w:t>
            </w:r>
          </w:p>
          <w:p w14:paraId="4DA6E00F">
            <w:pPr>
              <w:jc w:val="center"/>
              <w:rPr>
                <w:rFonts w:ascii="宋体" w:hAnsi="宋体" w:cs="宋体"/>
                <w:szCs w:val="21"/>
              </w:rPr>
            </w:pPr>
            <w:r>
              <w:rPr>
                <w:rFonts w:hint="eastAsia" w:ascii="宋体" w:hAnsi="宋体" w:cs="宋体"/>
                <w:szCs w:val="21"/>
              </w:rPr>
              <w:t xml:space="preserve">K6+750通道 </w:t>
            </w:r>
          </w:p>
        </w:tc>
        <w:tc>
          <w:tcPr>
            <w:tcW w:w="1775" w:type="dxa"/>
            <w:vMerge w:val="continue"/>
            <w:vAlign w:val="center"/>
          </w:tcPr>
          <w:p w14:paraId="76E35F95">
            <w:pPr>
              <w:jc w:val="center"/>
              <w:rPr>
                <w:rFonts w:ascii="宋体" w:hAnsi="宋体" w:cs="宋体"/>
                <w:szCs w:val="21"/>
              </w:rPr>
            </w:pPr>
          </w:p>
        </w:tc>
        <w:tc>
          <w:tcPr>
            <w:tcW w:w="1335" w:type="dxa"/>
            <w:vAlign w:val="center"/>
          </w:tcPr>
          <w:p w14:paraId="1BDD07D4">
            <w:pPr>
              <w:jc w:val="center"/>
              <w:rPr>
                <w:rFonts w:ascii="宋体" w:hAnsi="宋体" w:cs="宋体"/>
                <w:szCs w:val="21"/>
              </w:rPr>
            </w:pPr>
            <w:r>
              <w:rPr>
                <w:rFonts w:hint="eastAsia" w:ascii="宋体" w:hAnsi="宋体" w:cs="宋体"/>
                <w:szCs w:val="21"/>
              </w:rPr>
              <w:t>85</w:t>
            </w:r>
          </w:p>
        </w:tc>
        <w:tc>
          <w:tcPr>
            <w:tcW w:w="1230" w:type="dxa"/>
            <w:vAlign w:val="center"/>
          </w:tcPr>
          <w:p w14:paraId="05E789E4">
            <w:pPr>
              <w:jc w:val="center"/>
              <w:rPr>
                <w:rFonts w:ascii="宋体" w:hAnsi="宋体" w:cs="宋体"/>
                <w:szCs w:val="21"/>
              </w:rPr>
            </w:pPr>
            <w:r>
              <w:rPr>
                <w:rFonts w:hint="eastAsia" w:ascii="宋体" w:hAnsi="宋体" w:cs="宋体"/>
                <w:szCs w:val="21"/>
              </w:rPr>
              <w:t>4.0</w:t>
            </w:r>
          </w:p>
        </w:tc>
        <w:tc>
          <w:tcPr>
            <w:tcW w:w="1260" w:type="dxa"/>
            <w:vAlign w:val="center"/>
          </w:tcPr>
          <w:p w14:paraId="56A5A926">
            <w:pPr>
              <w:jc w:val="center"/>
              <w:rPr>
                <w:rFonts w:ascii="宋体" w:hAnsi="宋体" w:cs="宋体"/>
                <w:szCs w:val="21"/>
              </w:rPr>
            </w:pPr>
            <w:r>
              <w:rPr>
                <w:rFonts w:hint="eastAsia" w:ascii="宋体" w:hAnsi="宋体" w:cs="宋体"/>
                <w:szCs w:val="21"/>
              </w:rPr>
              <w:t>4.0</w:t>
            </w:r>
          </w:p>
        </w:tc>
      </w:tr>
      <w:tr w14:paraId="69F5FF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CC61DF7">
            <w:pPr>
              <w:jc w:val="center"/>
              <w:rPr>
                <w:rFonts w:ascii="宋体" w:hAnsi="宋体" w:cs="宋体"/>
                <w:szCs w:val="21"/>
              </w:rPr>
            </w:pPr>
            <w:r>
              <w:rPr>
                <w:rFonts w:hint="eastAsia" w:ascii="宋体" w:hAnsi="宋体" w:cs="宋体"/>
                <w:szCs w:val="21"/>
              </w:rPr>
              <w:t>68</w:t>
            </w:r>
          </w:p>
        </w:tc>
        <w:tc>
          <w:tcPr>
            <w:tcW w:w="2635" w:type="dxa"/>
            <w:vAlign w:val="center"/>
          </w:tcPr>
          <w:p w14:paraId="559A9E8F">
            <w:pPr>
              <w:jc w:val="center"/>
              <w:rPr>
                <w:rFonts w:ascii="宋体" w:hAnsi="宋体" w:cs="宋体"/>
                <w:szCs w:val="21"/>
              </w:rPr>
            </w:pPr>
            <w:r>
              <w:rPr>
                <w:rFonts w:hint="eastAsia" w:ascii="宋体" w:hAnsi="宋体" w:cs="宋体"/>
                <w:szCs w:val="21"/>
              </w:rPr>
              <w:t>机场高速公路（T1）</w:t>
            </w:r>
          </w:p>
          <w:p w14:paraId="59AD82F6">
            <w:pPr>
              <w:jc w:val="center"/>
              <w:rPr>
                <w:rFonts w:ascii="宋体" w:hAnsi="宋体" w:cs="宋体"/>
                <w:szCs w:val="21"/>
              </w:rPr>
            </w:pPr>
            <w:r>
              <w:rPr>
                <w:rFonts w:hint="eastAsia" w:ascii="宋体" w:hAnsi="宋体" w:cs="宋体"/>
                <w:szCs w:val="21"/>
              </w:rPr>
              <w:t>K7+250通道</w:t>
            </w:r>
          </w:p>
        </w:tc>
        <w:tc>
          <w:tcPr>
            <w:tcW w:w="1775" w:type="dxa"/>
            <w:vMerge w:val="continue"/>
            <w:vAlign w:val="center"/>
          </w:tcPr>
          <w:p w14:paraId="6737A499">
            <w:pPr>
              <w:jc w:val="center"/>
              <w:rPr>
                <w:rFonts w:ascii="宋体" w:hAnsi="宋体" w:cs="宋体"/>
                <w:szCs w:val="21"/>
              </w:rPr>
            </w:pPr>
          </w:p>
        </w:tc>
        <w:tc>
          <w:tcPr>
            <w:tcW w:w="1335" w:type="dxa"/>
            <w:vAlign w:val="center"/>
          </w:tcPr>
          <w:p w14:paraId="773E6ACD">
            <w:pPr>
              <w:jc w:val="center"/>
              <w:rPr>
                <w:rFonts w:ascii="宋体" w:hAnsi="宋体" w:cs="宋体"/>
                <w:szCs w:val="21"/>
              </w:rPr>
            </w:pPr>
            <w:r>
              <w:rPr>
                <w:rFonts w:hint="eastAsia" w:ascii="宋体" w:hAnsi="宋体" w:cs="宋体"/>
                <w:szCs w:val="21"/>
              </w:rPr>
              <w:t>75</w:t>
            </w:r>
          </w:p>
        </w:tc>
        <w:tc>
          <w:tcPr>
            <w:tcW w:w="1230" w:type="dxa"/>
            <w:vAlign w:val="center"/>
          </w:tcPr>
          <w:p w14:paraId="77135EBA">
            <w:pPr>
              <w:jc w:val="center"/>
              <w:rPr>
                <w:rFonts w:ascii="宋体" w:hAnsi="宋体" w:cs="宋体"/>
                <w:szCs w:val="21"/>
              </w:rPr>
            </w:pPr>
            <w:r>
              <w:rPr>
                <w:rFonts w:hint="eastAsia" w:ascii="宋体" w:hAnsi="宋体" w:cs="宋体"/>
                <w:szCs w:val="21"/>
              </w:rPr>
              <w:t>4.0</w:t>
            </w:r>
          </w:p>
        </w:tc>
        <w:tc>
          <w:tcPr>
            <w:tcW w:w="1260" w:type="dxa"/>
            <w:vAlign w:val="center"/>
          </w:tcPr>
          <w:p w14:paraId="626EB2D6">
            <w:pPr>
              <w:jc w:val="center"/>
              <w:rPr>
                <w:rFonts w:ascii="宋体" w:hAnsi="宋体" w:cs="宋体"/>
                <w:szCs w:val="21"/>
              </w:rPr>
            </w:pPr>
            <w:r>
              <w:rPr>
                <w:rFonts w:hint="eastAsia" w:ascii="宋体" w:hAnsi="宋体" w:cs="宋体"/>
                <w:szCs w:val="21"/>
              </w:rPr>
              <w:t>4.0</w:t>
            </w:r>
          </w:p>
        </w:tc>
      </w:tr>
      <w:tr w14:paraId="5905A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92FDA4B">
            <w:pPr>
              <w:jc w:val="center"/>
              <w:rPr>
                <w:rFonts w:ascii="宋体" w:hAnsi="宋体" w:cs="宋体"/>
                <w:szCs w:val="21"/>
              </w:rPr>
            </w:pPr>
            <w:r>
              <w:rPr>
                <w:rFonts w:hint="eastAsia" w:ascii="宋体" w:hAnsi="宋体" w:cs="宋体"/>
                <w:szCs w:val="21"/>
              </w:rPr>
              <w:t>69</w:t>
            </w:r>
          </w:p>
        </w:tc>
        <w:tc>
          <w:tcPr>
            <w:tcW w:w="2635" w:type="dxa"/>
            <w:vAlign w:val="center"/>
          </w:tcPr>
          <w:p w14:paraId="4469B998">
            <w:pPr>
              <w:jc w:val="center"/>
              <w:rPr>
                <w:rFonts w:ascii="宋体" w:hAnsi="宋体" w:cs="宋体"/>
                <w:szCs w:val="21"/>
              </w:rPr>
            </w:pPr>
            <w:r>
              <w:rPr>
                <w:rFonts w:hint="eastAsia" w:ascii="宋体" w:hAnsi="宋体" w:cs="宋体"/>
                <w:szCs w:val="21"/>
              </w:rPr>
              <w:t>机场高速公路（T1）</w:t>
            </w:r>
          </w:p>
          <w:p w14:paraId="0247FDC1">
            <w:pPr>
              <w:jc w:val="center"/>
              <w:rPr>
                <w:rFonts w:ascii="宋体" w:hAnsi="宋体" w:cs="宋体"/>
                <w:szCs w:val="21"/>
              </w:rPr>
            </w:pPr>
            <w:r>
              <w:rPr>
                <w:rFonts w:hint="eastAsia" w:ascii="宋体" w:hAnsi="宋体" w:cs="宋体"/>
                <w:szCs w:val="21"/>
              </w:rPr>
              <w:t>K7+522通道</w:t>
            </w:r>
          </w:p>
        </w:tc>
        <w:tc>
          <w:tcPr>
            <w:tcW w:w="1775" w:type="dxa"/>
            <w:vMerge w:val="continue"/>
            <w:vAlign w:val="center"/>
          </w:tcPr>
          <w:p w14:paraId="5E7321C5">
            <w:pPr>
              <w:jc w:val="center"/>
              <w:rPr>
                <w:rFonts w:ascii="宋体" w:hAnsi="宋体" w:cs="宋体"/>
                <w:szCs w:val="21"/>
              </w:rPr>
            </w:pPr>
          </w:p>
        </w:tc>
        <w:tc>
          <w:tcPr>
            <w:tcW w:w="1335" w:type="dxa"/>
            <w:vAlign w:val="center"/>
          </w:tcPr>
          <w:p w14:paraId="23510448">
            <w:pPr>
              <w:jc w:val="center"/>
              <w:rPr>
                <w:rFonts w:ascii="宋体" w:hAnsi="宋体" w:cs="宋体"/>
                <w:szCs w:val="21"/>
              </w:rPr>
            </w:pPr>
            <w:r>
              <w:rPr>
                <w:rFonts w:hint="eastAsia" w:ascii="宋体" w:hAnsi="宋体" w:cs="宋体"/>
                <w:szCs w:val="21"/>
              </w:rPr>
              <w:t>55</w:t>
            </w:r>
          </w:p>
        </w:tc>
        <w:tc>
          <w:tcPr>
            <w:tcW w:w="1230" w:type="dxa"/>
            <w:vAlign w:val="center"/>
          </w:tcPr>
          <w:p w14:paraId="2E127336">
            <w:pPr>
              <w:jc w:val="center"/>
              <w:rPr>
                <w:rFonts w:ascii="宋体" w:hAnsi="宋体" w:cs="宋体"/>
                <w:szCs w:val="21"/>
              </w:rPr>
            </w:pPr>
            <w:r>
              <w:rPr>
                <w:rFonts w:hint="eastAsia" w:ascii="宋体" w:hAnsi="宋体" w:cs="宋体"/>
                <w:szCs w:val="21"/>
              </w:rPr>
              <w:t>4.0</w:t>
            </w:r>
          </w:p>
        </w:tc>
        <w:tc>
          <w:tcPr>
            <w:tcW w:w="1260" w:type="dxa"/>
            <w:vAlign w:val="center"/>
          </w:tcPr>
          <w:p w14:paraId="31A707AD">
            <w:pPr>
              <w:jc w:val="center"/>
              <w:rPr>
                <w:rFonts w:ascii="宋体" w:hAnsi="宋体" w:cs="宋体"/>
                <w:szCs w:val="21"/>
              </w:rPr>
            </w:pPr>
            <w:r>
              <w:rPr>
                <w:rFonts w:hint="eastAsia" w:ascii="宋体" w:hAnsi="宋体" w:cs="宋体"/>
                <w:szCs w:val="21"/>
              </w:rPr>
              <w:t>4.5</w:t>
            </w:r>
          </w:p>
        </w:tc>
      </w:tr>
      <w:tr w14:paraId="1282F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582751C">
            <w:pPr>
              <w:jc w:val="center"/>
              <w:rPr>
                <w:rFonts w:ascii="宋体" w:hAnsi="宋体" w:cs="宋体"/>
                <w:szCs w:val="21"/>
              </w:rPr>
            </w:pPr>
            <w:r>
              <w:rPr>
                <w:rFonts w:hint="eastAsia" w:ascii="宋体" w:hAnsi="宋体" w:cs="宋体"/>
                <w:szCs w:val="21"/>
              </w:rPr>
              <w:t>70</w:t>
            </w:r>
          </w:p>
        </w:tc>
        <w:tc>
          <w:tcPr>
            <w:tcW w:w="2635" w:type="dxa"/>
            <w:vAlign w:val="center"/>
          </w:tcPr>
          <w:p w14:paraId="4CA95A10">
            <w:pPr>
              <w:jc w:val="center"/>
              <w:rPr>
                <w:rFonts w:ascii="宋体" w:hAnsi="宋体" w:cs="宋体"/>
                <w:szCs w:val="21"/>
              </w:rPr>
            </w:pPr>
            <w:r>
              <w:rPr>
                <w:rFonts w:hint="eastAsia" w:ascii="宋体" w:hAnsi="宋体" w:cs="宋体"/>
                <w:szCs w:val="21"/>
              </w:rPr>
              <w:t>机场高速公路（T1）</w:t>
            </w:r>
          </w:p>
          <w:p w14:paraId="223CDFB5">
            <w:pPr>
              <w:jc w:val="center"/>
              <w:rPr>
                <w:rFonts w:ascii="宋体" w:hAnsi="宋体" w:cs="宋体"/>
                <w:szCs w:val="21"/>
              </w:rPr>
            </w:pPr>
            <w:r>
              <w:rPr>
                <w:rFonts w:hint="eastAsia" w:ascii="宋体" w:hAnsi="宋体" w:cs="宋体"/>
                <w:szCs w:val="21"/>
              </w:rPr>
              <w:t>K8+300通道</w:t>
            </w:r>
          </w:p>
        </w:tc>
        <w:tc>
          <w:tcPr>
            <w:tcW w:w="1775" w:type="dxa"/>
            <w:vMerge w:val="continue"/>
            <w:vAlign w:val="center"/>
          </w:tcPr>
          <w:p w14:paraId="51DFFCFE">
            <w:pPr>
              <w:jc w:val="center"/>
              <w:rPr>
                <w:rFonts w:ascii="宋体" w:hAnsi="宋体" w:cs="宋体"/>
                <w:szCs w:val="21"/>
              </w:rPr>
            </w:pPr>
          </w:p>
        </w:tc>
        <w:tc>
          <w:tcPr>
            <w:tcW w:w="1335" w:type="dxa"/>
            <w:vAlign w:val="center"/>
          </w:tcPr>
          <w:p w14:paraId="6D101E57">
            <w:pPr>
              <w:jc w:val="center"/>
              <w:rPr>
                <w:rFonts w:ascii="宋体" w:hAnsi="宋体" w:cs="宋体"/>
                <w:szCs w:val="21"/>
              </w:rPr>
            </w:pPr>
            <w:r>
              <w:rPr>
                <w:rFonts w:hint="eastAsia" w:ascii="宋体" w:hAnsi="宋体" w:cs="宋体"/>
                <w:szCs w:val="21"/>
              </w:rPr>
              <w:t>55</w:t>
            </w:r>
          </w:p>
        </w:tc>
        <w:tc>
          <w:tcPr>
            <w:tcW w:w="1230" w:type="dxa"/>
            <w:vAlign w:val="center"/>
          </w:tcPr>
          <w:p w14:paraId="33F0A4B6">
            <w:pPr>
              <w:jc w:val="center"/>
              <w:rPr>
                <w:rFonts w:ascii="宋体" w:hAnsi="宋体" w:cs="宋体"/>
                <w:szCs w:val="21"/>
              </w:rPr>
            </w:pPr>
            <w:r>
              <w:rPr>
                <w:rFonts w:hint="eastAsia" w:ascii="宋体" w:hAnsi="宋体" w:cs="宋体"/>
                <w:szCs w:val="21"/>
              </w:rPr>
              <w:t>4.0</w:t>
            </w:r>
          </w:p>
        </w:tc>
        <w:tc>
          <w:tcPr>
            <w:tcW w:w="1260" w:type="dxa"/>
            <w:vAlign w:val="center"/>
          </w:tcPr>
          <w:p w14:paraId="002FEF28">
            <w:pPr>
              <w:jc w:val="center"/>
              <w:rPr>
                <w:rFonts w:ascii="宋体" w:hAnsi="宋体" w:cs="宋体"/>
                <w:szCs w:val="21"/>
              </w:rPr>
            </w:pPr>
            <w:r>
              <w:rPr>
                <w:rFonts w:hint="eastAsia" w:ascii="宋体" w:hAnsi="宋体" w:cs="宋体"/>
                <w:szCs w:val="21"/>
              </w:rPr>
              <w:t>4.5</w:t>
            </w:r>
          </w:p>
        </w:tc>
      </w:tr>
      <w:tr w14:paraId="1803F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7C2F681">
            <w:pPr>
              <w:jc w:val="center"/>
              <w:rPr>
                <w:rFonts w:ascii="宋体" w:hAnsi="宋体" w:cs="宋体"/>
                <w:szCs w:val="21"/>
              </w:rPr>
            </w:pPr>
            <w:r>
              <w:rPr>
                <w:rFonts w:hint="eastAsia" w:ascii="宋体" w:hAnsi="宋体" w:cs="宋体"/>
                <w:szCs w:val="21"/>
              </w:rPr>
              <w:t>71</w:t>
            </w:r>
          </w:p>
        </w:tc>
        <w:tc>
          <w:tcPr>
            <w:tcW w:w="2635" w:type="dxa"/>
            <w:vAlign w:val="center"/>
          </w:tcPr>
          <w:p w14:paraId="03920401">
            <w:pPr>
              <w:jc w:val="center"/>
              <w:rPr>
                <w:rFonts w:ascii="宋体" w:hAnsi="宋体" w:cs="宋体"/>
                <w:szCs w:val="21"/>
              </w:rPr>
            </w:pPr>
            <w:r>
              <w:rPr>
                <w:rFonts w:hint="eastAsia" w:ascii="宋体" w:hAnsi="宋体" w:cs="宋体"/>
                <w:szCs w:val="21"/>
              </w:rPr>
              <w:t>机场高速公路（T1）</w:t>
            </w:r>
          </w:p>
          <w:p w14:paraId="24C958E3">
            <w:pPr>
              <w:jc w:val="center"/>
              <w:rPr>
                <w:rFonts w:ascii="宋体" w:hAnsi="宋体" w:cs="宋体"/>
                <w:szCs w:val="21"/>
              </w:rPr>
            </w:pPr>
            <w:r>
              <w:rPr>
                <w:rFonts w:hint="eastAsia" w:ascii="宋体" w:hAnsi="宋体" w:cs="宋体"/>
                <w:szCs w:val="21"/>
              </w:rPr>
              <w:t>K9+150通道</w:t>
            </w:r>
          </w:p>
        </w:tc>
        <w:tc>
          <w:tcPr>
            <w:tcW w:w="1775" w:type="dxa"/>
            <w:vMerge w:val="continue"/>
            <w:vAlign w:val="center"/>
          </w:tcPr>
          <w:p w14:paraId="44012AC0">
            <w:pPr>
              <w:jc w:val="center"/>
              <w:rPr>
                <w:rFonts w:ascii="宋体" w:hAnsi="宋体" w:cs="宋体"/>
                <w:szCs w:val="21"/>
              </w:rPr>
            </w:pPr>
          </w:p>
        </w:tc>
        <w:tc>
          <w:tcPr>
            <w:tcW w:w="1335" w:type="dxa"/>
            <w:vAlign w:val="center"/>
          </w:tcPr>
          <w:p w14:paraId="3C8A5B2D">
            <w:pPr>
              <w:jc w:val="center"/>
              <w:rPr>
                <w:rFonts w:ascii="宋体" w:hAnsi="宋体" w:cs="宋体"/>
                <w:szCs w:val="21"/>
              </w:rPr>
            </w:pPr>
            <w:r>
              <w:rPr>
                <w:rFonts w:hint="eastAsia" w:ascii="宋体" w:hAnsi="宋体" w:cs="宋体"/>
                <w:szCs w:val="21"/>
              </w:rPr>
              <w:t>68</w:t>
            </w:r>
          </w:p>
        </w:tc>
        <w:tc>
          <w:tcPr>
            <w:tcW w:w="1230" w:type="dxa"/>
            <w:vAlign w:val="center"/>
          </w:tcPr>
          <w:p w14:paraId="0A568434">
            <w:pPr>
              <w:jc w:val="center"/>
              <w:rPr>
                <w:rFonts w:ascii="宋体" w:hAnsi="宋体" w:cs="宋体"/>
                <w:szCs w:val="21"/>
              </w:rPr>
            </w:pPr>
            <w:r>
              <w:rPr>
                <w:rFonts w:hint="eastAsia" w:ascii="宋体" w:hAnsi="宋体" w:cs="宋体"/>
                <w:szCs w:val="21"/>
              </w:rPr>
              <w:t>4.0</w:t>
            </w:r>
          </w:p>
        </w:tc>
        <w:tc>
          <w:tcPr>
            <w:tcW w:w="1260" w:type="dxa"/>
            <w:vAlign w:val="center"/>
          </w:tcPr>
          <w:p w14:paraId="78259CB2">
            <w:pPr>
              <w:jc w:val="center"/>
              <w:rPr>
                <w:rFonts w:ascii="宋体" w:hAnsi="宋体" w:cs="宋体"/>
                <w:szCs w:val="21"/>
              </w:rPr>
            </w:pPr>
            <w:r>
              <w:rPr>
                <w:rFonts w:hint="eastAsia" w:ascii="宋体" w:hAnsi="宋体" w:cs="宋体"/>
                <w:szCs w:val="21"/>
              </w:rPr>
              <w:t>4.0</w:t>
            </w:r>
          </w:p>
        </w:tc>
      </w:tr>
      <w:tr w14:paraId="684F6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95B11AB">
            <w:pPr>
              <w:jc w:val="center"/>
              <w:rPr>
                <w:rFonts w:ascii="宋体" w:hAnsi="宋体" w:cs="宋体"/>
                <w:szCs w:val="21"/>
              </w:rPr>
            </w:pPr>
            <w:r>
              <w:rPr>
                <w:rFonts w:hint="eastAsia" w:ascii="宋体" w:hAnsi="宋体" w:cs="宋体"/>
                <w:szCs w:val="21"/>
              </w:rPr>
              <w:t>72</w:t>
            </w:r>
          </w:p>
        </w:tc>
        <w:tc>
          <w:tcPr>
            <w:tcW w:w="2635" w:type="dxa"/>
            <w:vAlign w:val="center"/>
          </w:tcPr>
          <w:p w14:paraId="33426248">
            <w:pPr>
              <w:jc w:val="center"/>
              <w:rPr>
                <w:rFonts w:ascii="宋体" w:hAnsi="宋体" w:cs="宋体"/>
                <w:szCs w:val="21"/>
              </w:rPr>
            </w:pPr>
            <w:r>
              <w:rPr>
                <w:rFonts w:hint="eastAsia" w:ascii="宋体" w:hAnsi="宋体" w:cs="宋体"/>
                <w:szCs w:val="21"/>
              </w:rPr>
              <w:t>机场高速公路（T1）K10+867通道</w:t>
            </w:r>
          </w:p>
        </w:tc>
        <w:tc>
          <w:tcPr>
            <w:tcW w:w="1775" w:type="dxa"/>
            <w:vMerge w:val="continue"/>
            <w:vAlign w:val="center"/>
          </w:tcPr>
          <w:p w14:paraId="632528BA">
            <w:pPr>
              <w:jc w:val="center"/>
              <w:rPr>
                <w:rFonts w:ascii="宋体" w:hAnsi="宋体" w:cs="宋体"/>
                <w:szCs w:val="21"/>
              </w:rPr>
            </w:pPr>
          </w:p>
        </w:tc>
        <w:tc>
          <w:tcPr>
            <w:tcW w:w="1335" w:type="dxa"/>
            <w:vAlign w:val="center"/>
          </w:tcPr>
          <w:p w14:paraId="543E8A2F">
            <w:pPr>
              <w:jc w:val="center"/>
              <w:rPr>
                <w:rFonts w:ascii="宋体" w:hAnsi="宋体" w:cs="宋体"/>
                <w:szCs w:val="21"/>
              </w:rPr>
            </w:pPr>
            <w:r>
              <w:rPr>
                <w:rFonts w:hint="eastAsia" w:ascii="宋体" w:hAnsi="宋体" w:cs="宋体"/>
                <w:szCs w:val="21"/>
              </w:rPr>
              <w:t>55</w:t>
            </w:r>
          </w:p>
        </w:tc>
        <w:tc>
          <w:tcPr>
            <w:tcW w:w="1230" w:type="dxa"/>
            <w:vAlign w:val="center"/>
          </w:tcPr>
          <w:p w14:paraId="1152A56F">
            <w:pPr>
              <w:jc w:val="center"/>
              <w:rPr>
                <w:rFonts w:ascii="宋体" w:hAnsi="宋体" w:cs="宋体"/>
                <w:szCs w:val="21"/>
              </w:rPr>
            </w:pPr>
            <w:r>
              <w:rPr>
                <w:rFonts w:hint="eastAsia" w:ascii="宋体" w:hAnsi="宋体" w:cs="宋体"/>
                <w:szCs w:val="21"/>
              </w:rPr>
              <w:t>4.0</w:t>
            </w:r>
          </w:p>
        </w:tc>
        <w:tc>
          <w:tcPr>
            <w:tcW w:w="1260" w:type="dxa"/>
            <w:vAlign w:val="center"/>
          </w:tcPr>
          <w:p w14:paraId="1D1BFCB9">
            <w:pPr>
              <w:jc w:val="center"/>
              <w:rPr>
                <w:rFonts w:ascii="宋体" w:hAnsi="宋体" w:cs="宋体"/>
                <w:szCs w:val="21"/>
              </w:rPr>
            </w:pPr>
            <w:r>
              <w:rPr>
                <w:rFonts w:hint="eastAsia" w:ascii="宋体" w:hAnsi="宋体" w:cs="宋体"/>
                <w:szCs w:val="21"/>
              </w:rPr>
              <w:t>4.5</w:t>
            </w:r>
          </w:p>
        </w:tc>
      </w:tr>
      <w:tr w14:paraId="7BAAF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A82D1C9">
            <w:pPr>
              <w:jc w:val="center"/>
              <w:rPr>
                <w:rFonts w:ascii="宋体" w:hAnsi="宋体" w:cs="宋体"/>
                <w:szCs w:val="21"/>
              </w:rPr>
            </w:pPr>
            <w:r>
              <w:rPr>
                <w:rFonts w:hint="eastAsia" w:ascii="宋体" w:hAnsi="宋体" w:cs="宋体"/>
                <w:szCs w:val="21"/>
              </w:rPr>
              <w:t>73</w:t>
            </w:r>
          </w:p>
        </w:tc>
        <w:tc>
          <w:tcPr>
            <w:tcW w:w="2635" w:type="dxa"/>
            <w:vAlign w:val="center"/>
          </w:tcPr>
          <w:p w14:paraId="607BFA3F">
            <w:pPr>
              <w:jc w:val="center"/>
              <w:rPr>
                <w:rFonts w:ascii="宋体" w:hAnsi="宋体" w:cs="宋体"/>
                <w:szCs w:val="21"/>
              </w:rPr>
            </w:pPr>
            <w:r>
              <w:rPr>
                <w:rFonts w:hint="eastAsia" w:ascii="宋体" w:hAnsi="宋体" w:cs="宋体"/>
                <w:szCs w:val="21"/>
              </w:rPr>
              <w:t>机场高速公路（T1）K11+342通道</w:t>
            </w:r>
          </w:p>
        </w:tc>
        <w:tc>
          <w:tcPr>
            <w:tcW w:w="1775" w:type="dxa"/>
            <w:vMerge w:val="continue"/>
            <w:vAlign w:val="center"/>
          </w:tcPr>
          <w:p w14:paraId="498DBE51">
            <w:pPr>
              <w:jc w:val="center"/>
              <w:rPr>
                <w:rFonts w:ascii="宋体" w:hAnsi="宋体" w:cs="宋体"/>
                <w:szCs w:val="21"/>
              </w:rPr>
            </w:pPr>
          </w:p>
        </w:tc>
        <w:tc>
          <w:tcPr>
            <w:tcW w:w="1335" w:type="dxa"/>
            <w:vAlign w:val="center"/>
          </w:tcPr>
          <w:p w14:paraId="41CF96F9">
            <w:pPr>
              <w:jc w:val="center"/>
              <w:rPr>
                <w:rFonts w:ascii="宋体" w:hAnsi="宋体" w:cs="宋体"/>
                <w:szCs w:val="21"/>
              </w:rPr>
            </w:pPr>
            <w:r>
              <w:rPr>
                <w:rFonts w:hint="eastAsia" w:ascii="宋体" w:hAnsi="宋体" w:cs="宋体"/>
                <w:szCs w:val="21"/>
              </w:rPr>
              <w:t>60</w:t>
            </w:r>
          </w:p>
        </w:tc>
        <w:tc>
          <w:tcPr>
            <w:tcW w:w="1230" w:type="dxa"/>
            <w:vAlign w:val="center"/>
          </w:tcPr>
          <w:p w14:paraId="7F7F4453">
            <w:pPr>
              <w:jc w:val="center"/>
              <w:rPr>
                <w:rFonts w:ascii="宋体" w:hAnsi="宋体" w:cs="宋体"/>
                <w:szCs w:val="21"/>
              </w:rPr>
            </w:pPr>
            <w:r>
              <w:rPr>
                <w:rFonts w:hint="eastAsia" w:ascii="宋体" w:hAnsi="宋体" w:cs="宋体"/>
                <w:szCs w:val="21"/>
              </w:rPr>
              <w:t>4.0</w:t>
            </w:r>
          </w:p>
        </w:tc>
        <w:tc>
          <w:tcPr>
            <w:tcW w:w="1260" w:type="dxa"/>
            <w:vAlign w:val="center"/>
          </w:tcPr>
          <w:p w14:paraId="280FEF56">
            <w:pPr>
              <w:jc w:val="center"/>
              <w:rPr>
                <w:rFonts w:ascii="宋体" w:hAnsi="宋体" w:cs="宋体"/>
                <w:szCs w:val="21"/>
              </w:rPr>
            </w:pPr>
            <w:r>
              <w:rPr>
                <w:rFonts w:hint="eastAsia" w:ascii="宋体" w:hAnsi="宋体" w:cs="宋体"/>
                <w:szCs w:val="21"/>
              </w:rPr>
              <w:t>4.5</w:t>
            </w:r>
          </w:p>
        </w:tc>
      </w:tr>
      <w:tr w14:paraId="0FB8C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A20AD18">
            <w:pPr>
              <w:jc w:val="center"/>
              <w:rPr>
                <w:rFonts w:ascii="宋体" w:hAnsi="宋体" w:cs="宋体"/>
                <w:szCs w:val="21"/>
              </w:rPr>
            </w:pPr>
            <w:r>
              <w:rPr>
                <w:rFonts w:hint="eastAsia" w:ascii="宋体" w:hAnsi="宋体" w:cs="宋体"/>
                <w:szCs w:val="21"/>
              </w:rPr>
              <w:t>74</w:t>
            </w:r>
          </w:p>
        </w:tc>
        <w:tc>
          <w:tcPr>
            <w:tcW w:w="2635" w:type="dxa"/>
            <w:vAlign w:val="center"/>
          </w:tcPr>
          <w:p w14:paraId="6E9C806D">
            <w:pPr>
              <w:jc w:val="center"/>
              <w:rPr>
                <w:rFonts w:ascii="宋体" w:hAnsi="宋体" w:cs="宋体"/>
                <w:szCs w:val="21"/>
              </w:rPr>
            </w:pPr>
            <w:r>
              <w:rPr>
                <w:rFonts w:hint="eastAsia" w:ascii="宋体" w:hAnsi="宋体" w:cs="宋体"/>
                <w:szCs w:val="21"/>
              </w:rPr>
              <w:t>机场高速公路（T1）K11+743通道</w:t>
            </w:r>
          </w:p>
        </w:tc>
        <w:tc>
          <w:tcPr>
            <w:tcW w:w="1775" w:type="dxa"/>
            <w:vMerge w:val="continue"/>
            <w:vAlign w:val="center"/>
          </w:tcPr>
          <w:p w14:paraId="1D76C7A9">
            <w:pPr>
              <w:jc w:val="center"/>
              <w:rPr>
                <w:rFonts w:ascii="宋体" w:hAnsi="宋体" w:cs="宋体"/>
                <w:szCs w:val="21"/>
              </w:rPr>
            </w:pPr>
          </w:p>
        </w:tc>
        <w:tc>
          <w:tcPr>
            <w:tcW w:w="1335" w:type="dxa"/>
            <w:vAlign w:val="center"/>
          </w:tcPr>
          <w:p w14:paraId="3C09C8D3">
            <w:pPr>
              <w:jc w:val="center"/>
              <w:rPr>
                <w:rFonts w:ascii="宋体" w:hAnsi="宋体" w:cs="宋体"/>
                <w:szCs w:val="21"/>
              </w:rPr>
            </w:pPr>
            <w:r>
              <w:rPr>
                <w:rFonts w:hint="eastAsia" w:ascii="宋体" w:hAnsi="宋体" w:cs="宋体"/>
                <w:szCs w:val="21"/>
              </w:rPr>
              <w:t>53</w:t>
            </w:r>
          </w:p>
        </w:tc>
        <w:tc>
          <w:tcPr>
            <w:tcW w:w="1230" w:type="dxa"/>
            <w:vAlign w:val="center"/>
          </w:tcPr>
          <w:p w14:paraId="5BE02FB4">
            <w:pPr>
              <w:jc w:val="center"/>
              <w:rPr>
                <w:rFonts w:ascii="宋体" w:hAnsi="宋体" w:cs="宋体"/>
                <w:szCs w:val="21"/>
              </w:rPr>
            </w:pPr>
            <w:r>
              <w:rPr>
                <w:rFonts w:hint="eastAsia" w:ascii="宋体" w:hAnsi="宋体" w:cs="宋体"/>
                <w:szCs w:val="21"/>
              </w:rPr>
              <w:t>4.0</w:t>
            </w:r>
          </w:p>
        </w:tc>
        <w:tc>
          <w:tcPr>
            <w:tcW w:w="1260" w:type="dxa"/>
            <w:vAlign w:val="center"/>
          </w:tcPr>
          <w:p w14:paraId="117AD699">
            <w:pPr>
              <w:jc w:val="center"/>
              <w:rPr>
                <w:rFonts w:ascii="宋体" w:hAnsi="宋体" w:cs="宋体"/>
                <w:szCs w:val="21"/>
              </w:rPr>
            </w:pPr>
            <w:r>
              <w:rPr>
                <w:rFonts w:hint="eastAsia" w:ascii="宋体" w:hAnsi="宋体" w:cs="宋体"/>
                <w:szCs w:val="21"/>
              </w:rPr>
              <w:t>5.0</w:t>
            </w:r>
          </w:p>
        </w:tc>
      </w:tr>
      <w:tr w14:paraId="7C61DD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12519D8">
            <w:pPr>
              <w:jc w:val="center"/>
              <w:rPr>
                <w:rFonts w:ascii="宋体" w:hAnsi="宋体" w:cs="宋体"/>
                <w:szCs w:val="21"/>
              </w:rPr>
            </w:pPr>
            <w:r>
              <w:rPr>
                <w:rFonts w:hint="eastAsia" w:ascii="宋体" w:hAnsi="宋体" w:cs="宋体"/>
                <w:szCs w:val="21"/>
              </w:rPr>
              <w:t>75</w:t>
            </w:r>
          </w:p>
        </w:tc>
        <w:tc>
          <w:tcPr>
            <w:tcW w:w="2635" w:type="dxa"/>
            <w:vAlign w:val="center"/>
          </w:tcPr>
          <w:p w14:paraId="32ED2432">
            <w:pPr>
              <w:jc w:val="center"/>
              <w:rPr>
                <w:rFonts w:ascii="宋体" w:hAnsi="宋体" w:cs="宋体"/>
                <w:szCs w:val="21"/>
              </w:rPr>
            </w:pPr>
            <w:r>
              <w:rPr>
                <w:rFonts w:hint="eastAsia" w:ascii="宋体" w:hAnsi="宋体" w:cs="宋体"/>
                <w:szCs w:val="21"/>
              </w:rPr>
              <w:t>机场高速公路（T1）K11+985通道(同机场高速（T2）JK11+729.9通道）</w:t>
            </w:r>
          </w:p>
        </w:tc>
        <w:tc>
          <w:tcPr>
            <w:tcW w:w="1775" w:type="dxa"/>
            <w:vMerge w:val="continue"/>
            <w:vAlign w:val="center"/>
          </w:tcPr>
          <w:p w14:paraId="3EC5694A">
            <w:pPr>
              <w:jc w:val="center"/>
              <w:rPr>
                <w:rFonts w:ascii="宋体" w:hAnsi="宋体" w:cs="宋体"/>
                <w:szCs w:val="21"/>
              </w:rPr>
            </w:pPr>
          </w:p>
        </w:tc>
        <w:tc>
          <w:tcPr>
            <w:tcW w:w="1335" w:type="dxa"/>
            <w:vAlign w:val="center"/>
          </w:tcPr>
          <w:p w14:paraId="10FCBD6A">
            <w:pPr>
              <w:jc w:val="center"/>
              <w:rPr>
                <w:rFonts w:ascii="宋体" w:hAnsi="宋体" w:cs="宋体"/>
                <w:szCs w:val="21"/>
              </w:rPr>
            </w:pPr>
            <w:r>
              <w:rPr>
                <w:rFonts w:hint="eastAsia" w:ascii="宋体" w:hAnsi="宋体" w:cs="宋体"/>
                <w:szCs w:val="21"/>
              </w:rPr>
              <w:t>80.5</w:t>
            </w:r>
          </w:p>
        </w:tc>
        <w:tc>
          <w:tcPr>
            <w:tcW w:w="1230" w:type="dxa"/>
            <w:vAlign w:val="center"/>
          </w:tcPr>
          <w:p w14:paraId="320C1F41">
            <w:pPr>
              <w:jc w:val="center"/>
              <w:rPr>
                <w:rFonts w:ascii="宋体" w:hAnsi="宋体" w:cs="宋体"/>
                <w:szCs w:val="21"/>
              </w:rPr>
            </w:pPr>
            <w:r>
              <w:rPr>
                <w:rFonts w:hint="eastAsia" w:ascii="宋体" w:hAnsi="宋体" w:cs="宋体"/>
                <w:szCs w:val="21"/>
              </w:rPr>
              <w:t>4.0</w:t>
            </w:r>
          </w:p>
        </w:tc>
        <w:tc>
          <w:tcPr>
            <w:tcW w:w="1260" w:type="dxa"/>
            <w:vAlign w:val="center"/>
          </w:tcPr>
          <w:p w14:paraId="2C363089">
            <w:pPr>
              <w:jc w:val="center"/>
              <w:rPr>
                <w:rFonts w:ascii="宋体" w:hAnsi="宋体" w:cs="宋体"/>
                <w:szCs w:val="21"/>
              </w:rPr>
            </w:pPr>
            <w:r>
              <w:rPr>
                <w:rFonts w:hint="eastAsia" w:ascii="宋体" w:hAnsi="宋体" w:cs="宋体"/>
                <w:szCs w:val="21"/>
              </w:rPr>
              <w:t>4.5</w:t>
            </w:r>
          </w:p>
        </w:tc>
      </w:tr>
      <w:tr w14:paraId="4B888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trPr>
        <w:tc>
          <w:tcPr>
            <w:tcW w:w="1080" w:type="dxa"/>
            <w:vAlign w:val="center"/>
          </w:tcPr>
          <w:p w14:paraId="7BEAB4BF">
            <w:pPr>
              <w:jc w:val="center"/>
              <w:rPr>
                <w:rFonts w:ascii="宋体" w:hAnsi="宋体" w:cs="宋体"/>
                <w:szCs w:val="21"/>
              </w:rPr>
            </w:pPr>
            <w:r>
              <w:rPr>
                <w:rFonts w:hint="eastAsia" w:ascii="宋体" w:hAnsi="宋体" w:cs="宋体"/>
                <w:szCs w:val="21"/>
              </w:rPr>
              <w:t>76</w:t>
            </w:r>
          </w:p>
        </w:tc>
        <w:tc>
          <w:tcPr>
            <w:tcW w:w="2635" w:type="dxa"/>
            <w:vAlign w:val="center"/>
          </w:tcPr>
          <w:p w14:paraId="4F1C4C30">
            <w:pPr>
              <w:jc w:val="center"/>
              <w:rPr>
                <w:rFonts w:ascii="宋体" w:hAnsi="宋体" w:cs="宋体"/>
                <w:szCs w:val="21"/>
              </w:rPr>
            </w:pPr>
            <w:r>
              <w:rPr>
                <w:rFonts w:hint="eastAsia" w:ascii="宋体" w:hAnsi="宋体" w:cs="宋体"/>
                <w:szCs w:val="21"/>
              </w:rPr>
              <w:t>机场高速公路（T1）K12+453通道</w:t>
            </w:r>
          </w:p>
        </w:tc>
        <w:tc>
          <w:tcPr>
            <w:tcW w:w="1775" w:type="dxa"/>
            <w:vMerge w:val="continue"/>
            <w:vAlign w:val="center"/>
          </w:tcPr>
          <w:p w14:paraId="72F70F9B">
            <w:pPr>
              <w:jc w:val="center"/>
              <w:rPr>
                <w:rFonts w:ascii="宋体" w:hAnsi="宋体" w:cs="宋体"/>
                <w:szCs w:val="21"/>
              </w:rPr>
            </w:pPr>
          </w:p>
        </w:tc>
        <w:tc>
          <w:tcPr>
            <w:tcW w:w="1335" w:type="dxa"/>
            <w:vAlign w:val="center"/>
          </w:tcPr>
          <w:p w14:paraId="7D96996A">
            <w:pPr>
              <w:jc w:val="center"/>
              <w:rPr>
                <w:rFonts w:ascii="宋体" w:hAnsi="宋体" w:cs="宋体"/>
                <w:szCs w:val="21"/>
              </w:rPr>
            </w:pPr>
            <w:r>
              <w:rPr>
                <w:rFonts w:hint="eastAsia" w:ascii="宋体" w:hAnsi="宋体" w:cs="宋体"/>
                <w:szCs w:val="21"/>
              </w:rPr>
              <w:t>68</w:t>
            </w:r>
          </w:p>
        </w:tc>
        <w:tc>
          <w:tcPr>
            <w:tcW w:w="1230" w:type="dxa"/>
            <w:vAlign w:val="center"/>
          </w:tcPr>
          <w:p w14:paraId="7B1EC166">
            <w:pPr>
              <w:jc w:val="center"/>
              <w:rPr>
                <w:rFonts w:ascii="宋体" w:hAnsi="宋体" w:cs="宋体"/>
                <w:szCs w:val="21"/>
              </w:rPr>
            </w:pPr>
            <w:r>
              <w:rPr>
                <w:rFonts w:hint="eastAsia" w:ascii="宋体" w:hAnsi="宋体" w:cs="宋体"/>
                <w:szCs w:val="21"/>
              </w:rPr>
              <w:t>4.0</w:t>
            </w:r>
          </w:p>
        </w:tc>
        <w:tc>
          <w:tcPr>
            <w:tcW w:w="1260" w:type="dxa"/>
            <w:vAlign w:val="center"/>
          </w:tcPr>
          <w:p w14:paraId="17029B72">
            <w:pPr>
              <w:jc w:val="center"/>
              <w:rPr>
                <w:rFonts w:ascii="宋体" w:hAnsi="宋体" w:cs="宋体"/>
                <w:szCs w:val="21"/>
              </w:rPr>
            </w:pPr>
            <w:r>
              <w:rPr>
                <w:rFonts w:hint="eastAsia" w:ascii="宋体" w:hAnsi="宋体" w:cs="宋体"/>
                <w:szCs w:val="21"/>
              </w:rPr>
              <w:t>4.0</w:t>
            </w:r>
          </w:p>
        </w:tc>
      </w:tr>
      <w:tr w14:paraId="29F376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3C7FF3C">
            <w:pPr>
              <w:jc w:val="center"/>
              <w:rPr>
                <w:rFonts w:ascii="宋体" w:hAnsi="宋体" w:cs="宋体"/>
                <w:szCs w:val="21"/>
              </w:rPr>
            </w:pPr>
            <w:r>
              <w:rPr>
                <w:rFonts w:hint="eastAsia" w:ascii="宋体" w:hAnsi="宋体" w:cs="宋体"/>
                <w:szCs w:val="21"/>
              </w:rPr>
              <w:t>77</w:t>
            </w:r>
          </w:p>
        </w:tc>
        <w:tc>
          <w:tcPr>
            <w:tcW w:w="2635" w:type="dxa"/>
            <w:vAlign w:val="center"/>
          </w:tcPr>
          <w:p w14:paraId="03E9EEDA">
            <w:pPr>
              <w:jc w:val="center"/>
              <w:rPr>
                <w:rFonts w:ascii="宋体" w:hAnsi="宋体" w:cs="宋体"/>
                <w:szCs w:val="21"/>
              </w:rPr>
            </w:pPr>
            <w:r>
              <w:rPr>
                <w:rFonts w:hint="eastAsia" w:ascii="宋体" w:hAnsi="宋体" w:cs="宋体"/>
                <w:szCs w:val="21"/>
              </w:rPr>
              <w:t>机场高速公路（T1）K12+815通道（同机场高速（T2）BK1+363通道）</w:t>
            </w:r>
          </w:p>
        </w:tc>
        <w:tc>
          <w:tcPr>
            <w:tcW w:w="1775" w:type="dxa"/>
            <w:vMerge w:val="restart"/>
            <w:vAlign w:val="center"/>
          </w:tcPr>
          <w:p w14:paraId="4C9DAC38">
            <w:pPr>
              <w:ind w:left="420" w:hanging="420" w:hangingChars="200"/>
              <w:rPr>
                <w:rFonts w:ascii="宋体" w:hAnsi="宋体" w:cs="宋体"/>
                <w:szCs w:val="21"/>
              </w:rPr>
            </w:pPr>
            <w:r>
              <w:rPr>
                <w:rFonts w:hint="eastAsia" w:ascii="宋体" w:hAnsi="宋体" w:cs="宋体"/>
                <w:szCs w:val="21"/>
              </w:rPr>
              <w:t>机场高速公路（T1）</w:t>
            </w:r>
          </w:p>
        </w:tc>
        <w:tc>
          <w:tcPr>
            <w:tcW w:w="1335" w:type="dxa"/>
            <w:vAlign w:val="center"/>
          </w:tcPr>
          <w:p w14:paraId="1E516671">
            <w:pPr>
              <w:jc w:val="center"/>
              <w:rPr>
                <w:rFonts w:ascii="宋体" w:hAnsi="宋体" w:cs="宋体"/>
                <w:szCs w:val="21"/>
              </w:rPr>
            </w:pPr>
            <w:r>
              <w:rPr>
                <w:rFonts w:hint="eastAsia" w:ascii="宋体" w:hAnsi="宋体" w:cs="宋体"/>
                <w:szCs w:val="21"/>
              </w:rPr>
              <w:t>55</w:t>
            </w:r>
          </w:p>
        </w:tc>
        <w:tc>
          <w:tcPr>
            <w:tcW w:w="1230" w:type="dxa"/>
            <w:vAlign w:val="center"/>
          </w:tcPr>
          <w:p w14:paraId="36BE0291">
            <w:pPr>
              <w:jc w:val="center"/>
              <w:rPr>
                <w:rFonts w:ascii="宋体" w:hAnsi="宋体" w:cs="宋体"/>
                <w:szCs w:val="21"/>
              </w:rPr>
            </w:pPr>
            <w:r>
              <w:rPr>
                <w:rFonts w:hint="eastAsia" w:ascii="宋体" w:hAnsi="宋体" w:cs="宋体"/>
                <w:szCs w:val="21"/>
              </w:rPr>
              <w:t>4.0</w:t>
            </w:r>
          </w:p>
        </w:tc>
        <w:tc>
          <w:tcPr>
            <w:tcW w:w="1260" w:type="dxa"/>
            <w:vAlign w:val="center"/>
          </w:tcPr>
          <w:p w14:paraId="73E19BD1">
            <w:pPr>
              <w:jc w:val="center"/>
              <w:rPr>
                <w:rFonts w:ascii="宋体" w:hAnsi="宋体" w:cs="宋体"/>
                <w:szCs w:val="21"/>
              </w:rPr>
            </w:pPr>
            <w:r>
              <w:rPr>
                <w:rFonts w:hint="eastAsia" w:ascii="宋体" w:hAnsi="宋体" w:cs="宋体"/>
                <w:szCs w:val="21"/>
              </w:rPr>
              <w:t>4.0</w:t>
            </w:r>
          </w:p>
        </w:tc>
      </w:tr>
      <w:tr w14:paraId="0FEDD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A8AF11A">
            <w:pPr>
              <w:jc w:val="center"/>
              <w:rPr>
                <w:rFonts w:ascii="宋体" w:hAnsi="宋体" w:cs="宋体"/>
                <w:szCs w:val="21"/>
              </w:rPr>
            </w:pPr>
            <w:r>
              <w:rPr>
                <w:rFonts w:hint="eastAsia" w:ascii="宋体" w:hAnsi="宋体" w:cs="宋体"/>
                <w:szCs w:val="21"/>
              </w:rPr>
              <w:t>78</w:t>
            </w:r>
          </w:p>
        </w:tc>
        <w:tc>
          <w:tcPr>
            <w:tcW w:w="2635" w:type="dxa"/>
            <w:vAlign w:val="center"/>
          </w:tcPr>
          <w:p w14:paraId="3884BCA9">
            <w:pPr>
              <w:jc w:val="center"/>
              <w:rPr>
                <w:rFonts w:ascii="宋体" w:hAnsi="宋体" w:cs="宋体"/>
                <w:szCs w:val="21"/>
              </w:rPr>
            </w:pPr>
            <w:r>
              <w:rPr>
                <w:rFonts w:hint="eastAsia" w:ascii="宋体" w:hAnsi="宋体" w:cs="宋体"/>
                <w:szCs w:val="21"/>
              </w:rPr>
              <w:t>机场高速公路（T1）K13+271通道（同机场高速（T2）BK0+908.5通道）</w:t>
            </w:r>
          </w:p>
        </w:tc>
        <w:tc>
          <w:tcPr>
            <w:tcW w:w="1775" w:type="dxa"/>
            <w:vMerge w:val="continue"/>
            <w:vAlign w:val="center"/>
          </w:tcPr>
          <w:p w14:paraId="6FE5C338">
            <w:pPr>
              <w:jc w:val="center"/>
              <w:rPr>
                <w:rFonts w:ascii="宋体" w:hAnsi="宋体" w:cs="宋体"/>
                <w:szCs w:val="21"/>
              </w:rPr>
            </w:pPr>
          </w:p>
        </w:tc>
        <w:tc>
          <w:tcPr>
            <w:tcW w:w="1335" w:type="dxa"/>
            <w:vAlign w:val="center"/>
          </w:tcPr>
          <w:p w14:paraId="4FD6250F">
            <w:pPr>
              <w:jc w:val="center"/>
              <w:rPr>
                <w:rFonts w:ascii="宋体" w:hAnsi="宋体" w:cs="宋体"/>
                <w:szCs w:val="21"/>
              </w:rPr>
            </w:pPr>
            <w:r>
              <w:rPr>
                <w:rFonts w:hint="eastAsia" w:ascii="宋体" w:hAnsi="宋体" w:cs="宋体"/>
                <w:szCs w:val="21"/>
              </w:rPr>
              <w:t>69</w:t>
            </w:r>
          </w:p>
        </w:tc>
        <w:tc>
          <w:tcPr>
            <w:tcW w:w="1230" w:type="dxa"/>
            <w:vAlign w:val="center"/>
          </w:tcPr>
          <w:p w14:paraId="1C97AE80">
            <w:pPr>
              <w:jc w:val="center"/>
              <w:rPr>
                <w:rFonts w:ascii="宋体" w:hAnsi="宋体" w:cs="宋体"/>
                <w:szCs w:val="21"/>
              </w:rPr>
            </w:pPr>
            <w:r>
              <w:rPr>
                <w:rFonts w:hint="eastAsia" w:ascii="宋体" w:hAnsi="宋体" w:cs="宋体"/>
                <w:szCs w:val="21"/>
              </w:rPr>
              <w:t>4.0</w:t>
            </w:r>
          </w:p>
        </w:tc>
        <w:tc>
          <w:tcPr>
            <w:tcW w:w="1260" w:type="dxa"/>
            <w:vAlign w:val="center"/>
          </w:tcPr>
          <w:p w14:paraId="4E95F1B6">
            <w:pPr>
              <w:jc w:val="center"/>
              <w:rPr>
                <w:rFonts w:ascii="宋体" w:hAnsi="宋体" w:cs="宋体"/>
                <w:szCs w:val="21"/>
              </w:rPr>
            </w:pPr>
            <w:r>
              <w:rPr>
                <w:rFonts w:hint="eastAsia" w:ascii="宋体" w:hAnsi="宋体" w:cs="宋体"/>
                <w:szCs w:val="21"/>
              </w:rPr>
              <w:t>4.0</w:t>
            </w:r>
          </w:p>
        </w:tc>
      </w:tr>
      <w:tr w14:paraId="34EB0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AC3A8DF">
            <w:pPr>
              <w:jc w:val="center"/>
              <w:rPr>
                <w:rFonts w:ascii="宋体" w:hAnsi="宋体" w:cs="宋体"/>
                <w:szCs w:val="21"/>
              </w:rPr>
            </w:pPr>
            <w:r>
              <w:rPr>
                <w:rFonts w:hint="eastAsia" w:ascii="宋体" w:hAnsi="宋体" w:cs="宋体"/>
                <w:szCs w:val="21"/>
              </w:rPr>
              <w:t>79</w:t>
            </w:r>
          </w:p>
        </w:tc>
        <w:tc>
          <w:tcPr>
            <w:tcW w:w="2635" w:type="dxa"/>
            <w:vAlign w:val="center"/>
          </w:tcPr>
          <w:p w14:paraId="2105DE35">
            <w:pPr>
              <w:jc w:val="center"/>
              <w:rPr>
                <w:rFonts w:ascii="宋体" w:hAnsi="宋体" w:cs="宋体"/>
                <w:szCs w:val="21"/>
              </w:rPr>
            </w:pPr>
            <w:r>
              <w:rPr>
                <w:rFonts w:hint="eastAsia" w:ascii="宋体" w:hAnsi="宋体" w:cs="宋体"/>
                <w:szCs w:val="21"/>
              </w:rPr>
              <w:t>机场高速公路（T1）K13+565通道</w:t>
            </w:r>
          </w:p>
        </w:tc>
        <w:tc>
          <w:tcPr>
            <w:tcW w:w="1775" w:type="dxa"/>
            <w:vMerge w:val="continue"/>
            <w:vAlign w:val="center"/>
          </w:tcPr>
          <w:p w14:paraId="5265A648">
            <w:pPr>
              <w:jc w:val="center"/>
              <w:rPr>
                <w:rFonts w:ascii="宋体" w:hAnsi="宋体" w:cs="宋体"/>
                <w:szCs w:val="21"/>
              </w:rPr>
            </w:pPr>
          </w:p>
        </w:tc>
        <w:tc>
          <w:tcPr>
            <w:tcW w:w="1335" w:type="dxa"/>
            <w:vAlign w:val="center"/>
          </w:tcPr>
          <w:p w14:paraId="41702B22">
            <w:pPr>
              <w:jc w:val="center"/>
              <w:rPr>
                <w:rFonts w:ascii="宋体" w:hAnsi="宋体" w:cs="宋体"/>
                <w:szCs w:val="21"/>
              </w:rPr>
            </w:pPr>
            <w:r>
              <w:rPr>
                <w:rFonts w:hint="eastAsia" w:ascii="宋体" w:hAnsi="宋体" w:cs="宋体"/>
                <w:szCs w:val="21"/>
              </w:rPr>
              <w:t>60</w:t>
            </w:r>
          </w:p>
        </w:tc>
        <w:tc>
          <w:tcPr>
            <w:tcW w:w="1230" w:type="dxa"/>
            <w:vAlign w:val="center"/>
          </w:tcPr>
          <w:p w14:paraId="03A5F2D0">
            <w:pPr>
              <w:jc w:val="center"/>
              <w:rPr>
                <w:rFonts w:ascii="宋体" w:hAnsi="宋体" w:cs="宋体"/>
                <w:szCs w:val="21"/>
              </w:rPr>
            </w:pPr>
            <w:r>
              <w:rPr>
                <w:rFonts w:hint="eastAsia" w:ascii="宋体" w:hAnsi="宋体" w:cs="宋体"/>
                <w:szCs w:val="21"/>
              </w:rPr>
              <w:t>4.0</w:t>
            </w:r>
          </w:p>
        </w:tc>
        <w:tc>
          <w:tcPr>
            <w:tcW w:w="1260" w:type="dxa"/>
            <w:vAlign w:val="center"/>
          </w:tcPr>
          <w:p w14:paraId="4183FC2F">
            <w:pPr>
              <w:jc w:val="center"/>
              <w:rPr>
                <w:rFonts w:ascii="宋体" w:hAnsi="宋体" w:cs="宋体"/>
                <w:szCs w:val="21"/>
              </w:rPr>
            </w:pPr>
            <w:r>
              <w:rPr>
                <w:rFonts w:hint="eastAsia" w:ascii="宋体" w:hAnsi="宋体" w:cs="宋体"/>
                <w:szCs w:val="21"/>
              </w:rPr>
              <w:t>4.0</w:t>
            </w:r>
          </w:p>
        </w:tc>
      </w:tr>
      <w:tr w14:paraId="0CC90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C98F1FC">
            <w:pPr>
              <w:jc w:val="center"/>
              <w:rPr>
                <w:rFonts w:ascii="宋体" w:hAnsi="宋体" w:cs="宋体"/>
                <w:szCs w:val="21"/>
              </w:rPr>
            </w:pPr>
            <w:r>
              <w:rPr>
                <w:rFonts w:hint="eastAsia" w:ascii="宋体" w:hAnsi="宋体" w:cs="宋体"/>
                <w:szCs w:val="21"/>
              </w:rPr>
              <w:t>80</w:t>
            </w:r>
          </w:p>
        </w:tc>
        <w:tc>
          <w:tcPr>
            <w:tcW w:w="2635" w:type="dxa"/>
            <w:vAlign w:val="center"/>
          </w:tcPr>
          <w:p w14:paraId="177C3D20">
            <w:pPr>
              <w:jc w:val="center"/>
              <w:rPr>
                <w:rFonts w:ascii="宋体" w:hAnsi="宋体" w:cs="宋体"/>
                <w:szCs w:val="21"/>
              </w:rPr>
            </w:pPr>
            <w:r>
              <w:rPr>
                <w:rFonts w:hint="eastAsia" w:ascii="宋体" w:hAnsi="宋体" w:cs="宋体"/>
                <w:szCs w:val="21"/>
              </w:rPr>
              <w:t>机场高速公路（T1）K13+818通道</w:t>
            </w:r>
          </w:p>
        </w:tc>
        <w:tc>
          <w:tcPr>
            <w:tcW w:w="1775" w:type="dxa"/>
            <w:vMerge w:val="continue"/>
            <w:vAlign w:val="center"/>
          </w:tcPr>
          <w:p w14:paraId="224D4E33">
            <w:pPr>
              <w:jc w:val="center"/>
              <w:rPr>
                <w:rFonts w:ascii="宋体" w:hAnsi="宋体" w:cs="宋体"/>
                <w:szCs w:val="21"/>
              </w:rPr>
            </w:pPr>
          </w:p>
        </w:tc>
        <w:tc>
          <w:tcPr>
            <w:tcW w:w="1335" w:type="dxa"/>
            <w:vAlign w:val="center"/>
          </w:tcPr>
          <w:p w14:paraId="47DA083D">
            <w:pPr>
              <w:jc w:val="center"/>
              <w:rPr>
                <w:rFonts w:ascii="宋体" w:hAnsi="宋体" w:cs="宋体"/>
                <w:szCs w:val="21"/>
              </w:rPr>
            </w:pPr>
            <w:r>
              <w:rPr>
                <w:rFonts w:hint="eastAsia" w:ascii="宋体" w:hAnsi="宋体" w:cs="宋体"/>
                <w:szCs w:val="21"/>
              </w:rPr>
              <w:t>60</w:t>
            </w:r>
          </w:p>
        </w:tc>
        <w:tc>
          <w:tcPr>
            <w:tcW w:w="1230" w:type="dxa"/>
            <w:vAlign w:val="center"/>
          </w:tcPr>
          <w:p w14:paraId="0AB17DA1">
            <w:pPr>
              <w:jc w:val="center"/>
              <w:rPr>
                <w:rFonts w:ascii="宋体" w:hAnsi="宋体" w:cs="宋体"/>
                <w:szCs w:val="21"/>
              </w:rPr>
            </w:pPr>
            <w:r>
              <w:rPr>
                <w:rFonts w:hint="eastAsia" w:ascii="宋体" w:hAnsi="宋体" w:cs="宋体"/>
                <w:szCs w:val="21"/>
              </w:rPr>
              <w:t>4.0</w:t>
            </w:r>
          </w:p>
        </w:tc>
        <w:tc>
          <w:tcPr>
            <w:tcW w:w="1260" w:type="dxa"/>
            <w:vAlign w:val="center"/>
          </w:tcPr>
          <w:p w14:paraId="2D1058A3">
            <w:pPr>
              <w:jc w:val="center"/>
              <w:rPr>
                <w:rFonts w:ascii="宋体" w:hAnsi="宋体" w:cs="宋体"/>
                <w:szCs w:val="21"/>
              </w:rPr>
            </w:pPr>
            <w:r>
              <w:rPr>
                <w:rFonts w:hint="eastAsia" w:ascii="宋体" w:hAnsi="宋体" w:cs="宋体"/>
                <w:szCs w:val="21"/>
              </w:rPr>
              <w:t>3.5</w:t>
            </w:r>
          </w:p>
        </w:tc>
      </w:tr>
      <w:tr w14:paraId="4B6DA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BCDD370">
            <w:pPr>
              <w:jc w:val="center"/>
              <w:rPr>
                <w:rFonts w:ascii="宋体" w:hAnsi="宋体" w:cs="宋体"/>
                <w:szCs w:val="21"/>
              </w:rPr>
            </w:pPr>
            <w:r>
              <w:rPr>
                <w:rFonts w:hint="eastAsia" w:ascii="宋体" w:hAnsi="宋体" w:cs="宋体"/>
                <w:szCs w:val="21"/>
              </w:rPr>
              <w:t>81</w:t>
            </w:r>
          </w:p>
        </w:tc>
        <w:tc>
          <w:tcPr>
            <w:tcW w:w="2635" w:type="dxa"/>
            <w:vAlign w:val="center"/>
          </w:tcPr>
          <w:p w14:paraId="40358AD0">
            <w:pPr>
              <w:jc w:val="center"/>
              <w:rPr>
                <w:rFonts w:ascii="宋体" w:hAnsi="宋体" w:cs="宋体"/>
                <w:szCs w:val="21"/>
              </w:rPr>
            </w:pPr>
            <w:r>
              <w:rPr>
                <w:rFonts w:hint="eastAsia" w:ascii="宋体" w:hAnsi="宋体" w:cs="宋体"/>
                <w:szCs w:val="21"/>
              </w:rPr>
              <w:t>机场高速公路（T1）K14+466通道</w:t>
            </w:r>
          </w:p>
        </w:tc>
        <w:tc>
          <w:tcPr>
            <w:tcW w:w="1775" w:type="dxa"/>
            <w:vMerge w:val="continue"/>
            <w:vAlign w:val="center"/>
          </w:tcPr>
          <w:p w14:paraId="713F0875">
            <w:pPr>
              <w:jc w:val="center"/>
              <w:rPr>
                <w:rFonts w:ascii="宋体" w:hAnsi="宋体" w:cs="宋体"/>
                <w:szCs w:val="21"/>
              </w:rPr>
            </w:pPr>
          </w:p>
        </w:tc>
        <w:tc>
          <w:tcPr>
            <w:tcW w:w="1335" w:type="dxa"/>
            <w:vAlign w:val="center"/>
          </w:tcPr>
          <w:p w14:paraId="63DEB5F8">
            <w:pPr>
              <w:jc w:val="center"/>
              <w:rPr>
                <w:rFonts w:ascii="宋体" w:hAnsi="宋体" w:cs="宋体"/>
                <w:szCs w:val="21"/>
              </w:rPr>
            </w:pPr>
            <w:r>
              <w:rPr>
                <w:rFonts w:hint="eastAsia" w:ascii="宋体" w:hAnsi="宋体" w:cs="宋体"/>
                <w:szCs w:val="21"/>
              </w:rPr>
              <w:t>60</w:t>
            </w:r>
          </w:p>
        </w:tc>
        <w:tc>
          <w:tcPr>
            <w:tcW w:w="1230" w:type="dxa"/>
            <w:vAlign w:val="center"/>
          </w:tcPr>
          <w:p w14:paraId="0D38B6AF">
            <w:pPr>
              <w:jc w:val="center"/>
              <w:rPr>
                <w:rFonts w:ascii="宋体" w:hAnsi="宋体" w:cs="宋体"/>
                <w:szCs w:val="21"/>
              </w:rPr>
            </w:pPr>
            <w:r>
              <w:rPr>
                <w:rFonts w:hint="eastAsia" w:ascii="宋体" w:hAnsi="宋体" w:cs="宋体"/>
                <w:szCs w:val="21"/>
              </w:rPr>
              <w:t>4.0</w:t>
            </w:r>
          </w:p>
        </w:tc>
        <w:tc>
          <w:tcPr>
            <w:tcW w:w="1260" w:type="dxa"/>
            <w:vAlign w:val="center"/>
          </w:tcPr>
          <w:p w14:paraId="76286BC0">
            <w:pPr>
              <w:jc w:val="center"/>
              <w:rPr>
                <w:rFonts w:ascii="宋体" w:hAnsi="宋体" w:cs="宋体"/>
                <w:szCs w:val="21"/>
              </w:rPr>
            </w:pPr>
            <w:r>
              <w:rPr>
                <w:rFonts w:hint="eastAsia" w:ascii="宋体" w:hAnsi="宋体" w:cs="宋体"/>
                <w:szCs w:val="21"/>
              </w:rPr>
              <w:t>4.0</w:t>
            </w:r>
          </w:p>
        </w:tc>
      </w:tr>
      <w:tr w14:paraId="51D72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4933D10">
            <w:pPr>
              <w:jc w:val="center"/>
              <w:rPr>
                <w:rFonts w:ascii="宋体" w:hAnsi="宋体" w:cs="宋体"/>
                <w:szCs w:val="21"/>
              </w:rPr>
            </w:pPr>
            <w:r>
              <w:rPr>
                <w:rFonts w:hint="eastAsia" w:ascii="宋体" w:hAnsi="宋体" w:cs="宋体"/>
                <w:szCs w:val="21"/>
              </w:rPr>
              <w:t>82</w:t>
            </w:r>
          </w:p>
        </w:tc>
        <w:tc>
          <w:tcPr>
            <w:tcW w:w="2635" w:type="dxa"/>
            <w:vAlign w:val="center"/>
          </w:tcPr>
          <w:p w14:paraId="584B2AEC">
            <w:pPr>
              <w:jc w:val="center"/>
              <w:rPr>
                <w:rFonts w:ascii="宋体" w:hAnsi="宋体" w:cs="宋体"/>
                <w:szCs w:val="21"/>
              </w:rPr>
            </w:pPr>
            <w:r>
              <w:rPr>
                <w:rFonts w:hint="eastAsia" w:ascii="宋体" w:hAnsi="宋体" w:cs="宋体"/>
                <w:szCs w:val="21"/>
              </w:rPr>
              <w:t>机场高速公路（T1）K15+650通道</w:t>
            </w:r>
          </w:p>
        </w:tc>
        <w:tc>
          <w:tcPr>
            <w:tcW w:w="1775" w:type="dxa"/>
            <w:vMerge w:val="continue"/>
            <w:vAlign w:val="center"/>
          </w:tcPr>
          <w:p w14:paraId="3F480AEE">
            <w:pPr>
              <w:jc w:val="center"/>
              <w:rPr>
                <w:rFonts w:ascii="宋体" w:hAnsi="宋体" w:cs="宋体"/>
                <w:szCs w:val="21"/>
              </w:rPr>
            </w:pPr>
          </w:p>
        </w:tc>
        <w:tc>
          <w:tcPr>
            <w:tcW w:w="1335" w:type="dxa"/>
            <w:vAlign w:val="center"/>
          </w:tcPr>
          <w:p w14:paraId="7696BD21">
            <w:pPr>
              <w:jc w:val="center"/>
              <w:rPr>
                <w:rFonts w:ascii="宋体" w:hAnsi="宋体" w:cs="宋体"/>
                <w:szCs w:val="21"/>
              </w:rPr>
            </w:pPr>
            <w:r>
              <w:rPr>
                <w:rFonts w:hint="eastAsia" w:ascii="宋体" w:hAnsi="宋体" w:cs="宋体"/>
                <w:szCs w:val="21"/>
              </w:rPr>
              <w:t>60</w:t>
            </w:r>
          </w:p>
        </w:tc>
        <w:tc>
          <w:tcPr>
            <w:tcW w:w="1230" w:type="dxa"/>
            <w:vAlign w:val="center"/>
          </w:tcPr>
          <w:p w14:paraId="697BF1A9">
            <w:pPr>
              <w:jc w:val="center"/>
              <w:rPr>
                <w:rFonts w:ascii="宋体" w:hAnsi="宋体" w:cs="宋体"/>
                <w:szCs w:val="21"/>
              </w:rPr>
            </w:pPr>
            <w:r>
              <w:rPr>
                <w:rFonts w:hint="eastAsia" w:ascii="宋体" w:hAnsi="宋体" w:cs="宋体"/>
                <w:szCs w:val="21"/>
              </w:rPr>
              <w:t>4.3</w:t>
            </w:r>
          </w:p>
        </w:tc>
        <w:tc>
          <w:tcPr>
            <w:tcW w:w="1260" w:type="dxa"/>
            <w:vAlign w:val="center"/>
          </w:tcPr>
          <w:p w14:paraId="2B38E1CD">
            <w:pPr>
              <w:jc w:val="center"/>
              <w:rPr>
                <w:rFonts w:ascii="宋体" w:hAnsi="宋体" w:cs="宋体"/>
                <w:szCs w:val="21"/>
              </w:rPr>
            </w:pPr>
            <w:r>
              <w:rPr>
                <w:rFonts w:hint="eastAsia" w:ascii="宋体" w:hAnsi="宋体" w:cs="宋体"/>
                <w:szCs w:val="21"/>
              </w:rPr>
              <w:t>2.0</w:t>
            </w:r>
          </w:p>
        </w:tc>
      </w:tr>
      <w:tr w14:paraId="2EE0DD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47848C5">
            <w:pPr>
              <w:jc w:val="center"/>
              <w:rPr>
                <w:rFonts w:ascii="宋体" w:hAnsi="宋体" w:cs="宋体"/>
                <w:szCs w:val="21"/>
              </w:rPr>
            </w:pPr>
            <w:r>
              <w:rPr>
                <w:rFonts w:hint="eastAsia" w:ascii="宋体" w:hAnsi="宋体" w:cs="宋体"/>
                <w:szCs w:val="21"/>
              </w:rPr>
              <w:t>83</w:t>
            </w:r>
          </w:p>
        </w:tc>
        <w:tc>
          <w:tcPr>
            <w:tcW w:w="2635" w:type="dxa"/>
            <w:vAlign w:val="center"/>
          </w:tcPr>
          <w:p w14:paraId="091C6819">
            <w:pPr>
              <w:jc w:val="center"/>
              <w:rPr>
                <w:rFonts w:ascii="宋体" w:hAnsi="宋体" w:cs="宋体"/>
                <w:szCs w:val="21"/>
              </w:rPr>
            </w:pPr>
            <w:r>
              <w:rPr>
                <w:rFonts w:hint="eastAsia" w:ascii="宋体" w:hAnsi="宋体" w:cs="宋体"/>
                <w:szCs w:val="21"/>
              </w:rPr>
              <w:t>机场高速公路（T1）K15+908通道</w:t>
            </w:r>
          </w:p>
        </w:tc>
        <w:tc>
          <w:tcPr>
            <w:tcW w:w="1775" w:type="dxa"/>
            <w:vMerge w:val="continue"/>
            <w:vAlign w:val="center"/>
          </w:tcPr>
          <w:p w14:paraId="0EE8B90B">
            <w:pPr>
              <w:jc w:val="center"/>
              <w:rPr>
                <w:rFonts w:ascii="宋体" w:hAnsi="宋体" w:cs="宋体"/>
                <w:szCs w:val="21"/>
              </w:rPr>
            </w:pPr>
          </w:p>
        </w:tc>
        <w:tc>
          <w:tcPr>
            <w:tcW w:w="1335" w:type="dxa"/>
            <w:vAlign w:val="center"/>
          </w:tcPr>
          <w:p w14:paraId="3BACBB46">
            <w:pPr>
              <w:jc w:val="center"/>
              <w:rPr>
                <w:rFonts w:ascii="宋体" w:hAnsi="宋体" w:cs="宋体"/>
                <w:szCs w:val="21"/>
              </w:rPr>
            </w:pPr>
            <w:r>
              <w:rPr>
                <w:rFonts w:hint="eastAsia" w:ascii="宋体" w:hAnsi="宋体" w:cs="宋体"/>
                <w:szCs w:val="21"/>
              </w:rPr>
              <w:t>60</w:t>
            </w:r>
          </w:p>
        </w:tc>
        <w:tc>
          <w:tcPr>
            <w:tcW w:w="1230" w:type="dxa"/>
            <w:vAlign w:val="center"/>
          </w:tcPr>
          <w:p w14:paraId="035E6F22">
            <w:pPr>
              <w:jc w:val="center"/>
              <w:rPr>
                <w:rFonts w:ascii="宋体" w:hAnsi="宋体" w:cs="宋体"/>
                <w:szCs w:val="21"/>
              </w:rPr>
            </w:pPr>
            <w:r>
              <w:rPr>
                <w:rFonts w:hint="eastAsia" w:ascii="宋体" w:hAnsi="宋体" w:cs="宋体"/>
                <w:szCs w:val="21"/>
              </w:rPr>
              <w:t>4.0</w:t>
            </w:r>
          </w:p>
        </w:tc>
        <w:tc>
          <w:tcPr>
            <w:tcW w:w="1260" w:type="dxa"/>
            <w:vAlign w:val="center"/>
          </w:tcPr>
          <w:p w14:paraId="6485456B">
            <w:pPr>
              <w:jc w:val="center"/>
              <w:rPr>
                <w:rFonts w:ascii="宋体" w:hAnsi="宋体" w:cs="宋体"/>
                <w:szCs w:val="21"/>
              </w:rPr>
            </w:pPr>
            <w:r>
              <w:rPr>
                <w:rFonts w:hint="eastAsia" w:ascii="宋体" w:hAnsi="宋体" w:cs="宋体"/>
                <w:szCs w:val="21"/>
              </w:rPr>
              <w:t>4.0</w:t>
            </w:r>
          </w:p>
        </w:tc>
      </w:tr>
      <w:tr w14:paraId="39CC13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D266BEE">
            <w:pPr>
              <w:jc w:val="center"/>
              <w:rPr>
                <w:rFonts w:ascii="宋体" w:hAnsi="宋体" w:cs="宋体"/>
                <w:szCs w:val="21"/>
              </w:rPr>
            </w:pPr>
            <w:r>
              <w:rPr>
                <w:rFonts w:hint="eastAsia" w:ascii="宋体" w:hAnsi="宋体" w:cs="宋体"/>
                <w:szCs w:val="21"/>
              </w:rPr>
              <w:t>84</w:t>
            </w:r>
          </w:p>
        </w:tc>
        <w:tc>
          <w:tcPr>
            <w:tcW w:w="2635" w:type="dxa"/>
            <w:vAlign w:val="center"/>
          </w:tcPr>
          <w:p w14:paraId="4C5AB716">
            <w:pPr>
              <w:jc w:val="center"/>
              <w:rPr>
                <w:rFonts w:ascii="宋体" w:hAnsi="宋体" w:cs="宋体"/>
                <w:szCs w:val="21"/>
              </w:rPr>
            </w:pPr>
            <w:r>
              <w:rPr>
                <w:rFonts w:hint="eastAsia" w:ascii="宋体" w:hAnsi="宋体" w:cs="宋体"/>
                <w:szCs w:val="21"/>
              </w:rPr>
              <w:t>机场高速公路（T1）K16+347通道</w:t>
            </w:r>
          </w:p>
        </w:tc>
        <w:tc>
          <w:tcPr>
            <w:tcW w:w="1775" w:type="dxa"/>
            <w:vMerge w:val="continue"/>
            <w:vAlign w:val="center"/>
          </w:tcPr>
          <w:p w14:paraId="03DCF3DC">
            <w:pPr>
              <w:jc w:val="center"/>
              <w:rPr>
                <w:rFonts w:ascii="宋体" w:hAnsi="宋体" w:cs="宋体"/>
                <w:szCs w:val="21"/>
              </w:rPr>
            </w:pPr>
          </w:p>
        </w:tc>
        <w:tc>
          <w:tcPr>
            <w:tcW w:w="1335" w:type="dxa"/>
            <w:vAlign w:val="center"/>
          </w:tcPr>
          <w:p w14:paraId="653DF412">
            <w:pPr>
              <w:jc w:val="center"/>
              <w:rPr>
                <w:rFonts w:ascii="宋体" w:hAnsi="宋体" w:cs="宋体"/>
                <w:szCs w:val="21"/>
              </w:rPr>
            </w:pPr>
            <w:r>
              <w:rPr>
                <w:rFonts w:hint="eastAsia" w:ascii="宋体" w:hAnsi="宋体" w:cs="宋体"/>
                <w:szCs w:val="21"/>
              </w:rPr>
              <w:t>60</w:t>
            </w:r>
          </w:p>
        </w:tc>
        <w:tc>
          <w:tcPr>
            <w:tcW w:w="1230" w:type="dxa"/>
            <w:vAlign w:val="center"/>
          </w:tcPr>
          <w:p w14:paraId="74886EC9">
            <w:pPr>
              <w:jc w:val="center"/>
              <w:rPr>
                <w:rFonts w:ascii="宋体" w:hAnsi="宋体" w:cs="宋体"/>
                <w:szCs w:val="21"/>
              </w:rPr>
            </w:pPr>
            <w:r>
              <w:rPr>
                <w:rFonts w:hint="eastAsia" w:ascii="宋体" w:hAnsi="宋体" w:cs="宋体"/>
                <w:szCs w:val="21"/>
              </w:rPr>
              <w:t>3.8</w:t>
            </w:r>
          </w:p>
        </w:tc>
        <w:tc>
          <w:tcPr>
            <w:tcW w:w="1260" w:type="dxa"/>
            <w:vAlign w:val="center"/>
          </w:tcPr>
          <w:p w14:paraId="4D9AF50F">
            <w:pPr>
              <w:jc w:val="center"/>
              <w:rPr>
                <w:rFonts w:ascii="宋体" w:hAnsi="宋体" w:cs="宋体"/>
                <w:szCs w:val="21"/>
              </w:rPr>
            </w:pPr>
            <w:r>
              <w:rPr>
                <w:rFonts w:hint="eastAsia" w:ascii="宋体" w:hAnsi="宋体" w:cs="宋体"/>
                <w:szCs w:val="21"/>
              </w:rPr>
              <w:t>2.8</w:t>
            </w:r>
          </w:p>
        </w:tc>
      </w:tr>
      <w:tr w14:paraId="17183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306E829">
            <w:pPr>
              <w:jc w:val="center"/>
              <w:rPr>
                <w:rFonts w:ascii="宋体" w:hAnsi="宋体" w:cs="宋体"/>
                <w:szCs w:val="21"/>
              </w:rPr>
            </w:pPr>
            <w:r>
              <w:rPr>
                <w:rFonts w:hint="eastAsia" w:ascii="宋体" w:hAnsi="宋体" w:cs="宋体"/>
                <w:szCs w:val="21"/>
              </w:rPr>
              <w:t>85</w:t>
            </w:r>
          </w:p>
        </w:tc>
        <w:tc>
          <w:tcPr>
            <w:tcW w:w="2635" w:type="dxa"/>
            <w:vAlign w:val="center"/>
          </w:tcPr>
          <w:p w14:paraId="4C80190E">
            <w:pPr>
              <w:jc w:val="center"/>
              <w:rPr>
                <w:rFonts w:ascii="宋体" w:hAnsi="宋体" w:cs="宋体"/>
                <w:szCs w:val="21"/>
              </w:rPr>
            </w:pPr>
            <w:r>
              <w:rPr>
                <w:rFonts w:hint="eastAsia" w:ascii="宋体" w:hAnsi="宋体" w:cs="宋体"/>
                <w:szCs w:val="21"/>
              </w:rPr>
              <w:t>机场高速公路（T1）K16+817通道</w:t>
            </w:r>
          </w:p>
        </w:tc>
        <w:tc>
          <w:tcPr>
            <w:tcW w:w="1775" w:type="dxa"/>
            <w:vMerge w:val="continue"/>
            <w:vAlign w:val="center"/>
          </w:tcPr>
          <w:p w14:paraId="593E96A5">
            <w:pPr>
              <w:jc w:val="center"/>
              <w:rPr>
                <w:rFonts w:ascii="宋体" w:hAnsi="宋体" w:cs="宋体"/>
                <w:szCs w:val="21"/>
              </w:rPr>
            </w:pPr>
          </w:p>
        </w:tc>
        <w:tc>
          <w:tcPr>
            <w:tcW w:w="1335" w:type="dxa"/>
            <w:vAlign w:val="center"/>
          </w:tcPr>
          <w:p w14:paraId="6CBDA732">
            <w:pPr>
              <w:jc w:val="center"/>
              <w:rPr>
                <w:rFonts w:ascii="宋体" w:hAnsi="宋体" w:cs="宋体"/>
                <w:szCs w:val="21"/>
              </w:rPr>
            </w:pPr>
            <w:r>
              <w:rPr>
                <w:rFonts w:hint="eastAsia" w:ascii="宋体" w:hAnsi="宋体" w:cs="宋体"/>
                <w:szCs w:val="21"/>
              </w:rPr>
              <w:t>68</w:t>
            </w:r>
          </w:p>
        </w:tc>
        <w:tc>
          <w:tcPr>
            <w:tcW w:w="1230" w:type="dxa"/>
            <w:vAlign w:val="center"/>
          </w:tcPr>
          <w:p w14:paraId="3A83FEBE">
            <w:pPr>
              <w:jc w:val="center"/>
              <w:rPr>
                <w:rFonts w:ascii="宋体" w:hAnsi="宋体" w:cs="宋体"/>
                <w:szCs w:val="21"/>
              </w:rPr>
            </w:pPr>
            <w:r>
              <w:rPr>
                <w:rFonts w:hint="eastAsia" w:ascii="宋体" w:hAnsi="宋体" w:cs="宋体"/>
                <w:szCs w:val="21"/>
              </w:rPr>
              <w:t>6.4</w:t>
            </w:r>
          </w:p>
        </w:tc>
        <w:tc>
          <w:tcPr>
            <w:tcW w:w="1260" w:type="dxa"/>
            <w:vAlign w:val="center"/>
          </w:tcPr>
          <w:p w14:paraId="1ADDD9F6">
            <w:pPr>
              <w:jc w:val="center"/>
              <w:rPr>
                <w:rFonts w:ascii="宋体" w:hAnsi="宋体" w:cs="宋体"/>
                <w:szCs w:val="21"/>
              </w:rPr>
            </w:pPr>
            <w:r>
              <w:rPr>
                <w:rFonts w:hint="eastAsia" w:ascii="宋体" w:hAnsi="宋体" w:cs="宋体"/>
                <w:szCs w:val="21"/>
              </w:rPr>
              <w:t>4.3</w:t>
            </w:r>
          </w:p>
        </w:tc>
      </w:tr>
      <w:tr w14:paraId="204EE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0D5D941">
            <w:pPr>
              <w:jc w:val="center"/>
              <w:rPr>
                <w:rFonts w:ascii="宋体" w:hAnsi="宋体" w:cs="宋体"/>
                <w:szCs w:val="21"/>
              </w:rPr>
            </w:pPr>
            <w:r>
              <w:rPr>
                <w:rFonts w:hint="eastAsia" w:ascii="宋体" w:hAnsi="宋体" w:cs="宋体"/>
                <w:szCs w:val="21"/>
              </w:rPr>
              <w:t>86</w:t>
            </w:r>
          </w:p>
        </w:tc>
        <w:tc>
          <w:tcPr>
            <w:tcW w:w="2635" w:type="dxa"/>
            <w:vAlign w:val="center"/>
          </w:tcPr>
          <w:p w14:paraId="2D075139">
            <w:pPr>
              <w:jc w:val="center"/>
              <w:rPr>
                <w:rFonts w:ascii="宋体" w:hAnsi="宋体" w:cs="宋体"/>
                <w:szCs w:val="21"/>
              </w:rPr>
            </w:pPr>
            <w:r>
              <w:rPr>
                <w:rFonts w:hint="eastAsia" w:ascii="宋体" w:hAnsi="宋体" w:cs="宋体"/>
                <w:szCs w:val="21"/>
              </w:rPr>
              <w:t>绕城高速公路</w:t>
            </w:r>
          </w:p>
          <w:p w14:paraId="71259D61">
            <w:pPr>
              <w:jc w:val="center"/>
              <w:rPr>
                <w:rFonts w:ascii="宋体" w:hAnsi="宋体" w:cs="宋体"/>
                <w:szCs w:val="21"/>
              </w:rPr>
            </w:pPr>
            <w:r>
              <w:rPr>
                <w:rFonts w:hint="eastAsia" w:ascii="宋体" w:hAnsi="宋体" w:cs="宋体"/>
                <w:szCs w:val="21"/>
              </w:rPr>
              <w:t>K12+295通道</w:t>
            </w:r>
          </w:p>
        </w:tc>
        <w:tc>
          <w:tcPr>
            <w:tcW w:w="1775" w:type="dxa"/>
            <w:vMerge w:val="restart"/>
            <w:vAlign w:val="center"/>
          </w:tcPr>
          <w:p w14:paraId="687D68F5">
            <w:pPr>
              <w:jc w:val="center"/>
              <w:rPr>
                <w:rFonts w:ascii="宋体" w:hAnsi="宋体" w:cs="宋体"/>
                <w:szCs w:val="21"/>
              </w:rPr>
            </w:pPr>
            <w:r>
              <w:rPr>
                <w:rFonts w:hint="eastAsia" w:ascii="宋体" w:hAnsi="宋体" w:cs="宋体"/>
                <w:szCs w:val="21"/>
              </w:rPr>
              <w:t>绕城高速公路</w:t>
            </w:r>
          </w:p>
        </w:tc>
        <w:tc>
          <w:tcPr>
            <w:tcW w:w="1335" w:type="dxa"/>
            <w:vAlign w:val="center"/>
          </w:tcPr>
          <w:p w14:paraId="6BCFC1FA">
            <w:pPr>
              <w:jc w:val="center"/>
              <w:rPr>
                <w:rFonts w:ascii="宋体" w:hAnsi="宋体" w:cs="宋体"/>
                <w:szCs w:val="21"/>
              </w:rPr>
            </w:pPr>
            <w:r>
              <w:rPr>
                <w:rFonts w:hint="eastAsia" w:ascii="宋体" w:hAnsi="宋体" w:cs="宋体"/>
                <w:szCs w:val="21"/>
              </w:rPr>
              <w:t>34</w:t>
            </w:r>
          </w:p>
        </w:tc>
        <w:tc>
          <w:tcPr>
            <w:tcW w:w="1230" w:type="dxa"/>
            <w:vAlign w:val="center"/>
          </w:tcPr>
          <w:p w14:paraId="02DEC720">
            <w:pPr>
              <w:jc w:val="center"/>
              <w:rPr>
                <w:rFonts w:ascii="宋体" w:hAnsi="宋体" w:cs="宋体"/>
                <w:szCs w:val="21"/>
              </w:rPr>
            </w:pPr>
            <w:r>
              <w:rPr>
                <w:rFonts w:hint="eastAsia" w:ascii="宋体" w:hAnsi="宋体" w:cs="宋体"/>
                <w:szCs w:val="21"/>
              </w:rPr>
              <w:t>4.0</w:t>
            </w:r>
          </w:p>
        </w:tc>
        <w:tc>
          <w:tcPr>
            <w:tcW w:w="1260" w:type="dxa"/>
            <w:vAlign w:val="center"/>
          </w:tcPr>
          <w:p w14:paraId="18372C01">
            <w:pPr>
              <w:jc w:val="center"/>
              <w:rPr>
                <w:rFonts w:ascii="宋体" w:hAnsi="宋体" w:cs="宋体"/>
                <w:szCs w:val="21"/>
              </w:rPr>
            </w:pPr>
            <w:r>
              <w:rPr>
                <w:rFonts w:hint="eastAsia" w:ascii="宋体" w:hAnsi="宋体" w:cs="宋体"/>
                <w:szCs w:val="21"/>
              </w:rPr>
              <w:t>2.7</w:t>
            </w:r>
          </w:p>
        </w:tc>
      </w:tr>
      <w:tr w14:paraId="4A127A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1F2233C">
            <w:pPr>
              <w:jc w:val="center"/>
              <w:rPr>
                <w:rFonts w:ascii="宋体" w:hAnsi="宋体" w:cs="宋体"/>
                <w:szCs w:val="21"/>
              </w:rPr>
            </w:pPr>
            <w:r>
              <w:rPr>
                <w:rFonts w:hint="eastAsia" w:ascii="宋体" w:hAnsi="宋体" w:cs="宋体"/>
                <w:szCs w:val="21"/>
              </w:rPr>
              <w:t>87</w:t>
            </w:r>
          </w:p>
        </w:tc>
        <w:tc>
          <w:tcPr>
            <w:tcW w:w="2635" w:type="dxa"/>
            <w:vAlign w:val="center"/>
          </w:tcPr>
          <w:p w14:paraId="5D68C4A2">
            <w:pPr>
              <w:jc w:val="center"/>
              <w:rPr>
                <w:rFonts w:ascii="宋体" w:hAnsi="宋体" w:cs="宋体"/>
                <w:szCs w:val="21"/>
              </w:rPr>
            </w:pPr>
            <w:r>
              <w:rPr>
                <w:rFonts w:hint="eastAsia" w:ascii="宋体" w:hAnsi="宋体" w:cs="宋体"/>
                <w:szCs w:val="21"/>
              </w:rPr>
              <w:t>绕城高速公路</w:t>
            </w:r>
          </w:p>
          <w:p w14:paraId="73785BF9">
            <w:pPr>
              <w:jc w:val="center"/>
              <w:rPr>
                <w:rFonts w:ascii="宋体" w:hAnsi="宋体" w:cs="宋体"/>
                <w:szCs w:val="21"/>
              </w:rPr>
            </w:pPr>
            <w:r>
              <w:rPr>
                <w:rFonts w:hint="eastAsia" w:ascii="宋体" w:hAnsi="宋体" w:cs="宋体"/>
                <w:szCs w:val="21"/>
              </w:rPr>
              <w:t>K12+800通道</w:t>
            </w:r>
          </w:p>
        </w:tc>
        <w:tc>
          <w:tcPr>
            <w:tcW w:w="1775" w:type="dxa"/>
            <w:vMerge w:val="continue"/>
            <w:vAlign w:val="center"/>
          </w:tcPr>
          <w:p w14:paraId="1255F694">
            <w:pPr>
              <w:jc w:val="center"/>
              <w:rPr>
                <w:rFonts w:ascii="宋体" w:hAnsi="宋体" w:cs="宋体"/>
                <w:szCs w:val="21"/>
              </w:rPr>
            </w:pPr>
          </w:p>
        </w:tc>
        <w:tc>
          <w:tcPr>
            <w:tcW w:w="1335" w:type="dxa"/>
            <w:vAlign w:val="center"/>
          </w:tcPr>
          <w:p w14:paraId="73319EAF">
            <w:pPr>
              <w:jc w:val="center"/>
              <w:rPr>
                <w:rFonts w:ascii="宋体" w:hAnsi="宋体" w:cs="宋体"/>
                <w:szCs w:val="21"/>
              </w:rPr>
            </w:pPr>
            <w:r>
              <w:rPr>
                <w:rFonts w:hint="eastAsia" w:ascii="宋体" w:hAnsi="宋体" w:cs="宋体"/>
                <w:szCs w:val="21"/>
              </w:rPr>
              <w:t>36</w:t>
            </w:r>
          </w:p>
        </w:tc>
        <w:tc>
          <w:tcPr>
            <w:tcW w:w="1230" w:type="dxa"/>
            <w:vAlign w:val="center"/>
          </w:tcPr>
          <w:p w14:paraId="40A29AA1">
            <w:pPr>
              <w:jc w:val="center"/>
              <w:rPr>
                <w:rFonts w:ascii="宋体" w:hAnsi="宋体" w:cs="宋体"/>
                <w:szCs w:val="21"/>
              </w:rPr>
            </w:pPr>
            <w:r>
              <w:rPr>
                <w:rFonts w:hint="eastAsia" w:ascii="宋体" w:hAnsi="宋体" w:cs="宋体"/>
                <w:szCs w:val="21"/>
              </w:rPr>
              <w:t>4.0</w:t>
            </w:r>
          </w:p>
        </w:tc>
        <w:tc>
          <w:tcPr>
            <w:tcW w:w="1260" w:type="dxa"/>
            <w:vAlign w:val="center"/>
          </w:tcPr>
          <w:p w14:paraId="248BD372">
            <w:pPr>
              <w:jc w:val="center"/>
              <w:rPr>
                <w:rFonts w:ascii="宋体" w:hAnsi="宋体" w:cs="宋体"/>
                <w:szCs w:val="21"/>
              </w:rPr>
            </w:pPr>
            <w:r>
              <w:rPr>
                <w:rFonts w:hint="eastAsia" w:ascii="宋体" w:hAnsi="宋体" w:cs="宋体"/>
                <w:szCs w:val="21"/>
              </w:rPr>
              <w:t>2.7</w:t>
            </w:r>
          </w:p>
        </w:tc>
      </w:tr>
      <w:tr w14:paraId="6346B0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FAAB8C1">
            <w:pPr>
              <w:jc w:val="center"/>
              <w:rPr>
                <w:rFonts w:ascii="宋体" w:hAnsi="宋体" w:cs="宋体"/>
                <w:szCs w:val="21"/>
              </w:rPr>
            </w:pPr>
            <w:r>
              <w:rPr>
                <w:rFonts w:hint="eastAsia" w:ascii="宋体" w:hAnsi="宋体" w:cs="宋体"/>
                <w:szCs w:val="21"/>
              </w:rPr>
              <w:t>88</w:t>
            </w:r>
          </w:p>
        </w:tc>
        <w:tc>
          <w:tcPr>
            <w:tcW w:w="2635" w:type="dxa"/>
            <w:vAlign w:val="center"/>
          </w:tcPr>
          <w:p w14:paraId="257C781F">
            <w:pPr>
              <w:jc w:val="center"/>
              <w:rPr>
                <w:rFonts w:ascii="宋体" w:hAnsi="宋体" w:cs="宋体"/>
                <w:szCs w:val="21"/>
              </w:rPr>
            </w:pPr>
            <w:r>
              <w:rPr>
                <w:rFonts w:hint="eastAsia" w:ascii="宋体" w:hAnsi="宋体" w:cs="宋体"/>
                <w:szCs w:val="21"/>
              </w:rPr>
              <w:t>绕城高速公路</w:t>
            </w:r>
          </w:p>
          <w:p w14:paraId="0A4C7AEB">
            <w:pPr>
              <w:jc w:val="center"/>
              <w:rPr>
                <w:rFonts w:ascii="宋体" w:hAnsi="宋体" w:cs="宋体"/>
                <w:szCs w:val="21"/>
              </w:rPr>
            </w:pPr>
            <w:r>
              <w:rPr>
                <w:rFonts w:hint="eastAsia" w:ascii="宋体" w:hAnsi="宋体" w:cs="宋体"/>
                <w:szCs w:val="21"/>
              </w:rPr>
              <w:t>K13+010通道</w:t>
            </w:r>
          </w:p>
        </w:tc>
        <w:tc>
          <w:tcPr>
            <w:tcW w:w="1775" w:type="dxa"/>
            <w:vMerge w:val="continue"/>
            <w:vAlign w:val="center"/>
          </w:tcPr>
          <w:p w14:paraId="28F78A13">
            <w:pPr>
              <w:jc w:val="center"/>
              <w:rPr>
                <w:rFonts w:ascii="宋体" w:hAnsi="宋体" w:cs="宋体"/>
                <w:szCs w:val="21"/>
              </w:rPr>
            </w:pPr>
          </w:p>
        </w:tc>
        <w:tc>
          <w:tcPr>
            <w:tcW w:w="1335" w:type="dxa"/>
            <w:vAlign w:val="center"/>
          </w:tcPr>
          <w:p w14:paraId="3BB2D378">
            <w:pPr>
              <w:jc w:val="center"/>
              <w:rPr>
                <w:rFonts w:ascii="宋体" w:hAnsi="宋体" w:cs="宋体"/>
                <w:szCs w:val="21"/>
              </w:rPr>
            </w:pPr>
            <w:r>
              <w:rPr>
                <w:rFonts w:hint="eastAsia" w:ascii="宋体" w:hAnsi="宋体" w:cs="宋体"/>
                <w:szCs w:val="21"/>
              </w:rPr>
              <w:t>33</w:t>
            </w:r>
          </w:p>
        </w:tc>
        <w:tc>
          <w:tcPr>
            <w:tcW w:w="1230" w:type="dxa"/>
            <w:vAlign w:val="center"/>
          </w:tcPr>
          <w:p w14:paraId="705DC766">
            <w:pPr>
              <w:jc w:val="center"/>
              <w:rPr>
                <w:rFonts w:ascii="宋体" w:hAnsi="宋体" w:cs="宋体"/>
                <w:szCs w:val="21"/>
              </w:rPr>
            </w:pPr>
            <w:r>
              <w:rPr>
                <w:rFonts w:hint="eastAsia" w:ascii="宋体" w:hAnsi="宋体" w:cs="宋体"/>
                <w:szCs w:val="21"/>
              </w:rPr>
              <w:t>4.0</w:t>
            </w:r>
          </w:p>
        </w:tc>
        <w:tc>
          <w:tcPr>
            <w:tcW w:w="1260" w:type="dxa"/>
            <w:vAlign w:val="center"/>
          </w:tcPr>
          <w:p w14:paraId="2124B3AF">
            <w:pPr>
              <w:jc w:val="center"/>
              <w:rPr>
                <w:rFonts w:ascii="宋体" w:hAnsi="宋体" w:cs="宋体"/>
                <w:szCs w:val="21"/>
              </w:rPr>
            </w:pPr>
            <w:r>
              <w:rPr>
                <w:rFonts w:hint="eastAsia" w:ascii="宋体" w:hAnsi="宋体" w:cs="宋体"/>
                <w:szCs w:val="21"/>
              </w:rPr>
              <w:t>2.7</w:t>
            </w:r>
          </w:p>
        </w:tc>
      </w:tr>
      <w:tr w14:paraId="74ABE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4E47D87">
            <w:pPr>
              <w:jc w:val="center"/>
              <w:rPr>
                <w:rFonts w:ascii="宋体" w:hAnsi="宋体" w:cs="宋体"/>
                <w:szCs w:val="21"/>
              </w:rPr>
            </w:pPr>
            <w:r>
              <w:rPr>
                <w:rFonts w:hint="eastAsia" w:ascii="宋体" w:hAnsi="宋体" w:cs="宋体"/>
                <w:szCs w:val="21"/>
              </w:rPr>
              <w:t>89</w:t>
            </w:r>
          </w:p>
        </w:tc>
        <w:tc>
          <w:tcPr>
            <w:tcW w:w="2635" w:type="dxa"/>
            <w:vAlign w:val="center"/>
          </w:tcPr>
          <w:p w14:paraId="644E5611">
            <w:pPr>
              <w:jc w:val="center"/>
              <w:rPr>
                <w:rFonts w:ascii="宋体" w:hAnsi="宋体" w:cs="宋体"/>
                <w:szCs w:val="21"/>
              </w:rPr>
            </w:pPr>
            <w:r>
              <w:rPr>
                <w:rFonts w:hint="eastAsia" w:ascii="宋体" w:hAnsi="宋体" w:cs="宋体"/>
                <w:szCs w:val="21"/>
              </w:rPr>
              <w:t>绕城高速公路</w:t>
            </w:r>
          </w:p>
          <w:p w14:paraId="2E283696">
            <w:pPr>
              <w:jc w:val="center"/>
              <w:rPr>
                <w:rFonts w:ascii="宋体" w:hAnsi="宋体" w:cs="宋体"/>
                <w:szCs w:val="21"/>
              </w:rPr>
            </w:pPr>
            <w:r>
              <w:rPr>
                <w:rFonts w:hint="eastAsia" w:ascii="宋体" w:hAnsi="宋体" w:cs="宋体"/>
                <w:szCs w:val="21"/>
              </w:rPr>
              <w:t>K13+221通道</w:t>
            </w:r>
          </w:p>
        </w:tc>
        <w:tc>
          <w:tcPr>
            <w:tcW w:w="1775" w:type="dxa"/>
            <w:vMerge w:val="continue"/>
            <w:vAlign w:val="center"/>
          </w:tcPr>
          <w:p w14:paraId="24E54658">
            <w:pPr>
              <w:jc w:val="center"/>
              <w:rPr>
                <w:rFonts w:ascii="宋体" w:hAnsi="宋体" w:cs="宋体"/>
                <w:szCs w:val="21"/>
              </w:rPr>
            </w:pPr>
          </w:p>
        </w:tc>
        <w:tc>
          <w:tcPr>
            <w:tcW w:w="1335" w:type="dxa"/>
            <w:vAlign w:val="center"/>
          </w:tcPr>
          <w:p w14:paraId="5680E0EF">
            <w:pPr>
              <w:jc w:val="center"/>
              <w:rPr>
                <w:rFonts w:ascii="宋体" w:hAnsi="宋体" w:cs="宋体"/>
                <w:szCs w:val="21"/>
              </w:rPr>
            </w:pPr>
            <w:r>
              <w:rPr>
                <w:rFonts w:hint="eastAsia" w:ascii="宋体" w:hAnsi="宋体" w:cs="宋体"/>
                <w:szCs w:val="21"/>
              </w:rPr>
              <w:t>32.54</w:t>
            </w:r>
          </w:p>
        </w:tc>
        <w:tc>
          <w:tcPr>
            <w:tcW w:w="1230" w:type="dxa"/>
            <w:vAlign w:val="center"/>
          </w:tcPr>
          <w:p w14:paraId="6DE89689">
            <w:pPr>
              <w:jc w:val="center"/>
              <w:rPr>
                <w:rFonts w:ascii="宋体" w:hAnsi="宋体" w:cs="宋体"/>
                <w:szCs w:val="21"/>
              </w:rPr>
            </w:pPr>
            <w:r>
              <w:rPr>
                <w:rFonts w:hint="eastAsia" w:ascii="宋体" w:hAnsi="宋体" w:cs="宋体"/>
                <w:szCs w:val="21"/>
              </w:rPr>
              <w:t>4.0</w:t>
            </w:r>
          </w:p>
        </w:tc>
        <w:tc>
          <w:tcPr>
            <w:tcW w:w="1260" w:type="dxa"/>
            <w:vAlign w:val="center"/>
          </w:tcPr>
          <w:p w14:paraId="065634C0">
            <w:pPr>
              <w:jc w:val="center"/>
              <w:rPr>
                <w:rFonts w:ascii="宋体" w:hAnsi="宋体" w:cs="宋体"/>
                <w:szCs w:val="21"/>
              </w:rPr>
            </w:pPr>
            <w:r>
              <w:rPr>
                <w:rFonts w:hint="eastAsia" w:ascii="宋体" w:hAnsi="宋体" w:cs="宋体"/>
                <w:szCs w:val="21"/>
              </w:rPr>
              <w:t>2.7</w:t>
            </w:r>
          </w:p>
        </w:tc>
      </w:tr>
      <w:tr w14:paraId="4C1F0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700F236">
            <w:pPr>
              <w:jc w:val="center"/>
              <w:rPr>
                <w:rFonts w:ascii="宋体" w:hAnsi="宋体" w:cs="宋体"/>
                <w:szCs w:val="21"/>
              </w:rPr>
            </w:pPr>
            <w:r>
              <w:rPr>
                <w:rFonts w:hint="eastAsia" w:ascii="宋体" w:hAnsi="宋体" w:cs="宋体"/>
                <w:szCs w:val="21"/>
              </w:rPr>
              <w:t>90</w:t>
            </w:r>
          </w:p>
        </w:tc>
        <w:tc>
          <w:tcPr>
            <w:tcW w:w="2635" w:type="dxa"/>
            <w:vAlign w:val="center"/>
          </w:tcPr>
          <w:p w14:paraId="34A908D3">
            <w:pPr>
              <w:jc w:val="center"/>
              <w:rPr>
                <w:rFonts w:ascii="宋体" w:hAnsi="宋体" w:cs="宋体"/>
                <w:szCs w:val="21"/>
              </w:rPr>
            </w:pPr>
            <w:r>
              <w:rPr>
                <w:rFonts w:hint="eastAsia" w:ascii="宋体" w:hAnsi="宋体" w:cs="宋体"/>
                <w:szCs w:val="21"/>
              </w:rPr>
              <w:t>绕城高速公路</w:t>
            </w:r>
          </w:p>
          <w:p w14:paraId="0D1B0FD3">
            <w:pPr>
              <w:jc w:val="center"/>
              <w:rPr>
                <w:rFonts w:ascii="宋体" w:hAnsi="宋体" w:cs="宋体"/>
                <w:szCs w:val="21"/>
              </w:rPr>
            </w:pPr>
            <w:r>
              <w:rPr>
                <w:rFonts w:hint="eastAsia" w:ascii="宋体" w:hAnsi="宋体" w:cs="宋体"/>
                <w:szCs w:val="21"/>
              </w:rPr>
              <w:t>K13+828通道</w:t>
            </w:r>
          </w:p>
        </w:tc>
        <w:tc>
          <w:tcPr>
            <w:tcW w:w="1775" w:type="dxa"/>
            <w:vMerge w:val="continue"/>
            <w:vAlign w:val="center"/>
          </w:tcPr>
          <w:p w14:paraId="3429BF6A">
            <w:pPr>
              <w:jc w:val="center"/>
              <w:rPr>
                <w:rFonts w:ascii="宋体" w:hAnsi="宋体" w:cs="宋体"/>
                <w:szCs w:val="21"/>
              </w:rPr>
            </w:pPr>
          </w:p>
        </w:tc>
        <w:tc>
          <w:tcPr>
            <w:tcW w:w="1335" w:type="dxa"/>
            <w:vAlign w:val="center"/>
          </w:tcPr>
          <w:p w14:paraId="14DB7C97">
            <w:pPr>
              <w:jc w:val="center"/>
              <w:rPr>
                <w:rFonts w:ascii="宋体" w:hAnsi="宋体" w:cs="宋体"/>
                <w:szCs w:val="21"/>
              </w:rPr>
            </w:pPr>
            <w:r>
              <w:rPr>
                <w:rFonts w:hint="eastAsia" w:ascii="宋体" w:hAnsi="宋体" w:cs="宋体"/>
                <w:szCs w:val="21"/>
              </w:rPr>
              <w:t>27.67</w:t>
            </w:r>
          </w:p>
        </w:tc>
        <w:tc>
          <w:tcPr>
            <w:tcW w:w="1230" w:type="dxa"/>
            <w:vAlign w:val="center"/>
          </w:tcPr>
          <w:p w14:paraId="629E193B">
            <w:pPr>
              <w:jc w:val="center"/>
              <w:rPr>
                <w:rFonts w:ascii="宋体" w:hAnsi="宋体" w:cs="宋体"/>
                <w:szCs w:val="21"/>
              </w:rPr>
            </w:pPr>
            <w:r>
              <w:rPr>
                <w:rFonts w:hint="eastAsia" w:ascii="宋体" w:hAnsi="宋体" w:cs="宋体"/>
                <w:szCs w:val="21"/>
              </w:rPr>
              <w:t>4.0</w:t>
            </w:r>
          </w:p>
        </w:tc>
        <w:tc>
          <w:tcPr>
            <w:tcW w:w="1260" w:type="dxa"/>
            <w:vAlign w:val="center"/>
          </w:tcPr>
          <w:p w14:paraId="4766A4A9">
            <w:pPr>
              <w:jc w:val="center"/>
              <w:rPr>
                <w:rFonts w:ascii="宋体" w:hAnsi="宋体" w:cs="宋体"/>
                <w:szCs w:val="21"/>
              </w:rPr>
            </w:pPr>
            <w:r>
              <w:rPr>
                <w:rFonts w:hint="eastAsia" w:ascii="宋体" w:hAnsi="宋体" w:cs="宋体"/>
                <w:szCs w:val="21"/>
              </w:rPr>
              <w:t>2.7</w:t>
            </w:r>
          </w:p>
        </w:tc>
      </w:tr>
      <w:tr w14:paraId="2DF9B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1AD61A3">
            <w:pPr>
              <w:jc w:val="center"/>
              <w:rPr>
                <w:rFonts w:ascii="宋体" w:hAnsi="宋体" w:cs="宋体"/>
                <w:szCs w:val="21"/>
              </w:rPr>
            </w:pPr>
            <w:r>
              <w:rPr>
                <w:rFonts w:hint="eastAsia" w:ascii="宋体" w:hAnsi="宋体" w:cs="宋体"/>
                <w:szCs w:val="21"/>
              </w:rPr>
              <w:t>91</w:t>
            </w:r>
          </w:p>
        </w:tc>
        <w:tc>
          <w:tcPr>
            <w:tcW w:w="2635" w:type="dxa"/>
            <w:vAlign w:val="center"/>
          </w:tcPr>
          <w:p w14:paraId="49535008">
            <w:pPr>
              <w:jc w:val="center"/>
              <w:rPr>
                <w:rFonts w:ascii="宋体" w:hAnsi="宋体" w:cs="宋体"/>
                <w:szCs w:val="21"/>
              </w:rPr>
            </w:pPr>
            <w:r>
              <w:rPr>
                <w:rFonts w:hint="eastAsia" w:ascii="宋体" w:hAnsi="宋体" w:cs="宋体"/>
                <w:szCs w:val="21"/>
              </w:rPr>
              <w:t>绕城高速公路</w:t>
            </w:r>
          </w:p>
          <w:p w14:paraId="3093989D">
            <w:pPr>
              <w:jc w:val="center"/>
              <w:rPr>
                <w:rFonts w:ascii="宋体" w:hAnsi="宋体" w:cs="宋体"/>
                <w:szCs w:val="21"/>
              </w:rPr>
            </w:pPr>
            <w:r>
              <w:rPr>
                <w:rFonts w:hint="eastAsia" w:ascii="宋体" w:hAnsi="宋体" w:cs="宋体"/>
                <w:szCs w:val="21"/>
              </w:rPr>
              <w:t>K14+080通道</w:t>
            </w:r>
          </w:p>
        </w:tc>
        <w:tc>
          <w:tcPr>
            <w:tcW w:w="1775" w:type="dxa"/>
            <w:vMerge w:val="continue"/>
            <w:vAlign w:val="center"/>
          </w:tcPr>
          <w:p w14:paraId="2B85B74E">
            <w:pPr>
              <w:jc w:val="center"/>
              <w:rPr>
                <w:rFonts w:ascii="宋体" w:hAnsi="宋体" w:cs="宋体"/>
                <w:szCs w:val="21"/>
              </w:rPr>
            </w:pPr>
          </w:p>
        </w:tc>
        <w:tc>
          <w:tcPr>
            <w:tcW w:w="1335" w:type="dxa"/>
            <w:vAlign w:val="center"/>
          </w:tcPr>
          <w:p w14:paraId="1F5BD073">
            <w:pPr>
              <w:jc w:val="center"/>
              <w:rPr>
                <w:rFonts w:ascii="宋体" w:hAnsi="宋体" w:cs="宋体"/>
                <w:szCs w:val="21"/>
              </w:rPr>
            </w:pPr>
            <w:r>
              <w:rPr>
                <w:rFonts w:hint="eastAsia" w:ascii="宋体" w:hAnsi="宋体" w:cs="宋体"/>
                <w:szCs w:val="21"/>
              </w:rPr>
              <w:t>31</w:t>
            </w:r>
          </w:p>
        </w:tc>
        <w:tc>
          <w:tcPr>
            <w:tcW w:w="1230" w:type="dxa"/>
            <w:vAlign w:val="center"/>
          </w:tcPr>
          <w:p w14:paraId="0F02F146">
            <w:pPr>
              <w:jc w:val="center"/>
              <w:rPr>
                <w:rFonts w:ascii="宋体" w:hAnsi="宋体" w:cs="宋体"/>
                <w:szCs w:val="21"/>
              </w:rPr>
            </w:pPr>
            <w:r>
              <w:rPr>
                <w:rFonts w:hint="eastAsia" w:ascii="宋体" w:hAnsi="宋体" w:cs="宋体"/>
                <w:szCs w:val="21"/>
              </w:rPr>
              <w:t>4.0</w:t>
            </w:r>
          </w:p>
        </w:tc>
        <w:tc>
          <w:tcPr>
            <w:tcW w:w="1260" w:type="dxa"/>
            <w:vAlign w:val="center"/>
          </w:tcPr>
          <w:p w14:paraId="03C0C643">
            <w:pPr>
              <w:jc w:val="center"/>
              <w:rPr>
                <w:rFonts w:ascii="宋体" w:hAnsi="宋体" w:cs="宋体"/>
                <w:szCs w:val="21"/>
              </w:rPr>
            </w:pPr>
            <w:r>
              <w:rPr>
                <w:rFonts w:hint="eastAsia" w:ascii="宋体" w:hAnsi="宋体" w:cs="宋体"/>
                <w:szCs w:val="21"/>
              </w:rPr>
              <w:t>2.7</w:t>
            </w:r>
          </w:p>
        </w:tc>
      </w:tr>
      <w:tr w14:paraId="07405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14F105B">
            <w:pPr>
              <w:jc w:val="center"/>
              <w:rPr>
                <w:rFonts w:ascii="宋体" w:hAnsi="宋体" w:cs="宋体"/>
                <w:szCs w:val="21"/>
              </w:rPr>
            </w:pPr>
            <w:r>
              <w:rPr>
                <w:rFonts w:hint="eastAsia" w:ascii="宋体" w:hAnsi="宋体" w:cs="宋体"/>
                <w:szCs w:val="21"/>
              </w:rPr>
              <w:t>92</w:t>
            </w:r>
          </w:p>
        </w:tc>
        <w:tc>
          <w:tcPr>
            <w:tcW w:w="2635" w:type="dxa"/>
            <w:vAlign w:val="center"/>
          </w:tcPr>
          <w:p w14:paraId="0D106AFF">
            <w:pPr>
              <w:jc w:val="center"/>
              <w:rPr>
                <w:rFonts w:ascii="宋体" w:hAnsi="宋体" w:cs="宋体"/>
                <w:szCs w:val="21"/>
              </w:rPr>
            </w:pPr>
            <w:r>
              <w:rPr>
                <w:rFonts w:hint="eastAsia" w:ascii="宋体" w:hAnsi="宋体" w:cs="宋体"/>
                <w:szCs w:val="21"/>
              </w:rPr>
              <w:t>柳南高速</w:t>
            </w:r>
          </w:p>
          <w:p w14:paraId="5841DCE0">
            <w:pPr>
              <w:jc w:val="center"/>
              <w:rPr>
                <w:rFonts w:ascii="宋体" w:hAnsi="宋体" w:cs="宋体"/>
                <w:szCs w:val="21"/>
              </w:rPr>
            </w:pPr>
            <w:r>
              <w:rPr>
                <w:rFonts w:hint="eastAsia" w:ascii="宋体" w:hAnsi="宋体" w:cs="宋体"/>
                <w:szCs w:val="21"/>
              </w:rPr>
              <w:t>K10+855.73通道</w:t>
            </w:r>
          </w:p>
        </w:tc>
        <w:tc>
          <w:tcPr>
            <w:tcW w:w="1775" w:type="dxa"/>
            <w:vMerge w:val="restart"/>
            <w:vAlign w:val="center"/>
          </w:tcPr>
          <w:p w14:paraId="66F84409">
            <w:pPr>
              <w:jc w:val="center"/>
              <w:rPr>
                <w:rFonts w:ascii="宋体" w:hAnsi="宋体" w:cs="宋体"/>
                <w:szCs w:val="21"/>
              </w:rPr>
            </w:pPr>
            <w:r>
              <w:rPr>
                <w:rFonts w:hint="eastAsia" w:ascii="宋体" w:hAnsi="宋体" w:cs="宋体"/>
                <w:szCs w:val="21"/>
              </w:rPr>
              <w:t>柳南高速</w:t>
            </w:r>
          </w:p>
        </w:tc>
        <w:tc>
          <w:tcPr>
            <w:tcW w:w="1335" w:type="dxa"/>
            <w:vAlign w:val="center"/>
          </w:tcPr>
          <w:p w14:paraId="3A9F04DD">
            <w:pPr>
              <w:jc w:val="center"/>
              <w:rPr>
                <w:rFonts w:ascii="宋体" w:hAnsi="宋体" w:cs="宋体"/>
                <w:szCs w:val="21"/>
              </w:rPr>
            </w:pPr>
            <w:r>
              <w:rPr>
                <w:rFonts w:hint="eastAsia" w:ascii="宋体" w:hAnsi="宋体" w:cs="宋体"/>
                <w:szCs w:val="21"/>
              </w:rPr>
              <w:t>55</w:t>
            </w:r>
          </w:p>
        </w:tc>
        <w:tc>
          <w:tcPr>
            <w:tcW w:w="1230" w:type="dxa"/>
            <w:vAlign w:val="center"/>
          </w:tcPr>
          <w:p w14:paraId="02D1F4C9">
            <w:pPr>
              <w:jc w:val="center"/>
              <w:rPr>
                <w:rFonts w:ascii="宋体" w:hAnsi="宋体" w:cs="宋体"/>
                <w:szCs w:val="21"/>
              </w:rPr>
            </w:pPr>
            <w:r>
              <w:rPr>
                <w:rFonts w:hint="eastAsia" w:ascii="宋体" w:hAnsi="宋体" w:cs="宋体"/>
                <w:szCs w:val="21"/>
              </w:rPr>
              <w:t>4.0</w:t>
            </w:r>
          </w:p>
        </w:tc>
        <w:tc>
          <w:tcPr>
            <w:tcW w:w="1260" w:type="dxa"/>
            <w:vAlign w:val="center"/>
          </w:tcPr>
          <w:p w14:paraId="4FD76BA1">
            <w:pPr>
              <w:jc w:val="center"/>
              <w:rPr>
                <w:rFonts w:ascii="宋体" w:hAnsi="宋体" w:cs="宋体"/>
                <w:szCs w:val="21"/>
              </w:rPr>
            </w:pPr>
            <w:r>
              <w:rPr>
                <w:rFonts w:hint="eastAsia" w:ascii="宋体" w:hAnsi="宋体" w:cs="宋体"/>
                <w:szCs w:val="21"/>
              </w:rPr>
              <w:t>4.0</w:t>
            </w:r>
          </w:p>
        </w:tc>
      </w:tr>
      <w:tr w14:paraId="571B5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FDEF8EB">
            <w:pPr>
              <w:jc w:val="center"/>
              <w:rPr>
                <w:rFonts w:ascii="宋体" w:hAnsi="宋体" w:cs="宋体"/>
                <w:szCs w:val="21"/>
              </w:rPr>
            </w:pPr>
            <w:r>
              <w:rPr>
                <w:rFonts w:hint="eastAsia" w:ascii="宋体" w:hAnsi="宋体" w:cs="宋体"/>
                <w:szCs w:val="21"/>
              </w:rPr>
              <w:t>93</w:t>
            </w:r>
          </w:p>
        </w:tc>
        <w:tc>
          <w:tcPr>
            <w:tcW w:w="2635" w:type="dxa"/>
            <w:vAlign w:val="center"/>
          </w:tcPr>
          <w:p w14:paraId="18B9CB43">
            <w:pPr>
              <w:jc w:val="center"/>
              <w:rPr>
                <w:rFonts w:ascii="宋体" w:hAnsi="宋体" w:cs="宋体"/>
                <w:szCs w:val="21"/>
              </w:rPr>
            </w:pPr>
            <w:r>
              <w:rPr>
                <w:rFonts w:hint="eastAsia" w:ascii="宋体" w:hAnsi="宋体" w:cs="宋体"/>
                <w:szCs w:val="21"/>
              </w:rPr>
              <w:t>柳南高速</w:t>
            </w:r>
          </w:p>
          <w:p w14:paraId="4E1ED997">
            <w:pPr>
              <w:jc w:val="center"/>
              <w:rPr>
                <w:rFonts w:ascii="宋体" w:hAnsi="宋体" w:cs="宋体"/>
                <w:szCs w:val="21"/>
              </w:rPr>
            </w:pPr>
            <w:r>
              <w:rPr>
                <w:rFonts w:hint="eastAsia" w:ascii="宋体" w:hAnsi="宋体" w:cs="宋体"/>
                <w:szCs w:val="21"/>
              </w:rPr>
              <w:t>K11+215通道</w:t>
            </w:r>
          </w:p>
        </w:tc>
        <w:tc>
          <w:tcPr>
            <w:tcW w:w="1775" w:type="dxa"/>
            <w:vMerge w:val="continue"/>
            <w:vAlign w:val="center"/>
          </w:tcPr>
          <w:p w14:paraId="27AA0B0A">
            <w:pPr>
              <w:jc w:val="center"/>
              <w:rPr>
                <w:rFonts w:ascii="宋体" w:hAnsi="宋体" w:cs="宋体"/>
                <w:szCs w:val="21"/>
              </w:rPr>
            </w:pPr>
          </w:p>
        </w:tc>
        <w:tc>
          <w:tcPr>
            <w:tcW w:w="1335" w:type="dxa"/>
            <w:vAlign w:val="center"/>
          </w:tcPr>
          <w:p w14:paraId="65DE2A9B">
            <w:pPr>
              <w:jc w:val="center"/>
              <w:rPr>
                <w:rFonts w:ascii="宋体" w:hAnsi="宋体" w:cs="宋体"/>
                <w:szCs w:val="21"/>
              </w:rPr>
            </w:pPr>
            <w:r>
              <w:rPr>
                <w:rFonts w:hint="eastAsia" w:ascii="宋体" w:hAnsi="宋体" w:cs="宋体"/>
                <w:szCs w:val="21"/>
              </w:rPr>
              <w:t>55</w:t>
            </w:r>
          </w:p>
        </w:tc>
        <w:tc>
          <w:tcPr>
            <w:tcW w:w="1230" w:type="dxa"/>
            <w:vAlign w:val="center"/>
          </w:tcPr>
          <w:p w14:paraId="100C0CA8">
            <w:pPr>
              <w:jc w:val="center"/>
              <w:rPr>
                <w:rFonts w:ascii="宋体" w:hAnsi="宋体" w:cs="宋体"/>
                <w:szCs w:val="21"/>
              </w:rPr>
            </w:pPr>
            <w:r>
              <w:rPr>
                <w:rFonts w:hint="eastAsia" w:ascii="宋体" w:hAnsi="宋体" w:cs="宋体"/>
                <w:szCs w:val="21"/>
              </w:rPr>
              <w:t>4.0</w:t>
            </w:r>
          </w:p>
        </w:tc>
        <w:tc>
          <w:tcPr>
            <w:tcW w:w="1260" w:type="dxa"/>
            <w:vAlign w:val="center"/>
          </w:tcPr>
          <w:p w14:paraId="4CD3A43E">
            <w:pPr>
              <w:jc w:val="center"/>
              <w:rPr>
                <w:rFonts w:ascii="宋体" w:hAnsi="宋体" w:cs="宋体"/>
                <w:szCs w:val="21"/>
              </w:rPr>
            </w:pPr>
            <w:r>
              <w:rPr>
                <w:rFonts w:hint="eastAsia" w:ascii="宋体" w:hAnsi="宋体" w:cs="宋体"/>
                <w:szCs w:val="21"/>
              </w:rPr>
              <w:t>4.0</w:t>
            </w:r>
          </w:p>
        </w:tc>
      </w:tr>
      <w:tr w14:paraId="6D1EAC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B1C042C">
            <w:pPr>
              <w:jc w:val="center"/>
              <w:rPr>
                <w:rFonts w:ascii="宋体" w:hAnsi="宋体" w:cs="宋体"/>
                <w:szCs w:val="21"/>
              </w:rPr>
            </w:pPr>
            <w:r>
              <w:rPr>
                <w:rFonts w:hint="eastAsia" w:ascii="宋体" w:hAnsi="宋体" w:cs="宋体"/>
                <w:szCs w:val="21"/>
              </w:rPr>
              <w:t>94</w:t>
            </w:r>
          </w:p>
        </w:tc>
        <w:tc>
          <w:tcPr>
            <w:tcW w:w="2635" w:type="dxa"/>
            <w:vAlign w:val="center"/>
          </w:tcPr>
          <w:p w14:paraId="47642187">
            <w:pPr>
              <w:jc w:val="center"/>
              <w:rPr>
                <w:rFonts w:ascii="宋体" w:hAnsi="宋体" w:cs="宋体"/>
                <w:szCs w:val="21"/>
              </w:rPr>
            </w:pPr>
            <w:r>
              <w:rPr>
                <w:rFonts w:hint="eastAsia" w:ascii="宋体" w:hAnsi="宋体" w:cs="宋体"/>
                <w:szCs w:val="21"/>
              </w:rPr>
              <w:t>柳南高速</w:t>
            </w:r>
          </w:p>
          <w:p w14:paraId="062355C6">
            <w:pPr>
              <w:jc w:val="center"/>
              <w:rPr>
                <w:rFonts w:ascii="宋体" w:hAnsi="宋体" w:cs="宋体"/>
                <w:szCs w:val="21"/>
              </w:rPr>
            </w:pPr>
            <w:r>
              <w:rPr>
                <w:rFonts w:hint="eastAsia" w:ascii="宋体" w:hAnsi="宋体" w:cs="宋体"/>
                <w:szCs w:val="21"/>
              </w:rPr>
              <w:t>K11+777通道</w:t>
            </w:r>
          </w:p>
        </w:tc>
        <w:tc>
          <w:tcPr>
            <w:tcW w:w="1775" w:type="dxa"/>
            <w:vMerge w:val="continue"/>
            <w:vAlign w:val="center"/>
          </w:tcPr>
          <w:p w14:paraId="13DDD7DD">
            <w:pPr>
              <w:jc w:val="center"/>
              <w:rPr>
                <w:rFonts w:ascii="宋体" w:hAnsi="宋体" w:cs="宋体"/>
                <w:szCs w:val="21"/>
              </w:rPr>
            </w:pPr>
          </w:p>
        </w:tc>
        <w:tc>
          <w:tcPr>
            <w:tcW w:w="1335" w:type="dxa"/>
            <w:vAlign w:val="center"/>
          </w:tcPr>
          <w:p w14:paraId="6922CED3">
            <w:pPr>
              <w:jc w:val="center"/>
              <w:rPr>
                <w:rFonts w:ascii="宋体" w:hAnsi="宋体" w:cs="宋体"/>
                <w:szCs w:val="21"/>
              </w:rPr>
            </w:pPr>
            <w:r>
              <w:rPr>
                <w:rFonts w:hint="eastAsia" w:ascii="宋体" w:hAnsi="宋体" w:cs="宋体"/>
                <w:szCs w:val="21"/>
              </w:rPr>
              <w:t>55</w:t>
            </w:r>
          </w:p>
        </w:tc>
        <w:tc>
          <w:tcPr>
            <w:tcW w:w="1230" w:type="dxa"/>
            <w:vAlign w:val="center"/>
          </w:tcPr>
          <w:p w14:paraId="01CB7EB7">
            <w:pPr>
              <w:jc w:val="center"/>
              <w:rPr>
                <w:rFonts w:ascii="宋体" w:hAnsi="宋体" w:cs="宋体"/>
                <w:szCs w:val="21"/>
              </w:rPr>
            </w:pPr>
            <w:r>
              <w:rPr>
                <w:rFonts w:hint="eastAsia" w:ascii="宋体" w:hAnsi="宋体" w:cs="宋体"/>
                <w:szCs w:val="21"/>
              </w:rPr>
              <w:t>4.0</w:t>
            </w:r>
          </w:p>
        </w:tc>
        <w:tc>
          <w:tcPr>
            <w:tcW w:w="1260" w:type="dxa"/>
            <w:vAlign w:val="center"/>
          </w:tcPr>
          <w:p w14:paraId="36A6AEE0">
            <w:pPr>
              <w:jc w:val="center"/>
              <w:rPr>
                <w:rFonts w:ascii="宋体" w:hAnsi="宋体" w:cs="宋体"/>
                <w:szCs w:val="21"/>
              </w:rPr>
            </w:pPr>
            <w:r>
              <w:rPr>
                <w:rFonts w:hint="eastAsia" w:ascii="宋体" w:hAnsi="宋体" w:cs="宋体"/>
                <w:szCs w:val="21"/>
              </w:rPr>
              <w:t>4.0</w:t>
            </w:r>
          </w:p>
        </w:tc>
      </w:tr>
      <w:tr w14:paraId="4EDF3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73FB007">
            <w:pPr>
              <w:jc w:val="center"/>
              <w:rPr>
                <w:rFonts w:ascii="宋体" w:hAnsi="宋体" w:cs="宋体"/>
                <w:szCs w:val="21"/>
              </w:rPr>
            </w:pPr>
            <w:r>
              <w:rPr>
                <w:rFonts w:hint="eastAsia" w:ascii="宋体" w:hAnsi="宋体" w:cs="宋体"/>
                <w:szCs w:val="21"/>
              </w:rPr>
              <w:t>95</w:t>
            </w:r>
          </w:p>
        </w:tc>
        <w:tc>
          <w:tcPr>
            <w:tcW w:w="2635" w:type="dxa"/>
            <w:vAlign w:val="center"/>
          </w:tcPr>
          <w:p w14:paraId="16C1547D">
            <w:pPr>
              <w:jc w:val="center"/>
              <w:rPr>
                <w:rFonts w:ascii="宋体" w:hAnsi="宋体" w:cs="宋体"/>
                <w:szCs w:val="21"/>
              </w:rPr>
            </w:pPr>
            <w:r>
              <w:rPr>
                <w:rFonts w:hint="eastAsia" w:ascii="宋体" w:hAnsi="宋体" w:cs="宋体"/>
                <w:szCs w:val="21"/>
              </w:rPr>
              <w:t>柳南高速</w:t>
            </w:r>
          </w:p>
          <w:p w14:paraId="23EB6A9D">
            <w:pPr>
              <w:jc w:val="center"/>
              <w:rPr>
                <w:rFonts w:ascii="宋体" w:hAnsi="宋体" w:cs="宋体"/>
                <w:szCs w:val="21"/>
              </w:rPr>
            </w:pPr>
            <w:r>
              <w:rPr>
                <w:rFonts w:hint="eastAsia" w:ascii="宋体" w:hAnsi="宋体" w:cs="宋体"/>
                <w:szCs w:val="21"/>
              </w:rPr>
              <w:t>K12+855通道</w:t>
            </w:r>
          </w:p>
        </w:tc>
        <w:tc>
          <w:tcPr>
            <w:tcW w:w="1775" w:type="dxa"/>
            <w:vMerge w:val="continue"/>
            <w:vAlign w:val="center"/>
          </w:tcPr>
          <w:p w14:paraId="72D7637C">
            <w:pPr>
              <w:jc w:val="center"/>
              <w:rPr>
                <w:rFonts w:ascii="宋体" w:hAnsi="宋体" w:cs="宋体"/>
                <w:szCs w:val="21"/>
              </w:rPr>
            </w:pPr>
          </w:p>
        </w:tc>
        <w:tc>
          <w:tcPr>
            <w:tcW w:w="1335" w:type="dxa"/>
            <w:vAlign w:val="center"/>
          </w:tcPr>
          <w:p w14:paraId="19F52E85">
            <w:pPr>
              <w:jc w:val="center"/>
              <w:rPr>
                <w:rFonts w:ascii="宋体" w:hAnsi="宋体" w:cs="宋体"/>
                <w:szCs w:val="21"/>
              </w:rPr>
            </w:pPr>
            <w:r>
              <w:rPr>
                <w:rFonts w:hint="eastAsia" w:ascii="宋体" w:hAnsi="宋体" w:cs="宋体"/>
                <w:szCs w:val="21"/>
              </w:rPr>
              <w:t>55</w:t>
            </w:r>
          </w:p>
        </w:tc>
        <w:tc>
          <w:tcPr>
            <w:tcW w:w="1230" w:type="dxa"/>
            <w:vAlign w:val="center"/>
          </w:tcPr>
          <w:p w14:paraId="2C551DB7">
            <w:pPr>
              <w:jc w:val="center"/>
              <w:rPr>
                <w:rFonts w:ascii="宋体" w:hAnsi="宋体" w:cs="宋体"/>
                <w:szCs w:val="21"/>
              </w:rPr>
            </w:pPr>
            <w:r>
              <w:rPr>
                <w:rFonts w:hint="eastAsia" w:ascii="宋体" w:hAnsi="宋体" w:cs="宋体"/>
                <w:szCs w:val="21"/>
              </w:rPr>
              <w:t>4.0</w:t>
            </w:r>
          </w:p>
        </w:tc>
        <w:tc>
          <w:tcPr>
            <w:tcW w:w="1260" w:type="dxa"/>
            <w:vAlign w:val="center"/>
          </w:tcPr>
          <w:p w14:paraId="72668214">
            <w:pPr>
              <w:jc w:val="center"/>
              <w:rPr>
                <w:rFonts w:ascii="宋体" w:hAnsi="宋体" w:cs="宋体"/>
                <w:szCs w:val="21"/>
              </w:rPr>
            </w:pPr>
            <w:r>
              <w:rPr>
                <w:rFonts w:hint="eastAsia" w:ascii="宋体" w:hAnsi="宋体" w:cs="宋体"/>
                <w:szCs w:val="21"/>
              </w:rPr>
              <w:t>4.0</w:t>
            </w:r>
          </w:p>
        </w:tc>
      </w:tr>
      <w:tr w14:paraId="6DEE2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673160A">
            <w:pPr>
              <w:jc w:val="center"/>
              <w:rPr>
                <w:rFonts w:ascii="宋体" w:hAnsi="宋体" w:cs="宋体"/>
                <w:szCs w:val="21"/>
              </w:rPr>
            </w:pPr>
            <w:r>
              <w:rPr>
                <w:rFonts w:hint="eastAsia" w:ascii="宋体" w:hAnsi="宋体" w:cs="宋体"/>
                <w:szCs w:val="21"/>
              </w:rPr>
              <w:t>96</w:t>
            </w:r>
          </w:p>
        </w:tc>
        <w:tc>
          <w:tcPr>
            <w:tcW w:w="2635" w:type="dxa"/>
            <w:vAlign w:val="center"/>
          </w:tcPr>
          <w:p w14:paraId="5AE19D08">
            <w:pPr>
              <w:jc w:val="center"/>
              <w:rPr>
                <w:rFonts w:ascii="宋体" w:hAnsi="宋体" w:cs="宋体"/>
                <w:szCs w:val="21"/>
              </w:rPr>
            </w:pPr>
            <w:r>
              <w:rPr>
                <w:rFonts w:hint="eastAsia" w:ascii="宋体" w:hAnsi="宋体" w:cs="宋体"/>
                <w:szCs w:val="21"/>
              </w:rPr>
              <w:t>第二高速公路</w:t>
            </w:r>
          </w:p>
          <w:p w14:paraId="6D46C7AC">
            <w:pPr>
              <w:jc w:val="center"/>
              <w:rPr>
                <w:rFonts w:ascii="宋体" w:hAnsi="宋体" w:cs="宋体"/>
                <w:szCs w:val="21"/>
              </w:rPr>
            </w:pPr>
            <w:r>
              <w:rPr>
                <w:rFonts w:hint="eastAsia" w:ascii="宋体" w:hAnsi="宋体" w:cs="宋体"/>
                <w:szCs w:val="21"/>
              </w:rPr>
              <w:t>K1+650通道</w:t>
            </w:r>
          </w:p>
        </w:tc>
        <w:tc>
          <w:tcPr>
            <w:tcW w:w="1775" w:type="dxa"/>
            <w:vMerge w:val="restart"/>
            <w:vAlign w:val="center"/>
          </w:tcPr>
          <w:p w14:paraId="16809F89">
            <w:pPr>
              <w:rPr>
                <w:rFonts w:ascii="宋体" w:hAnsi="宋体" w:cs="宋体"/>
                <w:szCs w:val="21"/>
              </w:rPr>
            </w:pPr>
            <w:r>
              <w:rPr>
                <w:rFonts w:hint="eastAsia" w:ascii="宋体" w:hAnsi="宋体" w:cs="宋体"/>
                <w:szCs w:val="21"/>
              </w:rPr>
              <w:t>机场第二高速公路</w:t>
            </w:r>
          </w:p>
        </w:tc>
        <w:tc>
          <w:tcPr>
            <w:tcW w:w="1335" w:type="dxa"/>
            <w:vAlign w:val="center"/>
          </w:tcPr>
          <w:p w14:paraId="7043BD06">
            <w:pPr>
              <w:jc w:val="center"/>
              <w:rPr>
                <w:rFonts w:ascii="宋体" w:hAnsi="宋体" w:cs="宋体"/>
                <w:szCs w:val="21"/>
              </w:rPr>
            </w:pPr>
            <w:r>
              <w:rPr>
                <w:rFonts w:hint="eastAsia" w:ascii="宋体" w:hAnsi="宋体" w:cs="宋体"/>
                <w:szCs w:val="21"/>
              </w:rPr>
              <w:t>56</w:t>
            </w:r>
          </w:p>
        </w:tc>
        <w:tc>
          <w:tcPr>
            <w:tcW w:w="1230" w:type="dxa"/>
            <w:vAlign w:val="center"/>
          </w:tcPr>
          <w:p w14:paraId="70961FAA">
            <w:pPr>
              <w:jc w:val="center"/>
              <w:rPr>
                <w:rFonts w:ascii="宋体" w:hAnsi="宋体" w:cs="宋体"/>
                <w:szCs w:val="21"/>
              </w:rPr>
            </w:pPr>
            <w:r>
              <w:rPr>
                <w:rFonts w:hint="eastAsia" w:ascii="宋体" w:hAnsi="宋体" w:cs="宋体"/>
                <w:szCs w:val="21"/>
              </w:rPr>
              <w:t>6.0</w:t>
            </w:r>
          </w:p>
        </w:tc>
        <w:tc>
          <w:tcPr>
            <w:tcW w:w="1260" w:type="dxa"/>
            <w:vAlign w:val="center"/>
          </w:tcPr>
          <w:p w14:paraId="6B4BF780">
            <w:pPr>
              <w:jc w:val="center"/>
              <w:rPr>
                <w:rFonts w:ascii="宋体" w:hAnsi="宋体" w:cs="宋体"/>
                <w:szCs w:val="21"/>
              </w:rPr>
            </w:pPr>
            <w:r>
              <w:rPr>
                <w:rFonts w:hint="eastAsia" w:ascii="宋体" w:hAnsi="宋体" w:cs="宋体"/>
                <w:szCs w:val="21"/>
              </w:rPr>
              <w:t>5.0</w:t>
            </w:r>
          </w:p>
        </w:tc>
      </w:tr>
      <w:tr w14:paraId="7A0DF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104D2EE">
            <w:pPr>
              <w:jc w:val="center"/>
              <w:rPr>
                <w:rFonts w:ascii="宋体" w:hAnsi="宋体" w:cs="宋体"/>
                <w:szCs w:val="21"/>
              </w:rPr>
            </w:pPr>
            <w:r>
              <w:rPr>
                <w:rFonts w:hint="eastAsia" w:ascii="宋体" w:hAnsi="宋体" w:cs="宋体"/>
                <w:szCs w:val="21"/>
              </w:rPr>
              <w:t>97</w:t>
            </w:r>
          </w:p>
        </w:tc>
        <w:tc>
          <w:tcPr>
            <w:tcW w:w="2635" w:type="dxa"/>
            <w:vAlign w:val="center"/>
          </w:tcPr>
          <w:p w14:paraId="5C9BBF4E">
            <w:pPr>
              <w:jc w:val="center"/>
              <w:rPr>
                <w:rFonts w:ascii="宋体" w:hAnsi="宋体" w:cs="宋体"/>
                <w:szCs w:val="21"/>
              </w:rPr>
            </w:pPr>
            <w:r>
              <w:rPr>
                <w:rFonts w:hint="eastAsia" w:ascii="宋体" w:hAnsi="宋体" w:cs="宋体"/>
                <w:szCs w:val="21"/>
              </w:rPr>
              <w:t>第二高速公路</w:t>
            </w:r>
          </w:p>
          <w:p w14:paraId="4A83BF9A">
            <w:pPr>
              <w:jc w:val="center"/>
              <w:rPr>
                <w:rFonts w:ascii="宋体" w:hAnsi="宋体" w:cs="宋体"/>
                <w:szCs w:val="21"/>
              </w:rPr>
            </w:pPr>
            <w:r>
              <w:rPr>
                <w:rFonts w:hint="eastAsia" w:ascii="宋体" w:hAnsi="宋体" w:cs="宋体"/>
                <w:szCs w:val="21"/>
              </w:rPr>
              <w:t>K2+940通道</w:t>
            </w:r>
          </w:p>
        </w:tc>
        <w:tc>
          <w:tcPr>
            <w:tcW w:w="1775" w:type="dxa"/>
            <w:vMerge w:val="continue"/>
            <w:vAlign w:val="center"/>
          </w:tcPr>
          <w:p w14:paraId="0D28F8DD">
            <w:pPr>
              <w:jc w:val="center"/>
              <w:rPr>
                <w:rFonts w:ascii="宋体" w:hAnsi="宋体" w:cs="宋体"/>
                <w:szCs w:val="21"/>
              </w:rPr>
            </w:pPr>
          </w:p>
        </w:tc>
        <w:tc>
          <w:tcPr>
            <w:tcW w:w="1335" w:type="dxa"/>
            <w:vAlign w:val="center"/>
          </w:tcPr>
          <w:p w14:paraId="7A9C7AAA">
            <w:pPr>
              <w:jc w:val="center"/>
              <w:rPr>
                <w:rFonts w:ascii="宋体" w:hAnsi="宋体" w:cs="宋体"/>
                <w:szCs w:val="21"/>
              </w:rPr>
            </w:pPr>
            <w:r>
              <w:rPr>
                <w:rFonts w:hint="eastAsia" w:ascii="宋体" w:hAnsi="宋体" w:cs="宋体"/>
                <w:szCs w:val="21"/>
              </w:rPr>
              <w:t>39</w:t>
            </w:r>
          </w:p>
        </w:tc>
        <w:tc>
          <w:tcPr>
            <w:tcW w:w="1230" w:type="dxa"/>
            <w:vAlign w:val="center"/>
          </w:tcPr>
          <w:p w14:paraId="54707C89">
            <w:pPr>
              <w:jc w:val="center"/>
              <w:rPr>
                <w:rFonts w:ascii="宋体" w:hAnsi="宋体" w:cs="宋体"/>
                <w:szCs w:val="21"/>
              </w:rPr>
            </w:pPr>
            <w:r>
              <w:rPr>
                <w:rFonts w:hint="eastAsia" w:ascii="宋体" w:hAnsi="宋体" w:cs="宋体"/>
                <w:szCs w:val="21"/>
              </w:rPr>
              <w:t>6.0</w:t>
            </w:r>
          </w:p>
        </w:tc>
        <w:tc>
          <w:tcPr>
            <w:tcW w:w="1260" w:type="dxa"/>
            <w:vAlign w:val="center"/>
          </w:tcPr>
          <w:p w14:paraId="58E8D1A9">
            <w:pPr>
              <w:jc w:val="center"/>
              <w:rPr>
                <w:rFonts w:ascii="宋体" w:hAnsi="宋体" w:cs="宋体"/>
                <w:szCs w:val="21"/>
              </w:rPr>
            </w:pPr>
            <w:r>
              <w:rPr>
                <w:rFonts w:hint="eastAsia" w:ascii="宋体" w:hAnsi="宋体" w:cs="宋体"/>
                <w:szCs w:val="21"/>
              </w:rPr>
              <w:t>5.0</w:t>
            </w:r>
          </w:p>
        </w:tc>
      </w:tr>
      <w:tr w14:paraId="06E0F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AEC9283">
            <w:pPr>
              <w:jc w:val="center"/>
              <w:rPr>
                <w:rFonts w:ascii="宋体" w:hAnsi="宋体" w:cs="宋体"/>
                <w:szCs w:val="21"/>
              </w:rPr>
            </w:pPr>
            <w:r>
              <w:rPr>
                <w:rFonts w:hint="eastAsia" w:ascii="宋体" w:hAnsi="宋体" w:cs="宋体"/>
                <w:szCs w:val="21"/>
              </w:rPr>
              <w:t>98</w:t>
            </w:r>
          </w:p>
        </w:tc>
        <w:tc>
          <w:tcPr>
            <w:tcW w:w="2635" w:type="dxa"/>
            <w:vAlign w:val="center"/>
          </w:tcPr>
          <w:p w14:paraId="2A64346F">
            <w:pPr>
              <w:jc w:val="center"/>
              <w:rPr>
                <w:rFonts w:ascii="宋体" w:hAnsi="宋体" w:cs="宋体"/>
                <w:szCs w:val="21"/>
              </w:rPr>
            </w:pPr>
            <w:r>
              <w:rPr>
                <w:rFonts w:hint="eastAsia" w:ascii="宋体" w:hAnsi="宋体" w:cs="宋体"/>
                <w:szCs w:val="21"/>
              </w:rPr>
              <w:t>第二高速公路</w:t>
            </w:r>
          </w:p>
          <w:p w14:paraId="682D2252">
            <w:pPr>
              <w:jc w:val="center"/>
              <w:rPr>
                <w:rFonts w:ascii="宋体" w:hAnsi="宋体" w:cs="宋体"/>
                <w:szCs w:val="21"/>
              </w:rPr>
            </w:pPr>
            <w:r>
              <w:rPr>
                <w:rFonts w:hint="eastAsia" w:ascii="宋体" w:hAnsi="宋体" w:cs="宋体"/>
                <w:szCs w:val="21"/>
              </w:rPr>
              <w:t>K4+600通道</w:t>
            </w:r>
          </w:p>
        </w:tc>
        <w:tc>
          <w:tcPr>
            <w:tcW w:w="1775" w:type="dxa"/>
            <w:vMerge w:val="continue"/>
            <w:vAlign w:val="center"/>
          </w:tcPr>
          <w:p w14:paraId="7031E511">
            <w:pPr>
              <w:jc w:val="center"/>
              <w:rPr>
                <w:rFonts w:ascii="宋体" w:hAnsi="宋体" w:cs="宋体"/>
                <w:szCs w:val="21"/>
              </w:rPr>
            </w:pPr>
          </w:p>
        </w:tc>
        <w:tc>
          <w:tcPr>
            <w:tcW w:w="1335" w:type="dxa"/>
            <w:vAlign w:val="center"/>
          </w:tcPr>
          <w:p w14:paraId="52A3B098">
            <w:pPr>
              <w:jc w:val="center"/>
              <w:rPr>
                <w:rFonts w:ascii="宋体" w:hAnsi="宋体" w:cs="宋体"/>
                <w:szCs w:val="21"/>
              </w:rPr>
            </w:pPr>
            <w:r>
              <w:rPr>
                <w:rFonts w:hint="eastAsia" w:ascii="宋体" w:hAnsi="宋体" w:cs="宋体"/>
                <w:szCs w:val="21"/>
              </w:rPr>
              <w:t>63</w:t>
            </w:r>
          </w:p>
        </w:tc>
        <w:tc>
          <w:tcPr>
            <w:tcW w:w="1230" w:type="dxa"/>
            <w:vAlign w:val="center"/>
          </w:tcPr>
          <w:p w14:paraId="59ED1FAD">
            <w:pPr>
              <w:jc w:val="center"/>
              <w:rPr>
                <w:rFonts w:ascii="宋体" w:hAnsi="宋体" w:cs="宋体"/>
                <w:szCs w:val="21"/>
              </w:rPr>
            </w:pPr>
            <w:r>
              <w:rPr>
                <w:rFonts w:hint="eastAsia" w:ascii="宋体" w:hAnsi="宋体" w:cs="宋体"/>
                <w:szCs w:val="21"/>
              </w:rPr>
              <w:t>6.0</w:t>
            </w:r>
          </w:p>
        </w:tc>
        <w:tc>
          <w:tcPr>
            <w:tcW w:w="1260" w:type="dxa"/>
            <w:vAlign w:val="center"/>
          </w:tcPr>
          <w:p w14:paraId="6CC3DAF4">
            <w:pPr>
              <w:jc w:val="center"/>
              <w:rPr>
                <w:rFonts w:ascii="宋体" w:hAnsi="宋体" w:cs="宋体"/>
                <w:szCs w:val="21"/>
              </w:rPr>
            </w:pPr>
            <w:r>
              <w:rPr>
                <w:rFonts w:hint="eastAsia" w:ascii="宋体" w:hAnsi="宋体" w:cs="宋体"/>
                <w:szCs w:val="21"/>
              </w:rPr>
              <w:t>5.0</w:t>
            </w:r>
          </w:p>
        </w:tc>
      </w:tr>
      <w:tr w14:paraId="6FCD3B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3CE8A54">
            <w:pPr>
              <w:jc w:val="center"/>
              <w:rPr>
                <w:rFonts w:ascii="宋体" w:hAnsi="宋体" w:cs="宋体"/>
                <w:szCs w:val="21"/>
              </w:rPr>
            </w:pPr>
            <w:r>
              <w:rPr>
                <w:rFonts w:hint="eastAsia" w:ascii="宋体" w:hAnsi="宋体" w:cs="宋体"/>
                <w:szCs w:val="21"/>
              </w:rPr>
              <w:t>99</w:t>
            </w:r>
          </w:p>
        </w:tc>
        <w:tc>
          <w:tcPr>
            <w:tcW w:w="2635" w:type="dxa"/>
            <w:vAlign w:val="center"/>
          </w:tcPr>
          <w:p w14:paraId="52A60228">
            <w:pPr>
              <w:jc w:val="center"/>
              <w:rPr>
                <w:rFonts w:ascii="宋体" w:hAnsi="宋体" w:cs="宋体"/>
                <w:szCs w:val="21"/>
              </w:rPr>
            </w:pPr>
            <w:r>
              <w:rPr>
                <w:rFonts w:hint="eastAsia" w:ascii="宋体" w:hAnsi="宋体" w:cs="宋体"/>
                <w:szCs w:val="21"/>
              </w:rPr>
              <w:t>第二高速公路</w:t>
            </w:r>
          </w:p>
          <w:p w14:paraId="6E423E62">
            <w:pPr>
              <w:jc w:val="center"/>
              <w:rPr>
                <w:rFonts w:ascii="宋体" w:hAnsi="宋体" w:cs="宋体"/>
                <w:szCs w:val="21"/>
              </w:rPr>
            </w:pPr>
            <w:r>
              <w:rPr>
                <w:rFonts w:hint="eastAsia" w:ascii="宋体" w:hAnsi="宋体" w:cs="宋体"/>
                <w:szCs w:val="21"/>
              </w:rPr>
              <w:t>K5+200通道</w:t>
            </w:r>
          </w:p>
        </w:tc>
        <w:tc>
          <w:tcPr>
            <w:tcW w:w="1775" w:type="dxa"/>
            <w:vMerge w:val="continue"/>
            <w:vAlign w:val="center"/>
          </w:tcPr>
          <w:p w14:paraId="71C30280">
            <w:pPr>
              <w:jc w:val="center"/>
              <w:rPr>
                <w:rFonts w:ascii="宋体" w:hAnsi="宋体" w:cs="宋体"/>
                <w:szCs w:val="21"/>
              </w:rPr>
            </w:pPr>
          </w:p>
        </w:tc>
        <w:tc>
          <w:tcPr>
            <w:tcW w:w="1335" w:type="dxa"/>
            <w:vAlign w:val="center"/>
          </w:tcPr>
          <w:p w14:paraId="0D721A15">
            <w:pPr>
              <w:jc w:val="center"/>
              <w:rPr>
                <w:rFonts w:ascii="宋体" w:hAnsi="宋体" w:cs="宋体"/>
                <w:szCs w:val="21"/>
              </w:rPr>
            </w:pPr>
            <w:r>
              <w:rPr>
                <w:rFonts w:hint="eastAsia" w:ascii="宋体" w:hAnsi="宋体" w:cs="宋体"/>
                <w:szCs w:val="21"/>
              </w:rPr>
              <w:t>53</w:t>
            </w:r>
          </w:p>
        </w:tc>
        <w:tc>
          <w:tcPr>
            <w:tcW w:w="1230" w:type="dxa"/>
            <w:vAlign w:val="center"/>
          </w:tcPr>
          <w:p w14:paraId="20EDE14C">
            <w:pPr>
              <w:jc w:val="center"/>
              <w:rPr>
                <w:rFonts w:ascii="宋体" w:hAnsi="宋体" w:cs="宋体"/>
                <w:szCs w:val="21"/>
              </w:rPr>
            </w:pPr>
            <w:r>
              <w:rPr>
                <w:rFonts w:hint="eastAsia" w:ascii="宋体" w:hAnsi="宋体" w:cs="宋体"/>
                <w:szCs w:val="21"/>
              </w:rPr>
              <w:t>6.0</w:t>
            </w:r>
          </w:p>
        </w:tc>
        <w:tc>
          <w:tcPr>
            <w:tcW w:w="1260" w:type="dxa"/>
            <w:vAlign w:val="center"/>
          </w:tcPr>
          <w:p w14:paraId="23287FB9">
            <w:pPr>
              <w:jc w:val="center"/>
              <w:rPr>
                <w:rFonts w:ascii="宋体" w:hAnsi="宋体" w:cs="宋体"/>
                <w:szCs w:val="21"/>
              </w:rPr>
            </w:pPr>
            <w:r>
              <w:rPr>
                <w:rFonts w:hint="eastAsia" w:ascii="宋体" w:hAnsi="宋体" w:cs="宋体"/>
                <w:szCs w:val="21"/>
              </w:rPr>
              <w:t>5.0</w:t>
            </w:r>
          </w:p>
        </w:tc>
      </w:tr>
      <w:tr w14:paraId="1EDEFA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705963F">
            <w:pPr>
              <w:jc w:val="center"/>
              <w:rPr>
                <w:rFonts w:ascii="宋体" w:hAnsi="宋体" w:cs="宋体"/>
                <w:szCs w:val="21"/>
              </w:rPr>
            </w:pPr>
            <w:r>
              <w:rPr>
                <w:rFonts w:hint="eastAsia" w:ascii="宋体" w:hAnsi="宋体" w:cs="宋体"/>
                <w:szCs w:val="21"/>
              </w:rPr>
              <w:t>100</w:t>
            </w:r>
          </w:p>
        </w:tc>
        <w:tc>
          <w:tcPr>
            <w:tcW w:w="2635" w:type="dxa"/>
            <w:vAlign w:val="center"/>
          </w:tcPr>
          <w:p w14:paraId="143C47EF">
            <w:pPr>
              <w:jc w:val="center"/>
              <w:rPr>
                <w:rFonts w:ascii="宋体" w:hAnsi="宋体" w:cs="宋体"/>
                <w:szCs w:val="21"/>
              </w:rPr>
            </w:pPr>
            <w:r>
              <w:rPr>
                <w:rFonts w:hint="eastAsia" w:ascii="宋体" w:hAnsi="宋体" w:cs="宋体"/>
                <w:szCs w:val="21"/>
              </w:rPr>
              <w:t>第二高速公路</w:t>
            </w:r>
          </w:p>
          <w:p w14:paraId="5598AA22">
            <w:pPr>
              <w:jc w:val="center"/>
              <w:rPr>
                <w:rFonts w:ascii="宋体" w:hAnsi="宋体" w:cs="宋体"/>
                <w:szCs w:val="21"/>
              </w:rPr>
            </w:pPr>
            <w:r>
              <w:rPr>
                <w:rFonts w:hint="eastAsia" w:ascii="宋体" w:hAnsi="宋体" w:cs="宋体"/>
                <w:szCs w:val="21"/>
              </w:rPr>
              <w:t>K5+520通道</w:t>
            </w:r>
          </w:p>
        </w:tc>
        <w:tc>
          <w:tcPr>
            <w:tcW w:w="1775" w:type="dxa"/>
            <w:vMerge w:val="continue"/>
            <w:vAlign w:val="center"/>
          </w:tcPr>
          <w:p w14:paraId="2EF31C64">
            <w:pPr>
              <w:rPr>
                <w:rFonts w:ascii="宋体" w:hAnsi="宋体" w:cs="宋体"/>
                <w:szCs w:val="21"/>
              </w:rPr>
            </w:pPr>
          </w:p>
        </w:tc>
        <w:tc>
          <w:tcPr>
            <w:tcW w:w="1335" w:type="dxa"/>
            <w:vAlign w:val="center"/>
          </w:tcPr>
          <w:p w14:paraId="51F653C0">
            <w:pPr>
              <w:jc w:val="center"/>
              <w:rPr>
                <w:rFonts w:ascii="宋体" w:hAnsi="宋体" w:cs="宋体"/>
                <w:szCs w:val="21"/>
              </w:rPr>
            </w:pPr>
            <w:r>
              <w:rPr>
                <w:rFonts w:hint="eastAsia" w:ascii="宋体" w:hAnsi="宋体" w:cs="宋体"/>
                <w:szCs w:val="21"/>
              </w:rPr>
              <w:t>49</w:t>
            </w:r>
          </w:p>
        </w:tc>
        <w:tc>
          <w:tcPr>
            <w:tcW w:w="1230" w:type="dxa"/>
            <w:vAlign w:val="center"/>
          </w:tcPr>
          <w:p w14:paraId="149134CC">
            <w:pPr>
              <w:jc w:val="center"/>
              <w:rPr>
                <w:rFonts w:ascii="宋体" w:hAnsi="宋体" w:cs="宋体"/>
                <w:szCs w:val="21"/>
              </w:rPr>
            </w:pPr>
            <w:r>
              <w:rPr>
                <w:rFonts w:hint="eastAsia" w:ascii="宋体" w:hAnsi="宋体" w:cs="宋体"/>
                <w:szCs w:val="21"/>
              </w:rPr>
              <w:t>6.0</w:t>
            </w:r>
          </w:p>
        </w:tc>
        <w:tc>
          <w:tcPr>
            <w:tcW w:w="1260" w:type="dxa"/>
            <w:vAlign w:val="center"/>
          </w:tcPr>
          <w:p w14:paraId="4071D808">
            <w:pPr>
              <w:jc w:val="center"/>
              <w:rPr>
                <w:rFonts w:ascii="宋体" w:hAnsi="宋体" w:cs="宋体"/>
                <w:szCs w:val="21"/>
              </w:rPr>
            </w:pPr>
            <w:r>
              <w:rPr>
                <w:rFonts w:hint="eastAsia" w:ascii="宋体" w:hAnsi="宋体" w:cs="宋体"/>
                <w:szCs w:val="21"/>
              </w:rPr>
              <w:t>5.0</w:t>
            </w:r>
          </w:p>
        </w:tc>
      </w:tr>
      <w:tr w14:paraId="67465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C2E5D73">
            <w:pPr>
              <w:tabs>
                <w:tab w:val="left" w:pos="579"/>
              </w:tabs>
              <w:ind w:firstLine="210" w:firstLineChars="100"/>
              <w:jc w:val="left"/>
              <w:rPr>
                <w:rFonts w:ascii="宋体" w:hAnsi="宋体" w:cs="宋体"/>
                <w:szCs w:val="21"/>
              </w:rPr>
            </w:pPr>
            <w:r>
              <w:rPr>
                <w:rFonts w:hint="eastAsia" w:ascii="宋体" w:hAnsi="宋体" w:cs="宋体"/>
                <w:szCs w:val="21"/>
              </w:rPr>
              <w:t>101</w:t>
            </w:r>
          </w:p>
        </w:tc>
        <w:tc>
          <w:tcPr>
            <w:tcW w:w="2635" w:type="dxa"/>
            <w:vAlign w:val="center"/>
          </w:tcPr>
          <w:p w14:paraId="09EA56FE">
            <w:pPr>
              <w:jc w:val="center"/>
              <w:rPr>
                <w:rFonts w:ascii="宋体" w:hAnsi="宋体" w:cs="宋体"/>
                <w:szCs w:val="21"/>
              </w:rPr>
            </w:pPr>
            <w:r>
              <w:rPr>
                <w:rFonts w:hint="eastAsia" w:ascii="宋体" w:hAnsi="宋体" w:cs="宋体"/>
                <w:szCs w:val="21"/>
              </w:rPr>
              <w:t>第二高速公路</w:t>
            </w:r>
          </w:p>
          <w:p w14:paraId="418A0E67">
            <w:pPr>
              <w:jc w:val="center"/>
              <w:rPr>
                <w:rFonts w:ascii="宋体" w:hAnsi="宋体" w:cs="宋体"/>
                <w:szCs w:val="21"/>
              </w:rPr>
            </w:pPr>
            <w:r>
              <w:rPr>
                <w:rFonts w:hint="eastAsia" w:ascii="宋体" w:hAnsi="宋体" w:cs="宋体"/>
                <w:szCs w:val="21"/>
              </w:rPr>
              <w:t>K6+320通道</w:t>
            </w:r>
          </w:p>
        </w:tc>
        <w:tc>
          <w:tcPr>
            <w:tcW w:w="1775" w:type="dxa"/>
            <w:vMerge w:val="continue"/>
            <w:vAlign w:val="center"/>
          </w:tcPr>
          <w:p w14:paraId="73BA5CF3">
            <w:pPr>
              <w:jc w:val="center"/>
              <w:rPr>
                <w:rFonts w:ascii="宋体" w:hAnsi="宋体" w:cs="宋体"/>
                <w:szCs w:val="21"/>
              </w:rPr>
            </w:pPr>
          </w:p>
        </w:tc>
        <w:tc>
          <w:tcPr>
            <w:tcW w:w="1335" w:type="dxa"/>
            <w:vAlign w:val="center"/>
          </w:tcPr>
          <w:p w14:paraId="4B55C276">
            <w:pPr>
              <w:jc w:val="center"/>
              <w:rPr>
                <w:rFonts w:ascii="宋体" w:hAnsi="宋体" w:cs="宋体"/>
                <w:szCs w:val="21"/>
              </w:rPr>
            </w:pPr>
            <w:r>
              <w:rPr>
                <w:rFonts w:hint="eastAsia" w:ascii="宋体" w:hAnsi="宋体" w:cs="宋体"/>
                <w:szCs w:val="21"/>
              </w:rPr>
              <w:t>53</w:t>
            </w:r>
          </w:p>
        </w:tc>
        <w:tc>
          <w:tcPr>
            <w:tcW w:w="1230" w:type="dxa"/>
            <w:vAlign w:val="center"/>
          </w:tcPr>
          <w:p w14:paraId="7F24689B">
            <w:pPr>
              <w:jc w:val="center"/>
              <w:rPr>
                <w:rFonts w:ascii="宋体" w:hAnsi="宋体" w:cs="宋体"/>
                <w:szCs w:val="21"/>
              </w:rPr>
            </w:pPr>
            <w:r>
              <w:rPr>
                <w:rFonts w:hint="eastAsia" w:ascii="宋体" w:hAnsi="宋体" w:cs="宋体"/>
                <w:szCs w:val="21"/>
              </w:rPr>
              <w:t>6.0</w:t>
            </w:r>
          </w:p>
        </w:tc>
        <w:tc>
          <w:tcPr>
            <w:tcW w:w="1260" w:type="dxa"/>
            <w:vAlign w:val="center"/>
          </w:tcPr>
          <w:p w14:paraId="2B8C7D27">
            <w:pPr>
              <w:jc w:val="center"/>
              <w:rPr>
                <w:rFonts w:ascii="宋体" w:hAnsi="宋体" w:cs="宋体"/>
                <w:szCs w:val="21"/>
              </w:rPr>
            </w:pPr>
            <w:r>
              <w:rPr>
                <w:rFonts w:hint="eastAsia" w:ascii="宋体" w:hAnsi="宋体" w:cs="宋体"/>
                <w:szCs w:val="21"/>
              </w:rPr>
              <w:t>5.0</w:t>
            </w:r>
          </w:p>
        </w:tc>
      </w:tr>
      <w:tr w14:paraId="034CF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0FD45B3">
            <w:pPr>
              <w:jc w:val="center"/>
              <w:rPr>
                <w:rFonts w:ascii="宋体" w:hAnsi="宋体" w:cs="宋体"/>
                <w:szCs w:val="21"/>
              </w:rPr>
            </w:pPr>
            <w:r>
              <w:rPr>
                <w:rFonts w:hint="eastAsia" w:ascii="宋体" w:hAnsi="宋体" w:cs="宋体"/>
                <w:szCs w:val="21"/>
              </w:rPr>
              <w:t>102</w:t>
            </w:r>
          </w:p>
        </w:tc>
        <w:tc>
          <w:tcPr>
            <w:tcW w:w="2635" w:type="dxa"/>
            <w:vAlign w:val="center"/>
          </w:tcPr>
          <w:p w14:paraId="6E623810">
            <w:pPr>
              <w:jc w:val="center"/>
              <w:rPr>
                <w:rFonts w:ascii="宋体" w:hAnsi="宋体" w:cs="宋体"/>
                <w:szCs w:val="21"/>
              </w:rPr>
            </w:pPr>
            <w:r>
              <w:rPr>
                <w:rFonts w:hint="eastAsia" w:ascii="宋体" w:hAnsi="宋体" w:cs="宋体"/>
                <w:szCs w:val="21"/>
              </w:rPr>
              <w:t>第二高速公路</w:t>
            </w:r>
          </w:p>
          <w:p w14:paraId="6B1D1123">
            <w:pPr>
              <w:jc w:val="center"/>
              <w:rPr>
                <w:rFonts w:ascii="宋体" w:hAnsi="宋体" w:cs="宋体"/>
                <w:szCs w:val="21"/>
              </w:rPr>
            </w:pPr>
            <w:r>
              <w:rPr>
                <w:rFonts w:hint="eastAsia" w:ascii="宋体" w:hAnsi="宋体" w:cs="宋体"/>
                <w:szCs w:val="21"/>
              </w:rPr>
              <w:t>K6+920通道</w:t>
            </w:r>
          </w:p>
        </w:tc>
        <w:tc>
          <w:tcPr>
            <w:tcW w:w="1775" w:type="dxa"/>
            <w:vMerge w:val="continue"/>
            <w:vAlign w:val="center"/>
          </w:tcPr>
          <w:p w14:paraId="23ECF25B">
            <w:pPr>
              <w:jc w:val="center"/>
              <w:rPr>
                <w:rFonts w:ascii="宋体" w:hAnsi="宋体" w:cs="宋体"/>
                <w:szCs w:val="21"/>
              </w:rPr>
            </w:pPr>
          </w:p>
        </w:tc>
        <w:tc>
          <w:tcPr>
            <w:tcW w:w="1335" w:type="dxa"/>
            <w:vAlign w:val="center"/>
          </w:tcPr>
          <w:p w14:paraId="42A8E9E7">
            <w:pPr>
              <w:jc w:val="center"/>
              <w:rPr>
                <w:rFonts w:ascii="宋体" w:hAnsi="宋体" w:cs="宋体"/>
                <w:szCs w:val="21"/>
              </w:rPr>
            </w:pPr>
          </w:p>
          <w:p w14:paraId="67B7AF5C">
            <w:pPr>
              <w:jc w:val="center"/>
              <w:rPr>
                <w:rFonts w:ascii="宋体" w:hAnsi="宋体" w:cs="宋体"/>
                <w:szCs w:val="21"/>
              </w:rPr>
            </w:pPr>
            <w:r>
              <w:rPr>
                <w:rFonts w:hint="eastAsia" w:ascii="宋体" w:hAnsi="宋体" w:cs="宋体"/>
                <w:szCs w:val="21"/>
              </w:rPr>
              <w:t>46</w:t>
            </w:r>
          </w:p>
        </w:tc>
        <w:tc>
          <w:tcPr>
            <w:tcW w:w="1230" w:type="dxa"/>
            <w:vAlign w:val="center"/>
          </w:tcPr>
          <w:p w14:paraId="0D8B13FE">
            <w:pPr>
              <w:jc w:val="center"/>
              <w:rPr>
                <w:rFonts w:ascii="宋体" w:hAnsi="宋体" w:cs="宋体"/>
                <w:szCs w:val="21"/>
              </w:rPr>
            </w:pPr>
            <w:r>
              <w:rPr>
                <w:rFonts w:hint="eastAsia" w:ascii="宋体" w:hAnsi="宋体" w:cs="宋体"/>
                <w:szCs w:val="21"/>
              </w:rPr>
              <w:t>6.0</w:t>
            </w:r>
          </w:p>
        </w:tc>
        <w:tc>
          <w:tcPr>
            <w:tcW w:w="1260" w:type="dxa"/>
            <w:vAlign w:val="center"/>
          </w:tcPr>
          <w:p w14:paraId="51D0041A">
            <w:pPr>
              <w:jc w:val="center"/>
              <w:rPr>
                <w:rFonts w:ascii="宋体" w:hAnsi="宋体" w:cs="宋体"/>
                <w:szCs w:val="21"/>
              </w:rPr>
            </w:pPr>
            <w:r>
              <w:rPr>
                <w:rFonts w:hint="eastAsia" w:ascii="宋体" w:hAnsi="宋体" w:cs="宋体"/>
                <w:szCs w:val="21"/>
              </w:rPr>
              <w:t>5.0</w:t>
            </w:r>
          </w:p>
        </w:tc>
      </w:tr>
      <w:tr w14:paraId="3EBB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440B868">
            <w:pPr>
              <w:jc w:val="center"/>
              <w:rPr>
                <w:rFonts w:ascii="宋体" w:hAnsi="宋体" w:cs="宋体"/>
                <w:szCs w:val="21"/>
              </w:rPr>
            </w:pPr>
            <w:r>
              <w:rPr>
                <w:rFonts w:hint="eastAsia" w:ascii="宋体" w:hAnsi="宋体" w:cs="宋体"/>
                <w:szCs w:val="21"/>
              </w:rPr>
              <w:t>103</w:t>
            </w:r>
          </w:p>
        </w:tc>
        <w:tc>
          <w:tcPr>
            <w:tcW w:w="2635" w:type="dxa"/>
            <w:vAlign w:val="center"/>
          </w:tcPr>
          <w:p w14:paraId="12FAEE09">
            <w:pPr>
              <w:jc w:val="center"/>
              <w:rPr>
                <w:rFonts w:ascii="宋体" w:hAnsi="宋体" w:cs="宋体"/>
                <w:szCs w:val="21"/>
              </w:rPr>
            </w:pPr>
            <w:r>
              <w:rPr>
                <w:rFonts w:hint="eastAsia" w:ascii="宋体" w:hAnsi="宋体" w:cs="宋体"/>
                <w:szCs w:val="21"/>
              </w:rPr>
              <w:t>第二高速公路</w:t>
            </w:r>
          </w:p>
          <w:p w14:paraId="057A25DB">
            <w:pPr>
              <w:jc w:val="center"/>
              <w:rPr>
                <w:rFonts w:ascii="宋体" w:hAnsi="宋体" w:cs="宋体"/>
                <w:szCs w:val="21"/>
              </w:rPr>
            </w:pPr>
            <w:r>
              <w:rPr>
                <w:rFonts w:hint="eastAsia" w:ascii="宋体" w:hAnsi="宋体" w:cs="宋体"/>
                <w:szCs w:val="21"/>
              </w:rPr>
              <w:t>K7+069通道</w:t>
            </w:r>
          </w:p>
        </w:tc>
        <w:tc>
          <w:tcPr>
            <w:tcW w:w="1775" w:type="dxa"/>
            <w:vMerge w:val="continue"/>
            <w:vAlign w:val="center"/>
          </w:tcPr>
          <w:p w14:paraId="73272ACA">
            <w:pPr>
              <w:jc w:val="center"/>
              <w:rPr>
                <w:rFonts w:ascii="宋体" w:hAnsi="宋体" w:cs="宋体"/>
                <w:szCs w:val="21"/>
              </w:rPr>
            </w:pPr>
          </w:p>
        </w:tc>
        <w:tc>
          <w:tcPr>
            <w:tcW w:w="1335" w:type="dxa"/>
            <w:vAlign w:val="center"/>
          </w:tcPr>
          <w:p w14:paraId="71EA403B">
            <w:pPr>
              <w:jc w:val="center"/>
              <w:rPr>
                <w:rFonts w:ascii="宋体" w:hAnsi="宋体" w:cs="宋体"/>
                <w:szCs w:val="21"/>
              </w:rPr>
            </w:pPr>
            <w:r>
              <w:rPr>
                <w:rFonts w:hint="eastAsia" w:ascii="宋体" w:hAnsi="宋体" w:cs="宋体"/>
                <w:szCs w:val="21"/>
              </w:rPr>
              <w:t>45</w:t>
            </w:r>
          </w:p>
        </w:tc>
        <w:tc>
          <w:tcPr>
            <w:tcW w:w="1230" w:type="dxa"/>
            <w:vAlign w:val="center"/>
          </w:tcPr>
          <w:p w14:paraId="0680F3DD">
            <w:pPr>
              <w:jc w:val="center"/>
              <w:rPr>
                <w:rFonts w:ascii="宋体" w:hAnsi="宋体" w:cs="宋体"/>
                <w:szCs w:val="21"/>
              </w:rPr>
            </w:pPr>
            <w:r>
              <w:rPr>
                <w:rFonts w:hint="eastAsia" w:ascii="宋体" w:hAnsi="宋体" w:cs="宋体"/>
                <w:szCs w:val="21"/>
              </w:rPr>
              <w:t>6.0</w:t>
            </w:r>
          </w:p>
        </w:tc>
        <w:tc>
          <w:tcPr>
            <w:tcW w:w="1260" w:type="dxa"/>
            <w:vAlign w:val="center"/>
          </w:tcPr>
          <w:p w14:paraId="5FBED1A1">
            <w:pPr>
              <w:jc w:val="center"/>
              <w:rPr>
                <w:rFonts w:ascii="宋体" w:hAnsi="宋体" w:cs="宋体"/>
                <w:szCs w:val="21"/>
              </w:rPr>
            </w:pPr>
            <w:r>
              <w:rPr>
                <w:rFonts w:hint="eastAsia" w:ascii="宋体" w:hAnsi="宋体" w:cs="宋体"/>
                <w:szCs w:val="21"/>
              </w:rPr>
              <w:t>5.0</w:t>
            </w:r>
          </w:p>
        </w:tc>
      </w:tr>
      <w:tr w14:paraId="0D6CA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2F54486">
            <w:pPr>
              <w:jc w:val="center"/>
              <w:rPr>
                <w:rFonts w:ascii="宋体" w:hAnsi="宋体" w:cs="宋体"/>
                <w:szCs w:val="21"/>
              </w:rPr>
            </w:pPr>
            <w:r>
              <w:rPr>
                <w:rFonts w:hint="eastAsia" w:ascii="宋体" w:hAnsi="宋体" w:cs="宋体"/>
                <w:szCs w:val="21"/>
              </w:rPr>
              <w:t>104</w:t>
            </w:r>
          </w:p>
        </w:tc>
        <w:tc>
          <w:tcPr>
            <w:tcW w:w="2635" w:type="dxa"/>
            <w:vAlign w:val="center"/>
          </w:tcPr>
          <w:p w14:paraId="54F401D2">
            <w:pPr>
              <w:jc w:val="center"/>
              <w:rPr>
                <w:rFonts w:ascii="宋体" w:hAnsi="宋体" w:cs="宋体"/>
                <w:szCs w:val="21"/>
              </w:rPr>
            </w:pPr>
            <w:r>
              <w:rPr>
                <w:rFonts w:hint="eastAsia" w:ascii="宋体" w:hAnsi="宋体" w:cs="宋体"/>
                <w:szCs w:val="21"/>
              </w:rPr>
              <w:t>第二高速公路</w:t>
            </w:r>
          </w:p>
          <w:p w14:paraId="79A80FF0">
            <w:pPr>
              <w:jc w:val="center"/>
              <w:rPr>
                <w:rFonts w:ascii="宋体" w:hAnsi="宋体" w:cs="宋体"/>
                <w:szCs w:val="21"/>
              </w:rPr>
            </w:pPr>
            <w:r>
              <w:rPr>
                <w:rFonts w:hint="eastAsia" w:ascii="宋体" w:hAnsi="宋体" w:cs="宋体"/>
                <w:szCs w:val="21"/>
              </w:rPr>
              <w:t>K7+560通道</w:t>
            </w:r>
          </w:p>
        </w:tc>
        <w:tc>
          <w:tcPr>
            <w:tcW w:w="1775" w:type="dxa"/>
            <w:vMerge w:val="continue"/>
            <w:vAlign w:val="center"/>
          </w:tcPr>
          <w:p w14:paraId="79FC27D3">
            <w:pPr>
              <w:jc w:val="center"/>
              <w:rPr>
                <w:rFonts w:ascii="宋体" w:hAnsi="宋体" w:cs="宋体"/>
                <w:szCs w:val="21"/>
              </w:rPr>
            </w:pPr>
          </w:p>
        </w:tc>
        <w:tc>
          <w:tcPr>
            <w:tcW w:w="1335" w:type="dxa"/>
            <w:vAlign w:val="center"/>
          </w:tcPr>
          <w:p w14:paraId="25C4D135">
            <w:pPr>
              <w:jc w:val="center"/>
              <w:rPr>
                <w:rFonts w:ascii="宋体" w:hAnsi="宋体" w:cs="宋体"/>
                <w:szCs w:val="21"/>
              </w:rPr>
            </w:pPr>
            <w:r>
              <w:rPr>
                <w:rFonts w:hint="eastAsia" w:ascii="宋体" w:hAnsi="宋体" w:cs="宋体"/>
                <w:szCs w:val="21"/>
              </w:rPr>
              <w:t>52</w:t>
            </w:r>
          </w:p>
        </w:tc>
        <w:tc>
          <w:tcPr>
            <w:tcW w:w="1230" w:type="dxa"/>
            <w:vAlign w:val="center"/>
          </w:tcPr>
          <w:p w14:paraId="48287879">
            <w:pPr>
              <w:jc w:val="center"/>
              <w:rPr>
                <w:rFonts w:ascii="宋体" w:hAnsi="宋体" w:cs="宋体"/>
                <w:szCs w:val="21"/>
              </w:rPr>
            </w:pPr>
            <w:r>
              <w:rPr>
                <w:rFonts w:hint="eastAsia" w:ascii="宋体" w:hAnsi="宋体" w:cs="宋体"/>
                <w:szCs w:val="21"/>
              </w:rPr>
              <w:t>6.0</w:t>
            </w:r>
          </w:p>
        </w:tc>
        <w:tc>
          <w:tcPr>
            <w:tcW w:w="1260" w:type="dxa"/>
            <w:vAlign w:val="center"/>
          </w:tcPr>
          <w:p w14:paraId="3D5AF10B">
            <w:pPr>
              <w:jc w:val="center"/>
              <w:rPr>
                <w:rFonts w:ascii="宋体" w:hAnsi="宋体" w:cs="宋体"/>
                <w:szCs w:val="21"/>
              </w:rPr>
            </w:pPr>
            <w:r>
              <w:rPr>
                <w:rFonts w:hint="eastAsia" w:ascii="宋体" w:hAnsi="宋体" w:cs="宋体"/>
                <w:szCs w:val="21"/>
              </w:rPr>
              <w:t>5.0</w:t>
            </w:r>
          </w:p>
        </w:tc>
      </w:tr>
      <w:tr w14:paraId="23BC2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D769B63">
            <w:pPr>
              <w:jc w:val="center"/>
              <w:rPr>
                <w:rFonts w:ascii="宋体" w:hAnsi="宋体" w:cs="宋体"/>
                <w:szCs w:val="21"/>
              </w:rPr>
            </w:pPr>
            <w:r>
              <w:rPr>
                <w:rFonts w:hint="eastAsia" w:ascii="宋体" w:hAnsi="宋体" w:cs="宋体"/>
                <w:szCs w:val="21"/>
              </w:rPr>
              <w:t>105</w:t>
            </w:r>
          </w:p>
        </w:tc>
        <w:tc>
          <w:tcPr>
            <w:tcW w:w="2635" w:type="dxa"/>
            <w:vAlign w:val="center"/>
          </w:tcPr>
          <w:p w14:paraId="3D31EE7E">
            <w:pPr>
              <w:jc w:val="center"/>
              <w:rPr>
                <w:rFonts w:ascii="宋体" w:hAnsi="宋体" w:cs="宋体"/>
                <w:szCs w:val="21"/>
              </w:rPr>
            </w:pPr>
            <w:r>
              <w:rPr>
                <w:rFonts w:hint="eastAsia" w:ascii="宋体" w:hAnsi="宋体" w:cs="宋体"/>
                <w:szCs w:val="21"/>
              </w:rPr>
              <w:t>第二高速公路</w:t>
            </w:r>
          </w:p>
          <w:p w14:paraId="6803E2B5">
            <w:pPr>
              <w:jc w:val="center"/>
              <w:rPr>
                <w:rFonts w:ascii="宋体" w:hAnsi="宋体" w:cs="宋体"/>
                <w:szCs w:val="21"/>
              </w:rPr>
            </w:pPr>
            <w:r>
              <w:rPr>
                <w:rFonts w:hint="eastAsia" w:ascii="宋体" w:hAnsi="宋体" w:cs="宋体"/>
                <w:szCs w:val="21"/>
              </w:rPr>
              <w:t>K7+920通道</w:t>
            </w:r>
          </w:p>
        </w:tc>
        <w:tc>
          <w:tcPr>
            <w:tcW w:w="1775" w:type="dxa"/>
            <w:vMerge w:val="continue"/>
            <w:vAlign w:val="center"/>
          </w:tcPr>
          <w:p w14:paraId="7FA5FD5C">
            <w:pPr>
              <w:jc w:val="center"/>
              <w:rPr>
                <w:rFonts w:ascii="宋体" w:hAnsi="宋体" w:cs="宋体"/>
                <w:szCs w:val="21"/>
              </w:rPr>
            </w:pPr>
          </w:p>
        </w:tc>
        <w:tc>
          <w:tcPr>
            <w:tcW w:w="1335" w:type="dxa"/>
            <w:vAlign w:val="center"/>
          </w:tcPr>
          <w:p w14:paraId="320D1EE0">
            <w:pPr>
              <w:jc w:val="center"/>
              <w:rPr>
                <w:rFonts w:ascii="宋体" w:hAnsi="宋体" w:cs="宋体"/>
                <w:szCs w:val="21"/>
              </w:rPr>
            </w:pPr>
            <w:r>
              <w:rPr>
                <w:rFonts w:hint="eastAsia" w:ascii="宋体" w:hAnsi="宋体" w:cs="宋体"/>
                <w:szCs w:val="21"/>
              </w:rPr>
              <w:t>51</w:t>
            </w:r>
          </w:p>
        </w:tc>
        <w:tc>
          <w:tcPr>
            <w:tcW w:w="1230" w:type="dxa"/>
            <w:vAlign w:val="center"/>
          </w:tcPr>
          <w:p w14:paraId="184D769F">
            <w:pPr>
              <w:jc w:val="center"/>
              <w:rPr>
                <w:rFonts w:ascii="宋体" w:hAnsi="宋体" w:cs="宋体"/>
                <w:szCs w:val="21"/>
              </w:rPr>
            </w:pPr>
            <w:r>
              <w:rPr>
                <w:rFonts w:hint="eastAsia" w:ascii="宋体" w:hAnsi="宋体" w:cs="宋体"/>
                <w:szCs w:val="21"/>
              </w:rPr>
              <w:t>6.0</w:t>
            </w:r>
          </w:p>
        </w:tc>
        <w:tc>
          <w:tcPr>
            <w:tcW w:w="1260" w:type="dxa"/>
            <w:vAlign w:val="center"/>
          </w:tcPr>
          <w:p w14:paraId="0497CD87">
            <w:pPr>
              <w:jc w:val="center"/>
              <w:rPr>
                <w:rFonts w:ascii="宋体" w:hAnsi="宋体" w:cs="宋体"/>
                <w:szCs w:val="21"/>
              </w:rPr>
            </w:pPr>
            <w:r>
              <w:rPr>
                <w:rFonts w:hint="eastAsia" w:ascii="宋体" w:hAnsi="宋体" w:cs="宋体"/>
                <w:szCs w:val="21"/>
              </w:rPr>
              <w:t>5.0</w:t>
            </w:r>
          </w:p>
        </w:tc>
      </w:tr>
      <w:tr w14:paraId="4D183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361DCE1">
            <w:pPr>
              <w:jc w:val="center"/>
              <w:rPr>
                <w:rFonts w:ascii="宋体" w:hAnsi="宋体" w:cs="宋体"/>
                <w:szCs w:val="21"/>
              </w:rPr>
            </w:pPr>
            <w:r>
              <w:rPr>
                <w:rFonts w:hint="eastAsia" w:ascii="宋体" w:hAnsi="宋体" w:cs="宋体"/>
                <w:szCs w:val="21"/>
              </w:rPr>
              <w:t>106</w:t>
            </w:r>
          </w:p>
        </w:tc>
        <w:tc>
          <w:tcPr>
            <w:tcW w:w="2635" w:type="dxa"/>
            <w:vAlign w:val="center"/>
          </w:tcPr>
          <w:p w14:paraId="1C5068C3">
            <w:pPr>
              <w:jc w:val="center"/>
              <w:rPr>
                <w:rFonts w:ascii="宋体" w:hAnsi="宋体" w:cs="宋体"/>
                <w:szCs w:val="21"/>
              </w:rPr>
            </w:pPr>
            <w:r>
              <w:rPr>
                <w:rFonts w:hint="eastAsia" w:ascii="宋体" w:hAnsi="宋体" w:cs="宋体"/>
                <w:szCs w:val="21"/>
              </w:rPr>
              <w:t>第二高速公路</w:t>
            </w:r>
          </w:p>
          <w:p w14:paraId="7BEC0DDB">
            <w:pPr>
              <w:jc w:val="center"/>
              <w:rPr>
                <w:rFonts w:ascii="宋体" w:hAnsi="宋体" w:cs="宋体"/>
                <w:szCs w:val="21"/>
              </w:rPr>
            </w:pPr>
            <w:r>
              <w:rPr>
                <w:rFonts w:hint="eastAsia" w:ascii="宋体" w:hAnsi="宋体" w:cs="宋体"/>
                <w:szCs w:val="21"/>
              </w:rPr>
              <w:t>K8+230通道</w:t>
            </w:r>
          </w:p>
        </w:tc>
        <w:tc>
          <w:tcPr>
            <w:tcW w:w="1775" w:type="dxa"/>
            <w:vMerge w:val="continue"/>
            <w:vAlign w:val="center"/>
          </w:tcPr>
          <w:p w14:paraId="269D944F">
            <w:pPr>
              <w:jc w:val="center"/>
              <w:rPr>
                <w:rFonts w:ascii="宋体" w:hAnsi="宋体" w:cs="宋体"/>
                <w:szCs w:val="21"/>
              </w:rPr>
            </w:pPr>
          </w:p>
        </w:tc>
        <w:tc>
          <w:tcPr>
            <w:tcW w:w="1335" w:type="dxa"/>
            <w:vAlign w:val="center"/>
          </w:tcPr>
          <w:p w14:paraId="4D4F4625">
            <w:pPr>
              <w:jc w:val="center"/>
              <w:rPr>
                <w:rFonts w:ascii="宋体" w:hAnsi="宋体" w:cs="宋体"/>
                <w:szCs w:val="21"/>
              </w:rPr>
            </w:pPr>
            <w:r>
              <w:rPr>
                <w:rFonts w:hint="eastAsia" w:ascii="宋体" w:hAnsi="宋体" w:cs="宋体"/>
                <w:szCs w:val="21"/>
              </w:rPr>
              <w:t>48</w:t>
            </w:r>
          </w:p>
        </w:tc>
        <w:tc>
          <w:tcPr>
            <w:tcW w:w="1230" w:type="dxa"/>
            <w:vAlign w:val="center"/>
          </w:tcPr>
          <w:p w14:paraId="7A733284">
            <w:pPr>
              <w:jc w:val="center"/>
              <w:rPr>
                <w:rFonts w:ascii="宋体" w:hAnsi="宋体" w:cs="宋体"/>
                <w:szCs w:val="21"/>
              </w:rPr>
            </w:pPr>
            <w:r>
              <w:rPr>
                <w:rFonts w:hint="eastAsia" w:ascii="宋体" w:hAnsi="宋体" w:cs="宋体"/>
                <w:szCs w:val="21"/>
              </w:rPr>
              <w:t>6.0</w:t>
            </w:r>
          </w:p>
        </w:tc>
        <w:tc>
          <w:tcPr>
            <w:tcW w:w="1260" w:type="dxa"/>
            <w:vAlign w:val="center"/>
          </w:tcPr>
          <w:p w14:paraId="3DFDD8C6">
            <w:pPr>
              <w:jc w:val="center"/>
              <w:rPr>
                <w:rFonts w:ascii="宋体" w:hAnsi="宋体" w:cs="宋体"/>
                <w:szCs w:val="21"/>
              </w:rPr>
            </w:pPr>
            <w:r>
              <w:rPr>
                <w:rFonts w:hint="eastAsia" w:ascii="宋体" w:hAnsi="宋体" w:cs="宋体"/>
                <w:szCs w:val="21"/>
              </w:rPr>
              <w:t>5.0</w:t>
            </w:r>
          </w:p>
        </w:tc>
      </w:tr>
      <w:tr w14:paraId="31D16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CAEB1A4">
            <w:pPr>
              <w:jc w:val="center"/>
              <w:rPr>
                <w:rFonts w:ascii="宋体" w:hAnsi="宋体" w:cs="宋体"/>
                <w:szCs w:val="21"/>
              </w:rPr>
            </w:pPr>
            <w:r>
              <w:rPr>
                <w:rFonts w:hint="eastAsia" w:ascii="宋体" w:hAnsi="宋体" w:cs="宋体"/>
                <w:szCs w:val="21"/>
              </w:rPr>
              <w:t>107</w:t>
            </w:r>
          </w:p>
        </w:tc>
        <w:tc>
          <w:tcPr>
            <w:tcW w:w="2635" w:type="dxa"/>
            <w:vAlign w:val="center"/>
          </w:tcPr>
          <w:p w14:paraId="6472343A">
            <w:pPr>
              <w:jc w:val="center"/>
              <w:rPr>
                <w:rFonts w:ascii="宋体" w:hAnsi="宋体" w:cs="宋体"/>
                <w:szCs w:val="21"/>
              </w:rPr>
            </w:pPr>
            <w:r>
              <w:rPr>
                <w:rFonts w:hint="eastAsia" w:ascii="宋体" w:hAnsi="宋体" w:cs="宋体"/>
                <w:szCs w:val="21"/>
              </w:rPr>
              <w:t>第二高速公路</w:t>
            </w:r>
          </w:p>
          <w:p w14:paraId="16D417AE">
            <w:pPr>
              <w:jc w:val="center"/>
              <w:rPr>
                <w:rFonts w:ascii="宋体" w:hAnsi="宋体" w:cs="宋体"/>
                <w:szCs w:val="21"/>
              </w:rPr>
            </w:pPr>
            <w:r>
              <w:rPr>
                <w:rFonts w:hint="eastAsia" w:ascii="宋体" w:hAnsi="宋体" w:cs="宋体"/>
                <w:szCs w:val="21"/>
              </w:rPr>
              <w:t>K9+740通道</w:t>
            </w:r>
          </w:p>
        </w:tc>
        <w:tc>
          <w:tcPr>
            <w:tcW w:w="1775" w:type="dxa"/>
            <w:vMerge w:val="continue"/>
            <w:vAlign w:val="center"/>
          </w:tcPr>
          <w:p w14:paraId="68885ABA">
            <w:pPr>
              <w:jc w:val="center"/>
              <w:rPr>
                <w:rFonts w:ascii="宋体" w:hAnsi="宋体" w:cs="宋体"/>
                <w:szCs w:val="21"/>
              </w:rPr>
            </w:pPr>
          </w:p>
        </w:tc>
        <w:tc>
          <w:tcPr>
            <w:tcW w:w="1335" w:type="dxa"/>
            <w:vAlign w:val="center"/>
          </w:tcPr>
          <w:p w14:paraId="79B1CAF1">
            <w:pPr>
              <w:jc w:val="center"/>
              <w:rPr>
                <w:rFonts w:ascii="宋体" w:hAnsi="宋体" w:cs="宋体"/>
                <w:szCs w:val="21"/>
              </w:rPr>
            </w:pPr>
            <w:r>
              <w:rPr>
                <w:rFonts w:hint="eastAsia" w:ascii="宋体" w:hAnsi="宋体" w:cs="宋体"/>
                <w:szCs w:val="21"/>
              </w:rPr>
              <w:t>46</w:t>
            </w:r>
          </w:p>
        </w:tc>
        <w:tc>
          <w:tcPr>
            <w:tcW w:w="1230" w:type="dxa"/>
            <w:vAlign w:val="center"/>
          </w:tcPr>
          <w:p w14:paraId="7B581E11">
            <w:pPr>
              <w:jc w:val="center"/>
              <w:rPr>
                <w:rFonts w:ascii="宋体" w:hAnsi="宋体" w:cs="宋体"/>
                <w:szCs w:val="21"/>
              </w:rPr>
            </w:pPr>
            <w:r>
              <w:rPr>
                <w:rFonts w:hint="eastAsia" w:ascii="宋体" w:hAnsi="宋体" w:cs="宋体"/>
                <w:szCs w:val="21"/>
              </w:rPr>
              <w:t>6.0</w:t>
            </w:r>
          </w:p>
        </w:tc>
        <w:tc>
          <w:tcPr>
            <w:tcW w:w="1260" w:type="dxa"/>
            <w:vAlign w:val="center"/>
          </w:tcPr>
          <w:p w14:paraId="6D578022">
            <w:pPr>
              <w:jc w:val="center"/>
              <w:rPr>
                <w:rFonts w:ascii="宋体" w:hAnsi="宋体" w:cs="宋体"/>
                <w:szCs w:val="21"/>
              </w:rPr>
            </w:pPr>
            <w:r>
              <w:rPr>
                <w:rFonts w:hint="eastAsia" w:ascii="宋体" w:hAnsi="宋体" w:cs="宋体"/>
                <w:szCs w:val="21"/>
              </w:rPr>
              <w:t>5.0</w:t>
            </w:r>
          </w:p>
        </w:tc>
      </w:tr>
      <w:tr w14:paraId="53209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FB78C96">
            <w:pPr>
              <w:jc w:val="center"/>
              <w:rPr>
                <w:rFonts w:ascii="宋体" w:hAnsi="宋体" w:cs="宋体"/>
                <w:szCs w:val="21"/>
              </w:rPr>
            </w:pPr>
            <w:r>
              <w:rPr>
                <w:rFonts w:hint="eastAsia" w:ascii="宋体" w:hAnsi="宋体" w:cs="宋体"/>
                <w:szCs w:val="21"/>
              </w:rPr>
              <w:t>108</w:t>
            </w:r>
          </w:p>
        </w:tc>
        <w:tc>
          <w:tcPr>
            <w:tcW w:w="2635" w:type="dxa"/>
            <w:vAlign w:val="center"/>
          </w:tcPr>
          <w:p w14:paraId="5EDE0660">
            <w:pPr>
              <w:jc w:val="center"/>
              <w:rPr>
                <w:rFonts w:ascii="宋体" w:hAnsi="宋体" w:cs="宋体"/>
                <w:szCs w:val="21"/>
              </w:rPr>
            </w:pPr>
            <w:r>
              <w:rPr>
                <w:rFonts w:hint="eastAsia" w:ascii="宋体" w:hAnsi="宋体" w:cs="宋体"/>
                <w:szCs w:val="21"/>
              </w:rPr>
              <w:t>第二高速公路</w:t>
            </w:r>
          </w:p>
          <w:p w14:paraId="569C641D">
            <w:pPr>
              <w:jc w:val="center"/>
              <w:rPr>
                <w:rFonts w:ascii="宋体" w:hAnsi="宋体" w:cs="宋体"/>
                <w:szCs w:val="21"/>
              </w:rPr>
            </w:pPr>
            <w:r>
              <w:rPr>
                <w:rFonts w:hint="eastAsia" w:ascii="宋体" w:hAnsi="宋体" w:cs="宋体"/>
                <w:szCs w:val="21"/>
              </w:rPr>
              <w:t>K10+860通道</w:t>
            </w:r>
          </w:p>
        </w:tc>
        <w:tc>
          <w:tcPr>
            <w:tcW w:w="1775" w:type="dxa"/>
            <w:vMerge w:val="restart"/>
            <w:vAlign w:val="center"/>
          </w:tcPr>
          <w:p w14:paraId="335FA0D4">
            <w:pPr>
              <w:jc w:val="center"/>
              <w:rPr>
                <w:rFonts w:ascii="宋体" w:hAnsi="宋体" w:cs="宋体"/>
                <w:szCs w:val="21"/>
              </w:rPr>
            </w:pPr>
            <w:r>
              <w:rPr>
                <w:rFonts w:hint="eastAsia" w:ascii="宋体" w:hAnsi="宋体" w:cs="宋体"/>
                <w:szCs w:val="21"/>
              </w:rPr>
              <w:t>南宁吴圩机场第二高速公路</w:t>
            </w:r>
          </w:p>
        </w:tc>
        <w:tc>
          <w:tcPr>
            <w:tcW w:w="1335" w:type="dxa"/>
            <w:vAlign w:val="center"/>
          </w:tcPr>
          <w:p w14:paraId="62DD8BB3">
            <w:pPr>
              <w:jc w:val="center"/>
              <w:rPr>
                <w:rFonts w:ascii="宋体" w:hAnsi="宋体" w:cs="宋体"/>
                <w:szCs w:val="21"/>
              </w:rPr>
            </w:pPr>
            <w:r>
              <w:rPr>
                <w:rFonts w:hint="eastAsia" w:ascii="宋体" w:hAnsi="宋体" w:cs="宋体"/>
                <w:szCs w:val="21"/>
              </w:rPr>
              <w:t>55</w:t>
            </w:r>
          </w:p>
        </w:tc>
        <w:tc>
          <w:tcPr>
            <w:tcW w:w="1230" w:type="dxa"/>
            <w:vAlign w:val="center"/>
          </w:tcPr>
          <w:p w14:paraId="07983616">
            <w:pPr>
              <w:jc w:val="center"/>
              <w:rPr>
                <w:rFonts w:ascii="宋体" w:hAnsi="宋体" w:cs="宋体"/>
                <w:szCs w:val="21"/>
              </w:rPr>
            </w:pPr>
            <w:r>
              <w:rPr>
                <w:rFonts w:hint="eastAsia" w:ascii="宋体" w:hAnsi="宋体" w:cs="宋体"/>
                <w:szCs w:val="21"/>
              </w:rPr>
              <w:t>6.0</w:t>
            </w:r>
          </w:p>
        </w:tc>
        <w:tc>
          <w:tcPr>
            <w:tcW w:w="1260" w:type="dxa"/>
            <w:vAlign w:val="center"/>
          </w:tcPr>
          <w:p w14:paraId="02915F27">
            <w:pPr>
              <w:jc w:val="center"/>
              <w:rPr>
                <w:rFonts w:ascii="宋体" w:hAnsi="宋体" w:cs="宋体"/>
                <w:szCs w:val="21"/>
              </w:rPr>
            </w:pPr>
            <w:r>
              <w:rPr>
                <w:rFonts w:hint="eastAsia" w:ascii="宋体" w:hAnsi="宋体" w:cs="宋体"/>
                <w:szCs w:val="21"/>
              </w:rPr>
              <w:t>5.0</w:t>
            </w:r>
          </w:p>
        </w:tc>
      </w:tr>
      <w:tr w14:paraId="67A52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ECEB372">
            <w:pPr>
              <w:jc w:val="center"/>
              <w:rPr>
                <w:rFonts w:ascii="宋体" w:hAnsi="宋体" w:cs="宋体"/>
                <w:szCs w:val="21"/>
              </w:rPr>
            </w:pPr>
            <w:r>
              <w:rPr>
                <w:rFonts w:hint="eastAsia" w:ascii="宋体" w:hAnsi="宋体" w:cs="宋体"/>
                <w:szCs w:val="21"/>
              </w:rPr>
              <w:t>109</w:t>
            </w:r>
          </w:p>
        </w:tc>
        <w:tc>
          <w:tcPr>
            <w:tcW w:w="2635" w:type="dxa"/>
            <w:vAlign w:val="center"/>
          </w:tcPr>
          <w:p w14:paraId="4BD6A06A">
            <w:pPr>
              <w:jc w:val="center"/>
              <w:rPr>
                <w:rFonts w:ascii="宋体" w:hAnsi="宋体" w:cs="宋体"/>
                <w:szCs w:val="21"/>
              </w:rPr>
            </w:pPr>
            <w:r>
              <w:rPr>
                <w:rFonts w:hint="eastAsia" w:ascii="宋体" w:hAnsi="宋体" w:cs="宋体"/>
                <w:szCs w:val="21"/>
              </w:rPr>
              <w:t>第二高速公路</w:t>
            </w:r>
          </w:p>
          <w:p w14:paraId="4CD53E00">
            <w:pPr>
              <w:jc w:val="center"/>
              <w:rPr>
                <w:rFonts w:ascii="宋体" w:hAnsi="宋体" w:cs="宋体"/>
                <w:szCs w:val="21"/>
              </w:rPr>
            </w:pPr>
            <w:r>
              <w:rPr>
                <w:rFonts w:hint="eastAsia" w:ascii="宋体" w:hAnsi="宋体" w:cs="宋体"/>
                <w:szCs w:val="21"/>
              </w:rPr>
              <w:t>K11+260通道</w:t>
            </w:r>
          </w:p>
        </w:tc>
        <w:tc>
          <w:tcPr>
            <w:tcW w:w="1775" w:type="dxa"/>
            <w:vMerge w:val="continue"/>
            <w:vAlign w:val="center"/>
          </w:tcPr>
          <w:p w14:paraId="506C2B76">
            <w:pPr>
              <w:jc w:val="center"/>
              <w:rPr>
                <w:rFonts w:ascii="宋体" w:hAnsi="宋体" w:cs="宋体"/>
                <w:szCs w:val="21"/>
              </w:rPr>
            </w:pPr>
          </w:p>
        </w:tc>
        <w:tc>
          <w:tcPr>
            <w:tcW w:w="1335" w:type="dxa"/>
            <w:vAlign w:val="center"/>
          </w:tcPr>
          <w:p w14:paraId="1AF90781">
            <w:pPr>
              <w:jc w:val="center"/>
              <w:rPr>
                <w:rFonts w:ascii="宋体" w:hAnsi="宋体" w:cs="宋体"/>
                <w:szCs w:val="21"/>
              </w:rPr>
            </w:pPr>
            <w:r>
              <w:rPr>
                <w:rFonts w:hint="eastAsia" w:ascii="宋体" w:hAnsi="宋体" w:cs="宋体"/>
                <w:szCs w:val="21"/>
              </w:rPr>
              <w:t>63</w:t>
            </w:r>
          </w:p>
        </w:tc>
        <w:tc>
          <w:tcPr>
            <w:tcW w:w="1230" w:type="dxa"/>
            <w:vAlign w:val="center"/>
          </w:tcPr>
          <w:p w14:paraId="0EB7DAF9">
            <w:pPr>
              <w:jc w:val="center"/>
              <w:rPr>
                <w:rFonts w:ascii="宋体" w:hAnsi="宋体" w:cs="宋体"/>
                <w:szCs w:val="21"/>
              </w:rPr>
            </w:pPr>
            <w:r>
              <w:rPr>
                <w:rFonts w:hint="eastAsia" w:ascii="宋体" w:hAnsi="宋体" w:cs="宋体"/>
                <w:szCs w:val="21"/>
              </w:rPr>
              <w:t>6.0</w:t>
            </w:r>
          </w:p>
        </w:tc>
        <w:tc>
          <w:tcPr>
            <w:tcW w:w="1260" w:type="dxa"/>
            <w:vAlign w:val="center"/>
          </w:tcPr>
          <w:p w14:paraId="6A4E2AF0">
            <w:pPr>
              <w:jc w:val="center"/>
              <w:rPr>
                <w:rFonts w:ascii="宋体" w:hAnsi="宋体" w:cs="宋体"/>
                <w:szCs w:val="21"/>
              </w:rPr>
            </w:pPr>
            <w:r>
              <w:rPr>
                <w:rFonts w:hint="eastAsia" w:ascii="宋体" w:hAnsi="宋体" w:cs="宋体"/>
                <w:szCs w:val="21"/>
              </w:rPr>
              <w:t>5.0</w:t>
            </w:r>
          </w:p>
        </w:tc>
      </w:tr>
      <w:tr w14:paraId="123D8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2DE28A1">
            <w:pPr>
              <w:jc w:val="center"/>
              <w:rPr>
                <w:rFonts w:ascii="宋体" w:hAnsi="宋体" w:cs="宋体"/>
                <w:szCs w:val="21"/>
              </w:rPr>
            </w:pPr>
            <w:r>
              <w:rPr>
                <w:rFonts w:hint="eastAsia" w:ascii="宋体" w:hAnsi="宋体" w:cs="宋体"/>
                <w:szCs w:val="21"/>
              </w:rPr>
              <w:t>110</w:t>
            </w:r>
          </w:p>
        </w:tc>
        <w:tc>
          <w:tcPr>
            <w:tcW w:w="2635" w:type="dxa"/>
            <w:vAlign w:val="center"/>
          </w:tcPr>
          <w:p w14:paraId="4D7E82AD">
            <w:pPr>
              <w:jc w:val="center"/>
              <w:rPr>
                <w:rFonts w:ascii="宋体" w:hAnsi="宋体" w:cs="宋体"/>
                <w:szCs w:val="21"/>
              </w:rPr>
            </w:pPr>
            <w:r>
              <w:rPr>
                <w:rFonts w:hint="eastAsia" w:ascii="宋体" w:hAnsi="宋体" w:cs="宋体"/>
                <w:szCs w:val="21"/>
              </w:rPr>
              <w:t>第二高速公路</w:t>
            </w:r>
          </w:p>
          <w:p w14:paraId="315A93B1">
            <w:pPr>
              <w:jc w:val="center"/>
              <w:rPr>
                <w:rFonts w:ascii="宋体" w:hAnsi="宋体" w:cs="宋体"/>
                <w:szCs w:val="21"/>
              </w:rPr>
            </w:pPr>
            <w:r>
              <w:rPr>
                <w:rFonts w:hint="eastAsia" w:ascii="宋体" w:hAnsi="宋体" w:cs="宋体"/>
                <w:szCs w:val="21"/>
              </w:rPr>
              <w:t>K11+400通道</w:t>
            </w:r>
          </w:p>
        </w:tc>
        <w:tc>
          <w:tcPr>
            <w:tcW w:w="1775" w:type="dxa"/>
            <w:vMerge w:val="continue"/>
            <w:vAlign w:val="center"/>
          </w:tcPr>
          <w:p w14:paraId="47E68778">
            <w:pPr>
              <w:jc w:val="center"/>
              <w:rPr>
                <w:rFonts w:ascii="宋体" w:hAnsi="宋体" w:cs="宋体"/>
                <w:szCs w:val="21"/>
              </w:rPr>
            </w:pPr>
          </w:p>
        </w:tc>
        <w:tc>
          <w:tcPr>
            <w:tcW w:w="1335" w:type="dxa"/>
            <w:vAlign w:val="center"/>
          </w:tcPr>
          <w:p w14:paraId="655986FF">
            <w:pPr>
              <w:jc w:val="center"/>
              <w:rPr>
                <w:rFonts w:ascii="宋体" w:hAnsi="宋体" w:cs="宋体"/>
                <w:szCs w:val="21"/>
              </w:rPr>
            </w:pPr>
            <w:r>
              <w:rPr>
                <w:rFonts w:hint="eastAsia" w:ascii="宋体" w:hAnsi="宋体" w:cs="宋体"/>
                <w:szCs w:val="21"/>
              </w:rPr>
              <w:t>58</w:t>
            </w:r>
          </w:p>
        </w:tc>
        <w:tc>
          <w:tcPr>
            <w:tcW w:w="1230" w:type="dxa"/>
            <w:vAlign w:val="center"/>
          </w:tcPr>
          <w:p w14:paraId="5F9AC3E7">
            <w:pPr>
              <w:jc w:val="center"/>
              <w:rPr>
                <w:rFonts w:ascii="宋体" w:hAnsi="宋体" w:cs="宋体"/>
                <w:szCs w:val="21"/>
              </w:rPr>
            </w:pPr>
            <w:r>
              <w:rPr>
                <w:rFonts w:hint="eastAsia" w:ascii="宋体" w:hAnsi="宋体" w:cs="宋体"/>
                <w:szCs w:val="21"/>
              </w:rPr>
              <w:t>6.0</w:t>
            </w:r>
          </w:p>
        </w:tc>
        <w:tc>
          <w:tcPr>
            <w:tcW w:w="1260" w:type="dxa"/>
            <w:vAlign w:val="center"/>
          </w:tcPr>
          <w:p w14:paraId="3ABA5E81">
            <w:pPr>
              <w:jc w:val="center"/>
              <w:rPr>
                <w:rFonts w:ascii="宋体" w:hAnsi="宋体" w:cs="宋体"/>
                <w:szCs w:val="21"/>
              </w:rPr>
            </w:pPr>
            <w:r>
              <w:rPr>
                <w:rFonts w:hint="eastAsia" w:ascii="宋体" w:hAnsi="宋体" w:cs="宋体"/>
                <w:szCs w:val="21"/>
              </w:rPr>
              <w:t>5.0</w:t>
            </w:r>
          </w:p>
        </w:tc>
      </w:tr>
      <w:tr w14:paraId="42972A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5A003F6">
            <w:pPr>
              <w:jc w:val="center"/>
              <w:rPr>
                <w:rFonts w:ascii="宋体" w:hAnsi="宋体" w:cs="宋体"/>
                <w:szCs w:val="21"/>
              </w:rPr>
            </w:pPr>
            <w:r>
              <w:rPr>
                <w:rFonts w:hint="eastAsia" w:ascii="宋体" w:hAnsi="宋体" w:cs="宋体"/>
                <w:szCs w:val="21"/>
              </w:rPr>
              <w:t>111</w:t>
            </w:r>
          </w:p>
        </w:tc>
        <w:tc>
          <w:tcPr>
            <w:tcW w:w="2635" w:type="dxa"/>
            <w:vAlign w:val="center"/>
          </w:tcPr>
          <w:p w14:paraId="2910DB1D">
            <w:pPr>
              <w:jc w:val="center"/>
              <w:rPr>
                <w:rFonts w:ascii="宋体" w:hAnsi="宋体" w:cs="宋体"/>
                <w:szCs w:val="21"/>
              </w:rPr>
            </w:pPr>
            <w:r>
              <w:rPr>
                <w:rFonts w:hint="eastAsia" w:ascii="宋体" w:hAnsi="宋体" w:cs="宋体"/>
                <w:szCs w:val="21"/>
              </w:rPr>
              <w:t>第二高速公路</w:t>
            </w:r>
          </w:p>
          <w:p w14:paraId="14EC9185">
            <w:pPr>
              <w:jc w:val="center"/>
              <w:rPr>
                <w:rFonts w:ascii="宋体" w:hAnsi="宋体" w:cs="宋体"/>
                <w:szCs w:val="21"/>
              </w:rPr>
            </w:pPr>
            <w:r>
              <w:rPr>
                <w:rFonts w:hint="eastAsia" w:ascii="宋体" w:hAnsi="宋体" w:cs="宋体"/>
                <w:szCs w:val="21"/>
              </w:rPr>
              <w:t>K11+545通道</w:t>
            </w:r>
          </w:p>
        </w:tc>
        <w:tc>
          <w:tcPr>
            <w:tcW w:w="1775" w:type="dxa"/>
            <w:vMerge w:val="continue"/>
            <w:vAlign w:val="center"/>
          </w:tcPr>
          <w:p w14:paraId="0DE84043">
            <w:pPr>
              <w:jc w:val="center"/>
              <w:rPr>
                <w:rFonts w:ascii="宋体" w:hAnsi="宋体" w:cs="宋体"/>
                <w:szCs w:val="21"/>
              </w:rPr>
            </w:pPr>
          </w:p>
        </w:tc>
        <w:tc>
          <w:tcPr>
            <w:tcW w:w="1335" w:type="dxa"/>
            <w:vAlign w:val="center"/>
          </w:tcPr>
          <w:p w14:paraId="2C9929CB">
            <w:pPr>
              <w:jc w:val="center"/>
              <w:rPr>
                <w:rFonts w:ascii="宋体" w:hAnsi="宋体" w:cs="宋体"/>
                <w:szCs w:val="21"/>
              </w:rPr>
            </w:pPr>
            <w:r>
              <w:rPr>
                <w:rFonts w:hint="eastAsia" w:ascii="宋体" w:hAnsi="宋体" w:cs="宋体"/>
                <w:szCs w:val="21"/>
              </w:rPr>
              <w:t>52</w:t>
            </w:r>
          </w:p>
        </w:tc>
        <w:tc>
          <w:tcPr>
            <w:tcW w:w="1230" w:type="dxa"/>
            <w:vAlign w:val="center"/>
          </w:tcPr>
          <w:p w14:paraId="2848F806">
            <w:pPr>
              <w:jc w:val="center"/>
              <w:rPr>
                <w:rFonts w:ascii="宋体" w:hAnsi="宋体" w:cs="宋体"/>
                <w:szCs w:val="21"/>
              </w:rPr>
            </w:pPr>
            <w:r>
              <w:rPr>
                <w:rFonts w:hint="eastAsia" w:ascii="宋体" w:hAnsi="宋体" w:cs="宋体"/>
                <w:szCs w:val="21"/>
              </w:rPr>
              <w:t>6.0</w:t>
            </w:r>
          </w:p>
        </w:tc>
        <w:tc>
          <w:tcPr>
            <w:tcW w:w="1260" w:type="dxa"/>
            <w:vAlign w:val="center"/>
          </w:tcPr>
          <w:p w14:paraId="20A5D83A">
            <w:pPr>
              <w:jc w:val="center"/>
              <w:rPr>
                <w:rFonts w:ascii="宋体" w:hAnsi="宋体" w:cs="宋体"/>
                <w:szCs w:val="21"/>
              </w:rPr>
            </w:pPr>
            <w:r>
              <w:rPr>
                <w:rFonts w:hint="eastAsia" w:ascii="宋体" w:hAnsi="宋体" w:cs="宋体"/>
                <w:szCs w:val="21"/>
              </w:rPr>
              <w:t>5.0</w:t>
            </w:r>
          </w:p>
        </w:tc>
      </w:tr>
      <w:tr w14:paraId="1751DF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1080" w:type="dxa"/>
            <w:vAlign w:val="center"/>
          </w:tcPr>
          <w:p w14:paraId="2832720F">
            <w:pPr>
              <w:jc w:val="center"/>
              <w:rPr>
                <w:rFonts w:ascii="宋体" w:hAnsi="宋体" w:cs="宋体"/>
                <w:szCs w:val="21"/>
              </w:rPr>
            </w:pPr>
            <w:r>
              <w:rPr>
                <w:rFonts w:hint="eastAsia" w:ascii="宋体" w:hAnsi="宋体" w:cs="宋体"/>
                <w:szCs w:val="21"/>
              </w:rPr>
              <w:t>112</w:t>
            </w:r>
          </w:p>
        </w:tc>
        <w:tc>
          <w:tcPr>
            <w:tcW w:w="2635" w:type="dxa"/>
            <w:vAlign w:val="center"/>
          </w:tcPr>
          <w:p w14:paraId="18ABE513">
            <w:pPr>
              <w:jc w:val="center"/>
              <w:rPr>
                <w:rFonts w:ascii="宋体" w:hAnsi="宋体" w:cs="宋体"/>
                <w:szCs w:val="21"/>
              </w:rPr>
            </w:pPr>
            <w:r>
              <w:rPr>
                <w:rFonts w:hint="eastAsia" w:ascii="宋体" w:hAnsi="宋体" w:cs="宋体"/>
                <w:szCs w:val="21"/>
              </w:rPr>
              <w:t>第二高速公路</w:t>
            </w:r>
          </w:p>
          <w:p w14:paraId="73DEF2FD">
            <w:pPr>
              <w:jc w:val="center"/>
              <w:rPr>
                <w:rFonts w:ascii="宋体" w:hAnsi="宋体" w:cs="宋体"/>
                <w:szCs w:val="21"/>
              </w:rPr>
            </w:pPr>
            <w:r>
              <w:rPr>
                <w:rFonts w:hint="eastAsia" w:ascii="宋体" w:hAnsi="宋体" w:cs="宋体"/>
                <w:szCs w:val="21"/>
              </w:rPr>
              <w:t>K11+740通道</w:t>
            </w:r>
          </w:p>
        </w:tc>
        <w:tc>
          <w:tcPr>
            <w:tcW w:w="1775" w:type="dxa"/>
            <w:vMerge w:val="continue"/>
            <w:vAlign w:val="center"/>
          </w:tcPr>
          <w:p w14:paraId="57245035">
            <w:pPr>
              <w:jc w:val="center"/>
              <w:rPr>
                <w:rFonts w:ascii="宋体" w:hAnsi="宋体" w:cs="宋体"/>
                <w:szCs w:val="21"/>
              </w:rPr>
            </w:pPr>
          </w:p>
        </w:tc>
        <w:tc>
          <w:tcPr>
            <w:tcW w:w="1335" w:type="dxa"/>
            <w:vAlign w:val="center"/>
          </w:tcPr>
          <w:p w14:paraId="0620C392">
            <w:pPr>
              <w:jc w:val="center"/>
              <w:rPr>
                <w:rFonts w:ascii="宋体" w:hAnsi="宋体" w:cs="宋体"/>
                <w:szCs w:val="21"/>
              </w:rPr>
            </w:pPr>
            <w:r>
              <w:rPr>
                <w:rFonts w:hint="eastAsia" w:ascii="宋体" w:hAnsi="宋体" w:cs="宋体"/>
                <w:szCs w:val="21"/>
              </w:rPr>
              <w:t>85</w:t>
            </w:r>
          </w:p>
        </w:tc>
        <w:tc>
          <w:tcPr>
            <w:tcW w:w="1230" w:type="dxa"/>
            <w:vAlign w:val="center"/>
          </w:tcPr>
          <w:p w14:paraId="0079B845">
            <w:pPr>
              <w:jc w:val="center"/>
              <w:rPr>
                <w:rFonts w:ascii="宋体" w:hAnsi="宋体" w:cs="宋体"/>
                <w:szCs w:val="21"/>
              </w:rPr>
            </w:pPr>
            <w:r>
              <w:rPr>
                <w:rFonts w:hint="eastAsia" w:ascii="宋体" w:hAnsi="宋体" w:cs="宋体"/>
                <w:szCs w:val="21"/>
              </w:rPr>
              <w:t>6.0</w:t>
            </w:r>
          </w:p>
        </w:tc>
        <w:tc>
          <w:tcPr>
            <w:tcW w:w="1260" w:type="dxa"/>
            <w:vAlign w:val="center"/>
          </w:tcPr>
          <w:p w14:paraId="474541B1">
            <w:pPr>
              <w:jc w:val="center"/>
              <w:rPr>
                <w:rFonts w:ascii="宋体" w:hAnsi="宋体" w:cs="宋体"/>
                <w:szCs w:val="21"/>
              </w:rPr>
            </w:pPr>
            <w:r>
              <w:rPr>
                <w:rFonts w:hint="eastAsia" w:ascii="宋体" w:hAnsi="宋体" w:cs="宋体"/>
                <w:szCs w:val="21"/>
              </w:rPr>
              <w:t>5.0</w:t>
            </w:r>
          </w:p>
        </w:tc>
      </w:tr>
      <w:tr w14:paraId="482DDF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142B3A7">
            <w:pPr>
              <w:jc w:val="center"/>
              <w:rPr>
                <w:rFonts w:ascii="宋体" w:hAnsi="宋体" w:cs="宋体"/>
                <w:szCs w:val="21"/>
              </w:rPr>
            </w:pPr>
            <w:r>
              <w:rPr>
                <w:rFonts w:hint="eastAsia" w:ascii="宋体" w:hAnsi="宋体" w:cs="宋体"/>
                <w:szCs w:val="21"/>
              </w:rPr>
              <w:t>113</w:t>
            </w:r>
          </w:p>
        </w:tc>
        <w:tc>
          <w:tcPr>
            <w:tcW w:w="2635" w:type="dxa"/>
            <w:vAlign w:val="center"/>
          </w:tcPr>
          <w:p w14:paraId="3EE7DC90">
            <w:pPr>
              <w:jc w:val="center"/>
              <w:rPr>
                <w:rFonts w:ascii="宋体" w:hAnsi="宋体" w:cs="宋体"/>
                <w:szCs w:val="21"/>
              </w:rPr>
            </w:pPr>
            <w:r>
              <w:rPr>
                <w:rFonts w:hint="eastAsia" w:ascii="宋体" w:hAnsi="宋体" w:cs="宋体"/>
                <w:szCs w:val="21"/>
              </w:rPr>
              <w:t>第二高速公路</w:t>
            </w:r>
          </w:p>
          <w:p w14:paraId="1EDA7493">
            <w:pPr>
              <w:jc w:val="center"/>
              <w:rPr>
                <w:rFonts w:ascii="宋体" w:hAnsi="宋体" w:cs="宋体"/>
                <w:szCs w:val="21"/>
              </w:rPr>
            </w:pPr>
            <w:r>
              <w:rPr>
                <w:rFonts w:hint="eastAsia" w:ascii="宋体" w:hAnsi="宋体" w:cs="宋体"/>
                <w:szCs w:val="21"/>
              </w:rPr>
              <w:t>K12+270通道</w:t>
            </w:r>
          </w:p>
        </w:tc>
        <w:tc>
          <w:tcPr>
            <w:tcW w:w="1775" w:type="dxa"/>
            <w:vMerge w:val="continue"/>
            <w:vAlign w:val="center"/>
          </w:tcPr>
          <w:p w14:paraId="370C884D">
            <w:pPr>
              <w:jc w:val="center"/>
              <w:rPr>
                <w:rFonts w:ascii="宋体" w:hAnsi="宋体" w:cs="宋体"/>
                <w:szCs w:val="21"/>
              </w:rPr>
            </w:pPr>
          </w:p>
        </w:tc>
        <w:tc>
          <w:tcPr>
            <w:tcW w:w="1335" w:type="dxa"/>
            <w:vAlign w:val="center"/>
          </w:tcPr>
          <w:p w14:paraId="209794A0">
            <w:pPr>
              <w:jc w:val="center"/>
              <w:rPr>
                <w:rFonts w:ascii="宋体" w:hAnsi="宋体" w:cs="宋体"/>
                <w:szCs w:val="21"/>
              </w:rPr>
            </w:pPr>
            <w:r>
              <w:rPr>
                <w:rFonts w:hint="eastAsia" w:ascii="宋体" w:hAnsi="宋体" w:cs="宋体"/>
                <w:szCs w:val="21"/>
              </w:rPr>
              <w:t>60</w:t>
            </w:r>
          </w:p>
        </w:tc>
        <w:tc>
          <w:tcPr>
            <w:tcW w:w="1230" w:type="dxa"/>
            <w:vAlign w:val="center"/>
          </w:tcPr>
          <w:p w14:paraId="7C61F9F4">
            <w:pPr>
              <w:jc w:val="center"/>
              <w:rPr>
                <w:rFonts w:ascii="宋体" w:hAnsi="宋体" w:cs="宋体"/>
                <w:szCs w:val="21"/>
              </w:rPr>
            </w:pPr>
            <w:r>
              <w:rPr>
                <w:rFonts w:hint="eastAsia" w:ascii="宋体" w:hAnsi="宋体" w:cs="宋体"/>
                <w:szCs w:val="21"/>
              </w:rPr>
              <w:t>6.0</w:t>
            </w:r>
          </w:p>
        </w:tc>
        <w:tc>
          <w:tcPr>
            <w:tcW w:w="1260" w:type="dxa"/>
            <w:vAlign w:val="center"/>
          </w:tcPr>
          <w:p w14:paraId="3AFB3AB6">
            <w:pPr>
              <w:jc w:val="center"/>
              <w:rPr>
                <w:rFonts w:ascii="宋体" w:hAnsi="宋体" w:cs="宋体"/>
                <w:szCs w:val="21"/>
              </w:rPr>
            </w:pPr>
            <w:r>
              <w:rPr>
                <w:rFonts w:hint="eastAsia" w:ascii="宋体" w:hAnsi="宋体" w:cs="宋体"/>
                <w:szCs w:val="21"/>
              </w:rPr>
              <w:t>5.0</w:t>
            </w:r>
          </w:p>
        </w:tc>
      </w:tr>
      <w:tr w14:paraId="04902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EDBB6FD">
            <w:pPr>
              <w:jc w:val="center"/>
              <w:rPr>
                <w:rFonts w:ascii="宋体" w:hAnsi="宋体" w:cs="宋体"/>
                <w:szCs w:val="21"/>
              </w:rPr>
            </w:pPr>
            <w:r>
              <w:rPr>
                <w:rFonts w:hint="eastAsia" w:ascii="宋体" w:hAnsi="宋体" w:cs="宋体"/>
                <w:szCs w:val="21"/>
              </w:rPr>
              <w:t>114</w:t>
            </w:r>
          </w:p>
        </w:tc>
        <w:tc>
          <w:tcPr>
            <w:tcW w:w="2635" w:type="dxa"/>
            <w:vAlign w:val="center"/>
          </w:tcPr>
          <w:p w14:paraId="0FB3870E">
            <w:pPr>
              <w:jc w:val="center"/>
              <w:rPr>
                <w:rFonts w:ascii="宋体" w:hAnsi="宋体" w:cs="宋体"/>
                <w:szCs w:val="21"/>
              </w:rPr>
            </w:pPr>
            <w:r>
              <w:rPr>
                <w:rFonts w:hint="eastAsia" w:ascii="宋体" w:hAnsi="宋体" w:cs="宋体"/>
                <w:szCs w:val="21"/>
              </w:rPr>
              <w:t>第二高速公路</w:t>
            </w:r>
          </w:p>
          <w:p w14:paraId="24243B00">
            <w:pPr>
              <w:jc w:val="center"/>
              <w:rPr>
                <w:rFonts w:ascii="宋体" w:hAnsi="宋体" w:cs="宋体"/>
                <w:szCs w:val="21"/>
              </w:rPr>
            </w:pPr>
            <w:r>
              <w:rPr>
                <w:rFonts w:hint="eastAsia" w:ascii="宋体" w:hAnsi="宋体" w:cs="宋体"/>
                <w:szCs w:val="21"/>
              </w:rPr>
              <w:t>K12+595通道</w:t>
            </w:r>
          </w:p>
        </w:tc>
        <w:tc>
          <w:tcPr>
            <w:tcW w:w="1775" w:type="dxa"/>
            <w:vMerge w:val="continue"/>
            <w:vAlign w:val="center"/>
          </w:tcPr>
          <w:p w14:paraId="41069D7C">
            <w:pPr>
              <w:jc w:val="center"/>
              <w:rPr>
                <w:rFonts w:ascii="宋体" w:hAnsi="宋体" w:cs="宋体"/>
                <w:szCs w:val="21"/>
              </w:rPr>
            </w:pPr>
          </w:p>
        </w:tc>
        <w:tc>
          <w:tcPr>
            <w:tcW w:w="1335" w:type="dxa"/>
            <w:vAlign w:val="center"/>
          </w:tcPr>
          <w:p w14:paraId="116329CB">
            <w:pPr>
              <w:jc w:val="center"/>
              <w:rPr>
                <w:rFonts w:ascii="宋体" w:hAnsi="宋体" w:cs="宋体"/>
                <w:szCs w:val="21"/>
              </w:rPr>
            </w:pPr>
            <w:r>
              <w:rPr>
                <w:rFonts w:hint="eastAsia" w:ascii="宋体" w:hAnsi="宋体" w:cs="宋体"/>
                <w:szCs w:val="21"/>
              </w:rPr>
              <w:t>51</w:t>
            </w:r>
          </w:p>
        </w:tc>
        <w:tc>
          <w:tcPr>
            <w:tcW w:w="1230" w:type="dxa"/>
            <w:vAlign w:val="center"/>
          </w:tcPr>
          <w:p w14:paraId="47AE7142">
            <w:pPr>
              <w:jc w:val="center"/>
              <w:rPr>
                <w:rFonts w:ascii="宋体" w:hAnsi="宋体" w:cs="宋体"/>
                <w:szCs w:val="21"/>
              </w:rPr>
            </w:pPr>
            <w:r>
              <w:rPr>
                <w:rFonts w:hint="eastAsia" w:ascii="宋体" w:hAnsi="宋体" w:cs="宋体"/>
                <w:szCs w:val="21"/>
              </w:rPr>
              <w:t>6.0</w:t>
            </w:r>
          </w:p>
        </w:tc>
        <w:tc>
          <w:tcPr>
            <w:tcW w:w="1260" w:type="dxa"/>
            <w:vAlign w:val="center"/>
          </w:tcPr>
          <w:p w14:paraId="12B7807A">
            <w:pPr>
              <w:jc w:val="center"/>
              <w:rPr>
                <w:rFonts w:ascii="宋体" w:hAnsi="宋体" w:cs="宋体"/>
                <w:szCs w:val="21"/>
              </w:rPr>
            </w:pPr>
            <w:r>
              <w:rPr>
                <w:rFonts w:hint="eastAsia" w:ascii="宋体" w:hAnsi="宋体" w:cs="宋体"/>
                <w:szCs w:val="21"/>
              </w:rPr>
              <w:t>5.0</w:t>
            </w:r>
          </w:p>
        </w:tc>
      </w:tr>
      <w:tr w14:paraId="4CB38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50B1205">
            <w:pPr>
              <w:jc w:val="center"/>
              <w:rPr>
                <w:rFonts w:ascii="宋体" w:hAnsi="宋体" w:cs="宋体"/>
                <w:szCs w:val="21"/>
              </w:rPr>
            </w:pPr>
            <w:r>
              <w:rPr>
                <w:rFonts w:hint="eastAsia" w:ascii="宋体" w:hAnsi="宋体" w:cs="宋体"/>
                <w:szCs w:val="21"/>
              </w:rPr>
              <w:t>115</w:t>
            </w:r>
          </w:p>
        </w:tc>
        <w:tc>
          <w:tcPr>
            <w:tcW w:w="2635" w:type="dxa"/>
            <w:vAlign w:val="center"/>
          </w:tcPr>
          <w:p w14:paraId="53ADC738">
            <w:pPr>
              <w:jc w:val="center"/>
              <w:rPr>
                <w:rFonts w:ascii="宋体" w:hAnsi="宋体" w:cs="宋体"/>
                <w:szCs w:val="21"/>
              </w:rPr>
            </w:pPr>
            <w:r>
              <w:rPr>
                <w:rFonts w:hint="eastAsia" w:ascii="宋体" w:hAnsi="宋体" w:cs="宋体"/>
                <w:szCs w:val="21"/>
              </w:rPr>
              <w:t>第二高速公路</w:t>
            </w:r>
          </w:p>
          <w:p w14:paraId="78371219">
            <w:pPr>
              <w:jc w:val="center"/>
              <w:rPr>
                <w:rFonts w:ascii="宋体" w:hAnsi="宋体" w:cs="宋体"/>
                <w:szCs w:val="21"/>
              </w:rPr>
            </w:pPr>
            <w:r>
              <w:rPr>
                <w:rFonts w:hint="eastAsia" w:ascii="宋体" w:hAnsi="宋体" w:cs="宋体"/>
                <w:szCs w:val="21"/>
              </w:rPr>
              <w:t>K12+920通道</w:t>
            </w:r>
          </w:p>
        </w:tc>
        <w:tc>
          <w:tcPr>
            <w:tcW w:w="1775" w:type="dxa"/>
            <w:vMerge w:val="continue"/>
            <w:vAlign w:val="center"/>
          </w:tcPr>
          <w:p w14:paraId="0B75374A">
            <w:pPr>
              <w:jc w:val="center"/>
              <w:rPr>
                <w:rFonts w:ascii="宋体" w:hAnsi="宋体" w:cs="宋体"/>
                <w:szCs w:val="21"/>
              </w:rPr>
            </w:pPr>
          </w:p>
        </w:tc>
        <w:tc>
          <w:tcPr>
            <w:tcW w:w="1335" w:type="dxa"/>
            <w:vAlign w:val="center"/>
          </w:tcPr>
          <w:p w14:paraId="31DD1A30">
            <w:pPr>
              <w:jc w:val="center"/>
              <w:rPr>
                <w:rFonts w:ascii="宋体" w:hAnsi="宋体" w:cs="宋体"/>
                <w:szCs w:val="21"/>
              </w:rPr>
            </w:pPr>
            <w:r>
              <w:rPr>
                <w:rFonts w:hint="eastAsia" w:ascii="宋体" w:hAnsi="宋体" w:cs="宋体"/>
                <w:szCs w:val="21"/>
              </w:rPr>
              <w:t>49</w:t>
            </w:r>
          </w:p>
        </w:tc>
        <w:tc>
          <w:tcPr>
            <w:tcW w:w="1230" w:type="dxa"/>
            <w:vAlign w:val="center"/>
          </w:tcPr>
          <w:p w14:paraId="76766C37">
            <w:pPr>
              <w:jc w:val="center"/>
              <w:rPr>
                <w:rFonts w:ascii="宋体" w:hAnsi="宋体" w:cs="宋体"/>
                <w:szCs w:val="21"/>
              </w:rPr>
            </w:pPr>
            <w:r>
              <w:rPr>
                <w:rFonts w:hint="eastAsia" w:ascii="宋体" w:hAnsi="宋体" w:cs="宋体"/>
                <w:szCs w:val="21"/>
              </w:rPr>
              <w:t>6.0</w:t>
            </w:r>
          </w:p>
        </w:tc>
        <w:tc>
          <w:tcPr>
            <w:tcW w:w="1260" w:type="dxa"/>
            <w:vAlign w:val="center"/>
          </w:tcPr>
          <w:p w14:paraId="1EADCA7B">
            <w:pPr>
              <w:jc w:val="center"/>
              <w:rPr>
                <w:rFonts w:ascii="宋体" w:hAnsi="宋体" w:cs="宋体"/>
                <w:szCs w:val="21"/>
              </w:rPr>
            </w:pPr>
            <w:r>
              <w:rPr>
                <w:rFonts w:hint="eastAsia" w:ascii="宋体" w:hAnsi="宋体" w:cs="宋体"/>
                <w:szCs w:val="21"/>
              </w:rPr>
              <w:t>5.0</w:t>
            </w:r>
          </w:p>
        </w:tc>
      </w:tr>
      <w:tr w14:paraId="6DE080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CE115A5">
            <w:pPr>
              <w:jc w:val="center"/>
              <w:rPr>
                <w:rFonts w:ascii="宋体" w:hAnsi="宋体" w:cs="宋体"/>
                <w:szCs w:val="21"/>
              </w:rPr>
            </w:pPr>
            <w:r>
              <w:rPr>
                <w:rFonts w:hint="eastAsia" w:ascii="宋体" w:hAnsi="宋体" w:cs="宋体"/>
                <w:szCs w:val="21"/>
              </w:rPr>
              <w:t>116</w:t>
            </w:r>
          </w:p>
        </w:tc>
        <w:tc>
          <w:tcPr>
            <w:tcW w:w="2635" w:type="dxa"/>
            <w:vAlign w:val="center"/>
          </w:tcPr>
          <w:p w14:paraId="6B01DC03">
            <w:pPr>
              <w:jc w:val="center"/>
              <w:rPr>
                <w:rFonts w:ascii="宋体" w:hAnsi="宋体" w:cs="宋体"/>
                <w:szCs w:val="21"/>
              </w:rPr>
            </w:pPr>
            <w:r>
              <w:rPr>
                <w:rFonts w:hint="eastAsia" w:ascii="宋体" w:hAnsi="宋体" w:cs="宋体"/>
                <w:szCs w:val="21"/>
              </w:rPr>
              <w:t>第二高速公路</w:t>
            </w:r>
          </w:p>
          <w:p w14:paraId="44D50B74">
            <w:pPr>
              <w:jc w:val="center"/>
              <w:rPr>
                <w:rFonts w:ascii="宋体" w:hAnsi="宋体" w:cs="宋体"/>
                <w:szCs w:val="21"/>
              </w:rPr>
            </w:pPr>
            <w:r>
              <w:rPr>
                <w:rFonts w:hint="eastAsia" w:ascii="宋体" w:hAnsi="宋体" w:cs="宋体"/>
                <w:szCs w:val="21"/>
              </w:rPr>
              <w:t>K13+185通道</w:t>
            </w:r>
          </w:p>
        </w:tc>
        <w:tc>
          <w:tcPr>
            <w:tcW w:w="1775" w:type="dxa"/>
            <w:vMerge w:val="continue"/>
            <w:vAlign w:val="center"/>
          </w:tcPr>
          <w:p w14:paraId="417F2AA1">
            <w:pPr>
              <w:jc w:val="center"/>
              <w:rPr>
                <w:rFonts w:ascii="宋体" w:hAnsi="宋体" w:cs="宋体"/>
                <w:szCs w:val="21"/>
              </w:rPr>
            </w:pPr>
          </w:p>
        </w:tc>
        <w:tc>
          <w:tcPr>
            <w:tcW w:w="1335" w:type="dxa"/>
            <w:vAlign w:val="center"/>
          </w:tcPr>
          <w:p w14:paraId="3724C93F">
            <w:pPr>
              <w:jc w:val="center"/>
              <w:rPr>
                <w:rFonts w:ascii="宋体" w:hAnsi="宋体" w:cs="宋体"/>
                <w:szCs w:val="21"/>
              </w:rPr>
            </w:pPr>
            <w:r>
              <w:rPr>
                <w:rFonts w:hint="eastAsia" w:ascii="宋体" w:hAnsi="宋体" w:cs="宋体"/>
                <w:szCs w:val="21"/>
              </w:rPr>
              <w:t>56.5</w:t>
            </w:r>
          </w:p>
        </w:tc>
        <w:tc>
          <w:tcPr>
            <w:tcW w:w="1230" w:type="dxa"/>
            <w:vAlign w:val="center"/>
          </w:tcPr>
          <w:p w14:paraId="0C1349EB">
            <w:pPr>
              <w:jc w:val="center"/>
              <w:rPr>
                <w:rFonts w:ascii="宋体" w:hAnsi="宋体" w:cs="宋体"/>
                <w:szCs w:val="21"/>
              </w:rPr>
            </w:pPr>
            <w:r>
              <w:rPr>
                <w:rFonts w:hint="eastAsia" w:ascii="宋体" w:hAnsi="宋体" w:cs="宋体"/>
                <w:szCs w:val="21"/>
              </w:rPr>
              <w:t>6.0</w:t>
            </w:r>
          </w:p>
        </w:tc>
        <w:tc>
          <w:tcPr>
            <w:tcW w:w="1260" w:type="dxa"/>
            <w:vAlign w:val="center"/>
          </w:tcPr>
          <w:p w14:paraId="238CE7C6">
            <w:pPr>
              <w:jc w:val="center"/>
              <w:rPr>
                <w:rFonts w:ascii="宋体" w:hAnsi="宋体" w:cs="宋体"/>
                <w:szCs w:val="21"/>
              </w:rPr>
            </w:pPr>
            <w:r>
              <w:rPr>
                <w:rFonts w:hint="eastAsia" w:ascii="宋体" w:hAnsi="宋体" w:cs="宋体"/>
                <w:szCs w:val="21"/>
              </w:rPr>
              <w:t>5.0</w:t>
            </w:r>
          </w:p>
        </w:tc>
      </w:tr>
      <w:tr w14:paraId="3779E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AD221D4">
            <w:pPr>
              <w:jc w:val="center"/>
              <w:rPr>
                <w:rFonts w:ascii="宋体" w:hAnsi="宋体" w:cs="宋体"/>
                <w:szCs w:val="21"/>
              </w:rPr>
            </w:pPr>
            <w:r>
              <w:rPr>
                <w:rFonts w:hint="eastAsia" w:ascii="宋体" w:hAnsi="宋体" w:cs="宋体"/>
                <w:szCs w:val="21"/>
              </w:rPr>
              <w:t>117</w:t>
            </w:r>
          </w:p>
        </w:tc>
        <w:tc>
          <w:tcPr>
            <w:tcW w:w="2635" w:type="dxa"/>
            <w:vAlign w:val="center"/>
          </w:tcPr>
          <w:p w14:paraId="492C5E6E">
            <w:pPr>
              <w:jc w:val="center"/>
              <w:rPr>
                <w:rFonts w:ascii="宋体" w:hAnsi="宋体" w:cs="宋体"/>
                <w:szCs w:val="21"/>
              </w:rPr>
            </w:pPr>
            <w:r>
              <w:rPr>
                <w:rFonts w:hint="eastAsia" w:ascii="宋体" w:hAnsi="宋体" w:cs="宋体"/>
                <w:szCs w:val="21"/>
              </w:rPr>
              <w:t>第二高速公路</w:t>
            </w:r>
          </w:p>
          <w:p w14:paraId="25006CE8">
            <w:pPr>
              <w:jc w:val="center"/>
              <w:rPr>
                <w:rFonts w:ascii="宋体" w:hAnsi="宋体" w:cs="宋体"/>
                <w:szCs w:val="21"/>
              </w:rPr>
            </w:pPr>
            <w:r>
              <w:rPr>
                <w:rFonts w:hint="eastAsia" w:ascii="宋体" w:hAnsi="宋体" w:cs="宋体"/>
                <w:szCs w:val="21"/>
              </w:rPr>
              <w:t>K14+690通道</w:t>
            </w:r>
          </w:p>
        </w:tc>
        <w:tc>
          <w:tcPr>
            <w:tcW w:w="1775" w:type="dxa"/>
            <w:vMerge w:val="continue"/>
            <w:vAlign w:val="center"/>
          </w:tcPr>
          <w:p w14:paraId="734557C5">
            <w:pPr>
              <w:jc w:val="center"/>
              <w:rPr>
                <w:rFonts w:ascii="宋体" w:hAnsi="宋体" w:cs="宋体"/>
                <w:szCs w:val="21"/>
              </w:rPr>
            </w:pPr>
          </w:p>
        </w:tc>
        <w:tc>
          <w:tcPr>
            <w:tcW w:w="1335" w:type="dxa"/>
            <w:vAlign w:val="center"/>
          </w:tcPr>
          <w:p w14:paraId="0441329C">
            <w:pPr>
              <w:jc w:val="center"/>
              <w:rPr>
                <w:rFonts w:ascii="宋体" w:hAnsi="宋体" w:cs="宋体"/>
                <w:szCs w:val="21"/>
              </w:rPr>
            </w:pPr>
            <w:r>
              <w:rPr>
                <w:rFonts w:hint="eastAsia" w:ascii="宋体" w:hAnsi="宋体" w:cs="宋体"/>
                <w:szCs w:val="21"/>
              </w:rPr>
              <w:t>46</w:t>
            </w:r>
          </w:p>
        </w:tc>
        <w:tc>
          <w:tcPr>
            <w:tcW w:w="1230" w:type="dxa"/>
            <w:vAlign w:val="center"/>
          </w:tcPr>
          <w:p w14:paraId="60265F67">
            <w:pPr>
              <w:jc w:val="center"/>
              <w:rPr>
                <w:rFonts w:ascii="宋体" w:hAnsi="宋体" w:cs="宋体"/>
                <w:szCs w:val="21"/>
              </w:rPr>
            </w:pPr>
            <w:r>
              <w:rPr>
                <w:rFonts w:hint="eastAsia" w:ascii="宋体" w:hAnsi="宋体" w:cs="宋体"/>
                <w:szCs w:val="21"/>
              </w:rPr>
              <w:t>6.0</w:t>
            </w:r>
          </w:p>
        </w:tc>
        <w:tc>
          <w:tcPr>
            <w:tcW w:w="1260" w:type="dxa"/>
            <w:vAlign w:val="center"/>
          </w:tcPr>
          <w:p w14:paraId="618A7CB1">
            <w:pPr>
              <w:jc w:val="center"/>
              <w:rPr>
                <w:rFonts w:ascii="宋体" w:hAnsi="宋体" w:cs="宋体"/>
                <w:szCs w:val="21"/>
              </w:rPr>
            </w:pPr>
            <w:r>
              <w:rPr>
                <w:rFonts w:hint="eastAsia" w:ascii="宋体" w:hAnsi="宋体" w:cs="宋体"/>
                <w:szCs w:val="21"/>
              </w:rPr>
              <w:t>5.0</w:t>
            </w:r>
          </w:p>
        </w:tc>
      </w:tr>
      <w:tr w14:paraId="37392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25567A5">
            <w:pPr>
              <w:jc w:val="center"/>
              <w:rPr>
                <w:rFonts w:ascii="宋体" w:hAnsi="宋体" w:cs="宋体"/>
                <w:szCs w:val="21"/>
              </w:rPr>
            </w:pPr>
            <w:r>
              <w:rPr>
                <w:rFonts w:hint="eastAsia" w:ascii="宋体" w:hAnsi="宋体" w:cs="宋体"/>
                <w:szCs w:val="21"/>
              </w:rPr>
              <w:t>118</w:t>
            </w:r>
          </w:p>
        </w:tc>
        <w:tc>
          <w:tcPr>
            <w:tcW w:w="2635" w:type="dxa"/>
            <w:vAlign w:val="center"/>
          </w:tcPr>
          <w:p w14:paraId="06C619E5">
            <w:pPr>
              <w:jc w:val="center"/>
              <w:rPr>
                <w:rFonts w:ascii="宋体" w:hAnsi="宋体" w:cs="宋体"/>
                <w:szCs w:val="21"/>
              </w:rPr>
            </w:pPr>
            <w:r>
              <w:rPr>
                <w:rFonts w:hint="eastAsia" w:ascii="宋体" w:hAnsi="宋体" w:cs="宋体"/>
                <w:szCs w:val="21"/>
              </w:rPr>
              <w:t>第二高速公路</w:t>
            </w:r>
          </w:p>
          <w:p w14:paraId="6562DE4E">
            <w:pPr>
              <w:jc w:val="center"/>
              <w:rPr>
                <w:rFonts w:ascii="宋体" w:hAnsi="宋体" w:cs="宋体"/>
                <w:szCs w:val="21"/>
              </w:rPr>
            </w:pPr>
            <w:r>
              <w:rPr>
                <w:rFonts w:hint="eastAsia" w:ascii="宋体" w:hAnsi="宋体" w:cs="宋体"/>
                <w:szCs w:val="21"/>
              </w:rPr>
              <w:t>K15+360通道</w:t>
            </w:r>
          </w:p>
        </w:tc>
        <w:tc>
          <w:tcPr>
            <w:tcW w:w="1775" w:type="dxa"/>
            <w:vMerge w:val="continue"/>
            <w:vAlign w:val="center"/>
          </w:tcPr>
          <w:p w14:paraId="30875A2B">
            <w:pPr>
              <w:jc w:val="center"/>
              <w:rPr>
                <w:rFonts w:ascii="宋体" w:hAnsi="宋体" w:cs="宋体"/>
                <w:szCs w:val="21"/>
              </w:rPr>
            </w:pPr>
          </w:p>
        </w:tc>
        <w:tc>
          <w:tcPr>
            <w:tcW w:w="1335" w:type="dxa"/>
            <w:vAlign w:val="center"/>
          </w:tcPr>
          <w:p w14:paraId="5C436F0A">
            <w:pPr>
              <w:jc w:val="center"/>
              <w:rPr>
                <w:rFonts w:ascii="宋体" w:hAnsi="宋体" w:cs="宋体"/>
                <w:szCs w:val="21"/>
              </w:rPr>
            </w:pPr>
            <w:r>
              <w:rPr>
                <w:rFonts w:hint="eastAsia" w:ascii="宋体" w:hAnsi="宋体" w:cs="宋体"/>
                <w:szCs w:val="21"/>
              </w:rPr>
              <w:t>55</w:t>
            </w:r>
          </w:p>
        </w:tc>
        <w:tc>
          <w:tcPr>
            <w:tcW w:w="1230" w:type="dxa"/>
            <w:vAlign w:val="center"/>
          </w:tcPr>
          <w:p w14:paraId="43F4720C">
            <w:pPr>
              <w:jc w:val="center"/>
              <w:rPr>
                <w:rFonts w:ascii="宋体" w:hAnsi="宋体" w:cs="宋体"/>
                <w:szCs w:val="21"/>
              </w:rPr>
            </w:pPr>
            <w:r>
              <w:rPr>
                <w:rFonts w:hint="eastAsia" w:ascii="宋体" w:hAnsi="宋体" w:cs="宋体"/>
                <w:szCs w:val="21"/>
              </w:rPr>
              <w:t>6.0</w:t>
            </w:r>
          </w:p>
        </w:tc>
        <w:tc>
          <w:tcPr>
            <w:tcW w:w="1260" w:type="dxa"/>
            <w:vAlign w:val="center"/>
          </w:tcPr>
          <w:p w14:paraId="1B25900A">
            <w:pPr>
              <w:jc w:val="center"/>
              <w:rPr>
                <w:rFonts w:ascii="宋体" w:hAnsi="宋体" w:cs="宋体"/>
                <w:szCs w:val="21"/>
              </w:rPr>
            </w:pPr>
            <w:r>
              <w:rPr>
                <w:rFonts w:hint="eastAsia" w:ascii="宋体" w:hAnsi="宋体" w:cs="宋体"/>
                <w:szCs w:val="21"/>
              </w:rPr>
              <w:t>5.0</w:t>
            </w:r>
          </w:p>
        </w:tc>
      </w:tr>
      <w:tr w14:paraId="1F144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AA19793">
            <w:pPr>
              <w:jc w:val="center"/>
              <w:rPr>
                <w:rFonts w:ascii="宋体" w:hAnsi="宋体" w:cs="宋体"/>
                <w:szCs w:val="21"/>
              </w:rPr>
            </w:pPr>
            <w:r>
              <w:rPr>
                <w:rFonts w:hint="eastAsia" w:ascii="宋体" w:hAnsi="宋体" w:cs="宋体"/>
                <w:szCs w:val="21"/>
              </w:rPr>
              <w:t>119</w:t>
            </w:r>
          </w:p>
        </w:tc>
        <w:tc>
          <w:tcPr>
            <w:tcW w:w="2635" w:type="dxa"/>
            <w:vAlign w:val="center"/>
          </w:tcPr>
          <w:p w14:paraId="75E80532">
            <w:pPr>
              <w:jc w:val="center"/>
              <w:rPr>
                <w:rFonts w:ascii="宋体" w:hAnsi="宋体" w:cs="宋体"/>
                <w:szCs w:val="21"/>
              </w:rPr>
            </w:pPr>
            <w:r>
              <w:rPr>
                <w:rFonts w:hint="eastAsia" w:ascii="宋体" w:hAnsi="宋体" w:cs="宋体"/>
                <w:szCs w:val="21"/>
              </w:rPr>
              <w:t>第二高速公路</w:t>
            </w:r>
          </w:p>
          <w:p w14:paraId="7309615B">
            <w:pPr>
              <w:jc w:val="center"/>
              <w:rPr>
                <w:rFonts w:ascii="宋体" w:hAnsi="宋体" w:cs="宋体"/>
                <w:szCs w:val="21"/>
              </w:rPr>
            </w:pPr>
            <w:r>
              <w:rPr>
                <w:rFonts w:hint="eastAsia" w:ascii="宋体" w:hAnsi="宋体" w:cs="宋体"/>
                <w:szCs w:val="21"/>
              </w:rPr>
              <w:t>K15+840通道</w:t>
            </w:r>
          </w:p>
        </w:tc>
        <w:tc>
          <w:tcPr>
            <w:tcW w:w="1775" w:type="dxa"/>
            <w:vMerge w:val="continue"/>
            <w:vAlign w:val="center"/>
          </w:tcPr>
          <w:p w14:paraId="065187C5">
            <w:pPr>
              <w:jc w:val="center"/>
              <w:rPr>
                <w:rFonts w:ascii="宋体" w:hAnsi="宋体" w:cs="宋体"/>
                <w:szCs w:val="21"/>
              </w:rPr>
            </w:pPr>
          </w:p>
        </w:tc>
        <w:tc>
          <w:tcPr>
            <w:tcW w:w="1335" w:type="dxa"/>
            <w:vAlign w:val="center"/>
          </w:tcPr>
          <w:p w14:paraId="238C354A">
            <w:pPr>
              <w:jc w:val="center"/>
              <w:rPr>
                <w:rFonts w:ascii="宋体" w:hAnsi="宋体" w:cs="宋体"/>
                <w:szCs w:val="21"/>
              </w:rPr>
            </w:pPr>
            <w:r>
              <w:rPr>
                <w:rFonts w:hint="eastAsia" w:ascii="宋体" w:hAnsi="宋体" w:cs="宋体"/>
                <w:szCs w:val="21"/>
              </w:rPr>
              <w:t>60.6</w:t>
            </w:r>
          </w:p>
        </w:tc>
        <w:tc>
          <w:tcPr>
            <w:tcW w:w="1230" w:type="dxa"/>
            <w:vAlign w:val="center"/>
          </w:tcPr>
          <w:p w14:paraId="23C53ED1">
            <w:pPr>
              <w:jc w:val="center"/>
              <w:rPr>
                <w:rFonts w:ascii="宋体" w:hAnsi="宋体" w:cs="宋体"/>
                <w:szCs w:val="21"/>
              </w:rPr>
            </w:pPr>
            <w:r>
              <w:rPr>
                <w:rFonts w:hint="eastAsia" w:ascii="宋体" w:hAnsi="宋体" w:cs="宋体"/>
                <w:szCs w:val="21"/>
              </w:rPr>
              <w:t>6.0</w:t>
            </w:r>
          </w:p>
        </w:tc>
        <w:tc>
          <w:tcPr>
            <w:tcW w:w="1260" w:type="dxa"/>
            <w:vAlign w:val="center"/>
          </w:tcPr>
          <w:p w14:paraId="6F827CB0">
            <w:pPr>
              <w:jc w:val="center"/>
              <w:rPr>
                <w:rFonts w:ascii="宋体" w:hAnsi="宋体" w:cs="宋体"/>
                <w:szCs w:val="21"/>
              </w:rPr>
            </w:pPr>
            <w:r>
              <w:rPr>
                <w:rFonts w:hint="eastAsia" w:ascii="宋体" w:hAnsi="宋体" w:cs="宋体"/>
                <w:szCs w:val="21"/>
              </w:rPr>
              <w:t>6.0</w:t>
            </w:r>
          </w:p>
        </w:tc>
      </w:tr>
      <w:tr w14:paraId="21468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C4F9E43">
            <w:pPr>
              <w:jc w:val="center"/>
              <w:rPr>
                <w:rFonts w:ascii="宋体" w:hAnsi="宋体" w:cs="宋体"/>
                <w:szCs w:val="21"/>
              </w:rPr>
            </w:pPr>
            <w:r>
              <w:rPr>
                <w:rFonts w:hint="eastAsia" w:ascii="宋体" w:hAnsi="宋体" w:cs="宋体"/>
                <w:szCs w:val="21"/>
              </w:rPr>
              <w:t>120</w:t>
            </w:r>
          </w:p>
        </w:tc>
        <w:tc>
          <w:tcPr>
            <w:tcW w:w="2635" w:type="dxa"/>
            <w:vAlign w:val="center"/>
          </w:tcPr>
          <w:p w14:paraId="5483AAE9">
            <w:pPr>
              <w:jc w:val="center"/>
              <w:rPr>
                <w:rFonts w:ascii="宋体" w:hAnsi="宋体" w:cs="宋体"/>
                <w:szCs w:val="21"/>
              </w:rPr>
            </w:pPr>
            <w:r>
              <w:rPr>
                <w:rFonts w:hint="eastAsia" w:ascii="宋体" w:hAnsi="宋体" w:cs="宋体"/>
                <w:szCs w:val="21"/>
              </w:rPr>
              <w:t>第二高速公路</w:t>
            </w:r>
          </w:p>
          <w:p w14:paraId="730220D8">
            <w:pPr>
              <w:jc w:val="center"/>
              <w:rPr>
                <w:rFonts w:ascii="宋体" w:hAnsi="宋体" w:cs="宋体"/>
                <w:szCs w:val="21"/>
              </w:rPr>
            </w:pPr>
            <w:r>
              <w:rPr>
                <w:rFonts w:hint="eastAsia" w:ascii="宋体" w:hAnsi="宋体" w:cs="宋体"/>
                <w:szCs w:val="21"/>
              </w:rPr>
              <w:t>K17+900通道</w:t>
            </w:r>
          </w:p>
        </w:tc>
        <w:tc>
          <w:tcPr>
            <w:tcW w:w="1775" w:type="dxa"/>
            <w:vMerge w:val="continue"/>
            <w:vAlign w:val="center"/>
          </w:tcPr>
          <w:p w14:paraId="5AC8D63D">
            <w:pPr>
              <w:jc w:val="center"/>
              <w:rPr>
                <w:rFonts w:ascii="宋体" w:hAnsi="宋体" w:cs="宋体"/>
                <w:szCs w:val="21"/>
              </w:rPr>
            </w:pPr>
          </w:p>
        </w:tc>
        <w:tc>
          <w:tcPr>
            <w:tcW w:w="1335" w:type="dxa"/>
            <w:vAlign w:val="center"/>
          </w:tcPr>
          <w:p w14:paraId="09CFCEFB">
            <w:pPr>
              <w:jc w:val="center"/>
              <w:rPr>
                <w:rFonts w:ascii="宋体" w:hAnsi="宋体" w:cs="宋体"/>
                <w:szCs w:val="21"/>
              </w:rPr>
            </w:pPr>
            <w:r>
              <w:rPr>
                <w:rFonts w:hint="eastAsia" w:ascii="宋体" w:hAnsi="宋体" w:cs="宋体"/>
                <w:szCs w:val="21"/>
              </w:rPr>
              <w:t>52</w:t>
            </w:r>
          </w:p>
        </w:tc>
        <w:tc>
          <w:tcPr>
            <w:tcW w:w="1230" w:type="dxa"/>
            <w:vAlign w:val="center"/>
          </w:tcPr>
          <w:p w14:paraId="55C8786C">
            <w:pPr>
              <w:jc w:val="center"/>
              <w:rPr>
                <w:rFonts w:ascii="宋体" w:hAnsi="宋体" w:cs="宋体"/>
                <w:szCs w:val="21"/>
              </w:rPr>
            </w:pPr>
            <w:r>
              <w:rPr>
                <w:rFonts w:hint="eastAsia" w:ascii="宋体" w:hAnsi="宋体" w:cs="宋体"/>
                <w:szCs w:val="21"/>
              </w:rPr>
              <w:t>6.0</w:t>
            </w:r>
          </w:p>
        </w:tc>
        <w:tc>
          <w:tcPr>
            <w:tcW w:w="1260" w:type="dxa"/>
            <w:vAlign w:val="center"/>
          </w:tcPr>
          <w:p w14:paraId="27E2BED7">
            <w:pPr>
              <w:jc w:val="center"/>
              <w:rPr>
                <w:rFonts w:ascii="宋体" w:hAnsi="宋体" w:cs="宋体"/>
                <w:szCs w:val="21"/>
              </w:rPr>
            </w:pPr>
            <w:r>
              <w:rPr>
                <w:rFonts w:hint="eastAsia" w:ascii="宋体" w:hAnsi="宋体" w:cs="宋体"/>
                <w:szCs w:val="21"/>
              </w:rPr>
              <w:t>5.0</w:t>
            </w:r>
          </w:p>
        </w:tc>
      </w:tr>
      <w:tr w14:paraId="301F4D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2E97E63">
            <w:pPr>
              <w:jc w:val="center"/>
              <w:rPr>
                <w:rFonts w:ascii="宋体" w:hAnsi="宋体" w:cs="宋体"/>
                <w:szCs w:val="21"/>
              </w:rPr>
            </w:pPr>
            <w:r>
              <w:rPr>
                <w:rFonts w:hint="eastAsia" w:ascii="宋体" w:hAnsi="宋体" w:cs="宋体"/>
                <w:szCs w:val="21"/>
              </w:rPr>
              <w:t>121</w:t>
            </w:r>
          </w:p>
        </w:tc>
        <w:tc>
          <w:tcPr>
            <w:tcW w:w="2635" w:type="dxa"/>
            <w:vAlign w:val="center"/>
          </w:tcPr>
          <w:p w14:paraId="36374439">
            <w:pPr>
              <w:jc w:val="center"/>
              <w:rPr>
                <w:rFonts w:ascii="宋体" w:hAnsi="宋体" w:cs="宋体"/>
                <w:szCs w:val="21"/>
              </w:rPr>
            </w:pPr>
            <w:r>
              <w:rPr>
                <w:rFonts w:hint="eastAsia" w:ascii="宋体" w:hAnsi="宋体" w:cs="宋体"/>
                <w:szCs w:val="21"/>
              </w:rPr>
              <w:t>第二高速公路</w:t>
            </w:r>
          </w:p>
          <w:p w14:paraId="36AFFC98">
            <w:pPr>
              <w:jc w:val="center"/>
              <w:rPr>
                <w:rFonts w:ascii="宋体" w:hAnsi="宋体" w:cs="宋体"/>
                <w:szCs w:val="21"/>
              </w:rPr>
            </w:pPr>
            <w:r>
              <w:rPr>
                <w:rFonts w:hint="eastAsia" w:ascii="宋体" w:hAnsi="宋体" w:cs="宋体"/>
                <w:szCs w:val="21"/>
              </w:rPr>
              <w:t>K18+368通道</w:t>
            </w:r>
          </w:p>
        </w:tc>
        <w:tc>
          <w:tcPr>
            <w:tcW w:w="1775" w:type="dxa"/>
            <w:vMerge w:val="continue"/>
            <w:vAlign w:val="center"/>
          </w:tcPr>
          <w:p w14:paraId="42BA6E1B">
            <w:pPr>
              <w:jc w:val="center"/>
              <w:rPr>
                <w:rFonts w:ascii="宋体" w:hAnsi="宋体" w:cs="宋体"/>
                <w:szCs w:val="21"/>
              </w:rPr>
            </w:pPr>
          </w:p>
        </w:tc>
        <w:tc>
          <w:tcPr>
            <w:tcW w:w="1335" w:type="dxa"/>
            <w:vAlign w:val="center"/>
          </w:tcPr>
          <w:p w14:paraId="502766ED">
            <w:pPr>
              <w:jc w:val="center"/>
              <w:rPr>
                <w:rFonts w:ascii="宋体" w:hAnsi="宋体" w:cs="宋体"/>
                <w:szCs w:val="21"/>
              </w:rPr>
            </w:pPr>
            <w:r>
              <w:rPr>
                <w:rFonts w:hint="eastAsia" w:ascii="宋体" w:hAnsi="宋体" w:cs="宋体"/>
                <w:szCs w:val="21"/>
              </w:rPr>
              <w:t>46</w:t>
            </w:r>
          </w:p>
        </w:tc>
        <w:tc>
          <w:tcPr>
            <w:tcW w:w="1230" w:type="dxa"/>
            <w:vAlign w:val="center"/>
          </w:tcPr>
          <w:p w14:paraId="1CFBEAA4">
            <w:pPr>
              <w:jc w:val="center"/>
              <w:rPr>
                <w:rFonts w:ascii="宋体" w:hAnsi="宋体" w:cs="宋体"/>
                <w:szCs w:val="21"/>
              </w:rPr>
            </w:pPr>
            <w:r>
              <w:rPr>
                <w:rFonts w:hint="eastAsia" w:ascii="宋体" w:hAnsi="宋体" w:cs="宋体"/>
                <w:szCs w:val="21"/>
              </w:rPr>
              <w:t>6.0</w:t>
            </w:r>
          </w:p>
        </w:tc>
        <w:tc>
          <w:tcPr>
            <w:tcW w:w="1260" w:type="dxa"/>
            <w:vAlign w:val="center"/>
          </w:tcPr>
          <w:p w14:paraId="727F18D4">
            <w:pPr>
              <w:jc w:val="center"/>
              <w:rPr>
                <w:rFonts w:ascii="宋体" w:hAnsi="宋体" w:cs="宋体"/>
                <w:szCs w:val="21"/>
              </w:rPr>
            </w:pPr>
            <w:r>
              <w:rPr>
                <w:rFonts w:hint="eastAsia" w:ascii="宋体" w:hAnsi="宋体" w:cs="宋体"/>
                <w:szCs w:val="21"/>
              </w:rPr>
              <w:t>5.0</w:t>
            </w:r>
          </w:p>
        </w:tc>
      </w:tr>
      <w:tr w14:paraId="77010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2D93E31">
            <w:pPr>
              <w:jc w:val="center"/>
              <w:rPr>
                <w:rFonts w:ascii="宋体" w:hAnsi="宋体" w:cs="宋体"/>
                <w:szCs w:val="21"/>
              </w:rPr>
            </w:pPr>
            <w:r>
              <w:rPr>
                <w:rFonts w:hint="eastAsia" w:ascii="宋体" w:hAnsi="宋体" w:cs="宋体"/>
                <w:szCs w:val="21"/>
              </w:rPr>
              <w:t>122</w:t>
            </w:r>
          </w:p>
        </w:tc>
        <w:tc>
          <w:tcPr>
            <w:tcW w:w="2635" w:type="dxa"/>
            <w:vAlign w:val="center"/>
          </w:tcPr>
          <w:p w14:paraId="7B6B1271">
            <w:pPr>
              <w:jc w:val="center"/>
              <w:rPr>
                <w:rFonts w:ascii="宋体" w:hAnsi="宋体" w:cs="宋体"/>
                <w:szCs w:val="21"/>
              </w:rPr>
            </w:pPr>
            <w:r>
              <w:rPr>
                <w:rFonts w:hint="eastAsia" w:ascii="宋体" w:hAnsi="宋体" w:cs="宋体"/>
                <w:szCs w:val="21"/>
              </w:rPr>
              <w:t>第二高速公路</w:t>
            </w:r>
          </w:p>
          <w:p w14:paraId="40DF57D1">
            <w:pPr>
              <w:jc w:val="center"/>
              <w:rPr>
                <w:rFonts w:ascii="宋体" w:hAnsi="宋体" w:cs="宋体"/>
                <w:szCs w:val="21"/>
              </w:rPr>
            </w:pPr>
            <w:r>
              <w:rPr>
                <w:rFonts w:hint="eastAsia" w:ascii="宋体" w:hAnsi="宋体" w:cs="宋体"/>
                <w:szCs w:val="21"/>
              </w:rPr>
              <w:t>K18+700通道</w:t>
            </w:r>
          </w:p>
        </w:tc>
        <w:tc>
          <w:tcPr>
            <w:tcW w:w="1775" w:type="dxa"/>
            <w:vMerge w:val="continue"/>
            <w:vAlign w:val="center"/>
          </w:tcPr>
          <w:p w14:paraId="2921536A">
            <w:pPr>
              <w:jc w:val="center"/>
              <w:rPr>
                <w:rFonts w:ascii="宋体" w:hAnsi="宋体" w:cs="宋体"/>
                <w:szCs w:val="21"/>
              </w:rPr>
            </w:pPr>
          </w:p>
        </w:tc>
        <w:tc>
          <w:tcPr>
            <w:tcW w:w="1335" w:type="dxa"/>
            <w:vAlign w:val="center"/>
          </w:tcPr>
          <w:p w14:paraId="23003211">
            <w:pPr>
              <w:jc w:val="center"/>
              <w:rPr>
                <w:rFonts w:ascii="宋体" w:hAnsi="宋体" w:cs="宋体"/>
                <w:szCs w:val="21"/>
              </w:rPr>
            </w:pPr>
            <w:r>
              <w:rPr>
                <w:rFonts w:hint="eastAsia" w:ascii="宋体" w:hAnsi="宋体" w:cs="宋体"/>
                <w:szCs w:val="21"/>
              </w:rPr>
              <w:t>47</w:t>
            </w:r>
          </w:p>
        </w:tc>
        <w:tc>
          <w:tcPr>
            <w:tcW w:w="1230" w:type="dxa"/>
            <w:vAlign w:val="center"/>
          </w:tcPr>
          <w:p w14:paraId="3DDFB398">
            <w:pPr>
              <w:jc w:val="center"/>
              <w:rPr>
                <w:rFonts w:ascii="宋体" w:hAnsi="宋体" w:cs="宋体"/>
                <w:szCs w:val="21"/>
              </w:rPr>
            </w:pPr>
            <w:r>
              <w:rPr>
                <w:rFonts w:hint="eastAsia" w:ascii="宋体" w:hAnsi="宋体" w:cs="宋体"/>
                <w:szCs w:val="21"/>
              </w:rPr>
              <w:t>6.0</w:t>
            </w:r>
          </w:p>
        </w:tc>
        <w:tc>
          <w:tcPr>
            <w:tcW w:w="1260" w:type="dxa"/>
            <w:vAlign w:val="center"/>
          </w:tcPr>
          <w:p w14:paraId="3B2698FF">
            <w:pPr>
              <w:jc w:val="center"/>
              <w:rPr>
                <w:rFonts w:ascii="宋体" w:hAnsi="宋体" w:cs="宋体"/>
                <w:szCs w:val="21"/>
              </w:rPr>
            </w:pPr>
            <w:r>
              <w:rPr>
                <w:rFonts w:hint="eastAsia" w:ascii="宋体" w:hAnsi="宋体" w:cs="宋体"/>
                <w:szCs w:val="21"/>
              </w:rPr>
              <w:t>5.0</w:t>
            </w:r>
          </w:p>
        </w:tc>
      </w:tr>
      <w:tr w14:paraId="5E1D6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5561E128">
            <w:pPr>
              <w:jc w:val="center"/>
              <w:rPr>
                <w:rFonts w:ascii="宋体" w:hAnsi="宋体" w:cs="宋体"/>
                <w:szCs w:val="21"/>
              </w:rPr>
            </w:pPr>
            <w:r>
              <w:rPr>
                <w:rFonts w:hint="eastAsia" w:ascii="宋体" w:hAnsi="宋体" w:cs="宋体"/>
                <w:szCs w:val="21"/>
              </w:rPr>
              <w:t>123</w:t>
            </w:r>
          </w:p>
        </w:tc>
        <w:tc>
          <w:tcPr>
            <w:tcW w:w="2635" w:type="dxa"/>
            <w:vAlign w:val="center"/>
          </w:tcPr>
          <w:p w14:paraId="6B29DF57">
            <w:pPr>
              <w:jc w:val="center"/>
              <w:rPr>
                <w:rFonts w:ascii="宋体" w:hAnsi="宋体" w:cs="宋体"/>
                <w:szCs w:val="21"/>
              </w:rPr>
            </w:pPr>
            <w:r>
              <w:rPr>
                <w:rFonts w:hint="eastAsia" w:ascii="宋体" w:hAnsi="宋体" w:cs="宋体"/>
                <w:szCs w:val="21"/>
              </w:rPr>
              <w:t>第二高速公路</w:t>
            </w:r>
          </w:p>
          <w:p w14:paraId="255A9100">
            <w:pPr>
              <w:jc w:val="center"/>
              <w:rPr>
                <w:rFonts w:ascii="宋体" w:hAnsi="宋体" w:cs="宋体"/>
                <w:szCs w:val="21"/>
              </w:rPr>
            </w:pPr>
            <w:r>
              <w:rPr>
                <w:rFonts w:hint="eastAsia" w:ascii="宋体" w:hAnsi="宋体" w:cs="宋体"/>
                <w:szCs w:val="21"/>
              </w:rPr>
              <w:t>K19+540通道</w:t>
            </w:r>
          </w:p>
        </w:tc>
        <w:tc>
          <w:tcPr>
            <w:tcW w:w="1775" w:type="dxa"/>
            <w:vMerge w:val="continue"/>
            <w:vAlign w:val="center"/>
          </w:tcPr>
          <w:p w14:paraId="3C3E5E92">
            <w:pPr>
              <w:jc w:val="center"/>
              <w:rPr>
                <w:rFonts w:ascii="宋体" w:hAnsi="宋体" w:cs="宋体"/>
                <w:szCs w:val="21"/>
              </w:rPr>
            </w:pPr>
          </w:p>
        </w:tc>
        <w:tc>
          <w:tcPr>
            <w:tcW w:w="1335" w:type="dxa"/>
            <w:vAlign w:val="center"/>
          </w:tcPr>
          <w:p w14:paraId="77BE7730">
            <w:pPr>
              <w:jc w:val="center"/>
              <w:rPr>
                <w:rFonts w:ascii="宋体" w:hAnsi="宋体" w:cs="宋体"/>
                <w:szCs w:val="21"/>
              </w:rPr>
            </w:pPr>
            <w:r>
              <w:rPr>
                <w:rFonts w:hint="eastAsia" w:ascii="宋体" w:hAnsi="宋体" w:cs="宋体"/>
                <w:szCs w:val="21"/>
              </w:rPr>
              <w:t>79.3</w:t>
            </w:r>
          </w:p>
        </w:tc>
        <w:tc>
          <w:tcPr>
            <w:tcW w:w="1230" w:type="dxa"/>
            <w:vAlign w:val="center"/>
          </w:tcPr>
          <w:p w14:paraId="1B543388">
            <w:pPr>
              <w:jc w:val="center"/>
              <w:rPr>
                <w:rFonts w:ascii="宋体" w:hAnsi="宋体" w:cs="宋体"/>
                <w:szCs w:val="21"/>
              </w:rPr>
            </w:pPr>
            <w:r>
              <w:rPr>
                <w:rFonts w:hint="eastAsia" w:ascii="宋体" w:hAnsi="宋体" w:cs="宋体"/>
                <w:szCs w:val="21"/>
              </w:rPr>
              <w:t>6.0</w:t>
            </w:r>
          </w:p>
        </w:tc>
        <w:tc>
          <w:tcPr>
            <w:tcW w:w="1260" w:type="dxa"/>
            <w:vAlign w:val="center"/>
          </w:tcPr>
          <w:p w14:paraId="6EFBEE0F">
            <w:pPr>
              <w:jc w:val="center"/>
              <w:rPr>
                <w:rFonts w:ascii="宋体" w:hAnsi="宋体" w:cs="宋体"/>
                <w:szCs w:val="21"/>
              </w:rPr>
            </w:pPr>
            <w:r>
              <w:rPr>
                <w:rFonts w:hint="eastAsia" w:ascii="宋体" w:hAnsi="宋体" w:cs="宋体"/>
                <w:szCs w:val="21"/>
              </w:rPr>
              <w:t>5.0</w:t>
            </w:r>
          </w:p>
        </w:tc>
      </w:tr>
      <w:tr w14:paraId="7AC1EB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084311E">
            <w:pPr>
              <w:jc w:val="center"/>
              <w:rPr>
                <w:rFonts w:ascii="宋体" w:hAnsi="宋体" w:cs="宋体"/>
                <w:szCs w:val="21"/>
              </w:rPr>
            </w:pPr>
            <w:r>
              <w:rPr>
                <w:rFonts w:hint="eastAsia" w:ascii="宋体" w:hAnsi="宋体" w:cs="宋体"/>
                <w:szCs w:val="21"/>
              </w:rPr>
              <w:t>124</w:t>
            </w:r>
          </w:p>
        </w:tc>
        <w:tc>
          <w:tcPr>
            <w:tcW w:w="2635" w:type="dxa"/>
            <w:vAlign w:val="center"/>
          </w:tcPr>
          <w:p w14:paraId="67C35E1D">
            <w:pPr>
              <w:jc w:val="center"/>
              <w:rPr>
                <w:rFonts w:ascii="宋体" w:hAnsi="宋体" w:cs="宋体"/>
                <w:szCs w:val="21"/>
              </w:rPr>
            </w:pPr>
            <w:r>
              <w:rPr>
                <w:rFonts w:hint="eastAsia" w:ascii="宋体" w:hAnsi="宋体" w:cs="宋体"/>
                <w:szCs w:val="21"/>
              </w:rPr>
              <w:t>第二高速公路</w:t>
            </w:r>
          </w:p>
          <w:p w14:paraId="3D433FAF">
            <w:pPr>
              <w:jc w:val="center"/>
              <w:rPr>
                <w:rFonts w:ascii="宋体" w:hAnsi="宋体" w:cs="宋体"/>
                <w:szCs w:val="21"/>
              </w:rPr>
            </w:pPr>
            <w:r>
              <w:rPr>
                <w:rFonts w:hint="eastAsia" w:ascii="宋体" w:hAnsi="宋体" w:cs="宋体"/>
                <w:szCs w:val="21"/>
              </w:rPr>
              <w:t>K19+600通道</w:t>
            </w:r>
          </w:p>
        </w:tc>
        <w:tc>
          <w:tcPr>
            <w:tcW w:w="1775" w:type="dxa"/>
            <w:vMerge w:val="continue"/>
            <w:vAlign w:val="center"/>
          </w:tcPr>
          <w:p w14:paraId="305C979C">
            <w:pPr>
              <w:jc w:val="center"/>
              <w:rPr>
                <w:rFonts w:ascii="宋体" w:hAnsi="宋体" w:cs="宋体"/>
                <w:szCs w:val="21"/>
              </w:rPr>
            </w:pPr>
          </w:p>
        </w:tc>
        <w:tc>
          <w:tcPr>
            <w:tcW w:w="1335" w:type="dxa"/>
            <w:vAlign w:val="center"/>
          </w:tcPr>
          <w:p w14:paraId="4DACBEA5">
            <w:pPr>
              <w:jc w:val="center"/>
              <w:rPr>
                <w:rFonts w:ascii="宋体" w:hAnsi="宋体" w:cs="宋体"/>
                <w:szCs w:val="21"/>
              </w:rPr>
            </w:pPr>
            <w:r>
              <w:rPr>
                <w:rFonts w:hint="eastAsia" w:ascii="宋体" w:hAnsi="宋体" w:cs="宋体"/>
                <w:szCs w:val="21"/>
              </w:rPr>
              <w:t>74</w:t>
            </w:r>
          </w:p>
        </w:tc>
        <w:tc>
          <w:tcPr>
            <w:tcW w:w="1230" w:type="dxa"/>
            <w:vAlign w:val="center"/>
          </w:tcPr>
          <w:p w14:paraId="5624E22E">
            <w:pPr>
              <w:jc w:val="center"/>
              <w:rPr>
                <w:rFonts w:ascii="宋体" w:hAnsi="宋体" w:cs="宋体"/>
                <w:szCs w:val="21"/>
              </w:rPr>
            </w:pPr>
            <w:r>
              <w:rPr>
                <w:rFonts w:hint="eastAsia" w:ascii="宋体" w:hAnsi="宋体" w:cs="宋体"/>
                <w:szCs w:val="21"/>
              </w:rPr>
              <w:t>6.0</w:t>
            </w:r>
          </w:p>
        </w:tc>
        <w:tc>
          <w:tcPr>
            <w:tcW w:w="1260" w:type="dxa"/>
            <w:vAlign w:val="center"/>
          </w:tcPr>
          <w:p w14:paraId="060A1505">
            <w:pPr>
              <w:jc w:val="center"/>
              <w:rPr>
                <w:rFonts w:ascii="宋体" w:hAnsi="宋体" w:cs="宋体"/>
                <w:szCs w:val="21"/>
              </w:rPr>
            </w:pPr>
            <w:r>
              <w:rPr>
                <w:rFonts w:hint="eastAsia" w:ascii="宋体" w:hAnsi="宋体" w:cs="宋体"/>
                <w:szCs w:val="21"/>
              </w:rPr>
              <w:t>5.0</w:t>
            </w:r>
          </w:p>
        </w:tc>
      </w:tr>
      <w:tr w14:paraId="05B06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960B71E">
            <w:pPr>
              <w:jc w:val="center"/>
              <w:rPr>
                <w:rFonts w:ascii="宋体" w:hAnsi="宋体" w:cs="宋体"/>
                <w:szCs w:val="21"/>
              </w:rPr>
            </w:pPr>
            <w:r>
              <w:rPr>
                <w:rFonts w:hint="eastAsia" w:ascii="宋体" w:hAnsi="宋体" w:cs="宋体"/>
                <w:szCs w:val="21"/>
              </w:rPr>
              <w:t>125</w:t>
            </w:r>
          </w:p>
        </w:tc>
        <w:tc>
          <w:tcPr>
            <w:tcW w:w="2635" w:type="dxa"/>
            <w:vAlign w:val="center"/>
          </w:tcPr>
          <w:p w14:paraId="70A36632">
            <w:pPr>
              <w:jc w:val="center"/>
              <w:rPr>
                <w:rFonts w:ascii="宋体" w:hAnsi="宋体" w:cs="宋体"/>
                <w:szCs w:val="21"/>
              </w:rPr>
            </w:pPr>
            <w:r>
              <w:rPr>
                <w:rFonts w:hint="eastAsia" w:ascii="宋体" w:hAnsi="宋体" w:cs="宋体"/>
                <w:szCs w:val="21"/>
              </w:rPr>
              <w:t>第二高速公路</w:t>
            </w:r>
          </w:p>
          <w:p w14:paraId="34A20C34">
            <w:pPr>
              <w:jc w:val="center"/>
              <w:rPr>
                <w:rFonts w:ascii="宋体" w:hAnsi="宋体" w:cs="宋体"/>
                <w:szCs w:val="21"/>
              </w:rPr>
            </w:pPr>
            <w:r>
              <w:rPr>
                <w:rFonts w:hint="eastAsia" w:ascii="宋体" w:hAnsi="宋体" w:cs="宋体"/>
                <w:szCs w:val="21"/>
              </w:rPr>
              <w:t>GK23+020通道</w:t>
            </w:r>
          </w:p>
        </w:tc>
        <w:tc>
          <w:tcPr>
            <w:tcW w:w="1775" w:type="dxa"/>
            <w:vMerge w:val="continue"/>
            <w:vAlign w:val="center"/>
          </w:tcPr>
          <w:p w14:paraId="58DBB931">
            <w:pPr>
              <w:jc w:val="center"/>
              <w:rPr>
                <w:rFonts w:ascii="宋体" w:hAnsi="宋体" w:cs="宋体"/>
                <w:szCs w:val="21"/>
              </w:rPr>
            </w:pPr>
          </w:p>
        </w:tc>
        <w:tc>
          <w:tcPr>
            <w:tcW w:w="1335" w:type="dxa"/>
            <w:vAlign w:val="center"/>
          </w:tcPr>
          <w:p w14:paraId="697F8670">
            <w:pPr>
              <w:jc w:val="center"/>
              <w:rPr>
                <w:rFonts w:ascii="宋体" w:hAnsi="宋体" w:cs="宋体"/>
                <w:szCs w:val="21"/>
              </w:rPr>
            </w:pPr>
            <w:r>
              <w:rPr>
                <w:rFonts w:hint="eastAsia" w:ascii="宋体" w:hAnsi="宋体" w:cs="宋体"/>
                <w:szCs w:val="21"/>
              </w:rPr>
              <w:t>55</w:t>
            </w:r>
          </w:p>
        </w:tc>
        <w:tc>
          <w:tcPr>
            <w:tcW w:w="1230" w:type="dxa"/>
            <w:vAlign w:val="center"/>
          </w:tcPr>
          <w:p w14:paraId="73DAFC0F">
            <w:pPr>
              <w:jc w:val="center"/>
              <w:rPr>
                <w:rFonts w:ascii="宋体" w:hAnsi="宋体" w:cs="宋体"/>
                <w:szCs w:val="21"/>
              </w:rPr>
            </w:pPr>
            <w:r>
              <w:rPr>
                <w:rFonts w:hint="eastAsia" w:ascii="宋体" w:hAnsi="宋体" w:cs="宋体"/>
                <w:szCs w:val="21"/>
              </w:rPr>
              <w:t>4</w:t>
            </w:r>
          </w:p>
        </w:tc>
        <w:tc>
          <w:tcPr>
            <w:tcW w:w="1260" w:type="dxa"/>
            <w:vAlign w:val="center"/>
          </w:tcPr>
          <w:p w14:paraId="14E8F4BA">
            <w:pPr>
              <w:jc w:val="center"/>
              <w:rPr>
                <w:rFonts w:ascii="宋体" w:hAnsi="宋体" w:cs="宋体"/>
                <w:szCs w:val="21"/>
              </w:rPr>
            </w:pPr>
            <w:r>
              <w:rPr>
                <w:rFonts w:hint="eastAsia" w:ascii="宋体" w:hAnsi="宋体" w:cs="宋体"/>
                <w:szCs w:val="21"/>
              </w:rPr>
              <w:t>2.2</w:t>
            </w:r>
          </w:p>
        </w:tc>
      </w:tr>
      <w:tr w14:paraId="54C41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9E9CF09">
            <w:pPr>
              <w:jc w:val="center"/>
              <w:rPr>
                <w:rFonts w:ascii="宋体" w:hAnsi="宋体" w:cs="宋体"/>
                <w:szCs w:val="21"/>
              </w:rPr>
            </w:pPr>
            <w:r>
              <w:rPr>
                <w:rFonts w:hint="eastAsia" w:ascii="宋体" w:hAnsi="宋体" w:cs="宋体"/>
                <w:szCs w:val="21"/>
              </w:rPr>
              <w:t>126</w:t>
            </w:r>
          </w:p>
        </w:tc>
        <w:tc>
          <w:tcPr>
            <w:tcW w:w="2635" w:type="dxa"/>
            <w:vAlign w:val="center"/>
          </w:tcPr>
          <w:p w14:paraId="56894066">
            <w:pPr>
              <w:jc w:val="center"/>
              <w:rPr>
                <w:rFonts w:ascii="宋体" w:hAnsi="宋体" w:cs="宋体"/>
                <w:szCs w:val="21"/>
              </w:rPr>
            </w:pPr>
            <w:r>
              <w:rPr>
                <w:rFonts w:hint="eastAsia" w:ascii="宋体" w:hAnsi="宋体" w:cs="宋体"/>
                <w:szCs w:val="21"/>
              </w:rPr>
              <w:t>第二高速公路</w:t>
            </w:r>
          </w:p>
          <w:p w14:paraId="5CDABB5C">
            <w:pPr>
              <w:jc w:val="center"/>
              <w:rPr>
                <w:rFonts w:ascii="宋体" w:hAnsi="宋体" w:cs="宋体"/>
                <w:szCs w:val="21"/>
              </w:rPr>
            </w:pPr>
            <w:r>
              <w:rPr>
                <w:rFonts w:hint="eastAsia" w:ascii="宋体" w:hAnsi="宋体" w:cs="宋体"/>
                <w:szCs w:val="21"/>
              </w:rPr>
              <w:t>GK23+411通道</w:t>
            </w:r>
          </w:p>
        </w:tc>
        <w:tc>
          <w:tcPr>
            <w:tcW w:w="1775" w:type="dxa"/>
            <w:vMerge w:val="continue"/>
            <w:vAlign w:val="center"/>
          </w:tcPr>
          <w:p w14:paraId="03C97394">
            <w:pPr>
              <w:jc w:val="center"/>
              <w:rPr>
                <w:rFonts w:ascii="宋体" w:hAnsi="宋体" w:cs="宋体"/>
                <w:szCs w:val="21"/>
              </w:rPr>
            </w:pPr>
          </w:p>
        </w:tc>
        <w:tc>
          <w:tcPr>
            <w:tcW w:w="1335" w:type="dxa"/>
            <w:vAlign w:val="center"/>
          </w:tcPr>
          <w:p w14:paraId="7FC59839">
            <w:pPr>
              <w:jc w:val="center"/>
              <w:rPr>
                <w:rFonts w:ascii="宋体" w:hAnsi="宋体" w:cs="宋体"/>
                <w:szCs w:val="21"/>
              </w:rPr>
            </w:pPr>
            <w:r>
              <w:rPr>
                <w:rFonts w:hint="eastAsia" w:ascii="宋体" w:hAnsi="宋体" w:cs="宋体"/>
                <w:szCs w:val="21"/>
              </w:rPr>
              <w:t>50</w:t>
            </w:r>
          </w:p>
        </w:tc>
        <w:tc>
          <w:tcPr>
            <w:tcW w:w="1230" w:type="dxa"/>
            <w:vAlign w:val="center"/>
          </w:tcPr>
          <w:p w14:paraId="7366D407">
            <w:pPr>
              <w:jc w:val="center"/>
              <w:rPr>
                <w:rFonts w:ascii="宋体" w:hAnsi="宋体" w:cs="宋体"/>
                <w:szCs w:val="21"/>
              </w:rPr>
            </w:pPr>
            <w:r>
              <w:rPr>
                <w:rFonts w:hint="eastAsia" w:ascii="宋体" w:hAnsi="宋体" w:cs="宋体"/>
                <w:szCs w:val="21"/>
              </w:rPr>
              <w:t>4.5</w:t>
            </w:r>
          </w:p>
        </w:tc>
        <w:tc>
          <w:tcPr>
            <w:tcW w:w="1260" w:type="dxa"/>
            <w:vAlign w:val="center"/>
          </w:tcPr>
          <w:p w14:paraId="1FA0A909">
            <w:pPr>
              <w:jc w:val="center"/>
              <w:rPr>
                <w:rFonts w:ascii="宋体" w:hAnsi="宋体" w:cs="宋体"/>
                <w:szCs w:val="21"/>
              </w:rPr>
            </w:pPr>
            <w:r>
              <w:rPr>
                <w:rFonts w:hint="eastAsia" w:ascii="宋体" w:hAnsi="宋体" w:cs="宋体"/>
                <w:szCs w:val="21"/>
              </w:rPr>
              <w:t>4.5</w:t>
            </w:r>
          </w:p>
        </w:tc>
      </w:tr>
      <w:tr w14:paraId="65E02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2EF501D">
            <w:pPr>
              <w:jc w:val="center"/>
              <w:rPr>
                <w:rFonts w:ascii="宋体" w:hAnsi="宋体" w:cs="宋体"/>
                <w:szCs w:val="21"/>
              </w:rPr>
            </w:pPr>
            <w:r>
              <w:rPr>
                <w:rFonts w:hint="eastAsia" w:ascii="宋体" w:hAnsi="宋体" w:cs="宋体"/>
                <w:szCs w:val="21"/>
              </w:rPr>
              <w:t>127</w:t>
            </w:r>
          </w:p>
        </w:tc>
        <w:tc>
          <w:tcPr>
            <w:tcW w:w="2635" w:type="dxa"/>
            <w:vAlign w:val="center"/>
          </w:tcPr>
          <w:p w14:paraId="323D4AC5">
            <w:pPr>
              <w:jc w:val="center"/>
              <w:rPr>
                <w:rFonts w:ascii="宋体" w:hAnsi="宋体" w:cs="宋体"/>
                <w:szCs w:val="21"/>
              </w:rPr>
            </w:pPr>
            <w:r>
              <w:rPr>
                <w:rFonts w:hint="eastAsia" w:ascii="宋体" w:hAnsi="宋体" w:cs="宋体"/>
                <w:szCs w:val="21"/>
              </w:rPr>
              <w:t>第二高速公路</w:t>
            </w:r>
          </w:p>
          <w:p w14:paraId="39A2A49E">
            <w:pPr>
              <w:jc w:val="center"/>
              <w:rPr>
                <w:rFonts w:ascii="宋体" w:hAnsi="宋体" w:cs="宋体"/>
                <w:szCs w:val="21"/>
              </w:rPr>
            </w:pPr>
            <w:r>
              <w:rPr>
                <w:rFonts w:hint="eastAsia" w:ascii="宋体" w:hAnsi="宋体" w:cs="宋体"/>
                <w:szCs w:val="21"/>
              </w:rPr>
              <w:t>GK23+810通道</w:t>
            </w:r>
          </w:p>
        </w:tc>
        <w:tc>
          <w:tcPr>
            <w:tcW w:w="1775" w:type="dxa"/>
            <w:vMerge w:val="continue"/>
            <w:vAlign w:val="center"/>
          </w:tcPr>
          <w:p w14:paraId="3DA3C71E">
            <w:pPr>
              <w:jc w:val="center"/>
              <w:rPr>
                <w:rFonts w:ascii="宋体" w:hAnsi="宋体" w:cs="宋体"/>
                <w:szCs w:val="21"/>
              </w:rPr>
            </w:pPr>
          </w:p>
        </w:tc>
        <w:tc>
          <w:tcPr>
            <w:tcW w:w="1335" w:type="dxa"/>
            <w:vAlign w:val="center"/>
          </w:tcPr>
          <w:p w14:paraId="6D70E4F8">
            <w:pPr>
              <w:jc w:val="center"/>
              <w:rPr>
                <w:rFonts w:ascii="宋体" w:hAnsi="宋体" w:cs="宋体"/>
                <w:szCs w:val="21"/>
              </w:rPr>
            </w:pPr>
            <w:r>
              <w:rPr>
                <w:rFonts w:hint="eastAsia" w:ascii="宋体" w:hAnsi="宋体" w:cs="宋体"/>
                <w:szCs w:val="21"/>
              </w:rPr>
              <w:t>50</w:t>
            </w:r>
          </w:p>
        </w:tc>
        <w:tc>
          <w:tcPr>
            <w:tcW w:w="1230" w:type="dxa"/>
            <w:vAlign w:val="center"/>
          </w:tcPr>
          <w:p w14:paraId="0A161035">
            <w:pPr>
              <w:jc w:val="center"/>
              <w:rPr>
                <w:rFonts w:ascii="宋体" w:hAnsi="宋体" w:cs="宋体"/>
                <w:szCs w:val="21"/>
              </w:rPr>
            </w:pPr>
            <w:r>
              <w:rPr>
                <w:rFonts w:hint="eastAsia" w:ascii="宋体" w:hAnsi="宋体" w:cs="宋体"/>
                <w:szCs w:val="21"/>
              </w:rPr>
              <w:t>4.0</w:t>
            </w:r>
          </w:p>
        </w:tc>
        <w:tc>
          <w:tcPr>
            <w:tcW w:w="1260" w:type="dxa"/>
            <w:vAlign w:val="center"/>
          </w:tcPr>
          <w:p w14:paraId="5DD410E3">
            <w:pPr>
              <w:jc w:val="center"/>
              <w:rPr>
                <w:rFonts w:ascii="宋体" w:hAnsi="宋体" w:cs="宋体"/>
                <w:szCs w:val="21"/>
              </w:rPr>
            </w:pPr>
            <w:r>
              <w:rPr>
                <w:rFonts w:hint="eastAsia" w:ascii="宋体" w:hAnsi="宋体" w:cs="宋体"/>
                <w:szCs w:val="21"/>
              </w:rPr>
              <w:t>2.7</w:t>
            </w:r>
          </w:p>
        </w:tc>
      </w:tr>
      <w:tr w14:paraId="4FD6E1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BDA243C">
            <w:pPr>
              <w:jc w:val="center"/>
              <w:rPr>
                <w:rFonts w:ascii="宋体" w:hAnsi="宋体" w:cs="宋体"/>
                <w:szCs w:val="21"/>
              </w:rPr>
            </w:pPr>
            <w:r>
              <w:rPr>
                <w:rFonts w:hint="eastAsia" w:ascii="宋体" w:hAnsi="宋体" w:cs="宋体"/>
                <w:szCs w:val="21"/>
              </w:rPr>
              <w:t>128</w:t>
            </w:r>
          </w:p>
        </w:tc>
        <w:tc>
          <w:tcPr>
            <w:tcW w:w="2635" w:type="dxa"/>
            <w:vAlign w:val="center"/>
          </w:tcPr>
          <w:p w14:paraId="50D1EB07">
            <w:pPr>
              <w:jc w:val="center"/>
              <w:rPr>
                <w:rFonts w:ascii="宋体" w:hAnsi="宋体" w:cs="宋体"/>
                <w:szCs w:val="21"/>
              </w:rPr>
            </w:pPr>
            <w:r>
              <w:rPr>
                <w:rFonts w:hint="eastAsia" w:ascii="宋体" w:hAnsi="宋体" w:cs="宋体"/>
                <w:szCs w:val="21"/>
              </w:rPr>
              <w:t>第二高速公路</w:t>
            </w:r>
          </w:p>
          <w:p w14:paraId="141FD2CF">
            <w:pPr>
              <w:jc w:val="center"/>
              <w:rPr>
                <w:rFonts w:ascii="宋体" w:hAnsi="宋体" w:cs="宋体"/>
                <w:szCs w:val="21"/>
              </w:rPr>
            </w:pPr>
            <w:r>
              <w:rPr>
                <w:rFonts w:hint="eastAsia" w:ascii="宋体" w:hAnsi="宋体" w:cs="宋体"/>
                <w:szCs w:val="21"/>
              </w:rPr>
              <w:t>GK0+410通道</w:t>
            </w:r>
          </w:p>
        </w:tc>
        <w:tc>
          <w:tcPr>
            <w:tcW w:w="1775" w:type="dxa"/>
            <w:vMerge w:val="continue"/>
            <w:vAlign w:val="center"/>
          </w:tcPr>
          <w:p w14:paraId="51CD9DE5">
            <w:pPr>
              <w:jc w:val="center"/>
              <w:rPr>
                <w:rFonts w:ascii="宋体" w:hAnsi="宋体" w:cs="宋体"/>
                <w:szCs w:val="21"/>
              </w:rPr>
            </w:pPr>
          </w:p>
        </w:tc>
        <w:tc>
          <w:tcPr>
            <w:tcW w:w="1335" w:type="dxa"/>
            <w:vAlign w:val="center"/>
          </w:tcPr>
          <w:p w14:paraId="273B9C82">
            <w:pPr>
              <w:jc w:val="center"/>
              <w:rPr>
                <w:rFonts w:ascii="宋体" w:hAnsi="宋体" w:cs="宋体"/>
                <w:szCs w:val="21"/>
              </w:rPr>
            </w:pPr>
            <w:r>
              <w:rPr>
                <w:rFonts w:hint="eastAsia" w:ascii="宋体" w:hAnsi="宋体" w:cs="宋体"/>
                <w:szCs w:val="21"/>
              </w:rPr>
              <w:t>13</w:t>
            </w:r>
          </w:p>
        </w:tc>
        <w:tc>
          <w:tcPr>
            <w:tcW w:w="1230" w:type="dxa"/>
            <w:vAlign w:val="center"/>
          </w:tcPr>
          <w:p w14:paraId="30DA8E07">
            <w:pPr>
              <w:jc w:val="center"/>
              <w:rPr>
                <w:rFonts w:ascii="宋体" w:hAnsi="宋体" w:cs="宋体"/>
                <w:szCs w:val="21"/>
              </w:rPr>
            </w:pPr>
            <w:r>
              <w:rPr>
                <w:rFonts w:hint="eastAsia" w:ascii="宋体" w:hAnsi="宋体" w:cs="宋体"/>
                <w:szCs w:val="21"/>
              </w:rPr>
              <w:t>6.0</w:t>
            </w:r>
          </w:p>
        </w:tc>
        <w:tc>
          <w:tcPr>
            <w:tcW w:w="1260" w:type="dxa"/>
            <w:vAlign w:val="center"/>
          </w:tcPr>
          <w:p w14:paraId="31EBAB76">
            <w:pPr>
              <w:jc w:val="center"/>
              <w:rPr>
                <w:rFonts w:ascii="宋体" w:hAnsi="宋体" w:cs="宋体"/>
                <w:szCs w:val="21"/>
              </w:rPr>
            </w:pPr>
            <w:r>
              <w:rPr>
                <w:rFonts w:hint="eastAsia" w:ascii="宋体" w:hAnsi="宋体" w:cs="宋体"/>
                <w:szCs w:val="21"/>
              </w:rPr>
              <w:t>5</w:t>
            </w:r>
          </w:p>
        </w:tc>
      </w:tr>
      <w:tr w14:paraId="6FBDA4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A92E350">
            <w:pPr>
              <w:jc w:val="center"/>
              <w:rPr>
                <w:rFonts w:ascii="宋体" w:hAnsi="宋体" w:cs="宋体"/>
                <w:szCs w:val="21"/>
              </w:rPr>
            </w:pPr>
            <w:r>
              <w:rPr>
                <w:rFonts w:hint="eastAsia" w:ascii="宋体" w:hAnsi="宋体" w:cs="宋体"/>
                <w:szCs w:val="21"/>
              </w:rPr>
              <w:t>129</w:t>
            </w:r>
          </w:p>
        </w:tc>
        <w:tc>
          <w:tcPr>
            <w:tcW w:w="2635" w:type="dxa"/>
            <w:vAlign w:val="center"/>
          </w:tcPr>
          <w:p w14:paraId="0A700B23">
            <w:pPr>
              <w:jc w:val="center"/>
              <w:rPr>
                <w:rFonts w:ascii="宋体" w:hAnsi="宋体" w:cs="宋体"/>
                <w:szCs w:val="21"/>
              </w:rPr>
            </w:pPr>
            <w:r>
              <w:rPr>
                <w:rFonts w:hint="eastAsia" w:ascii="宋体" w:hAnsi="宋体" w:cs="宋体"/>
                <w:szCs w:val="21"/>
              </w:rPr>
              <w:t>那安快速（高改快二期1标）K3+320通道</w:t>
            </w:r>
          </w:p>
        </w:tc>
        <w:tc>
          <w:tcPr>
            <w:tcW w:w="1775" w:type="dxa"/>
            <w:vMerge w:val="restart"/>
            <w:vAlign w:val="center"/>
          </w:tcPr>
          <w:p w14:paraId="6FADCF67">
            <w:pPr>
              <w:jc w:val="center"/>
              <w:rPr>
                <w:rFonts w:ascii="宋体" w:hAnsi="宋体" w:cs="宋体"/>
                <w:szCs w:val="21"/>
              </w:rPr>
            </w:pPr>
            <w:r>
              <w:rPr>
                <w:rFonts w:hint="eastAsia" w:ascii="宋体" w:hAnsi="宋体" w:cs="宋体"/>
                <w:szCs w:val="21"/>
              </w:rPr>
              <w:t>那安快速路</w:t>
            </w:r>
          </w:p>
          <w:p w14:paraId="25AD4F0B">
            <w:pPr>
              <w:ind w:firstLine="210" w:firstLineChars="100"/>
              <w:rPr>
                <w:rFonts w:ascii="宋体" w:hAnsi="宋体" w:cs="宋体"/>
                <w:szCs w:val="21"/>
              </w:rPr>
            </w:pPr>
          </w:p>
        </w:tc>
        <w:tc>
          <w:tcPr>
            <w:tcW w:w="1335" w:type="dxa"/>
            <w:vAlign w:val="center"/>
          </w:tcPr>
          <w:p w14:paraId="7233F62C">
            <w:pPr>
              <w:jc w:val="center"/>
              <w:rPr>
                <w:rFonts w:ascii="宋体" w:hAnsi="宋体" w:cs="宋体"/>
                <w:szCs w:val="21"/>
              </w:rPr>
            </w:pPr>
            <w:r>
              <w:rPr>
                <w:rFonts w:hint="eastAsia" w:ascii="宋体" w:hAnsi="宋体" w:cs="宋体"/>
                <w:szCs w:val="21"/>
              </w:rPr>
              <w:t>37</w:t>
            </w:r>
          </w:p>
        </w:tc>
        <w:tc>
          <w:tcPr>
            <w:tcW w:w="1230" w:type="dxa"/>
            <w:vAlign w:val="center"/>
          </w:tcPr>
          <w:p w14:paraId="6B7494AE">
            <w:pPr>
              <w:jc w:val="center"/>
              <w:rPr>
                <w:rFonts w:ascii="宋体" w:hAnsi="宋体" w:cs="宋体"/>
                <w:szCs w:val="21"/>
              </w:rPr>
            </w:pPr>
            <w:r>
              <w:rPr>
                <w:rFonts w:hint="eastAsia" w:ascii="宋体" w:hAnsi="宋体" w:cs="宋体"/>
                <w:szCs w:val="21"/>
              </w:rPr>
              <w:t>8.0</w:t>
            </w:r>
          </w:p>
        </w:tc>
        <w:tc>
          <w:tcPr>
            <w:tcW w:w="1260" w:type="dxa"/>
            <w:vAlign w:val="center"/>
          </w:tcPr>
          <w:p w14:paraId="22CBA916">
            <w:pPr>
              <w:jc w:val="center"/>
              <w:rPr>
                <w:rFonts w:ascii="宋体" w:hAnsi="宋体" w:cs="宋体"/>
                <w:szCs w:val="21"/>
              </w:rPr>
            </w:pPr>
            <w:r>
              <w:rPr>
                <w:rFonts w:hint="eastAsia" w:ascii="宋体" w:hAnsi="宋体" w:cs="宋体"/>
                <w:szCs w:val="21"/>
              </w:rPr>
              <w:t>4.5</w:t>
            </w:r>
          </w:p>
        </w:tc>
      </w:tr>
      <w:tr w14:paraId="6FA03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0CD116E">
            <w:pPr>
              <w:jc w:val="center"/>
              <w:rPr>
                <w:rFonts w:ascii="宋体" w:hAnsi="宋体" w:cs="宋体"/>
                <w:szCs w:val="21"/>
              </w:rPr>
            </w:pPr>
            <w:r>
              <w:rPr>
                <w:rFonts w:hint="eastAsia" w:ascii="宋体" w:hAnsi="宋体" w:cs="宋体"/>
                <w:szCs w:val="21"/>
              </w:rPr>
              <w:t>130</w:t>
            </w:r>
          </w:p>
        </w:tc>
        <w:tc>
          <w:tcPr>
            <w:tcW w:w="2635" w:type="dxa"/>
            <w:vAlign w:val="center"/>
          </w:tcPr>
          <w:p w14:paraId="73065193">
            <w:pPr>
              <w:jc w:val="center"/>
              <w:rPr>
                <w:rFonts w:ascii="宋体" w:hAnsi="宋体" w:cs="宋体"/>
                <w:szCs w:val="21"/>
              </w:rPr>
            </w:pPr>
            <w:r>
              <w:rPr>
                <w:rFonts w:hint="eastAsia" w:ascii="宋体" w:hAnsi="宋体" w:cs="宋体"/>
                <w:szCs w:val="21"/>
              </w:rPr>
              <w:t>那安快速（高改快二期1标）K6+130通道</w:t>
            </w:r>
          </w:p>
        </w:tc>
        <w:tc>
          <w:tcPr>
            <w:tcW w:w="1775" w:type="dxa"/>
            <w:vMerge w:val="continue"/>
            <w:vAlign w:val="center"/>
          </w:tcPr>
          <w:p w14:paraId="4C6C2555">
            <w:pPr>
              <w:jc w:val="center"/>
              <w:rPr>
                <w:rFonts w:ascii="宋体" w:hAnsi="宋体" w:cs="宋体"/>
                <w:szCs w:val="21"/>
              </w:rPr>
            </w:pPr>
          </w:p>
        </w:tc>
        <w:tc>
          <w:tcPr>
            <w:tcW w:w="1335" w:type="dxa"/>
            <w:vAlign w:val="center"/>
          </w:tcPr>
          <w:p w14:paraId="52C45FCC">
            <w:pPr>
              <w:jc w:val="center"/>
              <w:rPr>
                <w:rFonts w:ascii="宋体" w:hAnsi="宋体" w:cs="宋体"/>
                <w:szCs w:val="21"/>
              </w:rPr>
            </w:pPr>
            <w:r>
              <w:rPr>
                <w:rFonts w:hint="eastAsia" w:ascii="宋体" w:hAnsi="宋体" w:cs="宋体"/>
                <w:szCs w:val="21"/>
              </w:rPr>
              <w:t>43</w:t>
            </w:r>
          </w:p>
        </w:tc>
        <w:tc>
          <w:tcPr>
            <w:tcW w:w="1230" w:type="dxa"/>
            <w:vAlign w:val="center"/>
          </w:tcPr>
          <w:p w14:paraId="39ED7AF6">
            <w:pPr>
              <w:jc w:val="center"/>
              <w:rPr>
                <w:rFonts w:ascii="宋体" w:hAnsi="宋体" w:cs="宋体"/>
                <w:szCs w:val="21"/>
              </w:rPr>
            </w:pPr>
            <w:r>
              <w:rPr>
                <w:rFonts w:hint="eastAsia" w:ascii="宋体" w:hAnsi="宋体" w:cs="宋体"/>
                <w:szCs w:val="21"/>
              </w:rPr>
              <w:t>8.0</w:t>
            </w:r>
          </w:p>
        </w:tc>
        <w:tc>
          <w:tcPr>
            <w:tcW w:w="1260" w:type="dxa"/>
            <w:vAlign w:val="center"/>
          </w:tcPr>
          <w:p w14:paraId="521A84B0">
            <w:pPr>
              <w:jc w:val="center"/>
              <w:rPr>
                <w:rFonts w:ascii="宋体" w:hAnsi="宋体" w:cs="宋体"/>
                <w:szCs w:val="21"/>
              </w:rPr>
            </w:pPr>
            <w:r>
              <w:rPr>
                <w:rFonts w:hint="eastAsia" w:ascii="宋体" w:hAnsi="宋体" w:cs="宋体"/>
                <w:szCs w:val="21"/>
              </w:rPr>
              <w:t>4.5</w:t>
            </w:r>
          </w:p>
        </w:tc>
      </w:tr>
      <w:tr w14:paraId="517AC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034C600D">
            <w:pPr>
              <w:jc w:val="center"/>
              <w:rPr>
                <w:rFonts w:ascii="宋体" w:hAnsi="宋体" w:cs="宋体"/>
                <w:szCs w:val="21"/>
              </w:rPr>
            </w:pPr>
            <w:r>
              <w:rPr>
                <w:rFonts w:hint="eastAsia" w:ascii="宋体" w:hAnsi="宋体" w:cs="宋体"/>
                <w:szCs w:val="21"/>
              </w:rPr>
              <w:t>131</w:t>
            </w:r>
          </w:p>
        </w:tc>
        <w:tc>
          <w:tcPr>
            <w:tcW w:w="2635" w:type="dxa"/>
            <w:vAlign w:val="center"/>
          </w:tcPr>
          <w:p w14:paraId="4434B5B0">
            <w:pPr>
              <w:jc w:val="center"/>
              <w:rPr>
                <w:rFonts w:ascii="宋体" w:hAnsi="宋体" w:cs="宋体"/>
                <w:szCs w:val="21"/>
              </w:rPr>
            </w:pPr>
            <w:r>
              <w:rPr>
                <w:rFonts w:hint="eastAsia" w:ascii="宋体" w:hAnsi="宋体" w:cs="宋体"/>
                <w:szCs w:val="21"/>
              </w:rPr>
              <w:t>那安快速（高改快二期1标）K6+320通道</w:t>
            </w:r>
          </w:p>
        </w:tc>
        <w:tc>
          <w:tcPr>
            <w:tcW w:w="1775" w:type="dxa"/>
            <w:vMerge w:val="continue"/>
            <w:vAlign w:val="center"/>
          </w:tcPr>
          <w:p w14:paraId="5C830394">
            <w:pPr>
              <w:jc w:val="center"/>
              <w:rPr>
                <w:rFonts w:ascii="宋体" w:hAnsi="宋体" w:cs="宋体"/>
                <w:szCs w:val="21"/>
              </w:rPr>
            </w:pPr>
          </w:p>
        </w:tc>
        <w:tc>
          <w:tcPr>
            <w:tcW w:w="1335" w:type="dxa"/>
            <w:vAlign w:val="center"/>
          </w:tcPr>
          <w:p w14:paraId="7ED9E5A6">
            <w:pPr>
              <w:jc w:val="center"/>
              <w:rPr>
                <w:rFonts w:ascii="宋体" w:hAnsi="宋体" w:cs="宋体"/>
                <w:szCs w:val="21"/>
              </w:rPr>
            </w:pPr>
            <w:r>
              <w:rPr>
                <w:rFonts w:hint="eastAsia" w:ascii="宋体" w:hAnsi="宋体" w:cs="宋体"/>
                <w:szCs w:val="21"/>
              </w:rPr>
              <w:t>37</w:t>
            </w:r>
          </w:p>
        </w:tc>
        <w:tc>
          <w:tcPr>
            <w:tcW w:w="1230" w:type="dxa"/>
            <w:vAlign w:val="center"/>
          </w:tcPr>
          <w:p w14:paraId="78427F88">
            <w:pPr>
              <w:jc w:val="center"/>
              <w:rPr>
                <w:rFonts w:ascii="宋体" w:hAnsi="宋体" w:cs="宋体"/>
                <w:szCs w:val="21"/>
              </w:rPr>
            </w:pPr>
            <w:r>
              <w:rPr>
                <w:rFonts w:hint="eastAsia" w:ascii="宋体" w:hAnsi="宋体" w:cs="宋体"/>
                <w:szCs w:val="21"/>
              </w:rPr>
              <w:t>8.0</w:t>
            </w:r>
          </w:p>
        </w:tc>
        <w:tc>
          <w:tcPr>
            <w:tcW w:w="1260" w:type="dxa"/>
            <w:vAlign w:val="center"/>
          </w:tcPr>
          <w:p w14:paraId="53115FEF">
            <w:pPr>
              <w:jc w:val="center"/>
              <w:rPr>
                <w:rFonts w:ascii="宋体" w:hAnsi="宋体" w:cs="宋体"/>
                <w:szCs w:val="21"/>
              </w:rPr>
            </w:pPr>
            <w:r>
              <w:rPr>
                <w:rFonts w:hint="eastAsia" w:ascii="宋体" w:hAnsi="宋体" w:cs="宋体"/>
                <w:szCs w:val="21"/>
              </w:rPr>
              <w:t>4.5</w:t>
            </w:r>
          </w:p>
        </w:tc>
      </w:tr>
      <w:tr w14:paraId="6A73F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9425BAF">
            <w:pPr>
              <w:jc w:val="center"/>
              <w:rPr>
                <w:rFonts w:ascii="宋体" w:hAnsi="宋体" w:cs="宋体"/>
                <w:szCs w:val="21"/>
              </w:rPr>
            </w:pPr>
            <w:r>
              <w:rPr>
                <w:rFonts w:hint="eastAsia" w:ascii="宋体" w:hAnsi="宋体" w:cs="宋体"/>
                <w:szCs w:val="21"/>
              </w:rPr>
              <w:t>132</w:t>
            </w:r>
          </w:p>
        </w:tc>
        <w:tc>
          <w:tcPr>
            <w:tcW w:w="2635" w:type="dxa"/>
            <w:vAlign w:val="center"/>
          </w:tcPr>
          <w:p w14:paraId="4CE358AD">
            <w:pPr>
              <w:jc w:val="center"/>
              <w:rPr>
                <w:rFonts w:ascii="宋体" w:hAnsi="宋体" w:cs="宋体"/>
                <w:szCs w:val="21"/>
              </w:rPr>
            </w:pPr>
            <w:r>
              <w:rPr>
                <w:rFonts w:hint="eastAsia" w:ascii="宋体" w:hAnsi="宋体" w:cs="宋体"/>
                <w:szCs w:val="21"/>
              </w:rPr>
              <w:t>那安快速高改快二期k8+985通道</w:t>
            </w:r>
          </w:p>
        </w:tc>
        <w:tc>
          <w:tcPr>
            <w:tcW w:w="1775" w:type="dxa"/>
            <w:vMerge w:val="continue"/>
            <w:vAlign w:val="center"/>
          </w:tcPr>
          <w:p w14:paraId="75383EB0">
            <w:pPr>
              <w:ind w:firstLine="210" w:firstLineChars="100"/>
              <w:rPr>
                <w:rFonts w:ascii="宋体" w:hAnsi="宋体" w:cs="宋体"/>
                <w:szCs w:val="21"/>
              </w:rPr>
            </w:pPr>
          </w:p>
        </w:tc>
        <w:tc>
          <w:tcPr>
            <w:tcW w:w="1335" w:type="dxa"/>
            <w:vAlign w:val="center"/>
          </w:tcPr>
          <w:p w14:paraId="4AB5237E">
            <w:pPr>
              <w:jc w:val="center"/>
              <w:rPr>
                <w:rFonts w:ascii="宋体" w:hAnsi="宋体" w:cs="宋体"/>
                <w:szCs w:val="21"/>
              </w:rPr>
            </w:pPr>
            <w:r>
              <w:rPr>
                <w:rFonts w:hint="eastAsia" w:ascii="宋体" w:hAnsi="宋体" w:cs="宋体"/>
                <w:szCs w:val="21"/>
              </w:rPr>
              <w:t>37</w:t>
            </w:r>
          </w:p>
        </w:tc>
        <w:tc>
          <w:tcPr>
            <w:tcW w:w="1230" w:type="dxa"/>
            <w:vAlign w:val="center"/>
          </w:tcPr>
          <w:p w14:paraId="142075D4">
            <w:pPr>
              <w:jc w:val="center"/>
              <w:rPr>
                <w:rFonts w:ascii="宋体" w:hAnsi="宋体" w:cs="宋体"/>
                <w:szCs w:val="21"/>
              </w:rPr>
            </w:pPr>
            <w:r>
              <w:rPr>
                <w:rFonts w:hint="eastAsia" w:ascii="宋体" w:hAnsi="宋体" w:cs="宋体"/>
                <w:szCs w:val="21"/>
              </w:rPr>
              <w:t>8.0</w:t>
            </w:r>
          </w:p>
        </w:tc>
        <w:tc>
          <w:tcPr>
            <w:tcW w:w="1260" w:type="dxa"/>
            <w:vAlign w:val="center"/>
          </w:tcPr>
          <w:p w14:paraId="3EEDAE14">
            <w:pPr>
              <w:jc w:val="center"/>
              <w:rPr>
                <w:rFonts w:ascii="宋体" w:hAnsi="宋体" w:cs="宋体"/>
                <w:szCs w:val="21"/>
              </w:rPr>
            </w:pPr>
            <w:r>
              <w:rPr>
                <w:rFonts w:hint="eastAsia" w:ascii="宋体" w:hAnsi="宋体" w:cs="宋体"/>
                <w:szCs w:val="21"/>
              </w:rPr>
              <w:t>3.0</w:t>
            </w:r>
          </w:p>
        </w:tc>
      </w:tr>
      <w:tr w14:paraId="4DDA0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0624F69">
            <w:pPr>
              <w:jc w:val="center"/>
              <w:rPr>
                <w:rFonts w:ascii="宋体" w:hAnsi="宋体" w:cs="宋体"/>
                <w:szCs w:val="21"/>
              </w:rPr>
            </w:pPr>
            <w:r>
              <w:rPr>
                <w:rFonts w:hint="eastAsia" w:ascii="宋体" w:hAnsi="宋体" w:cs="宋体"/>
                <w:szCs w:val="21"/>
              </w:rPr>
              <w:t>133</w:t>
            </w:r>
          </w:p>
        </w:tc>
        <w:tc>
          <w:tcPr>
            <w:tcW w:w="2635" w:type="dxa"/>
            <w:vAlign w:val="center"/>
          </w:tcPr>
          <w:p w14:paraId="30CC4F13">
            <w:pPr>
              <w:jc w:val="center"/>
              <w:rPr>
                <w:rFonts w:ascii="宋体" w:hAnsi="宋体" w:cs="宋体"/>
                <w:szCs w:val="21"/>
              </w:rPr>
            </w:pPr>
            <w:r>
              <w:rPr>
                <w:rFonts w:hint="eastAsia" w:ascii="宋体" w:hAnsi="宋体" w:cs="宋体"/>
                <w:szCs w:val="21"/>
              </w:rPr>
              <w:t>那安快速高改快二期k11+200通道</w:t>
            </w:r>
          </w:p>
        </w:tc>
        <w:tc>
          <w:tcPr>
            <w:tcW w:w="1775" w:type="dxa"/>
            <w:vMerge w:val="continue"/>
            <w:vAlign w:val="center"/>
          </w:tcPr>
          <w:p w14:paraId="596FC190">
            <w:pPr>
              <w:jc w:val="center"/>
              <w:rPr>
                <w:rFonts w:ascii="宋体" w:hAnsi="宋体" w:cs="宋体"/>
                <w:szCs w:val="21"/>
              </w:rPr>
            </w:pPr>
          </w:p>
        </w:tc>
        <w:tc>
          <w:tcPr>
            <w:tcW w:w="1335" w:type="dxa"/>
            <w:vAlign w:val="center"/>
          </w:tcPr>
          <w:p w14:paraId="5FF40304">
            <w:pPr>
              <w:jc w:val="center"/>
              <w:rPr>
                <w:rFonts w:ascii="宋体" w:hAnsi="宋体" w:cs="宋体"/>
                <w:szCs w:val="21"/>
              </w:rPr>
            </w:pPr>
            <w:r>
              <w:rPr>
                <w:rFonts w:hint="eastAsia" w:ascii="宋体" w:hAnsi="宋体" w:cs="宋体"/>
                <w:szCs w:val="21"/>
              </w:rPr>
              <w:t>37</w:t>
            </w:r>
          </w:p>
        </w:tc>
        <w:tc>
          <w:tcPr>
            <w:tcW w:w="1230" w:type="dxa"/>
            <w:vAlign w:val="center"/>
          </w:tcPr>
          <w:p w14:paraId="50CE17AE">
            <w:pPr>
              <w:jc w:val="center"/>
              <w:rPr>
                <w:rFonts w:ascii="宋体" w:hAnsi="宋体" w:cs="宋体"/>
                <w:szCs w:val="21"/>
              </w:rPr>
            </w:pPr>
            <w:r>
              <w:rPr>
                <w:rFonts w:hint="eastAsia" w:ascii="宋体" w:hAnsi="宋体" w:cs="宋体"/>
                <w:szCs w:val="21"/>
              </w:rPr>
              <w:t>8.0</w:t>
            </w:r>
          </w:p>
        </w:tc>
        <w:tc>
          <w:tcPr>
            <w:tcW w:w="1260" w:type="dxa"/>
            <w:vAlign w:val="center"/>
          </w:tcPr>
          <w:p w14:paraId="6865AFFC">
            <w:pPr>
              <w:jc w:val="center"/>
              <w:rPr>
                <w:rFonts w:ascii="宋体" w:hAnsi="宋体" w:cs="宋体"/>
                <w:szCs w:val="21"/>
              </w:rPr>
            </w:pPr>
            <w:r>
              <w:rPr>
                <w:rFonts w:hint="eastAsia" w:ascii="宋体" w:hAnsi="宋体" w:cs="宋体"/>
                <w:szCs w:val="21"/>
              </w:rPr>
              <w:t>4.5</w:t>
            </w:r>
          </w:p>
        </w:tc>
      </w:tr>
      <w:tr w14:paraId="167305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6D14977">
            <w:pPr>
              <w:jc w:val="center"/>
              <w:rPr>
                <w:rFonts w:ascii="宋体" w:hAnsi="宋体" w:cs="宋体"/>
                <w:szCs w:val="21"/>
              </w:rPr>
            </w:pPr>
            <w:r>
              <w:rPr>
                <w:rFonts w:hint="eastAsia" w:ascii="宋体" w:hAnsi="宋体" w:cs="宋体"/>
                <w:szCs w:val="21"/>
              </w:rPr>
              <w:t>134</w:t>
            </w:r>
          </w:p>
        </w:tc>
        <w:tc>
          <w:tcPr>
            <w:tcW w:w="2635" w:type="dxa"/>
            <w:vAlign w:val="center"/>
          </w:tcPr>
          <w:p w14:paraId="78D4937C">
            <w:pPr>
              <w:jc w:val="center"/>
              <w:rPr>
                <w:rFonts w:ascii="宋体" w:hAnsi="宋体" w:cs="宋体"/>
                <w:szCs w:val="21"/>
              </w:rPr>
            </w:pPr>
            <w:r>
              <w:rPr>
                <w:rFonts w:hint="eastAsia" w:ascii="宋体" w:hAnsi="宋体" w:cs="宋体"/>
                <w:szCs w:val="21"/>
              </w:rPr>
              <w:t>那安快速高改快二期k11+460通道</w:t>
            </w:r>
          </w:p>
        </w:tc>
        <w:tc>
          <w:tcPr>
            <w:tcW w:w="1775" w:type="dxa"/>
            <w:vMerge w:val="continue"/>
            <w:vAlign w:val="center"/>
          </w:tcPr>
          <w:p w14:paraId="6134A017">
            <w:pPr>
              <w:jc w:val="center"/>
              <w:rPr>
                <w:rFonts w:ascii="宋体" w:hAnsi="宋体" w:cs="宋体"/>
                <w:szCs w:val="21"/>
              </w:rPr>
            </w:pPr>
          </w:p>
        </w:tc>
        <w:tc>
          <w:tcPr>
            <w:tcW w:w="1335" w:type="dxa"/>
            <w:vAlign w:val="center"/>
          </w:tcPr>
          <w:p w14:paraId="1F583839">
            <w:pPr>
              <w:jc w:val="center"/>
              <w:rPr>
                <w:rFonts w:ascii="宋体" w:hAnsi="宋体" w:cs="宋体"/>
                <w:szCs w:val="21"/>
              </w:rPr>
            </w:pPr>
            <w:r>
              <w:rPr>
                <w:rFonts w:hint="eastAsia" w:ascii="宋体" w:hAnsi="宋体" w:cs="宋体"/>
                <w:szCs w:val="21"/>
              </w:rPr>
              <w:t>37</w:t>
            </w:r>
          </w:p>
        </w:tc>
        <w:tc>
          <w:tcPr>
            <w:tcW w:w="1230" w:type="dxa"/>
            <w:vAlign w:val="center"/>
          </w:tcPr>
          <w:p w14:paraId="0391C064">
            <w:pPr>
              <w:jc w:val="center"/>
              <w:rPr>
                <w:rFonts w:ascii="宋体" w:hAnsi="宋体" w:cs="宋体"/>
                <w:szCs w:val="21"/>
              </w:rPr>
            </w:pPr>
            <w:r>
              <w:rPr>
                <w:rFonts w:hint="eastAsia" w:ascii="宋体" w:hAnsi="宋体" w:cs="宋体"/>
                <w:szCs w:val="21"/>
              </w:rPr>
              <w:t>8.0</w:t>
            </w:r>
          </w:p>
        </w:tc>
        <w:tc>
          <w:tcPr>
            <w:tcW w:w="1260" w:type="dxa"/>
            <w:vAlign w:val="center"/>
          </w:tcPr>
          <w:p w14:paraId="3B997DC5">
            <w:pPr>
              <w:jc w:val="center"/>
              <w:rPr>
                <w:rFonts w:ascii="宋体" w:hAnsi="宋体" w:cs="宋体"/>
                <w:szCs w:val="21"/>
              </w:rPr>
            </w:pPr>
            <w:r>
              <w:rPr>
                <w:rFonts w:hint="eastAsia" w:ascii="宋体" w:hAnsi="宋体" w:cs="宋体"/>
                <w:szCs w:val="21"/>
              </w:rPr>
              <w:t>4.5</w:t>
            </w:r>
          </w:p>
        </w:tc>
      </w:tr>
      <w:tr w14:paraId="1CE04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769927C">
            <w:pPr>
              <w:jc w:val="center"/>
              <w:rPr>
                <w:rFonts w:ascii="宋体" w:hAnsi="宋体" w:cs="宋体"/>
                <w:szCs w:val="21"/>
              </w:rPr>
            </w:pPr>
            <w:r>
              <w:rPr>
                <w:rFonts w:hint="eastAsia" w:ascii="宋体" w:hAnsi="宋体" w:cs="宋体"/>
                <w:szCs w:val="21"/>
              </w:rPr>
              <w:t>135</w:t>
            </w:r>
          </w:p>
        </w:tc>
        <w:tc>
          <w:tcPr>
            <w:tcW w:w="2635" w:type="dxa"/>
            <w:vAlign w:val="center"/>
          </w:tcPr>
          <w:p w14:paraId="406035D9">
            <w:pPr>
              <w:jc w:val="center"/>
              <w:rPr>
                <w:rFonts w:ascii="宋体" w:hAnsi="宋体" w:cs="宋体"/>
                <w:szCs w:val="21"/>
              </w:rPr>
            </w:pPr>
            <w:r>
              <w:rPr>
                <w:rFonts w:hint="eastAsia" w:ascii="宋体" w:hAnsi="宋体" w:cs="宋体"/>
                <w:szCs w:val="21"/>
              </w:rPr>
              <w:t>那安快速高改快二期k17+170通道</w:t>
            </w:r>
          </w:p>
        </w:tc>
        <w:tc>
          <w:tcPr>
            <w:tcW w:w="1775" w:type="dxa"/>
            <w:vMerge w:val="continue"/>
            <w:vAlign w:val="center"/>
          </w:tcPr>
          <w:p w14:paraId="62683F38">
            <w:pPr>
              <w:jc w:val="center"/>
              <w:rPr>
                <w:rFonts w:ascii="宋体" w:hAnsi="宋体" w:cs="宋体"/>
                <w:szCs w:val="21"/>
              </w:rPr>
            </w:pPr>
          </w:p>
        </w:tc>
        <w:tc>
          <w:tcPr>
            <w:tcW w:w="1335" w:type="dxa"/>
            <w:vAlign w:val="center"/>
          </w:tcPr>
          <w:p w14:paraId="03F979A1">
            <w:pPr>
              <w:jc w:val="center"/>
              <w:rPr>
                <w:rFonts w:ascii="宋体" w:hAnsi="宋体" w:cs="宋体"/>
                <w:szCs w:val="21"/>
              </w:rPr>
            </w:pPr>
            <w:r>
              <w:rPr>
                <w:rFonts w:hint="eastAsia" w:ascii="宋体" w:hAnsi="宋体" w:cs="宋体"/>
                <w:szCs w:val="21"/>
              </w:rPr>
              <w:t>45</w:t>
            </w:r>
          </w:p>
        </w:tc>
        <w:tc>
          <w:tcPr>
            <w:tcW w:w="1230" w:type="dxa"/>
            <w:vAlign w:val="center"/>
          </w:tcPr>
          <w:p w14:paraId="3DB30DC2">
            <w:pPr>
              <w:jc w:val="center"/>
              <w:rPr>
                <w:rFonts w:ascii="宋体" w:hAnsi="宋体" w:cs="宋体"/>
                <w:szCs w:val="21"/>
              </w:rPr>
            </w:pPr>
            <w:r>
              <w:rPr>
                <w:rFonts w:hint="eastAsia" w:ascii="宋体" w:hAnsi="宋体" w:cs="宋体"/>
                <w:szCs w:val="21"/>
              </w:rPr>
              <w:t>8.0</w:t>
            </w:r>
          </w:p>
        </w:tc>
        <w:tc>
          <w:tcPr>
            <w:tcW w:w="1260" w:type="dxa"/>
            <w:vAlign w:val="center"/>
          </w:tcPr>
          <w:p w14:paraId="52C06083">
            <w:pPr>
              <w:jc w:val="center"/>
              <w:rPr>
                <w:rFonts w:ascii="宋体" w:hAnsi="宋体" w:cs="宋体"/>
                <w:szCs w:val="21"/>
              </w:rPr>
            </w:pPr>
            <w:r>
              <w:rPr>
                <w:rFonts w:hint="eastAsia" w:ascii="宋体" w:hAnsi="宋体" w:cs="宋体"/>
                <w:szCs w:val="21"/>
              </w:rPr>
              <w:t>4.5</w:t>
            </w:r>
          </w:p>
        </w:tc>
      </w:tr>
      <w:tr w14:paraId="468776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0A41F6A">
            <w:pPr>
              <w:jc w:val="center"/>
              <w:rPr>
                <w:rFonts w:ascii="宋体" w:hAnsi="宋体" w:cs="宋体"/>
                <w:szCs w:val="21"/>
              </w:rPr>
            </w:pPr>
            <w:r>
              <w:rPr>
                <w:rFonts w:hint="eastAsia" w:ascii="宋体" w:hAnsi="宋体" w:cs="宋体"/>
                <w:szCs w:val="21"/>
              </w:rPr>
              <w:t>136</w:t>
            </w:r>
          </w:p>
        </w:tc>
        <w:tc>
          <w:tcPr>
            <w:tcW w:w="2635" w:type="dxa"/>
            <w:vAlign w:val="center"/>
          </w:tcPr>
          <w:p w14:paraId="4892033F">
            <w:pPr>
              <w:jc w:val="center"/>
              <w:rPr>
                <w:rFonts w:ascii="宋体" w:hAnsi="宋体" w:cs="宋体"/>
                <w:szCs w:val="21"/>
              </w:rPr>
            </w:pPr>
            <w:r>
              <w:rPr>
                <w:rFonts w:hint="eastAsia" w:ascii="宋体" w:hAnsi="宋体" w:cs="宋体"/>
                <w:szCs w:val="21"/>
              </w:rPr>
              <w:t>那安快速（兰海高改快段）K0+815通道</w:t>
            </w:r>
          </w:p>
        </w:tc>
        <w:tc>
          <w:tcPr>
            <w:tcW w:w="1775" w:type="dxa"/>
            <w:vMerge w:val="continue"/>
            <w:vAlign w:val="center"/>
          </w:tcPr>
          <w:p w14:paraId="45A3EFAC">
            <w:pPr>
              <w:jc w:val="center"/>
              <w:rPr>
                <w:rFonts w:ascii="宋体" w:hAnsi="宋体" w:cs="宋体"/>
                <w:szCs w:val="21"/>
              </w:rPr>
            </w:pPr>
          </w:p>
        </w:tc>
        <w:tc>
          <w:tcPr>
            <w:tcW w:w="1335" w:type="dxa"/>
            <w:vAlign w:val="center"/>
          </w:tcPr>
          <w:p w14:paraId="61214B12">
            <w:pPr>
              <w:jc w:val="center"/>
              <w:rPr>
                <w:rFonts w:ascii="宋体" w:hAnsi="宋体" w:cs="宋体"/>
                <w:szCs w:val="21"/>
              </w:rPr>
            </w:pPr>
            <w:r>
              <w:rPr>
                <w:rFonts w:hint="eastAsia" w:ascii="宋体" w:hAnsi="宋体" w:cs="宋体"/>
                <w:szCs w:val="21"/>
              </w:rPr>
              <w:t>50</w:t>
            </w:r>
          </w:p>
        </w:tc>
        <w:tc>
          <w:tcPr>
            <w:tcW w:w="1230" w:type="dxa"/>
            <w:vAlign w:val="center"/>
          </w:tcPr>
          <w:p w14:paraId="696CA5FF">
            <w:pPr>
              <w:jc w:val="center"/>
              <w:rPr>
                <w:rFonts w:ascii="宋体" w:hAnsi="宋体" w:cs="宋体"/>
                <w:szCs w:val="21"/>
              </w:rPr>
            </w:pPr>
            <w:r>
              <w:rPr>
                <w:rFonts w:hint="eastAsia" w:ascii="宋体" w:hAnsi="宋体" w:cs="宋体"/>
                <w:szCs w:val="21"/>
              </w:rPr>
              <w:t>4.0</w:t>
            </w:r>
          </w:p>
        </w:tc>
        <w:tc>
          <w:tcPr>
            <w:tcW w:w="1260" w:type="dxa"/>
            <w:vAlign w:val="center"/>
          </w:tcPr>
          <w:p w14:paraId="586AAFE0">
            <w:pPr>
              <w:jc w:val="center"/>
              <w:rPr>
                <w:rFonts w:ascii="宋体" w:hAnsi="宋体" w:cs="宋体"/>
                <w:szCs w:val="21"/>
              </w:rPr>
            </w:pPr>
            <w:r>
              <w:rPr>
                <w:rFonts w:hint="eastAsia" w:ascii="宋体" w:hAnsi="宋体" w:cs="宋体"/>
                <w:szCs w:val="21"/>
              </w:rPr>
              <w:t>4.5</w:t>
            </w:r>
          </w:p>
        </w:tc>
      </w:tr>
      <w:tr w14:paraId="1D36E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1F02410A">
            <w:pPr>
              <w:jc w:val="center"/>
              <w:rPr>
                <w:rFonts w:ascii="宋体" w:hAnsi="宋体" w:cs="宋体"/>
                <w:szCs w:val="21"/>
              </w:rPr>
            </w:pPr>
            <w:r>
              <w:rPr>
                <w:rFonts w:hint="eastAsia" w:ascii="宋体" w:hAnsi="宋体" w:cs="宋体"/>
                <w:szCs w:val="21"/>
              </w:rPr>
              <w:t xml:space="preserve"> 137</w:t>
            </w:r>
          </w:p>
        </w:tc>
        <w:tc>
          <w:tcPr>
            <w:tcW w:w="2635" w:type="dxa"/>
            <w:vAlign w:val="center"/>
          </w:tcPr>
          <w:p w14:paraId="2B9D2E4B">
            <w:pPr>
              <w:jc w:val="center"/>
              <w:rPr>
                <w:rFonts w:ascii="宋体" w:hAnsi="宋体" w:cs="宋体"/>
                <w:szCs w:val="21"/>
              </w:rPr>
            </w:pPr>
            <w:r>
              <w:rPr>
                <w:rFonts w:hint="eastAsia" w:ascii="宋体" w:hAnsi="宋体" w:cs="宋体"/>
                <w:szCs w:val="21"/>
              </w:rPr>
              <w:t>那安快速（兰海高改快段）K1+240通道</w:t>
            </w:r>
          </w:p>
        </w:tc>
        <w:tc>
          <w:tcPr>
            <w:tcW w:w="1775" w:type="dxa"/>
            <w:vMerge w:val="continue"/>
            <w:vAlign w:val="center"/>
          </w:tcPr>
          <w:p w14:paraId="5E104DA6">
            <w:pPr>
              <w:jc w:val="center"/>
              <w:rPr>
                <w:rFonts w:ascii="宋体" w:hAnsi="宋体" w:cs="宋体"/>
                <w:szCs w:val="21"/>
              </w:rPr>
            </w:pPr>
          </w:p>
        </w:tc>
        <w:tc>
          <w:tcPr>
            <w:tcW w:w="1335" w:type="dxa"/>
            <w:vAlign w:val="center"/>
          </w:tcPr>
          <w:p w14:paraId="064E22FA">
            <w:pPr>
              <w:jc w:val="center"/>
              <w:rPr>
                <w:rFonts w:ascii="宋体" w:hAnsi="宋体" w:cs="宋体"/>
                <w:szCs w:val="21"/>
              </w:rPr>
            </w:pPr>
            <w:r>
              <w:rPr>
                <w:rFonts w:hint="eastAsia" w:ascii="宋体" w:hAnsi="宋体" w:cs="宋体"/>
                <w:szCs w:val="21"/>
              </w:rPr>
              <w:t>50</w:t>
            </w:r>
          </w:p>
        </w:tc>
        <w:tc>
          <w:tcPr>
            <w:tcW w:w="1230" w:type="dxa"/>
            <w:vAlign w:val="center"/>
          </w:tcPr>
          <w:p w14:paraId="13478E13">
            <w:pPr>
              <w:jc w:val="center"/>
              <w:rPr>
                <w:rFonts w:ascii="宋体" w:hAnsi="宋体" w:cs="宋体"/>
                <w:szCs w:val="21"/>
              </w:rPr>
            </w:pPr>
            <w:r>
              <w:rPr>
                <w:rFonts w:hint="eastAsia" w:ascii="宋体" w:hAnsi="宋体" w:cs="宋体"/>
                <w:szCs w:val="21"/>
              </w:rPr>
              <w:t>4.0</w:t>
            </w:r>
          </w:p>
        </w:tc>
        <w:tc>
          <w:tcPr>
            <w:tcW w:w="1260" w:type="dxa"/>
            <w:vAlign w:val="center"/>
          </w:tcPr>
          <w:p w14:paraId="13AFA8AF">
            <w:pPr>
              <w:jc w:val="center"/>
              <w:rPr>
                <w:rFonts w:ascii="宋体" w:hAnsi="宋体" w:cs="宋体"/>
                <w:szCs w:val="21"/>
              </w:rPr>
            </w:pPr>
            <w:r>
              <w:rPr>
                <w:rFonts w:hint="eastAsia" w:ascii="宋体" w:hAnsi="宋体" w:cs="宋体"/>
                <w:szCs w:val="21"/>
              </w:rPr>
              <w:t>4.5</w:t>
            </w:r>
          </w:p>
        </w:tc>
      </w:tr>
      <w:tr w14:paraId="4FA16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82B0253">
            <w:pPr>
              <w:jc w:val="center"/>
              <w:rPr>
                <w:rFonts w:ascii="宋体" w:hAnsi="宋体" w:cs="宋体"/>
                <w:szCs w:val="21"/>
              </w:rPr>
            </w:pPr>
            <w:r>
              <w:rPr>
                <w:rFonts w:hint="eastAsia" w:ascii="宋体" w:hAnsi="宋体" w:cs="宋体"/>
                <w:szCs w:val="21"/>
              </w:rPr>
              <w:t>138</w:t>
            </w:r>
          </w:p>
        </w:tc>
        <w:tc>
          <w:tcPr>
            <w:tcW w:w="2635" w:type="dxa"/>
            <w:vAlign w:val="center"/>
          </w:tcPr>
          <w:p w14:paraId="62ADA5DC">
            <w:pPr>
              <w:jc w:val="center"/>
              <w:rPr>
                <w:rFonts w:ascii="宋体" w:hAnsi="宋体" w:cs="宋体"/>
                <w:szCs w:val="21"/>
              </w:rPr>
            </w:pPr>
            <w:r>
              <w:rPr>
                <w:rFonts w:hint="eastAsia" w:ascii="宋体" w:hAnsi="宋体" w:cs="宋体"/>
                <w:szCs w:val="21"/>
              </w:rPr>
              <w:t>那安快速（兰海高改快段）K2+280通道</w:t>
            </w:r>
          </w:p>
        </w:tc>
        <w:tc>
          <w:tcPr>
            <w:tcW w:w="1775" w:type="dxa"/>
            <w:vMerge w:val="continue"/>
            <w:vAlign w:val="center"/>
          </w:tcPr>
          <w:p w14:paraId="11836F9A">
            <w:pPr>
              <w:jc w:val="center"/>
              <w:rPr>
                <w:rFonts w:ascii="宋体" w:hAnsi="宋体" w:cs="宋体"/>
                <w:szCs w:val="21"/>
              </w:rPr>
            </w:pPr>
          </w:p>
        </w:tc>
        <w:tc>
          <w:tcPr>
            <w:tcW w:w="1335" w:type="dxa"/>
            <w:vAlign w:val="center"/>
          </w:tcPr>
          <w:p w14:paraId="348F046D">
            <w:pPr>
              <w:jc w:val="center"/>
              <w:rPr>
                <w:rFonts w:ascii="宋体" w:hAnsi="宋体" w:cs="宋体"/>
                <w:szCs w:val="21"/>
              </w:rPr>
            </w:pPr>
            <w:r>
              <w:rPr>
                <w:rFonts w:hint="eastAsia" w:ascii="宋体" w:hAnsi="宋体" w:cs="宋体"/>
                <w:szCs w:val="21"/>
              </w:rPr>
              <w:t>50</w:t>
            </w:r>
          </w:p>
        </w:tc>
        <w:tc>
          <w:tcPr>
            <w:tcW w:w="1230" w:type="dxa"/>
            <w:vAlign w:val="center"/>
          </w:tcPr>
          <w:p w14:paraId="5E728F39">
            <w:pPr>
              <w:jc w:val="center"/>
              <w:rPr>
                <w:rFonts w:ascii="宋体" w:hAnsi="宋体" w:cs="宋体"/>
                <w:szCs w:val="21"/>
              </w:rPr>
            </w:pPr>
            <w:r>
              <w:rPr>
                <w:rFonts w:hint="eastAsia" w:ascii="宋体" w:hAnsi="宋体" w:cs="宋体"/>
                <w:szCs w:val="21"/>
              </w:rPr>
              <w:t>4.0</w:t>
            </w:r>
          </w:p>
        </w:tc>
        <w:tc>
          <w:tcPr>
            <w:tcW w:w="1260" w:type="dxa"/>
            <w:vAlign w:val="center"/>
          </w:tcPr>
          <w:p w14:paraId="45F15900">
            <w:pPr>
              <w:jc w:val="center"/>
              <w:rPr>
                <w:rFonts w:ascii="宋体" w:hAnsi="宋体" w:cs="宋体"/>
                <w:szCs w:val="21"/>
              </w:rPr>
            </w:pPr>
            <w:r>
              <w:rPr>
                <w:rFonts w:hint="eastAsia" w:ascii="宋体" w:hAnsi="宋体" w:cs="宋体"/>
                <w:szCs w:val="21"/>
              </w:rPr>
              <w:t>4.5</w:t>
            </w:r>
          </w:p>
        </w:tc>
      </w:tr>
      <w:tr w14:paraId="71A4C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37F0F82">
            <w:pPr>
              <w:jc w:val="center"/>
              <w:rPr>
                <w:rFonts w:ascii="宋体" w:hAnsi="宋体" w:cs="宋体"/>
                <w:szCs w:val="21"/>
              </w:rPr>
            </w:pPr>
            <w:r>
              <w:rPr>
                <w:rFonts w:hint="eastAsia" w:ascii="宋体" w:hAnsi="宋体" w:cs="宋体"/>
                <w:szCs w:val="21"/>
              </w:rPr>
              <w:t>139</w:t>
            </w:r>
          </w:p>
        </w:tc>
        <w:tc>
          <w:tcPr>
            <w:tcW w:w="2635" w:type="dxa"/>
            <w:vAlign w:val="center"/>
          </w:tcPr>
          <w:p w14:paraId="10921895">
            <w:pPr>
              <w:jc w:val="center"/>
              <w:rPr>
                <w:rFonts w:ascii="宋体" w:hAnsi="宋体" w:cs="宋体"/>
                <w:szCs w:val="21"/>
              </w:rPr>
            </w:pPr>
            <w:r>
              <w:rPr>
                <w:rFonts w:hint="eastAsia" w:ascii="宋体" w:hAnsi="宋体" w:cs="宋体"/>
                <w:szCs w:val="21"/>
              </w:rPr>
              <w:t>那安快速（兰海高改快段）K6+140通道</w:t>
            </w:r>
          </w:p>
        </w:tc>
        <w:tc>
          <w:tcPr>
            <w:tcW w:w="1775" w:type="dxa"/>
            <w:vMerge w:val="continue"/>
            <w:vAlign w:val="center"/>
          </w:tcPr>
          <w:p w14:paraId="6F890770">
            <w:pPr>
              <w:jc w:val="center"/>
              <w:rPr>
                <w:rFonts w:ascii="宋体" w:hAnsi="宋体" w:cs="宋体"/>
                <w:szCs w:val="21"/>
              </w:rPr>
            </w:pPr>
          </w:p>
        </w:tc>
        <w:tc>
          <w:tcPr>
            <w:tcW w:w="1335" w:type="dxa"/>
            <w:vAlign w:val="center"/>
          </w:tcPr>
          <w:p w14:paraId="6CB2C198">
            <w:pPr>
              <w:jc w:val="center"/>
              <w:rPr>
                <w:rFonts w:ascii="宋体" w:hAnsi="宋体" w:cs="宋体"/>
                <w:szCs w:val="21"/>
              </w:rPr>
            </w:pPr>
            <w:r>
              <w:rPr>
                <w:rFonts w:hint="eastAsia" w:ascii="宋体" w:hAnsi="宋体" w:cs="宋体"/>
                <w:szCs w:val="21"/>
              </w:rPr>
              <w:t>50</w:t>
            </w:r>
          </w:p>
        </w:tc>
        <w:tc>
          <w:tcPr>
            <w:tcW w:w="1230" w:type="dxa"/>
            <w:vAlign w:val="center"/>
          </w:tcPr>
          <w:p w14:paraId="292C6F41">
            <w:pPr>
              <w:jc w:val="center"/>
              <w:rPr>
                <w:rFonts w:ascii="宋体" w:hAnsi="宋体" w:cs="宋体"/>
                <w:szCs w:val="21"/>
              </w:rPr>
            </w:pPr>
            <w:r>
              <w:rPr>
                <w:rFonts w:hint="eastAsia" w:ascii="宋体" w:hAnsi="宋体" w:cs="宋体"/>
                <w:szCs w:val="21"/>
              </w:rPr>
              <w:t>4.0</w:t>
            </w:r>
          </w:p>
        </w:tc>
        <w:tc>
          <w:tcPr>
            <w:tcW w:w="1260" w:type="dxa"/>
            <w:vAlign w:val="center"/>
          </w:tcPr>
          <w:p w14:paraId="68BBDC26">
            <w:pPr>
              <w:jc w:val="center"/>
              <w:rPr>
                <w:rFonts w:ascii="宋体" w:hAnsi="宋体" w:cs="宋体"/>
                <w:szCs w:val="21"/>
              </w:rPr>
            </w:pPr>
            <w:r>
              <w:rPr>
                <w:rFonts w:hint="eastAsia" w:ascii="宋体" w:hAnsi="宋体" w:cs="宋体"/>
                <w:szCs w:val="21"/>
              </w:rPr>
              <w:t>4.5</w:t>
            </w:r>
          </w:p>
        </w:tc>
      </w:tr>
      <w:tr w14:paraId="7F22B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8A3F59A">
            <w:pPr>
              <w:jc w:val="center"/>
              <w:rPr>
                <w:rFonts w:ascii="宋体" w:hAnsi="宋体" w:cs="宋体"/>
                <w:szCs w:val="21"/>
              </w:rPr>
            </w:pPr>
            <w:r>
              <w:rPr>
                <w:rFonts w:hint="eastAsia" w:ascii="宋体" w:hAnsi="宋体" w:cs="宋体"/>
                <w:szCs w:val="21"/>
              </w:rPr>
              <w:t>140</w:t>
            </w:r>
          </w:p>
        </w:tc>
        <w:tc>
          <w:tcPr>
            <w:tcW w:w="2635" w:type="dxa"/>
            <w:vAlign w:val="center"/>
          </w:tcPr>
          <w:p w14:paraId="505BFF67">
            <w:pPr>
              <w:jc w:val="center"/>
              <w:rPr>
                <w:rFonts w:ascii="宋体" w:hAnsi="宋体" w:cs="宋体"/>
                <w:szCs w:val="21"/>
              </w:rPr>
            </w:pPr>
            <w:r>
              <w:rPr>
                <w:rFonts w:hint="eastAsia" w:ascii="宋体" w:hAnsi="宋体" w:cs="宋体"/>
                <w:szCs w:val="21"/>
              </w:rPr>
              <w:t>那安快速（兰海高改快段）K7+238通道</w:t>
            </w:r>
          </w:p>
        </w:tc>
        <w:tc>
          <w:tcPr>
            <w:tcW w:w="1775" w:type="dxa"/>
            <w:vMerge w:val="continue"/>
            <w:vAlign w:val="center"/>
          </w:tcPr>
          <w:p w14:paraId="0E1A0ADB">
            <w:pPr>
              <w:jc w:val="center"/>
              <w:rPr>
                <w:rFonts w:ascii="宋体" w:hAnsi="宋体" w:cs="宋体"/>
                <w:szCs w:val="21"/>
              </w:rPr>
            </w:pPr>
          </w:p>
        </w:tc>
        <w:tc>
          <w:tcPr>
            <w:tcW w:w="1335" w:type="dxa"/>
            <w:vAlign w:val="center"/>
          </w:tcPr>
          <w:p w14:paraId="44E09F91">
            <w:pPr>
              <w:jc w:val="center"/>
              <w:rPr>
                <w:rFonts w:ascii="宋体" w:hAnsi="宋体" w:cs="宋体"/>
                <w:szCs w:val="21"/>
              </w:rPr>
            </w:pPr>
            <w:r>
              <w:rPr>
                <w:rFonts w:hint="eastAsia" w:ascii="宋体" w:hAnsi="宋体" w:cs="宋体"/>
                <w:szCs w:val="21"/>
              </w:rPr>
              <w:t>50</w:t>
            </w:r>
          </w:p>
        </w:tc>
        <w:tc>
          <w:tcPr>
            <w:tcW w:w="1230" w:type="dxa"/>
            <w:vAlign w:val="center"/>
          </w:tcPr>
          <w:p w14:paraId="2292533F">
            <w:pPr>
              <w:jc w:val="center"/>
              <w:rPr>
                <w:rFonts w:ascii="宋体" w:hAnsi="宋体" w:cs="宋体"/>
                <w:szCs w:val="21"/>
              </w:rPr>
            </w:pPr>
            <w:r>
              <w:rPr>
                <w:rFonts w:hint="eastAsia" w:ascii="宋体" w:hAnsi="宋体" w:cs="宋体"/>
                <w:szCs w:val="21"/>
              </w:rPr>
              <w:t>2.5</w:t>
            </w:r>
          </w:p>
        </w:tc>
        <w:tc>
          <w:tcPr>
            <w:tcW w:w="1260" w:type="dxa"/>
            <w:vAlign w:val="center"/>
          </w:tcPr>
          <w:p w14:paraId="274116B6">
            <w:pPr>
              <w:jc w:val="center"/>
              <w:rPr>
                <w:rFonts w:ascii="宋体" w:hAnsi="宋体" w:cs="宋体"/>
                <w:szCs w:val="21"/>
              </w:rPr>
            </w:pPr>
            <w:r>
              <w:rPr>
                <w:rFonts w:hint="eastAsia" w:ascii="宋体" w:hAnsi="宋体" w:cs="宋体"/>
                <w:szCs w:val="21"/>
              </w:rPr>
              <w:t>3</w:t>
            </w:r>
          </w:p>
        </w:tc>
      </w:tr>
      <w:tr w14:paraId="59099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4CF35A9">
            <w:pPr>
              <w:jc w:val="center"/>
              <w:rPr>
                <w:rFonts w:ascii="宋体" w:hAnsi="宋体" w:cs="宋体"/>
                <w:szCs w:val="21"/>
              </w:rPr>
            </w:pPr>
            <w:r>
              <w:rPr>
                <w:rFonts w:hint="eastAsia" w:ascii="宋体" w:hAnsi="宋体" w:cs="宋体"/>
                <w:szCs w:val="21"/>
              </w:rPr>
              <w:t>141</w:t>
            </w:r>
          </w:p>
        </w:tc>
        <w:tc>
          <w:tcPr>
            <w:tcW w:w="2635" w:type="dxa"/>
            <w:vAlign w:val="center"/>
          </w:tcPr>
          <w:p w14:paraId="5B6472A6">
            <w:pPr>
              <w:jc w:val="center"/>
              <w:rPr>
                <w:rFonts w:ascii="宋体" w:hAnsi="宋体" w:cs="宋体"/>
                <w:szCs w:val="21"/>
              </w:rPr>
            </w:pPr>
            <w:r>
              <w:rPr>
                <w:rFonts w:hint="eastAsia" w:ascii="宋体" w:hAnsi="宋体" w:cs="宋体"/>
                <w:szCs w:val="21"/>
              </w:rPr>
              <w:t>那安快速（兰海高改快段）K8+140通道</w:t>
            </w:r>
          </w:p>
        </w:tc>
        <w:tc>
          <w:tcPr>
            <w:tcW w:w="1775" w:type="dxa"/>
            <w:vMerge w:val="continue"/>
            <w:vAlign w:val="center"/>
          </w:tcPr>
          <w:p w14:paraId="017EE1B8">
            <w:pPr>
              <w:jc w:val="center"/>
              <w:rPr>
                <w:rFonts w:ascii="宋体" w:hAnsi="宋体" w:cs="宋体"/>
                <w:szCs w:val="21"/>
              </w:rPr>
            </w:pPr>
          </w:p>
        </w:tc>
        <w:tc>
          <w:tcPr>
            <w:tcW w:w="1335" w:type="dxa"/>
            <w:vAlign w:val="center"/>
          </w:tcPr>
          <w:p w14:paraId="6A416215">
            <w:pPr>
              <w:jc w:val="center"/>
              <w:rPr>
                <w:rFonts w:ascii="宋体" w:hAnsi="宋体" w:cs="宋体"/>
                <w:szCs w:val="21"/>
              </w:rPr>
            </w:pPr>
            <w:r>
              <w:rPr>
                <w:rFonts w:hint="eastAsia" w:ascii="宋体" w:hAnsi="宋体" w:cs="宋体"/>
                <w:szCs w:val="21"/>
              </w:rPr>
              <w:t>50</w:t>
            </w:r>
          </w:p>
        </w:tc>
        <w:tc>
          <w:tcPr>
            <w:tcW w:w="1230" w:type="dxa"/>
            <w:vAlign w:val="center"/>
          </w:tcPr>
          <w:p w14:paraId="1B416D2E">
            <w:pPr>
              <w:jc w:val="center"/>
              <w:rPr>
                <w:rFonts w:ascii="宋体" w:hAnsi="宋体" w:cs="宋体"/>
                <w:szCs w:val="21"/>
              </w:rPr>
            </w:pPr>
            <w:r>
              <w:rPr>
                <w:rFonts w:hint="eastAsia" w:ascii="宋体" w:hAnsi="宋体" w:cs="宋体"/>
                <w:szCs w:val="21"/>
              </w:rPr>
              <w:t>4.0</w:t>
            </w:r>
          </w:p>
        </w:tc>
        <w:tc>
          <w:tcPr>
            <w:tcW w:w="1260" w:type="dxa"/>
            <w:vAlign w:val="center"/>
          </w:tcPr>
          <w:p w14:paraId="6BF74646">
            <w:pPr>
              <w:jc w:val="center"/>
              <w:rPr>
                <w:rFonts w:ascii="宋体" w:hAnsi="宋体" w:cs="宋体"/>
                <w:szCs w:val="21"/>
              </w:rPr>
            </w:pPr>
            <w:r>
              <w:rPr>
                <w:rFonts w:hint="eastAsia" w:ascii="宋体" w:hAnsi="宋体" w:cs="宋体"/>
                <w:szCs w:val="21"/>
              </w:rPr>
              <w:t>4.5</w:t>
            </w:r>
          </w:p>
        </w:tc>
      </w:tr>
      <w:tr w14:paraId="0BD33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77FD0C12">
            <w:pPr>
              <w:jc w:val="center"/>
              <w:rPr>
                <w:rFonts w:ascii="宋体" w:hAnsi="宋体" w:cs="宋体"/>
                <w:szCs w:val="21"/>
              </w:rPr>
            </w:pPr>
            <w:r>
              <w:rPr>
                <w:rFonts w:hint="eastAsia" w:ascii="宋体" w:hAnsi="宋体" w:cs="宋体"/>
                <w:szCs w:val="21"/>
              </w:rPr>
              <w:t>142</w:t>
            </w:r>
          </w:p>
        </w:tc>
        <w:tc>
          <w:tcPr>
            <w:tcW w:w="2635" w:type="dxa"/>
            <w:vAlign w:val="center"/>
          </w:tcPr>
          <w:p w14:paraId="41358E27">
            <w:pPr>
              <w:jc w:val="center"/>
              <w:rPr>
                <w:rFonts w:ascii="宋体" w:hAnsi="宋体" w:cs="宋体"/>
                <w:szCs w:val="21"/>
              </w:rPr>
            </w:pPr>
            <w:r>
              <w:rPr>
                <w:rFonts w:hint="eastAsia" w:ascii="宋体" w:hAnsi="宋体" w:cs="宋体"/>
                <w:szCs w:val="21"/>
              </w:rPr>
              <w:t>那安快速（兰海高改快段）K8+960通道</w:t>
            </w:r>
          </w:p>
        </w:tc>
        <w:tc>
          <w:tcPr>
            <w:tcW w:w="1775" w:type="dxa"/>
            <w:vMerge w:val="continue"/>
            <w:vAlign w:val="center"/>
          </w:tcPr>
          <w:p w14:paraId="5F898E84">
            <w:pPr>
              <w:jc w:val="center"/>
              <w:rPr>
                <w:rFonts w:ascii="宋体" w:hAnsi="宋体" w:cs="宋体"/>
                <w:szCs w:val="21"/>
              </w:rPr>
            </w:pPr>
          </w:p>
        </w:tc>
        <w:tc>
          <w:tcPr>
            <w:tcW w:w="1335" w:type="dxa"/>
            <w:vAlign w:val="center"/>
          </w:tcPr>
          <w:p w14:paraId="60E0D3D9">
            <w:pPr>
              <w:jc w:val="center"/>
              <w:rPr>
                <w:rFonts w:ascii="宋体" w:hAnsi="宋体" w:cs="宋体"/>
                <w:szCs w:val="21"/>
              </w:rPr>
            </w:pPr>
            <w:r>
              <w:rPr>
                <w:rFonts w:hint="eastAsia" w:ascii="宋体" w:hAnsi="宋体" w:cs="宋体"/>
                <w:szCs w:val="21"/>
              </w:rPr>
              <w:t>50</w:t>
            </w:r>
          </w:p>
        </w:tc>
        <w:tc>
          <w:tcPr>
            <w:tcW w:w="1230" w:type="dxa"/>
            <w:vAlign w:val="center"/>
          </w:tcPr>
          <w:p w14:paraId="53240E3E">
            <w:pPr>
              <w:jc w:val="center"/>
              <w:rPr>
                <w:rFonts w:ascii="宋体" w:hAnsi="宋体" w:cs="宋体"/>
                <w:szCs w:val="21"/>
              </w:rPr>
            </w:pPr>
            <w:r>
              <w:rPr>
                <w:rFonts w:hint="eastAsia" w:ascii="宋体" w:hAnsi="宋体" w:cs="宋体"/>
                <w:szCs w:val="21"/>
              </w:rPr>
              <w:t>4.0</w:t>
            </w:r>
          </w:p>
        </w:tc>
        <w:tc>
          <w:tcPr>
            <w:tcW w:w="1260" w:type="dxa"/>
            <w:vAlign w:val="center"/>
          </w:tcPr>
          <w:p w14:paraId="10D488D8">
            <w:pPr>
              <w:jc w:val="center"/>
              <w:rPr>
                <w:rFonts w:ascii="宋体" w:hAnsi="宋体" w:cs="宋体"/>
                <w:szCs w:val="21"/>
              </w:rPr>
            </w:pPr>
            <w:r>
              <w:rPr>
                <w:rFonts w:hint="eastAsia" w:ascii="宋体" w:hAnsi="宋体" w:cs="宋体"/>
                <w:szCs w:val="21"/>
              </w:rPr>
              <w:t>4.5</w:t>
            </w:r>
          </w:p>
        </w:tc>
      </w:tr>
      <w:tr w14:paraId="1543A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3711D256">
            <w:pPr>
              <w:jc w:val="center"/>
              <w:rPr>
                <w:rFonts w:ascii="宋体" w:hAnsi="宋体" w:cs="宋体"/>
                <w:szCs w:val="21"/>
              </w:rPr>
            </w:pPr>
            <w:r>
              <w:rPr>
                <w:rFonts w:hint="eastAsia" w:ascii="宋体" w:hAnsi="宋体" w:cs="宋体"/>
                <w:szCs w:val="21"/>
              </w:rPr>
              <w:t>143</w:t>
            </w:r>
          </w:p>
        </w:tc>
        <w:tc>
          <w:tcPr>
            <w:tcW w:w="2635" w:type="dxa"/>
            <w:vAlign w:val="center"/>
          </w:tcPr>
          <w:p w14:paraId="216F8EFD">
            <w:pPr>
              <w:jc w:val="center"/>
              <w:rPr>
                <w:rFonts w:ascii="宋体" w:hAnsi="宋体" w:cs="宋体"/>
                <w:szCs w:val="21"/>
              </w:rPr>
            </w:pPr>
            <w:r>
              <w:rPr>
                <w:rFonts w:hint="eastAsia" w:ascii="宋体" w:hAnsi="宋体" w:cs="宋体"/>
                <w:szCs w:val="21"/>
              </w:rPr>
              <w:t>那安快速（兰海高改快段）K9+236通道</w:t>
            </w:r>
          </w:p>
        </w:tc>
        <w:tc>
          <w:tcPr>
            <w:tcW w:w="1775" w:type="dxa"/>
            <w:vMerge w:val="continue"/>
            <w:vAlign w:val="center"/>
          </w:tcPr>
          <w:p w14:paraId="138FF2BB">
            <w:pPr>
              <w:jc w:val="center"/>
              <w:rPr>
                <w:rFonts w:ascii="宋体" w:hAnsi="宋体" w:cs="宋体"/>
                <w:szCs w:val="21"/>
              </w:rPr>
            </w:pPr>
          </w:p>
        </w:tc>
        <w:tc>
          <w:tcPr>
            <w:tcW w:w="1335" w:type="dxa"/>
            <w:vAlign w:val="center"/>
          </w:tcPr>
          <w:p w14:paraId="07DF518F">
            <w:pPr>
              <w:jc w:val="center"/>
              <w:rPr>
                <w:rFonts w:ascii="宋体" w:hAnsi="宋体" w:cs="宋体"/>
                <w:szCs w:val="21"/>
              </w:rPr>
            </w:pPr>
            <w:r>
              <w:rPr>
                <w:rFonts w:hint="eastAsia" w:ascii="宋体" w:hAnsi="宋体" w:cs="宋体"/>
                <w:szCs w:val="21"/>
              </w:rPr>
              <w:t>50</w:t>
            </w:r>
          </w:p>
        </w:tc>
        <w:tc>
          <w:tcPr>
            <w:tcW w:w="1230" w:type="dxa"/>
            <w:vAlign w:val="center"/>
          </w:tcPr>
          <w:p w14:paraId="1C2E33D1">
            <w:pPr>
              <w:jc w:val="center"/>
              <w:rPr>
                <w:rFonts w:ascii="宋体" w:hAnsi="宋体" w:cs="宋体"/>
                <w:szCs w:val="21"/>
              </w:rPr>
            </w:pPr>
            <w:r>
              <w:rPr>
                <w:rFonts w:hint="eastAsia" w:ascii="宋体" w:hAnsi="宋体" w:cs="宋体"/>
                <w:szCs w:val="21"/>
              </w:rPr>
              <w:t>2.5</w:t>
            </w:r>
          </w:p>
        </w:tc>
        <w:tc>
          <w:tcPr>
            <w:tcW w:w="1260" w:type="dxa"/>
            <w:vAlign w:val="center"/>
          </w:tcPr>
          <w:p w14:paraId="2E074E12">
            <w:pPr>
              <w:jc w:val="center"/>
              <w:rPr>
                <w:rFonts w:ascii="宋体" w:hAnsi="宋体" w:cs="宋体"/>
                <w:szCs w:val="21"/>
              </w:rPr>
            </w:pPr>
            <w:r>
              <w:rPr>
                <w:rFonts w:hint="eastAsia" w:ascii="宋体" w:hAnsi="宋体" w:cs="宋体"/>
                <w:szCs w:val="21"/>
              </w:rPr>
              <w:t>2.5</w:t>
            </w:r>
          </w:p>
        </w:tc>
      </w:tr>
      <w:tr w14:paraId="7CF597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4A6FC640">
            <w:pPr>
              <w:jc w:val="center"/>
              <w:rPr>
                <w:rFonts w:ascii="宋体" w:hAnsi="宋体" w:cs="宋体"/>
                <w:szCs w:val="21"/>
              </w:rPr>
            </w:pPr>
            <w:r>
              <w:rPr>
                <w:rFonts w:hint="eastAsia" w:ascii="宋体" w:hAnsi="宋体" w:cs="宋体"/>
                <w:szCs w:val="21"/>
              </w:rPr>
              <w:t>144</w:t>
            </w:r>
          </w:p>
        </w:tc>
        <w:tc>
          <w:tcPr>
            <w:tcW w:w="2635" w:type="dxa"/>
            <w:vAlign w:val="center"/>
          </w:tcPr>
          <w:p w14:paraId="6F7929AB">
            <w:pPr>
              <w:jc w:val="center"/>
              <w:rPr>
                <w:rFonts w:ascii="宋体" w:hAnsi="宋体" w:cs="宋体"/>
                <w:szCs w:val="21"/>
              </w:rPr>
            </w:pPr>
            <w:r>
              <w:rPr>
                <w:rFonts w:hint="eastAsia" w:ascii="宋体" w:hAnsi="宋体" w:cs="宋体"/>
                <w:szCs w:val="21"/>
              </w:rPr>
              <w:t>那安快速（兰海高改快段）K9+612通道</w:t>
            </w:r>
          </w:p>
        </w:tc>
        <w:tc>
          <w:tcPr>
            <w:tcW w:w="1775" w:type="dxa"/>
            <w:vMerge w:val="continue"/>
            <w:vAlign w:val="center"/>
          </w:tcPr>
          <w:p w14:paraId="2E589B1F">
            <w:pPr>
              <w:jc w:val="center"/>
              <w:rPr>
                <w:rFonts w:ascii="宋体" w:hAnsi="宋体" w:cs="宋体"/>
                <w:szCs w:val="21"/>
              </w:rPr>
            </w:pPr>
          </w:p>
        </w:tc>
        <w:tc>
          <w:tcPr>
            <w:tcW w:w="1335" w:type="dxa"/>
            <w:vAlign w:val="center"/>
          </w:tcPr>
          <w:p w14:paraId="4A06DCB6">
            <w:pPr>
              <w:jc w:val="center"/>
              <w:rPr>
                <w:rFonts w:ascii="宋体" w:hAnsi="宋体" w:cs="宋体"/>
                <w:szCs w:val="21"/>
              </w:rPr>
            </w:pPr>
            <w:r>
              <w:rPr>
                <w:rFonts w:hint="eastAsia" w:ascii="宋体" w:hAnsi="宋体" w:cs="宋体"/>
                <w:szCs w:val="21"/>
              </w:rPr>
              <w:t>50</w:t>
            </w:r>
          </w:p>
        </w:tc>
        <w:tc>
          <w:tcPr>
            <w:tcW w:w="1230" w:type="dxa"/>
            <w:vAlign w:val="center"/>
          </w:tcPr>
          <w:p w14:paraId="44E2BA42">
            <w:pPr>
              <w:jc w:val="center"/>
              <w:rPr>
                <w:rFonts w:ascii="宋体" w:hAnsi="宋体" w:cs="宋体"/>
                <w:szCs w:val="21"/>
              </w:rPr>
            </w:pPr>
            <w:r>
              <w:rPr>
                <w:rFonts w:hint="eastAsia" w:ascii="宋体" w:hAnsi="宋体" w:cs="宋体"/>
                <w:szCs w:val="21"/>
              </w:rPr>
              <w:t>4.0</w:t>
            </w:r>
          </w:p>
        </w:tc>
        <w:tc>
          <w:tcPr>
            <w:tcW w:w="1260" w:type="dxa"/>
            <w:vAlign w:val="center"/>
          </w:tcPr>
          <w:p w14:paraId="1851A937">
            <w:pPr>
              <w:jc w:val="center"/>
              <w:rPr>
                <w:rFonts w:ascii="宋体" w:hAnsi="宋体" w:cs="宋体"/>
                <w:szCs w:val="21"/>
              </w:rPr>
            </w:pPr>
            <w:r>
              <w:rPr>
                <w:rFonts w:hint="eastAsia" w:ascii="宋体" w:hAnsi="宋体" w:cs="宋体"/>
                <w:szCs w:val="21"/>
              </w:rPr>
              <w:t>4.5</w:t>
            </w:r>
          </w:p>
        </w:tc>
      </w:tr>
      <w:tr w14:paraId="78DD9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2F4A4FA9">
            <w:pPr>
              <w:jc w:val="center"/>
              <w:rPr>
                <w:rFonts w:ascii="宋体" w:hAnsi="宋体" w:cs="宋体"/>
                <w:szCs w:val="21"/>
              </w:rPr>
            </w:pPr>
            <w:r>
              <w:rPr>
                <w:rFonts w:hint="eastAsia" w:ascii="宋体" w:hAnsi="宋体" w:cs="宋体"/>
                <w:szCs w:val="21"/>
              </w:rPr>
              <w:t>145</w:t>
            </w:r>
          </w:p>
        </w:tc>
        <w:tc>
          <w:tcPr>
            <w:tcW w:w="2635" w:type="dxa"/>
            <w:vAlign w:val="center"/>
          </w:tcPr>
          <w:p w14:paraId="289D5C7B">
            <w:pPr>
              <w:jc w:val="center"/>
              <w:rPr>
                <w:rFonts w:ascii="宋体" w:hAnsi="宋体" w:cs="宋体"/>
                <w:szCs w:val="21"/>
              </w:rPr>
            </w:pPr>
            <w:r>
              <w:rPr>
                <w:rFonts w:hint="eastAsia" w:ascii="宋体" w:hAnsi="宋体" w:cs="宋体"/>
                <w:szCs w:val="21"/>
              </w:rPr>
              <w:t>那安快速（兰海高改快段）K10+215通道</w:t>
            </w:r>
          </w:p>
        </w:tc>
        <w:tc>
          <w:tcPr>
            <w:tcW w:w="1775" w:type="dxa"/>
            <w:vMerge w:val="continue"/>
            <w:vAlign w:val="center"/>
          </w:tcPr>
          <w:p w14:paraId="2812672F">
            <w:pPr>
              <w:jc w:val="center"/>
              <w:rPr>
                <w:rFonts w:ascii="宋体" w:hAnsi="宋体" w:cs="宋体"/>
                <w:szCs w:val="21"/>
              </w:rPr>
            </w:pPr>
          </w:p>
        </w:tc>
        <w:tc>
          <w:tcPr>
            <w:tcW w:w="1335" w:type="dxa"/>
            <w:vAlign w:val="center"/>
          </w:tcPr>
          <w:p w14:paraId="53E34761">
            <w:pPr>
              <w:jc w:val="center"/>
              <w:rPr>
                <w:rFonts w:ascii="宋体" w:hAnsi="宋体" w:cs="宋体"/>
                <w:szCs w:val="21"/>
              </w:rPr>
            </w:pPr>
            <w:r>
              <w:rPr>
                <w:rFonts w:hint="eastAsia" w:ascii="宋体" w:hAnsi="宋体" w:cs="宋体"/>
                <w:szCs w:val="21"/>
              </w:rPr>
              <w:t>50</w:t>
            </w:r>
          </w:p>
        </w:tc>
        <w:tc>
          <w:tcPr>
            <w:tcW w:w="1230" w:type="dxa"/>
            <w:vAlign w:val="center"/>
          </w:tcPr>
          <w:p w14:paraId="65379680">
            <w:pPr>
              <w:jc w:val="center"/>
              <w:rPr>
                <w:rFonts w:ascii="宋体" w:hAnsi="宋体" w:cs="宋体"/>
                <w:szCs w:val="21"/>
              </w:rPr>
            </w:pPr>
            <w:r>
              <w:rPr>
                <w:rFonts w:hint="eastAsia" w:ascii="宋体" w:hAnsi="宋体" w:cs="宋体"/>
                <w:szCs w:val="21"/>
              </w:rPr>
              <w:t>2.5</w:t>
            </w:r>
          </w:p>
        </w:tc>
        <w:tc>
          <w:tcPr>
            <w:tcW w:w="1260" w:type="dxa"/>
            <w:vAlign w:val="center"/>
          </w:tcPr>
          <w:p w14:paraId="6BC0FE03">
            <w:pPr>
              <w:jc w:val="center"/>
              <w:rPr>
                <w:rFonts w:ascii="宋体" w:hAnsi="宋体" w:cs="宋体"/>
                <w:szCs w:val="21"/>
              </w:rPr>
            </w:pPr>
            <w:r>
              <w:rPr>
                <w:rFonts w:hint="eastAsia" w:ascii="宋体" w:hAnsi="宋体" w:cs="宋体"/>
                <w:szCs w:val="21"/>
              </w:rPr>
              <w:t>2.5</w:t>
            </w:r>
          </w:p>
        </w:tc>
      </w:tr>
      <w:tr w14:paraId="6F5160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080" w:type="dxa"/>
            <w:vAlign w:val="center"/>
          </w:tcPr>
          <w:p w14:paraId="66C8EAC1">
            <w:pPr>
              <w:jc w:val="center"/>
              <w:rPr>
                <w:rFonts w:ascii="宋体" w:hAnsi="宋体" w:cs="宋体"/>
                <w:szCs w:val="21"/>
              </w:rPr>
            </w:pPr>
            <w:r>
              <w:rPr>
                <w:rFonts w:hint="eastAsia" w:ascii="宋体" w:hAnsi="宋体" w:cs="宋体"/>
                <w:szCs w:val="21"/>
              </w:rPr>
              <w:t>146</w:t>
            </w:r>
          </w:p>
        </w:tc>
        <w:tc>
          <w:tcPr>
            <w:tcW w:w="2635" w:type="dxa"/>
            <w:vAlign w:val="center"/>
          </w:tcPr>
          <w:p w14:paraId="227B2FDE">
            <w:pPr>
              <w:jc w:val="center"/>
              <w:rPr>
                <w:rFonts w:ascii="宋体" w:hAnsi="宋体" w:cs="宋体"/>
                <w:szCs w:val="21"/>
              </w:rPr>
            </w:pPr>
            <w:r>
              <w:rPr>
                <w:rFonts w:hint="eastAsia" w:ascii="宋体" w:hAnsi="宋体" w:cs="宋体"/>
                <w:szCs w:val="21"/>
              </w:rPr>
              <w:t>兰海高改快K11+190通道</w:t>
            </w:r>
          </w:p>
        </w:tc>
        <w:tc>
          <w:tcPr>
            <w:tcW w:w="1775" w:type="dxa"/>
            <w:vMerge w:val="continue"/>
            <w:vAlign w:val="center"/>
          </w:tcPr>
          <w:p w14:paraId="1AC2958C">
            <w:pPr>
              <w:jc w:val="center"/>
              <w:rPr>
                <w:rFonts w:ascii="宋体" w:hAnsi="宋体" w:cs="宋体"/>
                <w:szCs w:val="21"/>
              </w:rPr>
            </w:pPr>
          </w:p>
        </w:tc>
        <w:tc>
          <w:tcPr>
            <w:tcW w:w="1335" w:type="dxa"/>
            <w:vAlign w:val="center"/>
          </w:tcPr>
          <w:p w14:paraId="38509EB9">
            <w:pPr>
              <w:jc w:val="center"/>
              <w:rPr>
                <w:rFonts w:ascii="宋体" w:hAnsi="宋体" w:cs="宋体"/>
                <w:szCs w:val="21"/>
              </w:rPr>
            </w:pPr>
            <w:r>
              <w:rPr>
                <w:rFonts w:hint="eastAsia" w:ascii="宋体" w:hAnsi="宋体" w:cs="宋体"/>
                <w:szCs w:val="21"/>
              </w:rPr>
              <w:t>50</w:t>
            </w:r>
          </w:p>
        </w:tc>
        <w:tc>
          <w:tcPr>
            <w:tcW w:w="1230" w:type="dxa"/>
            <w:vAlign w:val="center"/>
          </w:tcPr>
          <w:p w14:paraId="0FEED87E">
            <w:pPr>
              <w:jc w:val="center"/>
              <w:rPr>
                <w:rFonts w:ascii="宋体" w:hAnsi="宋体" w:cs="宋体"/>
                <w:szCs w:val="21"/>
              </w:rPr>
            </w:pPr>
            <w:r>
              <w:rPr>
                <w:rFonts w:hint="eastAsia" w:ascii="宋体" w:hAnsi="宋体" w:cs="宋体"/>
                <w:szCs w:val="21"/>
              </w:rPr>
              <w:t xml:space="preserve">4.0  </w:t>
            </w:r>
          </w:p>
        </w:tc>
        <w:tc>
          <w:tcPr>
            <w:tcW w:w="1260" w:type="dxa"/>
            <w:vAlign w:val="center"/>
          </w:tcPr>
          <w:p w14:paraId="7B057285">
            <w:pPr>
              <w:jc w:val="center"/>
              <w:rPr>
                <w:rFonts w:ascii="宋体" w:hAnsi="宋体" w:cs="宋体"/>
                <w:szCs w:val="21"/>
              </w:rPr>
            </w:pPr>
            <w:r>
              <w:rPr>
                <w:rFonts w:hint="eastAsia" w:ascii="宋体" w:hAnsi="宋体" w:cs="宋体"/>
                <w:szCs w:val="21"/>
              </w:rPr>
              <w:t>4.5</w:t>
            </w:r>
          </w:p>
        </w:tc>
      </w:tr>
    </w:tbl>
    <w:p w14:paraId="6C9D9C81">
      <w:pPr>
        <w:spacing w:line="428" w:lineRule="exact"/>
        <w:ind w:left="119"/>
        <w:rPr>
          <w:rFonts w:ascii="微软雅黑" w:hAnsi="微软雅黑" w:eastAsia="微软雅黑" w:cs="微软雅黑"/>
          <w:sz w:val="32"/>
          <w:szCs w:val="32"/>
        </w:rPr>
      </w:pPr>
    </w:p>
    <w:p w14:paraId="6ED52A38">
      <w:pPr>
        <w:spacing w:line="428" w:lineRule="exact"/>
        <w:ind w:left="119"/>
        <w:rPr>
          <w:rFonts w:ascii="微软雅黑" w:hAnsi="微软雅黑" w:eastAsia="微软雅黑" w:cs="微软雅黑"/>
          <w:sz w:val="32"/>
          <w:szCs w:val="32"/>
        </w:rPr>
      </w:pPr>
    </w:p>
    <w:p w14:paraId="596D2D05">
      <w:pPr>
        <w:spacing w:line="428" w:lineRule="exact"/>
        <w:ind w:left="119"/>
        <w:rPr>
          <w:rFonts w:ascii="微软雅黑" w:hAnsi="微软雅黑" w:eastAsia="微软雅黑" w:cs="微软雅黑"/>
          <w:sz w:val="32"/>
          <w:szCs w:val="32"/>
        </w:rPr>
      </w:pPr>
    </w:p>
    <w:p w14:paraId="12BB7960">
      <w:pPr>
        <w:spacing w:line="428" w:lineRule="exact"/>
        <w:ind w:left="119"/>
        <w:rPr>
          <w:rFonts w:ascii="微软雅黑" w:hAnsi="微软雅黑" w:eastAsia="微软雅黑" w:cs="微软雅黑"/>
          <w:sz w:val="32"/>
          <w:szCs w:val="32"/>
        </w:rPr>
      </w:pPr>
    </w:p>
    <w:p w14:paraId="53509F24">
      <w:pPr>
        <w:spacing w:line="428" w:lineRule="exact"/>
        <w:ind w:left="119"/>
        <w:rPr>
          <w:rFonts w:ascii="微软雅黑" w:hAnsi="微软雅黑" w:eastAsia="微软雅黑" w:cs="微软雅黑"/>
          <w:sz w:val="32"/>
          <w:szCs w:val="32"/>
        </w:rPr>
      </w:pPr>
    </w:p>
    <w:p w14:paraId="7758DBB7">
      <w:pPr>
        <w:spacing w:line="428" w:lineRule="exact"/>
        <w:ind w:left="119"/>
        <w:rPr>
          <w:rFonts w:ascii="微软雅黑" w:hAnsi="微软雅黑" w:eastAsia="微软雅黑" w:cs="微软雅黑"/>
          <w:sz w:val="32"/>
          <w:szCs w:val="32"/>
        </w:rPr>
      </w:pPr>
    </w:p>
    <w:p w14:paraId="399C5F2A">
      <w:pPr>
        <w:spacing w:line="428" w:lineRule="exact"/>
        <w:ind w:left="119"/>
        <w:rPr>
          <w:rFonts w:ascii="微软雅黑" w:hAnsi="微软雅黑" w:eastAsia="微软雅黑" w:cs="微软雅黑"/>
          <w:sz w:val="32"/>
          <w:szCs w:val="32"/>
        </w:rPr>
      </w:pPr>
    </w:p>
    <w:p w14:paraId="63B34A40">
      <w:pPr>
        <w:spacing w:line="428" w:lineRule="exact"/>
        <w:ind w:left="119"/>
        <w:rPr>
          <w:rFonts w:ascii="微软雅黑" w:hAnsi="微软雅黑" w:eastAsia="微软雅黑" w:cs="微软雅黑"/>
          <w:sz w:val="32"/>
          <w:szCs w:val="32"/>
        </w:rPr>
      </w:pPr>
    </w:p>
    <w:p w14:paraId="598553CB">
      <w:pPr>
        <w:spacing w:line="428" w:lineRule="exact"/>
        <w:ind w:left="119"/>
        <w:rPr>
          <w:rFonts w:ascii="微软雅黑" w:hAnsi="微软雅黑" w:eastAsia="微软雅黑" w:cs="微软雅黑"/>
          <w:sz w:val="32"/>
          <w:szCs w:val="32"/>
        </w:rPr>
      </w:pPr>
    </w:p>
    <w:p w14:paraId="287DC907">
      <w:pPr>
        <w:spacing w:line="428" w:lineRule="exact"/>
        <w:ind w:left="119"/>
        <w:rPr>
          <w:rFonts w:ascii="微软雅黑" w:hAnsi="微软雅黑" w:eastAsia="微软雅黑" w:cs="微软雅黑"/>
          <w:sz w:val="32"/>
          <w:szCs w:val="32"/>
        </w:rPr>
      </w:pPr>
    </w:p>
    <w:p w14:paraId="36184A61">
      <w:pPr>
        <w:spacing w:line="428" w:lineRule="exact"/>
        <w:ind w:left="119"/>
        <w:rPr>
          <w:rFonts w:ascii="微软雅黑" w:hAnsi="微软雅黑" w:eastAsia="微软雅黑" w:cs="微软雅黑"/>
          <w:sz w:val="32"/>
          <w:szCs w:val="32"/>
        </w:rPr>
      </w:pPr>
    </w:p>
    <w:p w14:paraId="42075CEF">
      <w:pPr>
        <w:spacing w:line="428" w:lineRule="exact"/>
        <w:ind w:left="119"/>
        <w:rPr>
          <w:rFonts w:ascii="微软雅黑" w:hAnsi="微软雅黑" w:eastAsia="微软雅黑" w:cs="微软雅黑"/>
          <w:sz w:val="32"/>
          <w:szCs w:val="32"/>
        </w:rPr>
      </w:pPr>
    </w:p>
    <w:p w14:paraId="02BD6840">
      <w:pPr>
        <w:spacing w:line="428" w:lineRule="exact"/>
        <w:ind w:left="119"/>
        <w:rPr>
          <w:rFonts w:ascii="微软雅黑" w:hAnsi="微软雅黑" w:eastAsia="微软雅黑" w:cs="微软雅黑"/>
          <w:sz w:val="32"/>
          <w:szCs w:val="32"/>
        </w:rPr>
      </w:pPr>
    </w:p>
    <w:p w14:paraId="5A8902D6">
      <w:pPr>
        <w:spacing w:line="428" w:lineRule="exact"/>
        <w:ind w:left="119"/>
        <w:rPr>
          <w:rFonts w:ascii="微软雅黑" w:hAnsi="微软雅黑" w:eastAsia="微软雅黑" w:cs="微软雅黑"/>
          <w:sz w:val="32"/>
          <w:szCs w:val="32"/>
        </w:rPr>
      </w:pPr>
    </w:p>
    <w:p w14:paraId="6AC4E3EF">
      <w:pPr>
        <w:spacing w:line="428" w:lineRule="exact"/>
        <w:ind w:left="119"/>
        <w:rPr>
          <w:rFonts w:ascii="微软雅黑" w:hAnsi="微软雅黑" w:eastAsia="微软雅黑" w:cs="微软雅黑"/>
          <w:sz w:val="32"/>
          <w:szCs w:val="32"/>
        </w:rPr>
      </w:pPr>
    </w:p>
    <w:p w14:paraId="2F3F140E">
      <w:pPr>
        <w:spacing w:line="428" w:lineRule="exact"/>
        <w:ind w:left="119"/>
        <w:rPr>
          <w:rFonts w:ascii="微软雅黑" w:hAnsi="微软雅黑" w:eastAsia="微软雅黑" w:cs="微软雅黑"/>
          <w:sz w:val="32"/>
          <w:szCs w:val="32"/>
        </w:rPr>
      </w:pPr>
    </w:p>
    <w:p w14:paraId="4CC519D5">
      <w:pPr>
        <w:spacing w:line="428" w:lineRule="exact"/>
        <w:ind w:left="119"/>
        <w:rPr>
          <w:rFonts w:ascii="微软雅黑" w:hAnsi="微软雅黑" w:eastAsia="微软雅黑" w:cs="微软雅黑"/>
          <w:sz w:val="32"/>
          <w:szCs w:val="32"/>
        </w:rPr>
      </w:pPr>
    </w:p>
    <w:p w14:paraId="12052CBE">
      <w:pPr>
        <w:spacing w:line="428" w:lineRule="exact"/>
        <w:ind w:left="119"/>
        <w:rPr>
          <w:rFonts w:ascii="微软雅黑" w:hAnsi="微软雅黑" w:eastAsia="微软雅黑" w:cs="微软雅黑"/>
          <w:sz w:val="32"/>
          <w:szCs w:val="32"/>
        </w:rPr>
      </w:pPr>
    </w:p>
    <w:p w14:paraId="198D6E6E">
      <w:pPr>
        <w:spacing w:line="428" w:lineRule="exact"/>
        <w:ind w:left="119"/>
        <w:rPr>
          <w:rFonts w:ascii="微软雅黑" w:hAnsi="微软雅黑" w:eastAsia="微软雅黑" w:cs="微软雅黑"/>
          <w:sz w:val="32"/>
          <w:szCs w:val="32"/>
        </w:rPr>
      </w:pPr>
    </w:p>
    <w:p w14:paraId="6014A72D">
      <w:pPr>
        <w:spacing w:line="428" w:lineRule="exact"/>
        <w:ind w:left="119"/>
        <w:rPr>
          <w:rFonts w:ascii="微软雅黑" w:hAnsi="微软雅黑" w:eastAsia="微软雅黑" w:cs="微软雅黑"/>
          <w:sz w:val="32"/>
          <w:szCs w:val="32"/>
        </w:rPr>
      </w:pPr>
    </w:p>
    <w:p w14:paraId="42CD7C68">
      <w:pPr>
        <w:spacing w:line="428" w:lineRule="exact"/>
        <w:ind w:left="119"/>
        <w:rPr>
          <w:rFonts w:ascii="微软雅黑" w:hAnsi="微软雅黑" w:eastAsia="微软雅黑" w:cs="微软雅黑"/>
          <w:sz w:val="32"/>
          <w:szCs w:val="32"/>
        </w:rPr>
      </w:pPr>
    </w:p>
    <w:p w14:paraId="0D1750E8">
      <w:pPr>
        <w:spacing w:line="428" w:lineRule="exact"/>
        <w:ind w:left="119"/>
        <w:rPr>
          <w:rFonts w:ascii="微软雅黑" w:hAnsi="微软雅黑" w:eastAsia="微软雅黑" w:cs="微软雅黑"/>
          <w:sz w:val="32"/>
          <w:szCs w:val="32"/>
        </w:rPr>
      </w:pPr>
    </w:p>
    <w:p w14:paraId="11A1F20F">
      <w:pPr>
        <w:spacing w:line="428" w:lineRule="exact"/>
        <w:ind w:left="119"/>
        <w:rPr>
          <w:rFonts w:ascii="微软雅黑" w:hAnsi="微软雅黑" w:eastAsia="微软雅黑" w:cs="微软雅黑"/>
          <w:sz w:val="32"/>
          <w:szCs w:val="32"/>
        </w:rPr>
      </w:pPr>
    </w:p>
    <w:p w14:paraId="35070DAB">
      <w:pPr>
        <w:spacing w:line="428" w:lineRule="exact"/>
        <w:ind w:left="119"/>
        <w:rPr>
          <w:rFonts w:ascii="微软雅黑" w:hAnsi="微软雅黑" w:eastAsia="微软雅黑" w:cs="微软雅黑"/>
          <w:sz w:val="32"/>
          <w:szCs w:val="32"/>
        </w:rPr>
      </w:pPr>
    </w:p>
    <w:p w14:paraId="624ECE77">
      <w:pPr>
        <w:spacing w:line="428" w:lineRule="exact"/>
        <w:ind w:left="119"/>
        <w:rPr>
          <w:rFonts w:ascii="微软雅黑" w:hAnsi="微软雅黑" w:eastAsia="微软雅黑" w:cs="微软雅黑"/>
          <w:sz w:val="32"/>
          <w:szCs w:val="32"/>
        </w:rPr>
      </w:pPr>
    </w:p>
    <w:p w14:paraId="62DC0425">
      <w:pPr>
        <w:spacing w:line="428" w:lineRule="exact"/>
        <w:ind w:left="119"/>
        <w:rPr>
          <w:rFonts w:ascii="微软雅黑" w:hAnsi="微软雅黑" w:eastAsia="微软雅黑" w:cs="微软雅黑"/>
          <w:sz w:val="32"/>
          <w:szCs w:val="32"/>
        </w:rPr>
      </w:pPr>
    </w:p>
    <w:p w14:paraId="6FCC8056">
      <w:pPr>
        <w:spacing w:line="428" w:lineRule="exact"/>
        <w:ind w:left="119"/>
        <w:rPr>
          <w:rFonts w:ascii="微软雅黑" w:hAnsi="微软雅黑" w:eastAsia="微软雅黑" w:cs="微软雅黑"/>
          <w:sz w:val="32"/>
          <w:szCs w:val="32"/>
        </w:rPr>
      </w:pPr>
    </w:p>
    <w:p w14:paraId="536A734D">
      <w:pPr>
        <w:spacing w:line="428" w:lineRule="exact"/>
        <w:ind w:left="119"/>
        <w:rPr>
          <w:rFonts w:ascii="微软雅黑" w:hAnsi="微软雅黑" w:eastAsia="微软雅黑" w:cs="微软雅黑"/>
          <w:sz w:val="32"/>
          <w:szCs w:val="32"/>
        </w:rPr>
      </w:pPr>
    </w:p>
    <w:p w14:paraId="5E84A87D">
      <w:pPr>
        <w:spacing w:line="428" w:lineRule="exact"/>
        <w:ind w:left="119"/>
        <w:rPr>
          <w:rFonts w:ascii="微软雅黑" w:hAnsi="微软雅黑" w:eastAsia="微软雅黑" w:cs="微软雅黑"/>
          <w:sz w:val="32"/>
          <w:szCs w:val="32"/>
        </w:rPr>
      </w:pPr>
    </w:p>
    <w:p w14:paraId="279E4150">
      <w:pPr>
        <w:spacing w:line="428" w:lineRule="exact"/>
        <w:ind w:left="119"/>
        <w:rPr>
          <w:rFonts w:ascii="微软雅黑" w:hAnsi="微软雅黑" w:eastAsia="微软雅黑" w:cs="微软雅黑"/>
          <w:sz w:val="32"/>
          <w:szCs w:val="32"/>
        </w:rPr>
      </w:pPr>
    </w:p>
    <w:p w14:paraId="12B43551">
      <w:pPr>
        <w:spacing w:line="428" w:lineRule="exact"/>
        <w:ind w:left="119"/>
        <w:rPr>
          <w:rFonts w:ascii="微软雅黑" w:hAnsi="微软雅黑" w:eastAsia="微软雅黑" w:cs="微软雅黑"/>
          <w:sz w:val="32"/>
          <w:szCs w:val="32"/>
        </w:rPr>
      </w:pPr>
    </w:p>
    <w:p w14:paraId="48A2CB77">
      <w:pPr>
        <w:spacing w:line="428" w:lineRule="exact"/>
        <w:ind w:left="119"/>
        <w:rPr>
          <w:rFonts w:ascii="Arial Unicode MS" w:hAnsi="Arial Unicode MS" w:eastAsia="Arial Unicode MS" w:cs="Arial Unicode MS"/>
          <w:sz w:val="32"/>
          <w:szCs w:val="32"/>
        </w:rPr>
      </w:pPr>
      <w:r>
        <w:rPr>
          <w:rFonts w:hint="eastAsia" w:ascii="微软雅黑" w:hAnsi="微软雅黑" w:eastAsia="微软雅黑" w:cs="微软雅黑"/>
          <w:sz w:val="32"/>
          <w:szCs w:val="32"/>
        </w:rPr>
        <w:t>附件</w:t>
      </w:r>
      <w:r>
        <w:rPr>
          <w:rFonts w:hint="eastAsia" w:ascii="Arial Unicode MS" w:hAnsi="Arial Unicode MS" w:eastAsia="Arial Unicode MS" w:cs="Arial Unicode MS"/>
          <w:sz w:val="32"/>
          <w:szCs w:val="32"/>
        </w:rPr>
        <w:t>1</w:t>
      </w:r>
      <w:r>
        <w:rPr>
          <w:rFonts w:hint="eastAsia" w:ascii="微软雅黑" w:hAnsi="微软雅黑" w:eastAsia="微软雅黑" w:cs="微软雅黑"/>
          <w:sz w:val="32"/>
          <w:szCs w:val="32"/>
        </w:rPr>
        <w:t>：</w:t>
      </w:r>
    </w:p>
    <w:p w14:paraId="1145CDA5">
      <w:pPr>
        <w:spacing w:before="7"/>
        <w:rPr>
          <w:rFonts w:ascii="Arial Unicode MS" w:hAnsi="Arial Unicode MS" w:eastAsia="Arial Unicode MS" w:cs="Arial Unicode MS"/>
          <w:sz w:val="17"/>
          <w:szCs w:val="17"/>
        </w:rPr>
      </w:pPr>
    </w:p>
    <w:p w14:paraId="55371263">
      <w:pPr>
        <w:spacing w:line="528" w:lineRule="exact"/>
        <w:ind w:left="1871"/>
        <w:rPr>
          <w:rFonts w:ascii="Arial Unicode MS" w:hAnsi="Arial Unicode MS" w:eastAsia="Arial Unicode MS" w:cs="Arial Unicode MS"/>
          <w:sz w:val="40"/>
          <w:szCs w:val="40"/>
        </w:rPr>
      </w:pPr>
      <w:r>
        <w:rPr>
          <w:rFonts w:hint="eastAsia" w:ascii="方正小标宋简体" w:hAnsi="方正小标宋简体" w:eastAsia="方正小标宋简体" w:cs="方正小标宋简体"/>
          <w:sz w:val="44"/>
          <w:szCs w:val="44"/>
        </w:rPr>
        <w:t>节能产品政府采购品目清单</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22"/>
        <w:gridCol w:w="1496"/>
        <w:gridCol w:w="1638"/>
        <w:gridCol w:w="4347"/>
      </w:tblGrid>
      <w:tr w14:paraId="1875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F06D121">
            <w:pPr>
              <w:jc w:val="center"/>
              <w:rPr>
                <w:rFonts w:ascii="Calibri" w:hAnsi="Calibri"/>
                <w:szCs w:val="22"/>
              </w:rPr>
            </w:pPr>
            <w:r>
              <w:rPr>
                <w:rFonts w:hint="eastAsia" w:ascii="宋体" w:hAnsi="宋体" w:cs="宋体"/>
                <w:b/>
                <w:bCs/>
                <w:w w:val="99"/>
              </w:rPr>
              <w:t>品目序号</w:t>
            </w:r>
          </w:p>
        </w:tc>
        <w:tc>
          <w:tcPr>
            <w:tcW w:w="4556" w:type="dxa"/>
            <w:gridSpan w:val="3"/>
            <w:tcBorders>
              <w:top w:val="single" w:color="000000" w:sz="4" w:space="0"/>
              <w:left w:val="single" w:color="000000" w:sz="4" w:space="0"/>
              <w:bottom w:val="single" w:color="000000" w:sz="4" w:space="0"/>
              <w:right w:val="single" w:color="000000" w:sz="4" w:space="0"/>
            </w:tcBorders>
            <w:vAlign w:val="center"/>
          </w:tcPr>
          <w:p w14:paraId="1A635B53">
            <w:pPr>
              <w:jc w:val="center"/>
              <w:rPr>
                <w:rFonts w:ascii="Calibri" w:hAnsi="Calibri"/>
                <w:szCs w:val="22"/>
              </w:rPr>
            </w:pPr>
            <w:r>
              <w:rPr>
                <w:rFonts w:hint="eastAsia" w:ascii="宋体" w:hAnsi="宋体" w:cs="宋体"/>
                <w:b/>
                <w:bCs/>
                <w:w w:val="99"/>
              </w:rPr>
              <w:t>名称</w:t>
            </w:r>
          </w:p>
        </w:tc>
        <w:tc>
          <w:tcPr>
            <w:tcW w:w="4347" w:type="dxa"/>
            <w:tcBorders>
              <w:top w:val="single" w:color="000000" w:sz="4" w:space="0"/>
              <w:left w:val="single" w:color="000000" w:sz="4" w:space="0"/>
              <w:bottom w:val="single" w:color="000000" w:sz="4" w:space="0"/>
              <w:right w:val="single" w:color="000000" w:sz="4" w:space="0"/>
            </w:tcBorders>
            <w:vAlign w:val="center"/>
          </w:tcPr>
          <w:p w14:paraId="0BCC4027">
            <w:pPr>
              <w:jc w:val="center"/>
              <w:rPr>
                <w:rFonts w:ascii="Calibri" w:hAnsi="Calibri"/>
                <w:szCs w:val="22"/>
              </w:rPr>
            </w:pPr>
            <w:r>
              <w:rPr>
                <w:rFonts w:hint="eastAsia" w:ascii="宋体" w:hAnsi="宋体" w:cs="宋体"/>
                <w:b/>
                <w:bCs/>
                <w:w w:val="99"/>
              </w:rPr>
              <w:t>依据的标准</w:t>
            </w:r>
          </w:p>
        </w:tc>
      </w:tr>
      <w:tr w14:paraId="585B3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5394306">
            <w:pPr>
              <w:jc w:val="center"/>
              <w:rPr>
                <w:rFonts w:ascii="宋体" w:hAnsi="宋体"/>
                <w:szCs w:val="21"/>
              </w:rPr>
            </w:pPr>
            <w:r>
              <w:rPr>
                <w:rFonts w:hint="eastAsia" w:ascii="宋体" w:hAnsi="宋体"/>
                <w:szCs w:val="21"/>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1B0C7C74">
            <w:pPr>
              <w:jc w:val="center"/>
              <w:rPr>
                <w:rFonts w:ascii="宋体" w:hAnsi="宋体"/>
                <w:szCs w:val="21"/>
              </w:rPr>
            </w:pPr>
            <w:r>
              <w:rPr>
                <w:rFonts w:hint="eastAsia" w:ascii="宋体" w:hAnsi="宋体" w:cs="仿宋_GB2312"/>
                <w:szCs w:val="21"/>
              </w:rPr>
              <w:t>A02010100</w:t>
            </w:r>
            <w:r>
              <w:rPr>
                <w:rFonts w:hint="eastAsia" w:ascii="宋体" w:hAnsi="宋体" w:cs="宋体"/>
                <w:w w:val="99"/>
                <w:szCs w:val="21"/>
              </w:rPr>
              <w:t>计算机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236ADFC9">
            <w:pPr>
              <w:pStyle w:val="81"/>
              <w:spacing w:before="93"/>
              <w:ind w:left="7" w:right="5"/>
              <w:jc w:val="center"/>
              <w:rPr>
                <w:rFonts w:ascii="宋体" w:hAnsi="宋体" w:cs="宋体"/>
                <w:kern w:val="2"/>
                <w:sz w:val="21"/>
                <w:szCs w:val="21"/>
              </w:rPr>
            </w:pPr>
            <w:r>
              <w:rPr>
                <w:rFonts w:hint="eastAsia" w:ascii="宋体" w:hAnsi="宋体" w:cs="宋体"/>
                <w:w w:val="99"/>
                <w:kern w:val="2"/>
                <w:sz w:val="21"/>
                <w:szCs w:val="21"/>
              </w:rPr>
              <w:t>★</w:t>
            </w:r>
            <w:r>
              <w:rPr>
                <w:rFonts w:hint="eastAsia" w:ascii="宋体" w:hAnsi="宋体" w:cs="仿宋_GB2312"/>
                <w:kern w:val="2"/>
                <w:sz w:val="21"/>
                <w:szCs w:val="21"/>
              </w:rPr>
              <w:t>A02010105</w:t>
            </w:r>
            <w:r>
              <w:rPr>
                <w:rFonts w:hint="eastAsia" w:ascii="宋体" w:hAnsi="宋体" w:cs="宋体"/>
                <w:w w:val="99"/>
                <w:kern w:val="2"/>
                <w:sz w:val="21"/>
                <w:szCs w:val="21"/>
              </w:rPr>
              <w:t>台式计算机</w:t>
            </w:r>
          </w:p>
        </w:tc>
        <w:tc>
          <w:tcPr>
            <w:tcW w:w="1638" w:type="dxa"/>
            <w:tcBorders>
              <w:top w:val="single" w:color="000000" w:sz="4" w:space="0"/>
              <w:left w:val="single" w:color="000000" w:sz="4" w:space="0"/>
              <w:bottom w:val="single" w:color="000000" w:sz="4" w:space="0"/>
              <w:right w:val="single" w:color="000000" w:sz="4" w:space="0"/>
            </w:tcBorders>
            <w:vAlign w:val="center"/>
          </w:tcPr>
          <w:p w14:paraId="1F967B74">
            <w:pPr>
              <w:jc w:val="center"/>
              <w:rPr>
                <w:rFonts w:ascii="宋体" w:hAnsi="宋体"/>
                <w:szCs w:val="21"/>
              </w:rPr>
            </w:pPr>
          </w:p>
        </w:tc>
        <w:tc>
          <w:tcPr>
            <w:tcW w:w="4347" w:type="dxa"/>
            <w:tcBorders>
              <w:top w:val="single" w:color="000000" w:sz="4" w:space="0"/>
              <w:left w:val="single" w:color="000000" w:sz="4" w:space="0"/>
              <w:bottom w:val="single" w:color="000000" w:sz="4" w:space="0"/>
              <w:right w:val="single" w:color="000000" w:sz="4" w:space="0"/>
            </w:tcBorders>
          </w:tcPr>
          <w:p w14:paraId="709BAF79">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《微型计算机能效限定值及能效等级》（GB28380）</w:t>
            </w:r>
          </w:p>
        </w:tc>
      </w:tr>
      <w:tr w14:paraId="58E0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42FE2DA">
            <w:pPr>
              <w:widowControl/>
              <w:jc w:val="left"/>
              <w:rPr>
                <w:rFonts w:ascii="宋体" w:hAnsi="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A10BC9A">
            <w:pPr>
              <w:widowControl/>
              <w:jc w:val="left"/>
              <w:rPr>
                <w:rFonts w:ascii="宋体" w:hAnsi="宋体"/>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CC13455">
            <w:pPr>
              <w:pStyle w:val="81"/>
              <w:spacing w:before="44"/>
              <w:ind w:left="7" w:right="5"/>
              <w:jc w:val="center"/>
              <w:rPr>
                <w:rFonts w:ascii="宋体" w:hAnsi="宋体" w:cs="宋体"/>
                <w:kern w:val="2"/>
                <w:sz w:val="21"/>
                <w:szCs w:val="21"/>
              </w:rPr>
            </w:pPr>
            <w:r>
              <w:rPr>
                <w:rFonts w:hint="eastAsia" w:ascii="宋体" w:hAnsi="宋体" w:cs="宋体"/>
                <w:w w:val="99"/>
                <w:kern w:val="2"/>
                <w:sz w:val="21"/>
                <w:szCs w:val="21"/>
              </w:rPr>
              <w:t>★</w:t>
            </w:r>
            <w:r>
              <w:rPr>
                <w:rFonts w:hint="eastAsia" w:ascii="宋体" w:hAnsi="宋体" w:cs="仿宋_GB2312"/>
                <w:kern w:val="2"/>
                <w:sz w:val="21"/>
                <w:szCs w:val="21"/>
              </w:rPr>
              <w:t>A02010108</w:t>
            </w:r>
            <w:r>
              <w:rPr>
                <w:rFonts w:hint="eastAsia" w:ascii="宋体" w:hAnsi="宋体" w:cs="宋体"/>
                <w:w w:val="99"/>
                <w:kern w:val="2"/>
                <w:sz w:val="21"/>
                <w:szCs w:val="21"/>
              </w:rPr>
              <w:t>便携式计算机</w:t>
            </w:r>
          </w:p>
        </w:tc>
        <w:tc>
          <w:tcPr>
            <w:tcW w:w="1638" w:type="dxa"/>
            <w:tcBorders>
              <w:top w:val="single" w:color="000000" w:sz="4" w:space="0"/>
              <w:left w:val="single" w:color="000000" w:sz="4" w:space="0"/>
              <w:bottom w:val="single" w:color="000000" w:sz="4" w:space="0"/>
              <w:right w:val="single" w:color="000000" w:sz="4" w:space="0"/>
            </w:tcBorders>
            <w:vAlign w:val="center"/>
          </w:tcPr>
          <w:p w14:paraId="14696D3C">
            <w:pPr>
              <w:jc w:val="center"/>
              <w:rPr>
                <w:rFonts w:ascii="宋体" w:hAnsi="宋体"/>
                <w:szCs w:val="21"/>
              </w:rPr>
            </w:pPr>
          </w:p>
        </w:tc>
        <w:tc>
          <w:tcPr>
            <w:tcW w:w="4347" w:type="dxa"/>
            <w:tcBorders>
              <w:top w:val="single" w:color="000000" w:sz="4" w:space="0"/>
              <w:left w:val="single" w:color="000000" w:sz="4" w:space="0"/>
              <w:bottom w:val="single" w:color="000000" w:sz="4" w:space="0"/>
              <w:right w:val="single" w:color="000000" w:sz="4" w:space="0"/>
            </w:tcBorders>
          </w:tcPr>
          <w:p w14:paraId="0BEB77F3">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《微型计算机能效限定值及能效等级》（GB28380）</w:t>
            </w:r>
          </w:p>
        </w:tc>
      </w:tr>
      <w:tr w14:paraId="4276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04930B7">
            <w:pPr>
              <w:widowControl/>
              <w:jc w:val="left"/>
              <w:rPr>
                <w:rFonts w:ascii="宋体" w:hAnsi="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BB116BA">
            <w:pPr>
              <w:widowControl/>
              <w:jc w:val="left"/>
              <w:rPr>
                <w:rFonts w:ascii="宋体" w:hAnsi="宋体"/>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6FEB44A2">
            <w:pPr>
              <w:pStyle w:val="81"/>
              <w:spacing w:before="64"/>
              <w:ind w:left="7" w:right="5"/>
              <w:jc w:val="center"/>
              <w:rPr>
                <w:rFonts w:ascii="宋体" w:hAnsi="宋体" w:cs="宋体"/>
                <w:kern w:val="2"/>
                <w:sz w:val="21"/>
                <w:szCs w:val="21"/>
                <w:lang w:eastAsia="zh-CN"/>
              </w:rPr>
            </w:pPr>
            <w:r>
              <w:rPr>
                <w:rFonts w:hint="eastAsia" w:ascii="宋体" w:hAnsi="宋体" w:cs="宋体"/>
                <w:w w:val="99"/>
                <w:kern w:val="2"/>
                <w:sz w:val="21"/>
                <w:szCs w:val="21"/>
                <w:lang w:eastAsia="zh-CN"/>
              </w:rPr>
              <w:t>★</w:t>
            </w:r>
            <w:r>
              <w:rPr>
                <w:rFonts w:hint="eastAsia" w:ascii="宋体" w:hAnsi="宋体" w:cs="仿宋_GB2312"/>
                <w:kern w:val="2"/>
                <w:sz w:val="21"/>
                <w:szCs w:val="21"/>
                <w:lang w:eastAsia="zh-CN"/>
              </w:rPr>
              <w:t>A02010109平板式计算机</w:t>
            </w:r>
          </w:p>
        </w:tc>
        <w:tc>
          <w:tcPr>
            <w:tcW w:w="1638" w:type="dxa"/>
            <w:tcBorders>
              <w:top w:val="single" w:color="000000" w:sz="4" w:space="0"/>
              <w:left w:val="single" w:color="000000" w:sz="4" w:space="0"/>
              <w:bottom w:val="single" w:color="000000" w:sz="4" w:space="0"/>
              <w:right w:val="single" w:color="000000" w:sz="4" w:space="0"/>
            </w:tcBorders>
            <w:vAlign w:val="center"/>
          </w:tcPr>
          <w:p w14:paraId="04665296">
            <w:pPr>
              <w:jc w:val="center"/>
              <w:rPr>
                <w:rFonts w:ascii="宋体" w:hAnsi="宋体"/>
                <w:szCs w:val="21"/>
              </w:rPr>
            </w:pPr>
          </w:p>
        </w:tc>
        <w:tc>
          <w:tcPr>
            <w:tcW w:w="4347" w:type="dxa"/>
            <w:tcBorders>
              <w:top w:val="single" w:color="000000" w:sz="4" w:space="0"/>
              <w:left w:val="single" w:color="000000" w:sz="4" w:space="0"/>
              <w:bottom w:val="single" w:color="000000" w:sz="4" w:space="0"/>
              <w:right w:val="single" w:color="000000" w:sz="4" w:space="0"/>
            </w:tcBorders>
          </w:tcPr>
          <w:p w14:paraId="3EDF513F">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《微型计算机能效限定值及能效等级》（GB28380）</w:t>
            </w:r>
          </w:p>
        </w:tc>
      </w:tr>
      <w:tr w14:paraId="68C2C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3A79B5B7">
            <w:pPr>
              <w:jc w:val="center"/>
              <w:rPr>
                <w:rFonts w:ascii="宋体" w:hAnsi="宋体"/>
                <w:szCs w:val="21"/>
              </w:rPr>
            </w:pPr>
            <w:r>
              <w:rPr>
                <w:rFonts w:hint="eastAsia" w:ascii="宋体" w:hAnsi="宋体"/>
                <w:szCs w:val="21"/>
              </w:rPr>
              <w:t>2</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5CEC7ECC">
            <w:pPr>
              <w:pStyle w:val="81"/>
              <w:ind w:left="7"/>
              <w:jc w:val="center"/>
              <w:rPr>
                <w:rFonts w:ascii="宋体" w:hAnsi="宋体" w:cs="宋体"/>
                <w:kern w:val="2"/>
                <w:sz w:val="21"/>
                <w:szCs w:val="21"/>
              </w:rPr>
            </w:pPr>
            <w:r>
              <w:rPr>
                <w:rFonts w:hint="eastAsia" w:ascii="宋体" w:hAnsi="宋体" w:cs="仿宋_GB2312"/>
                <w:kern w:val="2"/>
                <w:sz w:val="21"/>
                <w:szCs w:val="21"/>
              </w:rPr>
              <w:t>A02020000</w:t>
            </w:r>
            <w:r>
              <w:rPr>
                <w:rFonts w:hint="eastAsia" w:ascii="宋体" w:hAnsi="宋体" w:cs="宋体"/>
                <w:w w:val="99"/>
                <w:kern w:val="2"/>
                <w:sz w:val="21"/>
                <w:szCs w:val="21"/>
              </w:rPr>
              <w:t>办公设备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C517961">
            <w:pPr>
              <w:jc w:val="center"/>
              <w:rPr>
                <w:rFonts w:ascii="宋体" w:hAnsi="宋体"/>
                <w:szCs w:val="21"/>
              </w:rPr>
            </w:pPr>
            <w:r>
              <w:rPr>
                <w:rFonts w:hint="eastAsia" w:ascii="宋体" w:hAnsi="宋体" w:cs="宋体"/>
                <w:spacing w:val="1"/>
                <w:w w:val="99"/>
                <w:szCs w:val="21"/>
              </w:rPr>
              <w:t>A02021000</w:t>
            </w:r>
            <w:r>
              <w:rPr>
                <w:rFonts w:hint="eastAsia" w:ascii="宋体" w:hAnsi="宋体" w:cs="Arial"/>
                <w:szCs w:val="21"/>
                <w:shd w:val="clear" w:color="auto" w:fill="FFFFFF"/>
              </w:rPr>
              <w:t>打印机</w:t>
            </w:r>
          </w:p>
        </w:tc>
        <w:tc>
          <w:tcPr>
            <w:tcW w:w="1638" w:type="dxa"/>
            <w:tcBorders>
              <w:top w:val="single" w:color="000000" w:sz="4" w:space="0"/>
              <w:left w:val="single" w:color="000000" w:sz="4" w:space="0"/>
              <w:bottom w:val="single" w:color="000000" w:sz="4" w:space="0"/>
              <w:right w:val="single" w:color="000000" w:sz="4" w:space="0"/>
            </w:tcBorders>
            <w:vAlign w:val="center"/>
          </w:tcPr>
          <w:p w14:paraId="4DD10588">
            <w:pPr>
              <w:jc w:val="center"/>
              <w:rPr>
                <w:rFonts w:ascii="宋体" w:hAnsi="宋体"/>
                <w:szCs w:val="21"/>
              </w:rPr>
            </w:pPr>
            <w:r>
              <w:rPr>
                <w:rFonts w:hint="eastAsia" w:ascii="宋体" w:hAnsi="宋体"/>
                <w:szCs w:val="21"/>
              </w:rPr>
              <w:t>A02021001 A3黑白打印机</w:t>
            </w:r>
          </w:p>
        </w:tc>
        <w:tc>
          <w:tcPr>
            <w:tcW w:w="4347" w:type="dxa"/>
            <w:tcBorders>
              <w:top w:val="single" w:color="000000" w:sz="4" w:space="0"/>
              <w:left w:val="single" w:color="000000" w:sz="4" w:space="0"/>
              <w:bottom w:val="single" w:color="000000" w:sz="4" w:space="0"/>
              <w:right w:val="single" w:color="000000" w:sz="4" w:space="0"/>
            </w:tcBorders>
          </w:tcPr>
          <w:p w14:paraId="6BCE7849">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《复印机、打印机和传真机能效限定值及能效等级》（GB21521）</w:t>
            </w:r>
          </w:p>
        </w:tc>
      </w:tr>
      <w:tr w14:paraId="22A3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5675E9A">
            <w:pPr>
              <w:widowControl/>
              <w:jc w:val="left"/>
              <w:rPr>
                <w:rFonts w:ascii="宋体" w:hAnsi="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C396A6E">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F7CEB60">
            <w:pPr>
              <w:widowControl/>
              <w:jc w:val="left"/>
              <w:rPr>
                <w:rFonts w:ascii="宋体" w:hAnsi="宋体"/>
                <w:szCs w:val="21"/>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72F2B085">
            <w:pPr>
              <w:jc w:val="center"/>
              <w:rPr>
                <w:rFonts w:ascii="宋体" w:hAnsi="宋体"/>
                <w:szCs w:val="21"/>
              </w:rPr>
            </w:pPr>
            <w:r>
              <w:rPr>
                <w:rFonts w:hint="eastAsia" w:ascii="宋体" w:hAnsi="宋体"/>
                <w:szCs w:val="21"/>
              </w:rPr>
              <w:t>A02021002 A3彩色打印机</w:t>
            </w:r>
          </w:p>
        </w:tc>
        <w:tc>
          <w:tcPr>
            <w:tcW w:w="4347" w:type="dxa"/>
            <w:tcBorders>
              <w:top w:val="single" w:color="000000" w:sz="4" w:space="0"/>
              <w:left w:val="single" w:color="000000" w:sz="4" w:space="0"/>
              <w:bottom w:val="single" w:color="000000" w:sz="4" w:space="0"/>
              <w:right w:val="single" w:color="000000" w:sz="4" w:space="0"/>
            </w:tcBorders>
          </w:tcPr>
          <w:p w14:paraId="10C2C41C">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《复印机、打印机和传真机能效限定值及能效等级》（GB21521）</w:t>
            </w:r>
          </w:p>
        </w:tc>
      </w:tr>
      <w:tr w14:paraId="2C31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837DBA7">
            <w:pPr>
              <w:widowControl/>
              <w:jc w:val="left"/>
              <w:rPr>
                <w:rFonts w:ascii="宋体" w:hAnsi="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424FB8B">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AD971CC">
            <w:pPr>
              <w:widowControl/>
              <w:jc w:val="left"/>
              <w:rPr>
                <w:rFonts w:ascii="宋体" w:hAnsi="宋体"/>
                <w:szCs w:val="21"/>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76EE3285">
            <w:pPr>
              <w:jc w:val="center"/>
              <w:rPr>
                <w:rFonts w:ascii="宋体" w:hAnsi="宋体"/>
                <w:szCs w:val="21"/>
              </w:rPr>
            </w:pPr>
            <w:r>
              <w:rPr>
                <w:rFonts w:hint="eastAsia" w:ascii="宋体" w:hAnsi="宋体"/>
                <w:szCs w:val="21"/>
              </w:rPr>
              <w:t>A02021003 A4黑白打印机</w:t>
            </w:r>
          </w:p>
        </w:tc>
        <w:tc>
          <w:tcPr>
            <w:tcW w:w="4347" w:type="dxa"/>
            <w:tcBorders>
              <w:top w:val="single" w:color="000000" w:sz="4" w:space="0"/>
              <w:left w:val="single" w:color="000000" w:sz="4" w:space="0"/>
              <w:bottom w:val="single" w:color="000000" w:sz="4" w:space="0"/>
              <w:right w:val="single" w:color="000000" w:sz="4" w:space="0"/>
            </w:tcBorders>
          </w:tcPr>
          <w:p w14:paraId="40EE4F26">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《复印机、打印机和传真机能效限定值及能效等级》（GB21521）</w:t>
            </w:r>
          </w:p>
        </w:tc>
      </w:tr>
      <w:tr w14:paraId="2BDFA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0841206">
            <w:pPr>
              <w:widowControl/>
              <w:jc w:val="left"/>
              <w:rPr>
                <w:rFonts w:ascii="宋体" w:hAnsi="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1323963">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188D0D3">
            <w:pPr>
              <w:widowControl/>
              <w:jc w:val="left"/>
              <w:rPr>
                <w:rFonts w:ascii="宋体" w:hAnsi="宋体"/>
                <w:szCs w:val="21"/>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0B726036">
            <w:pPr>
              <w:jc w:val="center"/>
              <w:rPr>
                <w:rFonts w:ascii="宋体" w:hAnsi="宋体"/>
                <w:szCs w:val="21"/>
              </w:rPr>
            </w:pPr>
            <w:r>
              <w:rPr>
                <w:rFonts w:hint="eastAsia" w:ascii="宋体" w:hAnsi="宋体"/>
                <w:szCs w:val="21"/>
              </w:rPr>
              <w:t>A02021004 A4彩色打印机</w:t>
            </w:r>
          </w:p>
        </w:tc>
        <w:tc>
          <w:tcPr>
            <w:tcW w:w="4347" w:type="dxa"/>
            <w:tcBorders>
              <w:top w:val="single" w:color="000000" w:sz="4" w:space="0"/>
              <w:left w:val="single" w:color="000000" w:sz="4" w:space="0"/>
              <w:bottom w:val="single" w:color="000000" w:sz="4" w:space="0"/>
              <w:right w:val="single" w:color="000000" w:sz="4" w:space="0"/>
            </w:tcBorders>
          </w:tcPr>
          <w:p w14:paraId="0C51BA23">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《复印机、打印机和传真机能效限定值及能效等级》（GB21521）</w:t>
            </w:r>
          </w:p>
        </w:tc>
      </w:tr>
      <w:tr w14:paraId="244C9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B2706EE">
            <w:pPr>
              <w:widowControl/>
              <w:jc w:val="left"/>
              <w:rPr>
                <w:rFonts w:ascii="宋体" w:hAnsi="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A4B57F5">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F21A3CF">
            <w:pPr>
              <w:widowControl/>
              <w:jc w:val="left"/>
              <w:rPr>
                <w:rFonts w:ascii="宋体" w:hAnsi="宋体"/>
                <w:szCs w:val="21"/>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4CAA0F34">
            <w:pPr>
              <w:jc w:val="center"/>
              <w:rPr>
                <w:rFonts w:ascii="宋体" w:hAnsi="宋体"/>
                <w:szCs w:val="21"/>
              </w:rPr>
            </w:pPr>
            <w:r>
              <w:rPr>
                <w:rFonts w:hint="eastAsia" w:ascii="宋体" w:hAnsi="宋体"/>
                <w:szCs w:val="21"/>
              </w:rPr>
              <w:t>A02021005 3D打印机</w:t>
            </w:r>
          </w:p>
        </w:tc>
        <w:tc>
          <w:tcPr>
            <w:tcW w:w="4347" w:type="dxa"/>
            <w:tcBorders>
              <w:top w:val="single" w:color="000000" w:sz="4" w:space="0"/>
              <w:left w:val="single" w:color="000000" w:sz="4" w:space="0"/>
              <w:bottom w:val="single" w:color="000000" w:sz="4" w:space="0"/>
              <w:right w:val="single" w:color="000000" w:sz="4" w:space="0"/>
            </w:tcBorders>
          </w:tcPr>
          <w:p w14:paraId="15CF95C0">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《复印机、打印机和传真机能效限定值及能效等级》（GB21521）</w:t>
            </w:r>
          </w:p>
        </w:tc>
      </w:tr>
      <w:tr w14:paraId="154E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0AD2602">
            <w:pPr>
              <w:widowControl/>
              <w:jc w:val="left"/>
              <w:rPr>
                <w:rFonts w:ascii="宋体" w:hAnsi="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BFB00D2">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139F400">
            <w:pPr>
              <w:widowControl/>
              <w:jc w:val="left"/>
              <w:rPr>
                <w:rFonts w:ascii="宋体" w:hAnsi="宋体"/>
                <w:szCs w:val="21"/>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6136D22D">
            <w:pPr>
              <w:jc w:val="center"/>
              <w:rPr>
                <w:rFonts w:ascii="宋体" w:hAnsi="宋体"/>
                <w:szCs w:val="21"/>
              </w:rPr>
            </w:pPr>
            <w:r>
              <w:rPr>
                <w:rFonts w:hint="eastAsia" w:ascii="宋体" w:hAnsi="宋体"/>
                <w:szCs w:val="21"/>
              </w:rPr>
              <w:t>A02021006票据打印机</w:t>
            </w:r>
          </w:p>
        </w:tc>
        <w:tc>
          <w:tcPr>
            <w:tcW w:w="4347" w:type="dxa"/>
            <w:tcBorders>
              <w:top w:val="single" w:color="000000" w:sz="4" w:space="0"/>
              <w:left w:val="single" w:color="000000" w:sz="4" w:space="0"/>
              <w:bottom w:val="single" w:color="000000" w:sz="4" w:space="0"/>
              <w:right w:val="single" w:color="000000" w:sz="4" w:space="0"/>
            </w:tcBorders>
          </w:tcPr>
          <w:p w14:paraId="305F3738">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《复印机、打印机和传真机能效限定值及能效等级》（GB21521）</w:t>
            </w:r>
          </w:p>
        </w:tc>
      </w:tr>
      <w:tr w14:paraId="4A1B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78F64E1">
            <w:pPr>
              <w:widowControl/>
              <w:jc w:val="left"/>
              <w:rPr>
                <w:rFonts w:ascii="宋体" w:hAnsi="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36CA7D">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B090BFB">
            <w:pPr>
              <w:widowControl/>
              <w:jc w:val="left"/>
              <w:rPr>
                <w:rFonts w:ascii="宋体" w:hAnsi="宋体"/>
                <w:szCs w:val="21"/>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067C2C65">
            <w:pPr>
              <w:jc w:val="center"/>
              <w:rPr>
                <w:rFonts w:ascii="宋体" w:hAnsi="宋体"/>
                <w:szCs w:val="21"/>
              </w:rPr>
            </w:pPr>
            <w:r>
              <w:rPr>
                <w:rFonts w:hint="eastAsia" w:ascii="宋体" w:hAnsi="宋体"/>
                <w:szCs w:val="21"/>
              </w:rPr>
              <w:t>A02021007条码打印机</w:t>
            </w:r>
          </w:p>
        </w:tc>
        <w:tc>
          <w:tcPr>
            <w:tcW w:w="4347" w:type="dxa"/>
            <w:tcBorders>
              <w:top w:val="single" w:color="000000" w:sz="4" w:space="0"/>
              <w:left w:val="single" w:color="000000" w:sz="4" w:space="0"/>
              <w:bottom w:val="single" w:color="000000" w:sz="4" w:space="0"/>
              <w:right w:val="single" w:color="000000" w:sz="4" w:space="0"/>
            </w:tcBorders>
          </w:tcPr>
          <w:p w14:paraId="2DA1A390">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《复印机、打印机和传真机能效限定值及能效等级》（GB21521）</w:t>
            </w:r>
          </w:p>
        </w:tc>
      </w:tr>
      <w:tr w14:paraId="634F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3054EDA">
            <w:pPr>
              <w:widowControl/>
              <w:jc w:val="left"/>
              <w:rPr>
                <w:rFonts w:ascii="宋体" w:hAnsi="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3EF0E59">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33D4FE2">
            <w:pPr>
              <w:widowControl/>
              <w:jc w:val="left"/>
              <w:rPr>
                <w:rFonts w:ascii="宋体" w:hAnsi="宋体"/>
                <w:szCs w:val="21"/>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0067E084">
            <w:pPr>
              <w:jc w:val="center"/>
              <w:rPr>
                <w:rFonts w:ascii="宋体" w:hAnsi="宋体"/>
                <w:szCs w:val="21"/>
              </w:rPr>
            </w:pPr>
            <w:r>
              <w:rPr>
                <w:rFonts w:hint="eastAsia" w:ascii="宋体" w:hAnsi="宋体"/>
                <w:szCs w:val="21"/>
              </w:rPr>
              <w:t>A02021008地址打印机</w:t>
            </w:r>
          </w:p>
        </w:tc>
        <w:tc>
          <w:tcPr>
            <w:tcW w:w="4347" w:type="dxa"/>
            <w:tcBorders>
              <w:top w:val="single" w:color="000000" w:sz="4" w:space="0"/>
              <w:left w:val="single" w:color="000000" w:sz="4" w:space="0"/>
              <w:bottom w:val="single" w:color="000000" w:sz="4" w:space="0"/>
              <w:right w:val="single" w:color="000000" w:sz="4" w:space="0"/>
            </w:tcBorders>
          </w:tcPr>
          <w:p w14:paraId="5872F274">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《复印机、打印机和传真机能效限定值及能效等级》（GB21521）</w:t>
            </w:r>
          </w:p>
        </w:tc>
      </w:tr>
      <w:tr w14:paraId="7B81A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781E9CF">
            <w:pPr>
              <w:widowControl/>
              <w:jc w:val="left"/>
              <w:rPr>
                <w:rFonts w:ascii="宋体" w:hAnsi="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CD98D63">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5A5ED82">
            <w:pPr>
              <w:widowControl/>
              <w:jc w:val="left"/>
              <w:rPr>
                <w:rFonts w:ascii="宋体" w:hAnsi="宋体"/>
                <w:szCs w:val="21"/>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04F7D30D">
            <w:pPr>
              <w:jc w:val="center"/>
              <w:rPr>
                <w:rFonts w:ascii="宋体" w:hAnsi="宋体"/>
                <w:szCs w:val="21"/>
              </w:rPr>
            </w:pPr>
            <w:r>
              <w:rPr>
                <w:rFonts w:hint="eastAsia" w:ascii="宋体" w:hAnsi="宋体"/>
                <w:szCs w:val="21"/>
              </w:rPr>
              <w:t>A02021099其他打印机</w:t>
            </w:r>
          </w:p>
        </w:tc>
        <w:tc>
          <w:tcPr>
            <w:tcW w:w="4347" w:type="dxa"/>
            <w:tcBorders>
              <w:top w:val="single" w:color="000000" w:sz="4" w:space="0"/>
              <w:left w:val="single" w:color="000000" w:sz="4" w:space="0"/>
              <w:bottom w:val="single" w:color="000000" w:sz="4" w:space="0"/>
              <w:right w:val="single" w:color="000000" w:sz="4" w:space="0"/>
            </w:tcBorders>
          </w:tcPr>
          <w:p w14:paraId="59477442">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《复印机、打印机和传真机能效限定值及能效等级》（GB21521）</w:t>
            </w:r>
          </w:p>
        </w:tc>
      </w:tr>
      <w:tr w14:paraId="2F1A9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0B22B00">
            <w:pPr>
              <w:widowControl/>
              <w:jc w:val="left"/>
              <w:rPr>
                <w:rFonts w:ascii="宋体" w:hAnsi="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7852DC9">
            <w:pPr>
              <w:widowControl/>
              <w:jc w:val="left"/>
              <w:rPr>
                <w:rFonts w:ascii="宋体" w:hAnsi="宋体" w:cs="宋体"/>
                <w:szCs w:val="21"/>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59CE20A3">
            <w:pPr>
              <w:jc w:val="center"/>
              <w:rPr>
                <w:rFonts w:ascii="宋体" w:hAnsi="宋体"/>
                <w:szCs w:val="21"/>
              </w:rPr>
            </w:pPr>
            <w:r>
              <w:rPr>
                <w:rFonts w:hint="eastAsia" w:ascii="宋体" w:hAnsi="宋体"/>
                <w:szCs w:val="21"/>
              </w:rPr>
              <w:t>A02021100输入输出设备</w:t>
            </w:r>
          </w:p>
        </w:tc>
        <w:tc>
          <w:tcPr>
            <w:tcW w:w="1638" w:type="dxa"/>
            <w:tcBorders>
              <w:top w:val="single" w:color="000000" w:sz="4" w:space="0"/>
              <w:left w:val="single" w:color="000000" w:sz="4" w:space="0"/>
              <w:bottom w:val="single" w:color="000000" w:sz="4" w:space="0"/>
              <w:right w:val="single" w:color="000000" w:sz="4" w:space="0"/>
            </w:tcBorders>
            <w:vAlign w:val="center"/>
          </w:tcPr>
          <w:p w14:paraId="5E08839F">
            <w:pPr>
              <w:jc w:val="center"/>
              <w:rPr>
                <w:rFonts w:ascii="宋体" w:hAnsi="宋体"/>
                <w:szCs w:val="21"/>
              </w:rPr>
            </w:pPr>
            <w:r>
              <w:rPr>
                <w:rFonts w:hint="eastAsia" w:ascii="宋体" w:hAnsi="宋体" w:cs="宋体"/>
                <w:w w:val="99"/>
                <w:szCs w:val="21"/>
              </w:rPr>
              <w:t>★</w:t>
            </w:r>
            <w:r>
              <w:rPr>
                <w:rFonts w:hint="eastAsia" w:ascii="宋体" w:hAnsi="宋体"/>
                <w:szCs w:val="21"/>
              </w:rPr>
              <w:t>A02021104液晶显示器</w:t>
            </w:r>
          </w:p>
        </w:tc>
        <w:tc>
          <w:tcPr>
            <w:tcW w:w="4347" w:type="dxa"/>
            <w:tcBorders>
              <w:top w:val="single" w:color="000000" w:sz="4" w:space="0"/>
              <w:left w:val="single" w:color="000000" w:sz="4" w:space="0"/>
              <w:bottom w:val="single" w:color="000000" w:sz="4" w:space="0"/>
              <w:right w:val="single" w:color="000000" w:sz="4" w:space="0"/>
            </w:tcBorders>
            <w:vAlign w:val="center"/>
          </w:tcPr>
          <w:p w14:paraId="5FC2A36B">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《计算机显示器能效限定值及能效等级》（GB21520）</w:t>
            </w:r>
          </w:p>
        </w:tc>
      </w:tr>
      <w:tr w14:paraId="7BCCA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02BBA6F">
            <w:pPr>
              <w:widowControl/>
              <w:jc w:val="left"/>
              <w:rPr>
                <w:rFonts w:ascii="宋体" w:hAnsi="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1A70233">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6F2FD84">
            <w:pPr>
              <w:widowControl/>
              <w:jc w:val="left"/>
              <w:rPr>
                <w:rFonts w:ascii="宋体" w:hAnsi="宋体"/>
                <w:szCs w:val="21"/>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415041D6">
            <w:pPr>
              <w:jc w:val="center"/>
              <w:rPr>
                <w:rFonts w:ascii="宋体" w:hAnsi="宋体"/>
                <w:szCs w:val="21"/>
              </w:rPr>
            </w:pPr>
            <w:r>
              <w:rPr>
                <w:rFonts w:hint="eastAsia" w:ascii="宋体" w:hAnsi="宋体"/>
                <w:szCs w:val="21"/>
              </w:rPr>
              <w:t>A02021118扫描仪</w:t>
            </w:r>
          </w:p>
        </w:tc>
        <w:tc>
          <w:tcPr>
            <w:tcW w:w="4347" w:type="dxa"/>
            <w:tcBorders>
              <w:top w:val="single" w:color="000000" w:sz="4" w:space="0"/>
              <w:left w:val="single" w:color="000000" w:sz="4" w:space="0"/>
              <w:bottom w:val="single" w:color="000000" w:sz="4" w:space="0"/>
              <w:right w:val="single" w:color="000000" w:sz="4" w:space="0"/>
            </w:tcBorders>
            <w:vAlign w:val="center"/>
          </w:tcPr>
          <w:p w14:paraId="3408C5DE">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参照《复印机、打印机和传真机能效限定值及能效等级》（GB21521）中打印速度为15页/分的针式打印机相关要求</w:t>
            </w:r>
          </w:p>
        </w:tc>
      </w:tr>
      <w:tr w14:paraId="6C5A0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66D44C1">
            <w:pPr>
              <w:jc w:val="center"/>
              <w:rPr>
                <w:rFonts w:ascii="宋体" w:hAnsi="宋体"/>
                <w:szCs w:val="21"/>
              </w:rPr>
            </w:pPr>
            <w:r>
              <w:rPr>
                <w:rFonts w:hint="eastAsia" w:ascii="宋体" w:hAnsi="宋体"/>
                <w:w w:val="99"/>
                <w:szCs w:val="21"/>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1AB1ABC2">
            <w:pPr>
              <w:jc w:val="center"/>
              <w:rPr>
                <w:rFonts w:ascii="宋体" w:hAnsi="宋体"/>
                <w:szCs w:val="21"/>
              </w:rPr>
            </w:pPr>
            <w:r>
              <w:rPr>
                <w:rFonts w:hint="eastAsia" w:ascii="宋体" w:hAnsi="宋体"/>
                <w:szCs w:val="21"/>
              </w:rPr>
              <w:t>A02020200投影仪</w:t>
            </w:r>
          </w:p>
        </w:tc>
        <w:tc>
          <w:tcPr>
            <w:tcW w:w="1496" w:type="dxa"/>
            <w:tcBorders>
              <w:top w:val="single" w:color="000000" w:sz="4" w:space="0"/>
              <w:left w:val="single" w:color="000000" w:sz="4" w:space="0"/>
              <w:bottom w:val="single" w:color="000000" w:sz="4" w:space="0"/>
              <w:right w:val="single" w:color="000000" w:sz="4" w:space="0"/>
            </w:tcBorders>
            <w:vAlign w:val="center"/>
          </w:tcPr>
          <w:p w14:paraId="562ABEF3">
            <w:pPr>
              <w:jc w:val="center"/>
              <w:rPr>
                <w:rFonts w:ascii="宋体" w:hAnsi="宋体"/>
                <w:szCs w:val="21"/>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685AAF4F">
            <w:pPr>
              <w:jc w:val="center"/>
              <w:rPr>
                <w:rFonts w:ascii="宋体" w:hAnsi="宋体"/>
                <w:szCs w:val="21"/>
              </w:rPr>
            </w:pPr>
          </w:p>
        </w:tc>
        <w:tc>
          <w:tcPr>
            <w:tcW w:w="4347" w:type="dxa"/>
            <w:tcBorders>
              <w:top w:val="single" w:color="000000" w:sz="4" w:space="0"/>
              <w:left w:val="single" w:color="000000" w:sz="4" w:space="0"/>
              <w:bottom w:val="single" w:color="000000" w:sz="4" w:space="0"/>
              <w:right w:val="single" w:color="000000" w:sz="4" w:space="0"/>
            </w:tcBorders>
            <w:vAlign w:val="center"/>
          </w:tcPr>
          <w:p w14:paraId="4A0EEB8B">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《投影机能效限定值及能效等级》（GB32028）</w:t>
            </w:r>
          </w:p>
        </w:tc>
      </w:tr>
      <w:tr w14:paraId="31B3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FF7B192">
            <w:pPr>
              <w:jc w:val="center"/>
              <w:rPr>
                <w:rFonts w:ascii="宋体" w:hAnsi="宋体"/>
                <w:szCs w:val="21"/>
              </w:rPr>
            </w:pPr>
            <w:r>
              <w:rPr>
                <w:rFonts w:hint="eastAsia" w:ascii="宋体" w:hAnsi="宋体"/>
                <w:szCs w:val="21"/>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216C3BD8">
            <w:pPr>
              <w:pStyle w:val="81"/>
              <w:spacing w:before="66"/>
              <w:ind w:left="7"/>
              <w:jc w:val="center"/>
              <w:rPr>
                <w:rFonts w:ascii="宋体" w:hAnsi="宋体" w:cs="宋体"/>
                <w:kern w:val="2"/>
                <w:sz w:val="21"/>
                <w:szCs w:val="21"/>
              </w:rPr>
            </w:pPr>
            <w:r>
              <w:rPr>
                <w:rFonts w:hint="eastAsia" w:ascii="宋体" w:hAnsi="宋体" w:cs="仿宋_GB2312"/>
                <w:kern w:val="2"/>
                <w:sz w:val="21"/>
                <w:szCs w:val="21"/>
              </w:rPr>
              <w:t>A02020400</w:t>
            </w:r>
            <w:r>
              <w:rPr>
                <w:rFonts w:hint="eastAsia" w:ascii="宋体" w:hAnsi="宋体" w:cs="宋体"/>
                <w:w w:val="99"/>
                <w:kern w:val="2"/>
                <w:sz w:val="21"/>
                <w:szCs w:val="21"/>
              </w:rPr>
              <w:t>多功能一体机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58DFE957">
            <w:pPr>
              <w:jc w:val="center"/>
              <w:rPr>
                <w:rFonts w:ascii="宋体" w:hAnsi="宋体"/>
                <w:szCs w:val="21"/>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0DDA1D2C">
            <w:pPr>
              <w:jc w:val="center"/>
              <w:rPr>
                <w:rFonts w:ascii="宋体" w:hAnsi="宋体"/>
                <w:szCs w:val="21"/>
              </w:rPr>
            </w:pPr>
          </w:p>
        </w:tc>
        <w:tc>
          <w:tcPr>
            <w:tcW w:w="4347" w:type="dxa"/>
            <w:tcBorders>
              <w:top w:val="single" w:color="000000" w:sz="4" w:space="0"/>
              <w:left w:val="single" w:color="000000" w:sz="4" w:space="0"/>
              <w:bottom w:val="single" w:color="000000" w:sz="4" w:space="0"/>
              <w:right w:val="single" w:color="000000" w:sz="4" w:space="0"/>
            </w:tcBorders>
            <w:vAlign w:val="center"/>
          </w:tcPr>
          <w:p w14:paraId="30197B54">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《复印机、打印机和传真机能效限定值及能效等级》（GB21521）</w:t>
            </w:r>
          </w:p>
        </w:tc>
      </w:tr>
      <w:tr w14:paraId="047B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2A4573B">
            <w:pPr>
              <w:pStyle w:val="81"/>
              <w:spacing w:before="160"/>
              <w:ind w:right="1"/>
              <w:jc w:val="center"/>
              <w:rPr>
                <w:rFonts w:ascii="宋体" w:hAnsi="宋体" w:cs="宋体"/>
                <w:kern w:val="2"/>
                <w:sz w:val="21"/>
                <w:szCs w:val="21"/>
              </w:rPr>
            </w:pPr>
            <w:r>
              <w:rPr>
                <w:rFonts w:hint="eastAsia" w:ascii="宋体" w:hAnsi="宋体"/>
                <w:w w:val="99"/>
                <w:kern w:val="2"/>
                <w:sz w:val="21"/>
                <w:szCs w:val="21"/>
              </w:rPr>
              <w:t>5</w:t>
            </w:r>
          </w:p>
        </w:tc>
        <w:tc>
          <w:tcPr>
            <w:tcW w:w="1422" w:type="dxa"/>
            <w:tcBorders>
              <w:top w:val="single" w:color="000000" w:sz="4" w:space="0"/>
              <w:left w:val="single" w:color="000000" w:sz="4" w:space="0"/>
              <w:bottom w:val="single" w:color="000000" w:sz="4" w:space="0"/>
              <w:right w:val="single" w:color="000000" w:sz="4" w:space="0"/>
            </w:tcBorders>
            <w:vAlign w:val="center"/>
          </w:tcPr>
          <w:p w14:paraId="7E62CA1D">
            <w:pPr>
              <w:pStyle w:val="81"/>
              <w:spacing w:before="160"/>
              <w:ind w:left="7"/>
              <w:jc w:val="center"/>
              <w:rPr>
                <w:rFonts w:ascii="宋体" w:hAnsi="宋体" w:cs="宋体"/>
                <w:kern w:val="2"/>
                <w:sz w:val="21"/>
                <w:szCs w:val="21"/>
              </w:rPr>
            </w:pPr>
            <w:r>
              <w:rPr>
                <w:rFonts w:hint="eastAsia" w:ascii="宋体" w:hAnsi="宋体" w:cs="仿宋_GB2312"/>
                <w:kern w:val="2"/>
                <w:sz w:val="21"/>
                <w:szCs w:val="21"/>
              </w:rPr>
              <w:t>A02051900</w:t>
            </w:r>
            <w:r>
              <w:rPr>
                <w:rFonts w:hint="eastAsia" w:ascii="宋体" w:hAnsi="宋体" w:cs="宋体"/>
                <w:w w:val="99"/>
                <w:kern w:val="2"/>
                <w:sz w:val="21"/>
                <w:szCs w:val="21"/>
              </w:rPr>
              <w:t>泵</w:t>
            </w:r>
          </w:p>
        </w:tc>
        <w:tc>
          <w:tcPr>
            <w:tcW w:w="1496" w:type="dxa"/>
            <w:tcBorders>
              <w:top w:val="single" w:color="000000" w:sz="4" w:space="0"/>
              <w:left w:val="single" w:color="000000" w:sz="4" w:space="0"/>
              <w:bottom w:val="single" w:color="000000" w:sz="4" w:space="0"/>
              <w:right w:val="single" w:color="000000" w:sz="4" w:space="0"/>
            </w:tcBorders>
            <w:vAlign w:val="center"/>
          </w:tcPr>
          <w:p w14:paraId="7EF3C17D">
            <w:pPr>
              <w:pStyle w:val="81"/>
              <w:spacing w:before="160"/>
              <w:ind w:left="7"/>
              <w:jc w:val="center"/>
              <w:rPr>
                <w:rFonts w:ascii="宋体" w:hAnsi="宋体" w:cs="宋体"/>
                <w:kern w:val="2"/>
                <w:sz w:val="21"/>
                <w:szCs w:val="21"/>
              </w:rPr>
            </w:pPr>
            <w:r>
              <w:rPr>
                <w:rFonts w:hint="eastAsia" w:ascii="宋体" w:hAnsi="宋体" w:cs="宋体"/>
                <w:spacing w:val="1"/>
                <w:w w:val="99"/>
                <w:kern w:val="2"/>
                <w:sz w:val="21"/>
                <w:szCs w:val="21"/>
              </w:rPr>
              <w:t>A02</w:t>
            </w:r>
            <w:r>
              <w:rPr>
                <w:rFonts w:hint="eastAsia" w:ascii="宋体" w:hAnsi="宋体" w:cs="宋体"/>
                <w:w w:val="99"/>
                <w:kern w:val="2"/>
                <w:sz w:val="21"/>
                <w:szCs w:val="21"/>
              </w:rPr>
              <w:t>05</w:t>
            </w:r>
            <w:r>
              <w:rPr>
                <w:rFonts w:hint="eastAsia" w:ascii="宋体" w:hAnsi="宋体" w:cs="宋体"/>
                <w:spacing w:val="1"/>
                <w:w w:val="99"/>
                <w:kern w:val="2"/>
                <w:sz w:val="21"/>
                <w:szCs w:val="21"/>
              </w:rPr>
              <w:t>1</w:t>
            </w:r>
            <w:r>
              <w:rPr>
                <w:rFonts w:hint="eastAsia" w:ascii="宋体" w:hAnsi="宋体" w:cs="宋体"/>
                <w:w w:val="99"/>
                <w:kern w:val="2"/>
                <w:sz w:val="21"/>
                <w:szCs w:val="21"/>
              </w:rPr>
              <w:t>901离心泵</w:t>
            </w:r>
          </w:p>
        </w:tc>
        <w:tc>
          <w:tcPr>
            <w:tcW w:w="1638" w:type="dxa"/>
            <w:tcBorders>
              <w:top w:val="single" w:color="000000" w:sz="4" w:space="0"/>
              <w:left w:val="single" w:color="000000" w:sz="4" w:space="0"/>
              <w:bottom w:val="single" w:color="000000" w:sz="4" w:space="0"/>
              <w:right w:val="single" w:color="000000" w:sz="4" w:space="0"/>
            </w:tcBorders>
            <w:vAlign w:val="center"/>
          </w:tcPr>
          <w:p w14:paraId="311F5026">
            <w:pPr>
              <w:jc w:val="center"/>
              <w:rPr>
                <w:rFonts w:ascii="宋体" w:hAnsi="宋体"/>
                <w:szCs w:val="21"/>
              </w:rPr>
            </w:pPr>
          </w:p>
        </w:tc>
        <w:tc>
          <w:tcPr>
            <w:tcW w:w="4347" w:type="dxa"/>
            <w:tcBorders>
              <w:top w:val="single" w:color="000000" w:sz="4" w:space="0"/>
              <w:left w:val="single" w:color="000000" w:sz="4" w:space="0"/>
              <w:bottom w:val="single" w:color="000000" w:sz="4" w:space="0"/>
              <w:right w:val="single" w:color="000000" w:sz="4" w:space="0"/>
            </w:tcBorders>
          </w:tcPr>
          <w:p w14:paraId="269003B6">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《清水离心泵能效限定值及节能评价值》（GB19762）</w:t>
            </w:r>
          </w:p>
        </w:tc>
      </w:tr>
      <w:tr w14:paraId="39A45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D767B5B">
            <w:pPr>
              <w:jc w:val="center"/>
              <w:rPr>
                <w:rFonts w:ascii="宋体" w:hAnsi="宋体"/>
                <w:szCs w:val="21"/>
              </w:rPr>
            </w:pPr>
            <w:r>
              <w:rPr>
                <w:rFonts w:hint="eastAsia" w:ascii="宋体" w:hAnsi="宋体"/>
                <w:szCs w:val="21"/>
              </w:rPr>
              <w:t>6</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67A778EC">
            <w:pPr>
              <w:pStyle w:val="81"/>
              <w:jc w:val="center"/>
              <w:rPr>
                <w:rFonts w:ascii="宋体" w:hAnsi="宋体" w:cs="宋体"/>
                <w:kern w:val="2"/>
                <w:sz w:val="21"/>
                <w:szCs w:val="21"/>
              </w:rPr>
            </w:pPr>
            <w:r>
              <w:rPr>
                <w:rFonts w:hint="eastAsia" w:ascii="宋体" w:hAnsi="宋体" w:cs="仿宋_GB2312"/>
                <w:kern w:val="2"/>
                <w:sz w:val="21"/>
                <w:szCs w:val="21"/>
              </w:rPr>
              <w:t>A02052300</w:t>
            </w:r>
            <w:r>
              <w:rPr>
                <w:rFonts w:hint="eastAsia" w:ascii="宋体" w:hAnsi="宋体" w:cs="宋体"/>
                <w:w w:val="99"/>
                <w:kern w:val="2"/>
                <w:sz w:val="21"/>
                <w:szCs w:val="21"/>
              </w:rPr>
              <w:t>制冷空调设备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5598B8B7">
            <w:pPr>
              <w:pStyle w:val="81"/>
              <w:spacing w:line="276" w:lineRule="auto"/>
              <w:ind w:right="5"/>
              <w:jc w:val="center"/>
              <w:rPr>
                <w:rFonts w:ascii="宋体" w:hAnsi="宋体" w:cs="宋体"/>
                <w:kern w:val="2"/>
                <w:sz w:val="21"/>
                <w:szCs w:val="21"/>
              </w:rPr>
            </w:pPr>
            <w:r>
              <w:rPr>
                <w:rFonts w:hint="eastAsia" w:ascii="宋体" w:hAnsi="宋体" w:cs="宋体"/>
                <w:w w:val="99"/>
                <w:kern w:val="2"/>
                <w:sz w:val="21"/>
                <w:szCs w:val="21"/>
              </w:rPr>
              <w:t>★</w:t>
            </w:r>
            <w:r>
              <w:rPr>
                <w:rFonts w:hint="eastAsia" w:ascii="宋体" w:hAnsi="宋体" w:cs="宋体"/>
                <w:spacing w:val="1"/>
                <w:w w:val="99"/>
                <w:kern w:val="2"/>
                <w:sz w:val="21"/>
                <w:szCs w:val="21"/>
              </w:rPr>
              <w:t>A020</w:t>
            </w:r>
            <w:r>
              <w:rPr>
                <w:rFonts w:hint="eastAsia" w:ascii="宋体" w:hAnsi="宋体" w:cs="宋体"/>
                <w:w w:val="99"/>
                <w:kern w:val="2"/>
                <w:sz w:val="21"/>
                <w:szCs w:val="21"/>
              </w:rPr>
              <w:t>52</w:t>
            </w:r>
            <w:r>
              <w:rPr>
                <w:rFonts w:hint="eastAsia" w:ascii="宋体" w:hAnsi="宋体" w:cs="宋体"/>
                <w:spacing w:val="1"/>
                <w:w w:val="99"/>
                <w:kern w:val="2"/>
                <w:sz w:val="21"/>
                <w:szCs w:val="21"/>
              </w:rPr>
              <w:t>3</w:t>
            </w:r>
            <w:r>
              <w:rPr>
                <w:rFonts w:hint="eastAsia" w:ascii="宋体" w:hAnsi="宋体" w:cs="宋体"/>
                <w:w w:val="99"/>
                <w:kern w:val="2"/>
                <w:sz w:val="21"/>
                <w:szCs w:val="21"/>
              </w:rPr>
              <w:t>01制冷压缩机</w:t>
            </w:r>
          </w:p>
        </w:tc>
        <w:tc>
          <w:tcPr>
            <w:tcW w:w="1638" w:type="dxa"/>
            <w:tcBorders>
              <w:top w:val="single" w:color="000000" w:sz="4" w:space="0"/>
              <w:left w:val="single" w:color="000000" w:sz="4" w:space="0"/>
              <w:bottom w:val="single" w:color="000000" w:sz="4" w:space="0"/>
              <w:right w:val="single" w:color="000000" w:sz="4" w:space="0"/>
            </w:tcBorders>
            <w:vAlign w:val="center"/>
          </w:tcPr>
          <w:p w14:paraId="54053F4E">
            <w:pPr>
              <w:pStyle w:val="81"/>
              <w:jc w:val="center"/>
              <w:rPr>
                <w:rFonts w:ascii="宋体" w:hAnsi="宋体" w:cs="宋体"/>
                <w:kern w:val="2"/>
                <w:sz w:val="21"/>
                <w:szCs w:val="21"/>
              </w:rPr>
            </w:pPr>
            <w:r>
              <w:rPr>
                <w:rFonts w:hint="eastAsia" w:ascii="宋体" w:hAnsi="宋体" w:cs="宋体"/>
                <w:w w:val="99"/>
                <w:kern w:val="2"/>
                <w:sz w:val="21"/>
                <w:szCs w:val="21"/>
              </w:rPr>
              <w:t>冷水机组</w:t>
            </w:r>
          </w:p>
        </w:tc>
        <w:tc>
          <w:tcPr>
            <w:tcW w:w="4347" w:type="dxa"/>
            <w:tcBorders>
              <w:top w:val="single" w:color="000000" w:sz="4" w:space="0"/>
              <w:left w:val="single" w:color="000000" w:sz="4" w:space="0"/>
              <w:bottom w:val="single" w:color="000000" w:sz="4" w:space="0"/>
              <w:right w:val="single" w:color="000000" w:sz="4" w:space="0"/>
            </w:tcBorders>
          </w:tcPr>
          <w:p w14:paraId="53DFAAA7">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《冷水机组能效限定值及能效等级》（GB19577），《低环境温度空气源热泵（冷水）机组能效限定值及能效等级》（GB37480）</w:t>
            </w:r>
          </w:p>
        </w:tc>
      </w:tr>
      <w:tr w14:paraId="0C94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6CF6021">
            <w:pPr>
              <w:widowControl/>
              <w:jc w:val="left"/>
              <w:rPr>
                <w:rFonts w:ascii="宋体" w:hAnsi="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15FA145">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7E9906D">
            <w:pPr>
              <w:widowControl/>
              <w:jc w:val="left"/>
              <w:rPr>
                <w:rFonts w:ascii="宋体" w:hAnsi="宋体" w:cs="宋体"/>
                <w:szCs w:val="21"/>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11BAD4F9">
            <w:pPr>
              <w:jc w:val="center"/>
              <w:rPr>
                <w:rFonts w:ascii="宋体" w:hAnsi="宋体"/>
                <w:szCs w:val="21"/>
              </w:rPr>
            </w:pPr>
            <w:r>
              <w:rPr>
                <w:rFonts w:hint="eastAsia" w:ascii="宋体" w:hAnsi="宋体"/>
                <w:szCs w:val="21"/>
              </w:rPr>
              <w:t>溴化锂吸收式冷水机组</w:t>
            </w:r>
          </w:p>
        </w:tc>
        <w:tc>
          <w:tcPr>
            <w:tcW w:w="4347" w:type="dxa"/>
            <w:tcBorders>
              <w:top w:val="single" w:color="000000" w:sz="4" w:space="0"/>
              <w:left w:val="single" w:color="000000" w:sz="4" w:space="0"/>
              <w:bottom w:val="single" w:color="000000" w:sz="4" w:space="0"/>
              <w:right w:val="single" w:color="000000" w:sz="4" w:space="0"/>
            </w:tcBorders>
            <w:vAlign w:val="center"/>
          </w:tcPr>
          <w:p w14:paraId="42B5049C">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《溴化锂吸收式冷水机组能效限</w:t>
            </w:r>
          </w:p>
          <w:p w14:paraId="349CB091">
            <w:pPr>
              <w:spacing w:before="131" w:line="276" w:lineRule="auto"/>
              <w:ind w:right="4"/>
              <w:rPr>
                <w:rFonts w:ascii="宋体" w:hAnsi="宋体" w:cs="宋体"/>
                <w:spacing w:val="10"/>
                <w:szCs w:val="21"/>
              </w:rPr>
            </w:pPr>
            <w:r>
              <w:rPr>
                <w:rFonts w:hint="eastAsia" w:ascii="宋体" w:hAnsi="宋体" w:cs="宋体"/>
                <w:spacing w:val="10"/>
                <w:szCs w:val="21"/>
              </w:rPr>
              <w:t>定值及能效等级》（GB29540）</w:t>
            </w:r>
          </w:p>
        </w:tc>
      </w:tr>
      <w:tr w14:paraId="310E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1177643">
            <w:pPr>
              <w:widowControl/>
              <w:jc w:val="left"/>
              <w:rPr>
                <w:rFonts w:ascii="宋体" w:hAnsi="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7F44F49">
            <w:pPr>
              <w:widowControl/>
              <w:jc w:val="left"/>
              <w:rPr>
                <w:rFonts w:ascii="宋体" w:hAnsi="宋体" w:cs="宋体"/>
                <w:szCs w:val="21"/>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1CEE245E">
            <w:pPr>
              <w:pStyle w:val="81"/>
              <w:spacing w:line="276" w:lineRule="auto"/>
              <w:ind w:right="5"/>
              <w:jc w:val="center"/>
              <w:rPr>
                <w:rFonts w:ascii="宋体" w:hAnsi="宋体" w:cs="宋体"/>
                <w:kern w:val="2"/>
                <w:sz w:val="21"/>
                <w:szCs w:val="21"/>
              </w:rPr>
            </w:pPr>
            <w:r>
              <w:rPr>
                <w:rFonts w:hint="eastAsia" w:ascii="宋体" w:hAnsi="宋体" w:cs="宋体"/>
                <w:w w:val="99"/>
                <w:kern w:val="2"/>
                <w:sz w:val="21"/>
                <w:szCs w:val="21"/>
              </w:rPr>
              <w:t>★A02052305空调机组</w:t>
            </w:r>
          </w:p>
        </w:tc>
        <w:tc>
          <w:tcPr>
            <w:tcW w:w="1638" w:type="dxa"/>
            <w:tcBorders>
              <w:top w:val="single" w:color="000000" w:sz="4" w:space="0"/>
              <w:left w:val="single" w:color="000000" w:sz="4" w:space="0"/>
              <w:bottom w:val="single" w:color="000000" w:sz="4" w:space="0"/>
              <w:right w:val="single" w:color="000000" w:sz="4" w:space="0"/>
            </w:tcBorders>
            <w:vAlign w:val="center"/>
          </w:tcPr>
          <w:p w14:paraId="56AD0F5C">
            <w:pPr>
              <w:pStyle w:val="81"/>
              <w:spacing w:before="4" w:line="276" w:lineRule="auto"/>
              <w:ind w:left="7" w:right="7"/>
              <w:jc w:val="center"/>
              <w:rPr>
                <w:rFonts w:ascii="宋体" w:hAnsi="宋体" w:cs="宋体"/>
                <w:w w:val="99"/>
                <w:kern w:val="2"/>
                <w:sz w:val="21"/>
                <w:szCs w:val="21"/>
                <w:lang w:eastAsia="zh-CN"/>
              </w:rPr>
            </w:pPr>
            <w:r>
              <w:rPr>
                <w:rFonts w:hint="eastAsia" w:ascii="宋体" w:hAnsi="宋体" w:cs="宋体"/>
                <w:w w:val="99"/>
                <w:kern w:val="2"/>
                <w:sz w:val="21"/>
                <w:szCs w:val="21"/>
                <w:lang w:eastAsia="zh-CN"/>
              </w:rPr>
              <w:t>多联式空调（热泵）机组（制冷量&gt;14000W）</w:t>
            </w:r>
          </w:p>
        </w:tc>
        <w:tc>
          <w:tcPr>
            <w:tcW w:w="4347" w:type="dxa"/>
            <w:tcBorders>
              <w:top w:val="single" w:color="000000" w:sz="4" w:space="0"/>
              <w:left w:val="single" w:color="000000" w:sz="4" w:space="0"/>
              <w:bottom w:val="single" w:color="000000" w:sz="4" w:space="0"/>
              <w:right w:val="single" w:color="000000" w:sz="4" w:space="0"/>
            </w:tcBorders>
          </w:tcPr>
          <w:p w14:paraId="26414CF7">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《多联式空调（热泵）机组能效限定值及能源效率等级》（GB21454）</w:t>
            </w:r>
          </w:p>
        </w:tc>
      </w:tr>
      <w:tr w14:paraId="5B93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F42B7BF">
            <w:pPr>
              <w:widowControl/>
              <w:jc w:val="left"/>
              <w:rPr>
                <w:rFonts w:ascii="宋体" w:hAnsi="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369053B">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EF47291">
            <w:pPr>
              <w:widowControl/>
              <w:jc w:val="left"/>
              <w:rPr>
                <w:rFonts w:ascii="宋体" w:hAnsi="宋体" w:cs="宋体"/>
                <w:szCs w:val="21"/>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0799C97D">
            <w:pPr>
              <w:jc w:val="center"/>
              <w:rPr>
                <w:rFonts w:ascii="宋体" w:hAnsi="宋体"/>
                <w:szCs w:val="21"/>
              </w:rPr>
            </w:pPr>
            <w:r>
              <w:rPr>
                <w:rFonts w:hint="eastAsia" w:ascii="宋体" w:hAnsi="宋体" w:cs="宋体"/>
                <w:w w:val="99"/>
                <w:szCs w:val="21"/>
              </w:rPr>
              <w:t>单元式空气调节机</w:t>
            </w:r>
          </w:p>
        </w:tc>
        <w:tc>
          <w:tcPr>
            <w:tcW w:w="4347" w:type="dxa"/>
            <w:tcBorders>
              <w:top w:val="single" w:color="000000" w:sz="4" w:space="0"/>
              <w:left w:val="single" w:color="000000" w:sz="4" w:space="0"/>
              <w:bottom w:val="single" w:color="000000" w:sz="4" w:space="0"/>
              <w:right w:val="single" w:color="000000" w:sz="4" w:space="0"/>
            </w:tcBorders>
          </w:tcPr>
          <w:p w14:paraId="3A1DBCA4">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《单元式空气调节机能效限定值及能效等级》（GB19576）《风管送风式空调机组能效限定值及能效等级》（GB37479）</w:t>
            </w:r>
          </w:p>
        </w:tc>
      </w:tr>
      <w:tr w14:paraId="193C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52D261D">
            <w:pPr>
              <w:widowControl/>
              <w:jc w:val="left"/>
              <w:rPr>
                <w:rFonts w:ascii="宋体" w:hAnsi="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62D2D1">
            <w:pPr>
              <w:widowControl/>
              <w:jc w:val="left"/>
              <w:rPr>
                <w:rFonts w:ascii="宋体" w:hAnsi="宋体" w:cs="宋体"/>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0110180">
            <w:pPr>
              <w:pStyle w:val="81"/>
              <w:spacing w:before="83"/>
              <w:ind w:left="7"/>
              <w:jc w:val="center"/>
              <w:rPr>
                <w:rFonts w:ascii="宋体" w:hAnsi="宋体" w:cs="宋体"/>
                <w:w w:val="99"/>
                <w:kern w:val="2"/>
                <w:sz w:val="21"/>
                <w:szCs w:val="21"/>
                <w:lang w:eastAsia="zh-CN"/>
              </w:rPr>
            </w:pPr>
            <w:r>
              <w:rPr>
                <w:rFonts w:hint="eastAsia" w:ascii="宋体" w:hAnsi="宋体" w:cs="宋体"/>
                <w:w w:val="99"/>
                <w:kern w:val="2"/>
                <w:sz w:val="21"/>
                <w:szCs w:val="21"/>
                <w:lang w:eastAsia="zh-CN"/>
              </w:rPr>
              <w:t>★A02052309专用制冷、空调设备</w:t>
            </w:r>
          </w:p>
        </w:tc>
        <w:tc>
          <w:tcPr>
            <w:tcW w:w="1638" w:type="dxa"/>
            <w:tcBorders>
              <w:top w:val="single" w:color="000000" w:sz="4" w:space="0"/>
              <w:left w:val="single" w:color="000000" w:sz="4" w:space="0"/>
              <w:bottom w:val="single" w:color="000000" w:sz="4" w:space="0"/>
              <w:right w:val="single" w:color="000000" w:sz="4" w:space="0"/>
            </w:tcBorders>
            <w:vAlign w:val="center"/>
          </w:tcPr>
          <w:p w14:paraId="6E112FB5">
            <w:pPr>
              <w:pStyle w:val="81"/>
              <w:jc w:val="center"/>
              <w:rPr>
                <w:rFonts w:ascii="宋体" w:hAnsi="宋体" w:cs="宋体"/>
                <w:kern w:val="2"/>
                <w:sz w:val="21"/>
                <w:szCs w:val="21"/>
              </w:rPr>
            </w:pPr>
            <w:r>
              <w:rPr>
                <w:rFonts w:hint="eastAsia" w:ascii="宋体" w:hAnsi="宋体" w:cs="宋体"/>
                <w:w w:val="99"/>
                <w:kern w:val="2"/>
                <w:sz w:val="21"/>
                <w:szCs w:val="21"/>
              </w:rPr>
              <w:t>机房空调</w:t>
            </w:r>
          </w:p>
        </w:tc>
        <w:tc>
          <w:tcPr>
            <w:tcW w:w="4347" w:type="dxa"/>
            <w:tcBorders>
              <w:top w:val="single" w:color="000000" w:sz="4" w:space="0"/>
              <w:left w:val="single" w:color="000000" w:sz="4" w:space="0"/>
              <w:bottom w:val="single" w:color="000000" w:sz="4" w:space="0"/>
              <w:right w:val="single" w:color="000000" w:sz="4" w:space="0"/>
            </w:tcBorders>
          </w:tcPr>
          <w:p w14:paraId="63964EE5">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《单元式空气调节机能效限定值</w:t>
            </w:r>
          </w:p>
          <w:p w14:paraId="7F8F2BF7">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及能效等级》（GB19576）</w:t>
            </w:r>
          </w:p>
        </w:tc>
      </w:tr>
      <w:tr w14:paraId="03A4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B45B590">
            <w:pPr>
              <w:widowControl/>
              <w:jc w:val="left"/>
              <w:rPr>
                <w:rFonts w:ascii="宋体" w:hAnsi="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E97AED5">
            <w:pPr>
              <w:widowControl/>
              <w:jc w:val="left"/>
              <w:rPr>
                <w:rFonts w:ascii="宋体" w:hAnsi="宋体" w:cs="宋体"/>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E3ADCB7">
            <w:pPr>
              <w:pStyle w:val="81"/>
              <w:spacing w:line="254" w:lineRule="exact"/>
              <w:ind w:left="7"/>
              <w:jc w:val="center"/>
              <w:rPr>
                <w:rFonts w:ascii="宋体" w:hAnsi="宋体" w:cs="宋体"/>
                <w:w w:val="99"/>
                <w:kern w:val="2"/>
                <w:sz w:val="21"/>
                <w:szCs w:val="21"/>
              </w:rPr>
            </w:pPr>
            <w:r>
              <w:rPr>
                <w:rFonts w:hint="eastAsia" w:ascii="宋体" w:hAnsi="宋体" w:cs="宋体"/>
                <w:w w:val="99"/>
                <w:kern w:val="2"/>
                <w:sz w:val="21"/>
                <w:szCs w:val="21"/>
              </w:rPr>
              <w:t>A02052399其他制冷</w:t>
            </w:r>
          </w:p>
          <w:p w14:paraId="3D7BF92B">
            <w:pPr>
              <w:pStyle w:val="81"/>
              <w:spacing w:line="254" w:lineRule="exact"/>
              <w:ind w:left="7"/>
              <w:jc w:val="center"/>
              <w:rPr>
                <w:rFonts w:ascii="宋体" w:hAnsi="宋体" w:cs="宋体"/>
                <w:kern w:val="2"/>
                <w:sz w:val="21"/>
                <w:szCs w:val="21"/>
              </w:rPr>
            </w:pPr>
            <w:r>
              <w:rPr>
                <w:rFonts w:hint="eastAsia" w:ascii="宋体" w:hAnsi="宋体" w:cs="宋体"/>
                <w:w w:val="99"/>
                <w:kern w:val="2"/>
                <w:sz w:val="21"/>
                <w:szCs w:val="21"/>
              </w:rPr>
              <w:t>空调设备</w:t>
            </w:r>
          </w:p>
        </w:tc>
        <w:tc>
          <w:tcPr>
            <w:tcW w:w="1638" w:type="dxa"/>
            <w:tcBorders>
              <w:top w:val="single" w:color="000000" w:sz="4" w:space="0"/>
              <w:left w:val="single" w:color="000000" w:sz="4" w:space="0"/>
              <w:bottom w:val="single" w:color="000000" w:sz="4" w:space="0"/>
              <w:right w:val="single" w:color="000000" w:sz="4" w:space="0"/>
            </w:tcBorders>
            <w:vAlign w:val="center"/>
          </w:tcPr>
          <w:p w14:paraId="47E07CFA">
            <w:pPr>
              <w:widowControl/>
              <w:jc w:val="center"/>
              <w:rPr>
                <w:rFonts w:ascii="宋体" w:hAnsi="宋体" w:cs="宋体"/>
                <w:szCs w:val="21"/>
                <w:lang w:eastAsia="en-US"/>
              </w:rPr>
            </w:pPr>
            <w:r>
              <w:rPr>
                <w:rFonts w:hint="eastAsia" w:ascii="宋体" w:hAnsi="宋体" w:cs="宋体"/>
                <w:w w:val="99"/>
                <w:szCs w:val="21"/>
              </w:rPr>
              <w:t>冷却塔</w:t>
            </w:r>
          </w:p>
        </w:tc>
        <w:tc>
          <w:tcPr>
            <w:tcW w:w="4347" w:type="dxa"/>
            <w:tcBorders>
              <w:top w:val="single" w:color="000000" w:sz="4" w:space="0"/>
              <w:left w:val="single" w:color="000000" w:sz="4" w:space="0"/>
              <w:bottom w:val="single" w:color="000000" w:sz="4" w:space="0"/>
              <w:right w:val="single" w:color="000000" w:sz="4" w:space="0"/>
            </w:tcBorders>
          </w:tcPr>
          <w:p w14:paraId="58862745">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《机械通风冷却塔第1部分：中小型开式冷却塔》（GB/T7190.1）</w:t>
            </w:r>
          </w:p>
          <w:p w14:paraId="246BADD1">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《机械通风冷却塔第2部分：大型开式冷却塔》（GB/T7190.2）</w:t>
            </w:r>
          </w:p>
        </w:tc>
      </w:tr>
      <w:tr w14:paraId="4CFC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84CF952">
            <w:pPr>
              <w:pStyle w:val="81"/>
              <w:ind w:right="1"/>
              <w:jc w:val="center"/>
              <w:rPr>
                <w:rFonts w:ascii="宋体" w:hAnsi="宋体" w:cs="宋体"/>
                <w:kern w:val="2"/>
                <w:sz w:val="21"/>
                <w:szCs w:val="21"/>
              </w:rPr>
            </w:pPr>
            <w:r>
              <w:rPr>
                <w:rFonts w:hint="eastAsia" w:ascii="宋体" w:hAnsi="宋体"/>
                <w:w w:val="99"/>
                <w:kern w:val="2"/>
                <w:sz w:val="21"/>
                <w:szCs w:val="21"/>
              </w:rPr>
              <w:t>7</w:t>
            </w:r>
          </w:p>
        </w:tc>
        <w:tc>
          <w:tcPr>
            <w:tcW w:w="1422" w:type="dxa"/>
            <w:tcBorders>
              <w:top w:val="single" w:color="000000" w:sz="4" w:space="0"/>
              <w:left w:val="single" w:color="000000" w:sz="4" w:space="0"/>
              <w:bottom w:val="single" w:color="000000" w:sz="4" w:space="0"/>
              <w:right w:val="single" w:color="000000" w:sz="4" w:space="0"/>
            </w:tcBorders>
            <w:vAlign w:val="center"/>
          </w:tcPr>
          <w:p w14:paraId="2DB19DAC">
            <w:pPr>
              <w:pStyle w:val="81"/>
              <w:jc w:val="center"/>
              <w:rPr>
                <w:rFonts w:ascii="宋体" w:hAnsi="宋体" w:cs="宋体"/>
                <w:kern w:val="2"/>
                <w:sz w:val="21"/>
                <w:szCs w:val="21"/>
              </w:rPr>
            </w:pPr>
            <w:r>
              <w:rPr>
                <w:rFonts w:hint="eastAsia" w:ascii="宋体" w:hAnsi="宋体" w:cs="仿宋_GB2312"/>
                <w:kern w:val="2"/>
                <w:sz w:val="21"/>
                <w:szCs w:val="21"/>
              </w:rPr>
              <w:t>A02060100</w:t>
            </w:r>
            <w:r>
              <w:rPr>
                <w:rFonts w:hint="eastAsia" w:ascii="宋体" w:hAnsi="宋体" w:cs="宋体"/>
                <w:w w:val="99"/>
                <w:kern w:val="2"/>
                <w:sz w:val="21"/>
                <w:szCs w:val="21"/>
              </w:rPr>
              <w:t>电机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7ABA5A1B">
            <w:pPr>
              <w:jc w:val="center"/>
              <w:rPr>
                <w:rFonts w:ascii="宋体" w:hAnsi="宋体"/>
                <w:szCs w:val="21"/>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20D298AD">
            <w:pPr>
              <w:jc w:val="center"/>
              <w:rPr>
                <w:rFonts w:ascii="宋体" w:hAnsi="宋体"/>
                <w:szCs w:val="21"/>
              </w:rPr>
            </w:pPr>
          </w:p>
        </w:tc>
        <w:tc>
          <w:tcPr>
            <w:tcW w:w="4347" w:type="dxa"/>
            <w:tcBorders>
              <w:top w:val="single" w:color="000000" w:sz="4" w:space="0"/>
              <w:left w:val="single" w:color="000000" w:sz="4" w:space="0"/>
              <w:bottom w:val="single" w:color="000000" w:sz="4" w:space="0"/>
              <w:right w:val="single" w:color="000000" w:sz="4" w:space="0"/>
            </w:tcBorders>
          </w:tcPr>
          <w:p w14:paraId="7FD26E7C">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《中小型三相异步电动机能效限定值及能效等级》（GB18613）</w:t>
            </w:r>
          </w:p>
        </w:tc>
      </w:tr>
      <w:tr w14:paraId="407F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E4090CF">
            <w:pPr>
              <w:pStyle w:val="81"/>
              <w:ind w:right="1"/>
              <w:jc w:val="center"/>
              <w:rPr>
                <w:rFonts w:ascii="宋体" w:hAnsi="宋体" w:cs="宋体"/>
                <w:kern w:val="2"/>
                <w:sz w:val="21"/>
                <w:szCs w:val="21"/>
              </w:rPr>
            </w:pPr>
            <w:r>
              <w:rPr>
                <w:rFonts w:hint="eastAsia" w:ascii="宋体" w:hAnsi="宋体"/>
                <w:w w:val="99"/>
                <w:kern w:val="2"/>
                <w:sz w:val="21"/>
                <w:szCs w:val="21"/>
              </w:rPr>
              <w:t>8</w:t>
            </w:r>
          </w:p>
        </w:tc>
        <w:tc>
          <w:tcPr>
            <w:tcW w:w="1422" w:type="dxa"/>
            <w:tcBorders>
              <w:top w:val="single" w:color="000000" w:sz="4" w:space="0"/>
              <w:left w:val="single" w:color="000000" w:sz="4" w:space="0"/>
              <w:bottom w:val="single" w:color="000000" w:sz="4" w:space="0"/>
              <w:right w:val="single" w:color="000000" w:sz="4" w:space="0"/>
            </w:tcBorders>
            <w:vAlign w:val="center"/>
          </w:tcPr>
          <w:p w14:paraId="43313432">
            <w:pPr>
              <w:pStyle w:val="81"/>
              <w:spacing w:before="30"/>
              <w:ind w:left="7"/>
              <w:jc w:val="center"/>
              <w:rPr>
                <w:rFonts w:ascii="宋体" w:hAnsi="宋体" w:cs="宋体"/>
                <w:kern w:val="2"/>
                <w:sz w:val="21"/>
                <w:szCs w:val="21"/>
              </w:rPr>
            </w:pPr>
            <w:r>
              <w:rPr>
                <w:rFonts w:hint="eastAsia" w:ascii="宋体" w:hAnsi="宋体" w:cs="仿宋_GB2312"/>
                <w:kern w:val="2"/>
                <w:sz w:val="21"/>
                <w:szCs w:val="21"/>
              </w:rPr>
              <w:t>A02060200</w:t>
            </w:r>
            <w:r>
              <w:rPr>
                <w:rFonts w:hint="eastAsia" w:ascii="宋体" w:hAnsi="宋体" w:cs="宋体"/>
                <w:w w:val="99"/>
                <w:kern w:val="2"/>
                <w:sz w:val="21"/>
                <w:szCs w:val="21"/>
              </w:rPr>
              <w:t>变压</w:t>
            </w:r>
          </w:p>
        </w:tc>
        <w:tc>
          <w:tcPr>
            <w:tcW w:w="1496" w:type="dxa"/>
            <w:tcBorders>
              <w:top w:val="single" w:color="000000" w:sz="4" w:space="0"/>
              <w:left w:val="single" w:color="000000" w:sz="4" w:space="0"/>
              <w:bottom w:val="single" w:color="000000" w:sz="4" w:space="0"/>
              <w:right w:val="single" w:color="000000" w:sz="4" w:space="0"/>
            </w:tcBorders>
            <w:vAlign w:val="center"/>
          </w:tcPr>
          <w:p w14:paraId="6F640266">
            <w:pPr>
              <w:pStyle w:val="81"/>
              <w:jc w:val="center"/>
              <w:rPr>
                <w:rFonts w:ascii="宋体" w:hAnsi="宋体" w:cs="宋体"/>
                <w:kern w:val="2"/>
                <w:sz w:val="21"/>
                <w:szCs w:val="21"/>
              </w:rPr>
            </w:pPr>
            <w:r>
              <w:rPr>
                <w:rFonts w:hint="eastAsia" w:ascii="宋体" w:hAnsi="宋体" w:cs="宋体"/>
                <w:w w:val="99"/>
                <w:kern w:val="2"/>
                <w:sz w:val="21"/>
                <w:szCs w:val="21"/>
              </w:rPr>
              <w:t>配电变压器</w:t>
            </w:r>
          </w:p>
        </w:tc>
        <w:tc>
          <w:tcPr>
            <w:tcW w:w="1638" w:type="dxa"/>
            <w:tcBorders>
              <w:top w:val="single" w:color="000000" w:sz="4" w:space="0"/>
              <w:left w:val="single" w:color="000000" w:sz="4" w:space="0"/>
              <w:bottom w:val="single" w:color="000000" w:sz="4" w:space="0"/>
              <w:right w:val="single" w:color="000000" w:sz="4" w:space="0"/>
            </w:tcBorders>
            <w:vAlign w:val="center"/>
          </w:tcPr>
          <w:p w14:paraId="453119C6">
            <w:pPr>
              <w:jc w:val="center"/>
              <w:rPr>
                <w:rFonts w:ascii="宋体" w:hAnsi="宋体"/>
                <w:szCs w:val="21"/>
              </w:rPr>
            </w:pPr>
          </w:p>
        </w:tc>
        <w:tc>
          <w:tcPr>
            <w:tcW w:w="4347" w:type="dxa"/>
            <w:tcBorders>
              <w:top w:val="single" w:color="000000" w:sz="4" w:space="0"/>
              <w:left w:val="single" w:color="000000" w:sz="4" w:space="0"/>
              <w:bottom w:val="single" w:color="000000" w:sz="4" w:space="0"/>
              <w:right w:val="single" w:color="000000" w:sz="4" w:space="0"/>
            </w:tcBorders>
          </w:tcPr>
          <w:p w14:paraId="14C0A3C0">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《三相配电变压器能效限定值及能效等级》（GB 20052）</w:t>
            </w:r>
          </w:p>
        </w:tc>
      </w:tr>
      <w:tr w14:paraId="6CE5B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2410F733">
            <w:pPr>
              <w:pStyle w:val="81"/>
              <w:ind w:right="1"/>
              <w:jc w:val="center"/>
              <w:rPr>
                <w:rFonts w:ascii="宋体" w:hAnsi="宋体" w:cs="宋体"/>
                <w:kern w:val="2"/>
                <w:sz w:val="21"/>
                <w:szCs w:val="21"/>
              </w:rPr>
            </w:pPr>
            <w:r>
              <w:rPr>
                <w:rFonts w:hint="eastAsia" w:ascii="宋体" w:hAnsi="宋体"/>
                <w:w w:val="99"/>
                <w:kern w:val="2"/>
                <w:sz w:val="21"/>
                <w:szCs w:val="21"/>
              </w:rPr>
              <w:t>9</w:t>
            </w:r>
          </w:p>
        </w:tc>
        <w:tc>
          <w:tcPr>
            <w:tcW w:w="1422" w:type="dxa"/>
            <w:tcBorders>
              <w:top w:val="single" w:color="000000" w:sz="4" w:space="0"/>
              <w:left w:val="single" w:color="000000" w:sz="4" w:space="0"/>
              <w:bottom w:val="single" w:color="000000" w:sz="4" w:space="0"/>
              <w:right w:val="single" w:color="000000" w:sz="4" w:space="0"/>
            </w:tcBorders>
            <w:vAlign w:val="center"/>
          </w:tcPr>
          <w:p w14:paraId="18FC28FB">
            <w:pPr>
              <w:pStyle w:val="81"/>
              <w:spacing w:before="126"/>
              <w:ind w:left="7"/>
              <w:jc w:val="center"/>
              <w:rPr>
                <w:rFonts w:ascii="宋体" w:hAnsi="宋体" w:cs="宋体"/>
                <w:kern w:val="2"/>
                <w:sz w:val="21"/>
                <w:szCs w:val="21"/>
              </w:rPr>
            </w:pPr>
            <w:r>
              <w:rPr>
                <w:rFonts w:hint="eastAsia" w:ascii="宋体" w:hAnsi="宋体" w:cs="宋体"/>
                <w:w w:val="99"/>
                <w:kern w:val="2"/>
                <w:sz w:val="21"/>
                <w:szCs w:val="21"/>
              </w:rPr>
              <w:t>★A02060900镇流器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059DFF84">
            <w:pPr>
              <w:pStyle w:val="81"/>
              <w:jc w:val="center"/>
              <w:rPr>
                <w:rFonts w:ascii="宋体" w:hAnsi="宋体" w:cs="宋体"/>
                <w:kern w:val="2"/>
                <w:sz w:val="21"/>
                <w:szCs w:val="21"/>
              </w:rPr>
            </w:pPr>
            <w:r>
              <w:rPr>
                <w:rFonts w:hint="eastAsia" w:ascii="宋体" w:hAnsi="宋体" w:cs="宋体"/>
                <w:w w:val="99"/>
                <w:kern w:val="2"/>
                <w:sz w:val="21"/>
                <w:szCs w:val="21"/>
              </w:rPr>
              <w:t>管型荧光灯镇流器</w:t>
            </w:r>
          </w:p>
        </w:tc>
        <w:tc>
          <w:tcPr>
            <w:tcW w:w="1638" w:type="dxa"/>
            <w:tcBorders>
              <w:top w:val="single" w:color="000000" w:sz="4" w:space="0"/>
              <w:left w:val="single" w:color="000000" w:sz="4" w:space="0"/>
              <w:bottom w:val="single" w:color="000000" w:sz="4" w:space="0"/>
              <w:right w:val="single" w:color="000000" w:sz="4" w:space="0"/>
            </w:tcBorders>
            <w:vAlign w:val="center"/>
          </w:tcPr>
          <w:p w14:paraId="08A177F0">
            <w:pPr>
              <w:jc w:val="center"/>
              <w:rPr>
                <w:rFonts w:ascii="宋体" w:hAnsi="宋体"/>
                <w:szCs w:val="21"/>
              </w:rPr>
            </w:pPr>
          </w:p>
        </w:tc>
        <w:tc>
          <w:tcPr>
            <w:tcW w:w="4347" w:type="dxa"/>
            <w:tcBorders>
              <w:top w:val="single" w:color="000000" w:sz="4" w:space="0"/>
              <w:left w:val="single" w:color="000000" w:sz="4" w:space="0"/>
              <w:bottom w:val="single" w:color="000000" w:sz="4" w:space="0"/>
              <w:right w:val="single" w:color="000000" w:sz="4" w:space="0"/>
            </w:tcBorders>
          </w:tcPr>
          <w:p w14:paraId="566AB1C1">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《管形荧光灯镇流器能效限定值及能效等级》（GB17896）</w:t>
            </w:r>
          </w:p>
        </w:tc>
      </w:tr>
      <w:tr w14:paraId="05C3B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4ED08523">
            <w:pPr>
              <w:pStyle w:val="81"/>
              <w:jc w:val="center"/>
              <w:rPr>
                <w:rFonts w:ascii="宋体" w:hAnsi="宋体" w:cs="宋体"/>
                <w:kern w:val="2"/>
                <w:sz w:val="21"/>
                <w:szCs w:val="21"/>
              </w:rPr>
            </w:pPr>
            <w:r>
              <w:rPr>
                <w:rFonts w:hint="eastAsia" w:ascii="宋体" w:hAnsi="宋体"/>
                <w:w w:val="99"/>
                <w:kern w:val="2"/>
                <w:sz w:val="21"/>
                <w:szCs w:val="21"/>
              </w:rPr>
              <w:t>10</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364BE90E">
            <w:pPr>
              <w:pStyle w:val="81"/>
              <w:jc w:val="center"/>
              <w:rPr>
                <w:rFonts w:ascii="宋体" w:hAnsi="宋体" w:cs="宋体"/>
                <w:kern w:val="2"/>
                <w:sz w:val="21"/>
                <w:szCs w:val="21"/>
              </w:rPr>
            </w:pPr>
            <w:r>
              <w:rPr>
                <w:rFonts w:hint="eastAsia" w:ascii="宋体" w:hAnsi="宋体" w:cs="宋体"/>
                <w:w w:val="99"/>
                <w:kern w:val="2"/>
                <w:sz w:val="21"/>
                <w:szCs w:val="21"/>
              </w:rPr>
              <w:t>A02061800生活用电器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536A7C99">
            <w:pPr>
              <w:pStyle w:val="81"/>
              <w:jc w:val="center"/>
              <w:rPr>
                <w:rFonts w:ascii="宋体" w:hAnsi="宋体" w:cs="宋体"/>
                <w:kern w:val="2"/>
                <w:sz w:val="21"/>
                <w:szCs w:val="21"/>
              </w:rPr>
            </w:pPr>
            <w:r>
              <w:rPr>
                <w:rFonts w:hint="eastAsia" w:ascii="宋体" w:hAnsi="宋体" w:cs="宋体"/>
                <w:w w:val="99"/>
                <w:kern w:val="2"/>
                <w:sz w:val="21"/>
                <w:szCs w:val="21"/>
              </w:rPr>
              <w:t>A02061801电冰箱</w:t>
            </w:r>
          </w:p>
        </w:tc>
        <w:tc>
          <w:tcPr>
            <w:tcW w:w="1638" w:type="dxa"/>
            <w:tcBorders>
              <w:top w:val="single" w:color="000000" w:sz="4" w:space="0"/>
              <w:left w:val="single" w:color="000000" w:sz="4" w:space="0"/>
              <w:bottom w:val="single" w:color="000000" w:sz="4" w:space="0"/>
              <w:right w:val="single" w:color="000000" w:sz="4" w:space="0"/>
            </w:tcBorders>
            <w:vAlign w:val="center"/>
          </w:tcPr>
          <w:p w14:paraId="08278A4D">
            <w:pPr>
              <w:jc w:val="center"/>
              <w:rPr>
                <w:rFonts w:ascii="宋体" w:hAnsi="宋体"/>
                <w:szCs w:val="21"/>
              </w:rPr>
            </w:pPr>
          </w:p>
        </w:tc>
        <w:tc>
          <w:tcPr>
            <w:tcW w:w="4347" w:type="dxa"/>
            <w:tcBorders>
              <w:top w:val="single" w:color="000000" w:sz="4" w:space="0"/>
              <w:left w:val="single" w:color="000000" w:sz="4" w:space="0"/>
              <w:bottom w:val="single" w:color="000000" w:sz="4" w:space="0"/>
              <w:right w:val="single" w:color="000000" w:sz="4" w:space="0"/>
            </w:tcBorders>
          </w:tcPr>
          <w:p w14:paraId="66D5D95B">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《家用电冰箱耗电量限定值及能效等级》（GB12021.2）</w:t>
            </w:r>
          </w:p>
        </w:tc>
      </w:tr>
      <w:tr w14:paraId="589FA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68B6759">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6BE3113">
            <w:pPr>
              <w:widowControl/>
              <w:jc w:val="left"/>
              <w:rPr>
                <w:rFonts w:ascii="宋体" w:hAnsi="宋体" w:cs="宋体"/>
                <w:szCs w:val="21"/>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4180187B">
            <w:pPr>
              <w:pStyle w:val="81"/>
              <w:spacing w:before="171"/>
              <w:jc w:val="center"/>
              <w:rPr>
                <w:rFonts w:ascii="宋体" w:hAnsi="宋体" w:cs="宋体"/>
                <w:kern w:val="2"/>
                <w:sz w:val="21"/>
                <w:szCs w:val="21"/>
              </w:rPr>
            </w:pPr>
            <w:r>
              <w:rPr>
                <w:rFonts w:hint="eastAsia" w:ascii="宋体" w:hAnsi="宋体" w:cs="宋体"/>
                <w:w w:val="99"/>
                <w:kern w:val="2"/>
                <w:sz w:val="21"/>
                <w:szCs w:val="21"/>
              </w:rPr>
              <w:t>★</w:t>
            </w:r>
            <w:r>
              <w:rPr>
                <w:rFonts w:hint="eastAsia" w:ascii="宋体" w:hAnsi="宋体" w:cs="仿宋_GB2312"/>
                <w:kern w:val="2"/>
                <w:sz w:val="21"/>
                <w:szCs w:val="21"/>
              </w:rPr>
              <w:t>A02061804</w:t>
            </w:r>
            <w:r>
              <w:rPr>
                <w:rFonts w:hint="eastAsia" w:ascii="宋体" w:hAnsi="宋体" w:cs="宋体"/>
                <w:w w:val="99"/>
                <w:kern w:val="2"/>
                <w:sz w:val="21"/>
                <w:szCs w:val="21"/>
              </w:rPr>
              <w:t>空调机</w:t>
            </w:r>
          </w:p>
        </w:tc>
        <w:tc>
          <w:tcPr>
            <w:tcW w:w="1638" w:type="dxa"/>
            <w:tcBorders>
              <w:top w:val="single" w:color="000000" w:sz="4" w:space="0"/>
              <w:left w:val="single" w:color="000000" w:sz="4" w:space="0"/>
              <w:bottom w:val="single" w:color="000000" w:sz="4" w:space="0"/>
              <w:right w:val="single" w:color="000000" w:sz="4" w:space="0"/>
            </w:tcBorders>
            <w:vAlign w:val="center"/>
          </w:tcPr>
          <w:p w14:paraId="41162E96">
            <w:pPr>
              <w:pStyle w:val="81"/>
              <w:jc w:val="center"/>
              <w:rPr>
                <w:rFonts w:ascii="宋体" w:hAnsi="宋体" w:cs="宋体"/>
                <w:kern w:val="2"/>
                <w:sz w:val="21"/>
                <w:szCs w:val="21"/>
              </w:rPr>
            </w:pPr>
            <w:r>
              <w:rPr>
                <w:rFonts w:hint="eastAsia" w:ascii="宋体" w:hAnsi="宋体" w:cs="宋体"/>
                <w:w w:val="99"/>
                <w:kern w:val="2"/>
                <w:sz w:val="21"/>
                <w:szCs w:val="21"/>
              </w:rPr>
              <w:t>房间空气调节器</w:t>
            </w:r>
          </w:p>
        </w:tc>
        <w:tc>
          <w:tcPr>
            <w:tcW w:w="4347" w:type="dxa"/>
            <w:tcBorders>
              <w:top w:val="single" w:color="000000" w:sz="4" w:space="0"/>
              <w:left w:val="single" w:color="000000" w:sz="4" w:space="0"/>
              <w:bottom w:val="single" w:color="000000" w:sz="4" w:space="0"/>
              <w:right w:val="single" w:color="000000" w:sz="4" w:space="0"/>
            </w:tcBorders>
          </w:tcPr>
          <w:p w14:paraId="7D48659E">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《房间空气调节器能效限定值及能效等级》（GB21455-2019）</w:t>
            </w:r>
          </w:p>
        </w:tc>
      </w:tr>
      <w:tr w14:paraId="3003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8C9F8C5">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EC5711F">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999F115">
            <w:pPr>
              <w:widowControl/>
              <w:jc w:val="left"/>
              <w:rPr>
                <w:rFonts w:ascii="宋体" w:hAnsi="宋体" w:cs="宋体"/>
                <w:szCs w:val="21"/>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20CF9D05">
            <w:pPr>
              <w:pStyle w:val="81"/>
              <w:spacing w:before="4" w:line="276" w:lineRule="auto"/>
              <w:ind w:left="7" w:right="7"/>
              <w:jc w:val="center"/>
              <w:rPr>
                <w:rFonts w:ascii="宋体" w:hAnsi="宋体" w:cs="宋体"/>
                <w:kern w:val="2"/>
                <w:sz w:val="21"/>
                <w:szCs w:val="21"/>
                <w:lang w:eastAsia="zh-CN"/>
              </w:rPr>
            </w:pPr>
            <w:r>
              <w:rPr>
                <w:rFonts w:hint="eastAsia" w:ascii="宋体" w:hAnsi="宋体" w:cs="宋体"/>
                <w:w w:val="99"/>
                <w:kern w:val="2"/>
                <w:sz w:val="21"/>
                <w:szCs w:val="21"/>
                <w:lang w:eastAsia="zh-CN"/>
              </w:rPr>
              <w:t>多联式空调（热泵）机组（制冷量≤ 14000W）</w:t>
            </w:r>
          </w:p>
        </w:tc>
        <w:tc>
          <w:tcPr>
            <w:tcW w:w="4347" w:type="dxa"/>
            <w:tcBorders>
              <w:top w:val="single" w:color="000000" w:sz="4" w:space="0"/>
              <w:left w:val="single" w:color="000000" w:sz="4" w:space="0"/>
              <w:bottom w:val="single" w:color="000000" w:sz="4" w:space="0"/>
              <w:right w:val="single" w:color="000000" w:sz="4" w:space="0"/>
            </w:tcBorders>
          </w:tcPr>
          <w:p w14:paraId="234F7235">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《多联式空调（热泵）机组能效限定值及能源效率等级》（GB21454）</w:t>
            </w:r>
          </w:p>
        </w:tc>
      </w:tr>
      <w:tr w14:paraId="3688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6CD5FB6">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DCACD28">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4C4031B">
            <w:pPr>
              <w:widowControl/>
              <w:jc w:val="left"/>
              <w:rPr>
                <w:rFonts w:ascii="宋体" w:hAnsi="宋体" w:cs="宋体"/>
                <w:szCs w:val="21"/>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4EF8D4A7">
            <w:pPr>
              <w:pStyle w:val="81"/>
              <w:jc w:val="center"/>
              <w:rPr>
                <w:rFonts w:ascii="宋体" w:hAnsi="宋体" w:cs="宋体"/>
                <w:kern w:val="2"/>
                <w:sz w:val="21"/>
                <w:szCs w:val="21"/>
                <w:lang w:eastAsia="zh-CN"/>
              </w:rPr>
            </w:pPr>
            <w:r>
              <w:rPr>
                <w:rFonts w:hint="eastAsia" w:ascii="宋体" w:hAnsi="宋体" w:cs="宋体"/>
                <w:w w:val="99"/>
                <w:kern w:val="2"/>
                <w:sz w:val="21"/>
                <w:szCs w:val="21"/>
                <w:lang w:eastAsia="zh-CN"/>
              </w:rPr>
              <w:t>单元式空气调节机（制冷量≤ 14000W）</w:t>
            </w:r>
          </w:p>
        </w:tc>
        <w:tc>
          <w:tcPr>
            <w:tcW w:w="4347" w:type="dxa"/>
            <w:tcBorders>
              <w:top w:val="single" w:color="000000" w:sz="4" w:space="0"/>
              <w:left w:val="single" w:color="000000" w:sz="4" w:space="0"/>
              <w:bottom w:val="single" w:color="000000" w:sz="4" w:space="0"/>
              <w:right w:val="single" w:color="000000" w:sz="4" w:space="0"/>
            </w:tcBorders>
          </w:tcPr>
          <w:p w14:paraId="0B0211AE">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《单元式空气调节机能效限定值及能源效率等级》（GB19576）《风管送风式空调机组能效限定值及能效等级》（GB37479）</w:t>
            </w:r>
          </w:p>
        </w:tc>
      </w:tr>
      <w:tr w14:paraId="7DCD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C2F1202">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BAF1D8">
            <w:pPr>
              <w:widowControl/>
              <w:jc w:val="left"/>
              <w:rPr>
                <w:rFonts w:ascii="宋体" w:hAnsi="宋体" w:cs="宋体"/>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464A143">
            <w:pPr>
              <w:pStyle w:val="81"/>
              <w:spacing w:before="162"/>
              <w:ind w:left="7"/>
              <w:jc w:val="center"/>
              <w:rPr>
                <w:rFonts w:ascii="宋体" w:hAnsi="宋体" w:cs="宋体"/>
                <w:kern w:val="2"/>
                <w:sz w:val="21"/>
                <w:szCs w:val="21"/>
              </w:rPr>
            </w:pPr>
            <w:r>
              <w:rPr>
                <w:rFonts w:hint="eastAsia" w:ascii="宋体" w:hAnsi="宋体" w:cs="仿宋_GB2312"/>
                <w:kern w:val="2"/>
                <w:sz w:val="21"/>
                <w:szCs w:val="21"/>
              </w:rPr>
              <w:t>A02061810</w:t>
            </w:r>
            <w:r>
              <w:rPr>
                <w:rFonts w:hint="eastAsia" w:ascii="宋体" w:hAnsi="宋体" w:cs="宋体"/>
                <w:w w:val="99"/>
                <w:kern w:val="2"/>
                <w:sz w:val="21"/>
                <w:szCs w:val="21"/>
              </w:rPr>
              <w:t>洗衣机</w:t>
            </w:r>
          </w:p>
        </w:tc>
        <w:tc>
          <w:tcPr>
            <w:tcW w:w="1638" w:type="dxa"/>
            <w:tcBorders>
              <w:top w:val="single" w:color="000000" w:sz="4" w:space="0"/>
              <w:left w:val="single" w:color="000000" w:sz="4" w:space="0"/>
              <w:bottom w:val="single" w:color="000000" w:sz="4" w:space="0"/>
              <w:right w:val="single" w:color="000000" w:sz="4" w:space="0"/>
            </w:tcBorders>
            <w:vAlign w:val="center"/>
          </w:tcPr>
          <w:p w14:paraId="7B5CE8A1">
            <w:pPr>
              <w:jc w:val="center"/>
              <w:rPr>
                <w:rFonts w:ascii="宋体" w:hAnsi="宋体"/>
                <w:szCs w:val="21"/>
              </w:rPr>
            </w:pPr>
          </w:p>
        </w:tc>
        <w:tc>
          <w:tcPr>
            <w:tcW w:w="4347" w:type="dxa"/>
            <w:tcBorders>
              <w:top w:val="single" w:color="000000" w:sz="4" w:space="0"/>
              <w:left w:val="single" w:color="000000" w:sz="4" w:space="0"/>
              <w:bottom w:val="single" w:color="000000" w:sz="4" w:space="0"/>
              <w:right w:val="single" w:color="000000" w:sz="4" w:space="0"/>
            </w:tcBorders>
          </w:tcPr>
          <w:p w14:paraId="2A3BE503">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《电动洗衣机能效水效限定值及等级》（GB12021.4）</w:t>
            </w:r>
          </w:p>
        </w:tc>
      </w:tr>
      <w:tr w14:paraId="6F15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4BA813">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AF489D8">
            <w:pPr>
              <w:widowControl/>
              <w:jc w:val="left"/>
              <w:rPr>
                <w:rFonts w:ascii="宋体" w:hAnsi="宋体" w:cs="宋体"/>
                <w:szCs w:val="21"/>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48F2A6EE">
            <w:pPr>
              <w:pStyle w:val="81"/>
              <w:spacing w:before="161"/>
              <w:jc w:val="center"/>
              <w:rPr>
                <w:rFonts w:ascii="宋体" w:hAnsi="宋体" w:cs="宋体"/>
                <w:kern w:val="2"/>
                <w:sz w:val="21"/>
                <w:szCs w:val="21"/>
              </w:rPr>
            </w:pPr>
            <w:r>
              <w:rPr>
                <w:rFonts w:hint="eastAsia" w:ascii="宋体" w:hAnsi="宋体" w:cs="仿宋_GB2312"/>
                <w:kern w:val="2"/>
                <w:sz w:val="21"/>
                <w:szCs w:val="21"/>
              </w:rPr>
              <w:t>A02061819</w:t>
            </w:r>
            <w:r>
              <w:rPr>
                <w:rFonts w:hint="eastAsia" w:ascii="宋体" w:hAnsi="宋体" w:cs="宋体"/>
                <w:w w:val="99"/>
                <w:kern w:val="2"/>
                <w:sz w:val="21"/>
                <w:szCs w:val="21"/>
              </w:rPr>
              <w:t>热水器</w:t>
            </w:r>
          </w:p>
        </w:tc>
        <w:tc>
          <w:tcPr>
            <w:tcW w:w="1638" w:type="dxa"/>
            <w:tcBorders>
              <w:top w:val="single" w:color="000000" w:sz="4" w:space="0"/>
              <w:left w:val="single" w:color="000000" w:sz="4" w:space="0"/>
              <w:bottom w:val="single" w:color="000000" w:sz="4" w:space="0"/>
              <w:right w:val="single" w:color="000000" w:sz="4" w:space="0"/>
            </w:tcBorders>
            <w:vAlign w:val="center"/>
          </w:tcPr>
          <w:p w14:paraId="73B4F5FC">
            <w:pPr>
              <w:pStyle w:val="81"/>
              <w:jc w:val="center"/>
              <w:rPr>
                <w:rFonts w:ascii="宋体" w:hAnsi="宋体" w:cs="宋体"/>
                <w:kern w:val="2"/>
                <w:sz w:val="21"/>
                <w:szCs w:val="21"/>
              </w:rPr>
            </w:pPr>
            <w:r>
              <w:rPr>
                <w:rFonts w:hint="eastAsia" w:ascii="宋体" w:hAnsi="宋体" w:cs="宋体"/>
                <w:w w:val="99"/>
                <w:kern w:val="2"/>
                <w:sz w:val="21"/>
                <w:szCs w:val="21"/>
              </w:rPr>
              <w:t>★电热</w:t>
            </w:r>
            <w:r>
              <w:rPr>
                <w:rFonts w:hint="eastAsia" w:ascii="宋体" w:hAnsi="宋体" w:cs="宋体"/>
                <w:spacing w:val="2"/>
                <w:w w:val="99"/>
                <w:kern w:val="2"/>
                <w:sz w:val="21"/>
                <w:szCs w:val="21"/>
              </w:rPr>
              <w:t>水</w:t>
            </w:r>
            <w:r>
              <w:rPr>
                <w:rFonts w:hint="eastAsia" w:ascii="宋体" w:hAnsi="宋体" w:cs="宋体"/>
                <w:w w:val="99"/>
                <w:kern w:val="2"/>
                <w:sz w:val="21"/>
                <w:szCs w:val="21"/>
              </w:rPr>
              <w:t>器</w:t>
            </w:r>
          </w:p>
        </w:tc>
        <w:tc>
          <w:tcPr>
            <w:tcW w:w="4347" w:type="dxa"/>
            <w:tcBorders>
              <w:top w:val="single" w:color="000000" w:sz="4" w:space="0"/>
              <w:left w:val="single" w:color="000000" w:sz="4" w:space="0"/>
              <w:bottom w:val="single" w:color="000000" w:sz="4" w:space="0"/>
              <w:right w:val="single" w:color="000000" w:sz="4" w:space="0"/>
            </w:tcBorders>
          </w:tcPr>
          <w:p w14:paraId="10663865">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《储水式电热水器能效限定值及能效等级》（GB21519）</w:t>
            </w:r>
          </w:p>
        </w:tc>
      </w:tr>
      <w:tr w14:paraId="3674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CCC7F45">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7FAD5DA">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D8AD34E">
            <w:pPr>
              <w:widowControl/>
              <w:jc w:val="left"/>
              <w:rPr>
                <w:rFonts w:ascii="宋体" w:hAnsi="宋体" w:cs="宋体"/>
                <w:szCs w:val="21"/>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6139085D">
            <w:pPr>
              <w:pStyle w:val="81"/>
              <w:jc w:val="center"/>
              <w:rPr>
                <w:rFonts w:ascii="宋体" w:hAnsi="宋体" w:cs="宋体"/>
                <w:kern w:val="2"/>
                <w:sz w:val="21"/>
                <w:szCs w:val="21"/>
              </w:rPr>
            </w:pPr>
            <w:r>
              <w:rPr>
                <w:rFonts w:hint="eastAsia" w:ascii="宋体" w:hAnsi="宋体" w:cs="宋体"/>
                <w:w w:val="99"/>
                <w:kern w:val="2"/>
                <w:sz w:val="21"/>
                <w:szCs w:val="21"/>
              </w:rPr>
              <w:t>燃气热</w:t>
            </w:r>
            <w:r>
              <w:rPr>
                <w:rFonts w:hint="eastAsia" w:ascii="宋体" w:hAnsi="宋体" w:cs="宋体"/>
                <w:spacing w:val="2"/>
                <w:w w:val="99"/>
                <w:kern w:val="2"/>
                <w:sz w:val="21"/>
                <w:szCs w:val="21"/>
              </w:rPr>
              <w:t>水</w:t>
            </w:r>
            <w:r>
              <w:rPr>
                <w:rFonts w:hint="eastAsia" w:ascii="宋体" w:hAnsi="宋体" w:cs="宋体"/>
                <w:w w:val="99"/>
                <w:kern w:val="2"/>
                <w:sz w:val="21"/>
                <w:szCs w:val="21"/>
              </w:rPr>
              <w:t>器</w:t>
            </w:r>
          </w:p>
        </w:tc>
        <w:tc>
          <w:tcPr>
            <w:tcW w:w="4347" w:type="dxa"/>
            <w:tcBorders>
              <w:top w:val="single" w:color="000000" w:sz="4" w:space="0"/>
              <w:left w:val="single" w:color="000000" w:sz="4" w:space="0"/>
              <w:bottom w:val="single" w:color="000000" w:sz="4" w:space="0"/>
              <w:right w:val="single" w:color="000000" w:sz="4" w:space="0"/>
            </w:tcBorders>
          </w:tcPr>
          <w:p w14:paraId="1C144125">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《家用燃气快速热水器和燃气采暖热水炉能效限定值及能效等级》（GB20665）</w:t>
            </w:r>
          </w:p>
        </w:tc>
      </w:tr>
      <w:tr w14:paraId="467A6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EEEBA41">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8CF9451">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69B51FE">
            <w:pPr>
              <w:widowControl/>
              <w:jc w:val="left"/>
              <w:rPr>
                <w:rFonts w:ascii="宋体" w:hAnsi="宋体" w:cs="宋体"/>
                <w:szCs w:val="21"/>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5EB07145">
            <w:pPr>
              <w:pStyle w:val="81"/>
              <w:jc w:val="center"/>
              <w:rPr>
                <w:rFonts w:ascii="宋体" w:hAnsi="宋体" w:cs="宋体"/>
                <w:kern w:val="2"/>
                <w:sz w:val="21"/>
                <w:szCs w:val="21"/>
              </w:rPr>
            </w:pPr>
            <w:r>
              <w:rPr>
                <w:rFonts w:hint="eastAsia" w:ascii="宋体" w:hAnsi="宋体" w:cs="宋体"/>
                <w:w w:val="99"/>
                <w:kern w:val="2"/>
                <w:sz w:val="21"/>
                <w:szCs w:val="21"/>
              </w:rPr>
              <w:t>热泵热</w:t>
            </w:r>
            <w:r>
              <w:rPr>
                <w:rFonts w:hint="eastAsia" w:ascii="宋体" w:hAnsi="宋体" w:cs="宋体"/>
                <w:spacing w:val="2"/>
                <w:w w:val="99"/>
                <w:kern w:val="2"/>
                <w:sz w:val="21"/>
                <w:szCs w:val="21"/>
              </w:rPr>
              <w:t>水</w:t>
            </w:r>
            <w:r>
              <w:rPr>
                <w:rFonts w:hint="eastAsia" w:ascii="宋体" w:hAnsi="宋体" w:cs="宋体"/>
                <w:w w:val="99"/>
                <w:kern w:val="2"/>
                <w:sz w:val="21"/>
                <w:szCs w:val="21"/>
              </w:rPr>
              <w:t>器</w:t>
            </w:r>
          </w:p>
        </w:tc>
        <w:tc>
          <w:tcPr>
            <w:tcW w:w="4347" w:type="dxa"/>
            <w:tcBorders>
              <w:top w:val="single" w:color="000000" w:sz="4" w:space="0"/>
              <w:left w:val="single" w:color="000000" w:sz="4" w:space="0"/>
              <w:bottom w:val="single" w:color="000000" w:sz="4" w:space="0"/>
              <w:right w:val="single" w:color="000000" w:sz="4" w:space="0"/>
            </w:tcBorders>
          </w:tcPr>
          <w:p w14:paraId="3DB3FF11">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《热泵热水机（器）能效限定值及能效等级》（GB29541）</w:t>
            </w:r>
          </w:p>
        </w:tc>
      </w:tr>
      <w:tr w14:paraId="20F8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C5F32A7">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DB0C417">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EF44E84">
            <w:pPr>
              <w:widowControl/>
              <w:jc w:val="left"/>
              <w:rPr>
                <w:rFonts w:ascii="宋体" w:hAnsi="宋体" w:cs="宋体"/>
                <w:szCs w:val="21"/>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3CF50561">
            <w:pPr>
              <w:pStyle w:val="81"/>
              <w:jc w:val="center"/>
              <w:rPr>
                <w:rFonts w:ascii="宋体" w:hAnsi="宋体" w:cs="宋体"/>
                <w:kern w:val="2"/>
                <w:sz w:val="21"/>
                <w:szCs w:val="21"/>
              </w:rPr>
            </w:pPr>
            <w:r>
              <w:rPr>
                <w:rFonts w:hint="eastAsia" w:ascii="宋体" w:hAnsi="宋体" w:cs="宋体"/>
                <w:w w:val="99"/>
                <w:kern w:val="2"/>
                <w:sz w:val="21"/>
                <w:szCs w:val="21"/>
              </w:rPr>
              <w:t>太阳能</w:t>
            </w:r>
            <w:r>
              <w:rPr>
                <w:rFonts w:hint="eastAsia" w:ascii="宋体" w:hAnsi="宋体" w:cs="宋体"/>
                <w:spacing w:val="2"/>
                <w:w w:val="99"/>
                <w:kern w:val="2"/>
                <w:sz w:val="21"/>
                <w:szCs w:val="21"/>
              </w:rPr>
              <w:t>热</w:t>
            </w:r>
            <w:r>
              <w:rPr>
                <w:rFonts w:hint="eastAsia" w:ascii="宋体" w:hAnsi="宋体" w:cs="宋体"/>
                <w:w w:val="99"/>
                <w:kern w:val="2"/>
                <w:sz w:val="21"/>
                <w:szCs w:val="21"/>
              </w:rPr>
              <w:t>水系统</w:t>
            </w:r>
          </w:p>
        </w:tc>
        <w:tc>
          <w:tcPr>
            <w:tcW w:w="4347" w:type="dxa"/>
            <w:tcBorders>
              <w:top w:val="single" w:color="000000" w:sz="4" w:space="0"/>
              <w:left w:val="single" w:color="000000" w:sz="4" w:space="0"/>
              <w:bottom w:val="single" w:color="000000" w:sz="4" w:space="0"/>
              <w:right w:val="single" w:color="000000" w:sz="4" w:space="0"/>
            </w:tcBorders>
          </w:tcPr>
          <w:p w14:paraId="3892A8C3">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《家用太阳能热水系统能效限定值及能效等级》（GB26969）</w:t>
            </w:r>
          </w:p>
        </w:tc>
      </w:tr>
      <w:tr w14:paraId="6BB2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506D22B1">
            <w:pPr>
              <w:pStyle w:val="81"/>
              <w:jc w:val="center"/>
              <w:rPr>
                <w:rFonts w:ascii="宋体" w:hAnsi="宋体" w:cs="宋体"/>
                <w:kern w:val="2"/>
                <w:sz w:val="21"/>
                <w:szCs w:val="21"/>
              </w:rPr>
            </w:pPr>
            <w:r>
              <w:rPr>
                <w:rFonts w:hint="eastAsia" w:ascii="宋体" w:hAnsi="宋体"/>
                <w:spacing w:val="1"/>
                <w:w w:val="99"/>
                <w:kern w:val="2"/>
                <w:sz w:val="21"/>
                <w:szCs w:val="21"/>
              </w:rPr>
              <w:t>1</w:t>
            </w:r>
            <w:r>
              <w:rPr>
                <w:rFonts w:hint="eastAsia" w:ascii="宋体" w:hAnsi="宋体"/>
                <w:w w:val="99"/>
                <w:kern w:val="2"/>
                <w:sz w:val="21"/>
                <w:szCs w:val="21"/>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14AFBD11">
            <w:pPr>
              <w:pStyle w:val="81"/>
              <w:spacing w:before="157"/>
              <w:jc w:val="center"/>
              <w:rPr>
                <w:rFonts w:ascii="宋体" w:hAnsi="宋体" w:cs="宋体"/>
                <w:kern w:val="2"/>
                <w:sz w:val="21"/>
                <w:szCs w:val="21"/>
              </w:rPr>
            </w:pPr>
            <w:r>
              <w:rPr>
                <w:rFonts w:hint="eastAsia" w:ascii="宋体" w:hAnsi="宋体" w:cs="宋体"/>
                <w:spacing w:val="1"/>
                <w:w w:val="99"/>
                <w:kern w:val="2"/>
                <w:sz w:val="21"/>
                <w:szCs w:val="21"/>
              </w:rPr>
              <w:t>A02</w:t>
            </w:r>
            <w:r>
              <w:rPr>
                <w:rFonts w:hint="eastAsia" w:ascii="宋体" w:hAnsi="宋体" w:cs="宋体"/>
                <w:w w:val="99"/>
                <w:kern w:val="2"/>
                <w:sz w:val="21"/>
                <w:szCs w:val="21"/>
              </w:rPr>
              <w:t>06</w:t>
            </w:r>
            <w:r>
              <w:rPr>
                <w:rFonts w:hint="eastAsia" w:ascii="宋体" w:hAnsi="宋体" w:cs="宋体"/>
                <w:spacing w:val="1"/>
                <w:w w:val="99"/>
                <w:kern w:val="2"/>
                <w:sz w:val="21"/>
                <w:szCs w:val="21"/>
              </w:rPr>
              <w:t>1</w:t>
            </w:r>
            <w:r>
              <w:rPr>
                <w:rFonts w:hint="eastAsia" w:ascii="宋体" w:hAnsi="宋体" w:cs="宋体"/>
                <w:w w:val="99"/>
                <w:kern w:val="2"/>
                <w:sz w:val="21"/>
                <w:szCs w:val="21"/>
              </w:rPr>
              <w:t>900照明设备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09131E4D">
            <w:pPr>
              <w:pStyle w:val="81"/>
              <w:spacing w:before="133" w:line="276" w:lineRule="auto"/>
              <w:ind w:left="7" w:right="7"/>
              <w:jc w:val="center"/>
              <w:rPr>
                <w:rFonts w:ascii="宋体" w:hAnsi="宋体" w:cs="宋体"/>
                <w:kern w:val="2"/>
                <w:sz w:val="21"/>
                <w:szCs w:val="21"/>
                <w:lang w:eastAsia="zh-CN"/>
              </w:rPr>
            </w:pPr>
            <w:r>
              <w:rPr>
                <w:rFonts w:hint="eastAsia" w:ascii="宋体" w:hAnsi="宋体" w:cs="宋体"/>
                <w:w w:val="99"/>
                <w:kern w:val="2"/>
                <w:sz w:val="21"/>
                <w:szCs w:val="21"/>
                <w:lang w:eastAsia="zh-CN"/>
              </w:rPr>
              <w:t>★普通照明用双端荧光灯</w:t>
            </w:r>
          </w:p>
        </w:tc>
        <w:tc>
          <w:tcPr>
            <w:tcW w:w="1638" w:type="dxa"/>
            <w:tcBorders>
              <w:top w:val="single" w:color="000000" w:sz="4" w:space="0"/>
              <w:left w:val="single" w:color="000000" w:sz="4" w:space="0"/>
              <w:bottom w:val="single" w:color="000000" w:sz="4" w:space="0"/>
              <w:right w:val="single" w:color="000000" w:sz="4" w:space="0"/>
            </w:tcBorders>
            <w:vAlign w:val="center"/>
          </w:tcPr>
          <w:p w14:paraId="7303CB76">
            <w:pPr>
              <w:jc w:val="center"/>
              <w:rPr>
                <w:rFonts w:ascii="宋体" w:hAnsi="宋体"/>
                <w:szCs w:val="21"/>
              </w:rPr>
            </w:pPr>
          </w:p>
        </w:tc>
        <w:tc>
          <w:tcPr>
            <w:tcW w:w="4347" w:type="dxa"/>
            <w:tcBorders>
              <w:top w:val="single" w:color="000000" w:sz="4" w:space="0"/>
              <w:left w:val="single" w:color="000000" w:sz="4" w:space="0"/>
              <w:bottom w:val="single" w:color="000000" w:sz="4" w:space="0"/>
              <w:right w:val="single" w:color="000000" w:sz="4" w:space="0"/>
            </w:tcBorders>
          </w:tcPr>
          <w:p w14:paraId="2E3DDC88">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《普通照明用双端荧光灯能效限定值及能效等级》（GB19043）</w:t>
            </w:r>
          </w:p>
        </w:tc>
      </w:tr>
      <w:tr w14:paraId="2CF0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3E38334">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5B45021">
            <w:pPr>
              <w:widowControl/>
              <w:jc w:val="left"/>
              <w:rPr>
                <w:rFonts w:ascii="宋体" w:hAnsi="宋体" w:cs="宋体"/>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4B6AD258">
            <w:pPr>
              <w:pStyle w:val="81"/>
              <w:spacing w:before="92" w:line="276" w:lineRule="auto"/>
              <w:ind w:left="7" w:right="2"/>
              <w:jc w:val="center"/>
              <w:rPr>
                <w:rFonts w:ascii="宋体" w:hAnsi="宋体" w:cs="宋体"/>
                <w:kern w:val="2"/>
                <w:sz w:val="21"/>
                <w:szCs w:val="21"/>
              </w:rPr>
            </w:pPr>
            <w:r>
              <w:rPr>
                <w:rFonts w:hint="eastAsia" w:ascii="宋体" w:hAnsi="宋体" w:cs="宋体"/>
                <w:spacing w:val="1"/>
                <w:w w:val="99"/>
                <w:kern w:val="2"/>
                <w:sz w:val="21"/>
                <w:szCs w:val="21"/>
              </w:rPr>
              <w:t>LE</w:t>
            </w:r>
            <w:r>
              <w:rPr>
                <w:rFonts w:hint="eastAsia" w:ascii="宋体" w:hAnsi="宋体" w:cs="宋体"/>
                <w:w w:val="99"/>
                <w:kern w:val="2"/>
                <w:sz w:val="21"/>
                <w:szCs w:val="21"/>
              </w:rPr>
              <w:t>D</w:t>
            </w:r>
            <w:r>
              <w:rPr>
                <w:rFonts w:hint="eastAsia" w:ascii="宋体" w:hAnsi="宋体" w:cs="宋体"/>
                <w:spacing w:val="12"/>
                <w:w w:val="99"/>
                <w:kern w:val="2"/>
                <w:sz w:val="21"/>
                <w:szCs w:val="21"/>
              </w:rPr>
              <w:t>道</w:t>
            </w:r>
            <w:r>
              <w:rPr>
                <w:rFonts w:hint="eastAsia" w:ascii="宋体" w:hAnsi="宋体" w:cs="宋体"/>
                <w:spacing w:val="9"/>
                <w:w w:val="99"/>
                <w:kern w:val="2"/>
                <w:sz w:val="21"/>
                <w:szCs w:val="21"/>
              </w:rPr>
              <w:t>路</w:t>
            </w:r>
            <w:r>
              <w:rPr>
                <w:rFonts w:hint="eastAsia" w:ascii="宋体" w:hAnsi="宋体" w:cs="宋体"/>
                <w:spacing w:val="13"/>
                <w:w w:val="99"/>
                <w:kern w:val="2"/>
                <w:sz w:val="21"/>
                <w:szCs w:val="21"/>
              </w:rPr>
              <w:t>/</w:t>
            </w:r>
            <w:r>
              <w:rPr>
                <w:rFonts w:hint="eastAsia" w:ascii="宋体" w:hAnsi="宋体" w:cs="宋体"/>
                <w:spacing w:val="12"/>
                <w:w w:val="99"/>
                <w:kern w:val="2"/>
                <w:sz w:val="21"/>
                <w:szCs w:val="21"/>
              </w:rPr>
              <w:t>隧道照</w:t>
            </w:r>
            <w:r>
              <w:rPr>
                <w:rFonts w:hint="eastAsia" w:ascii="宋体" w:hAnsi="宋体" w:cs="宋体"/>
                <w:w w:val="99"/>
                <w:kern w:val="2"/>
                <w:sz w:val="21"/>
                <w:szCs w:val="21"/>
              </w:rPr>
              <w:t>明产品</w:t>
            </w:r>
          </w:p>
        </w:tc>
        <w:tc>
          <w:tcPr>
            <w:tcW w:w="1638" w:type="dxa"/>
            <w:tcBorders>
              <w:top w:val="single" w:color="000000" w:sz="4" w:space="0"/>
              <w:left w:val="single" w:color="000000" w:sz="4" w:space="0"/>
              <w:bottom w:val="single" w:color="000000" w:sz="4" w:space="0"/>
              <w:right w:val="single" w:color="000000" w:sz="4" w:space="0"/>
            </w:tcBorders>
            <w:vAlign w:val="center"/>
          </w:tcPr>
          <w:p w14:paraId="179867A2">
            <w:pPr>
              <w:jc w:val="center"/>
              <w:rPr>
                <w:rFonts w:ascii="宋体" w:hAnsi="宋体"/>
                <w:szCs w:val="21"/>
              </w:rPr>
            </w:pPr>
          </w:p>
        </w:tc>
        <w:tc>
          <w:tcPr>
            <w:tcW w:w="4347" w:type="dxa"/>
            <w:tcBorders>
              <w:top w:val="single" w:color="000000" w:sz="4" w:space="0"/>
              <w:left w:val="single" w:color="000000" w:sz="4" w:space="0"/>
              <w:bottom w:val="single" w:color="000000" w:sz="4" w:space="0"/>
              <w:right w:val="single" w:color="000000" w:sz="4" w:space="0"/>
            </w:tcBorders>
          </w:tcPr>
          <w:p w14:paraId="109AE6E9">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《道路和隧道照明用LED灯具能效限定值及能效等级》（GB37478）</w:t>
            </w:r>
          </w:p>
        </w:tc>
      </w:tr>
      <w:tr w14:paraId="3DB3F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0A691C4">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AFA54DB">
            <w:pPr>
              <w:widowControl/>
              <w:jc w:val="left"/>
              <w:rPr>
                <w:rFonts w:ascii="宋体" w:hAnsi="宋体" w:cs="宋体"/>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BB13801">
            <w:pPr>
              <w:pStyle w:val="81"/>
              <w:jc w:val="center"/>
              <w:rPr>
                <w:rFonts w:ascii="宋体" w:hAnsi="宋体" w:cs="宋体"/>
                <w:kern w:val="2"/>
                <w:sz w:val="21"/>
                <w:szCs w:val="21"/>
              </w:rPr>
            </w:pPr>
            <w:r>
              <w:rPr>
                <w:rFonts w:hint="eastAsia" w:ascii="宋体" w:hAnsi="宋体" w:cs="宋体"/>
                <w:spacing w:val="1"/>
                <w:w w:val="99"/>
                <w:kern w:val="2"/>
                <w:sz w:val="21"/>
                <w:szCs w:val="21"/>
              </w:rPr>
              <w:t>LE</w:t>
            </w:r>
            <w:r>
              <w:rPr>
                <w:rFonts w:hint="eastAsia" w:ascii="宋体" w:hAnsi="宋体" w:cs="宋体"/>
                <w:w w:val="99"/>
                <w:kern w:val="2"/>
                <w:sz w:val="21"/>
                <w:szCs w:val="21"/>
              </w:rPr>
              <w:t>D筒灯</w:t>
            </w:r>
          </w:p>
        </w:tc>
        <w:tc>
          <w:tcPr>
            <w:tcW w:w="1638" w:type="dxa"/>
            <w:tcBorders>
              <w:top w:val="single" w:color="000000" w:sz="4" w:space="0"/>
              <w:left w:val="single" w:color="000000" w:sz="4" w:space="0"/>
              <w:bottom w:val="single" w:color="000000" w:sz="4" w:space="0"/>
              <w:right w:val="single" w:color="000000" w:sz="4" w:space="0"/>
            </w:tcBorders>
            <w:vAlign w:val="center"/>
          </w:tcPr>
          <w:p w14:paraId="2BC8276F">
            <w:pPr>
              <w:jc w:val="center"/>
              <w:rPr>
                <w:rFonts w:ascii="宋体" w:hAnsi="宋体"/>
                <w:szCs w:val="21"/>
              </w:rPr>
            </w:pPr>
          </w:p>
        </w:tc>
        <w:tc>
          <w:tcPr>
            <w:tcW w:w="4347" w:type="dxa"/>
            <w:tcBorders>
              <w:top w:val="single" w:color="000000" w:sz="4" w:space="0"/>
              <w:left w:val="single" w:color="000000" w:sz="4" w:space="0"/>
              <w:bottom w:val="single" w:color="000000" w:sz="4" w:space="0"/>
              <w:right w:val="single" w:color="000000" w:sz="4" w:space="0"/>
            </w:tcBorders>
          </w:tcPr>
          <w:p w14:paraId="7C79B60F">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《室内照明用LED产品能效限定值及能效等级》（GB30255）</w:t>
            </w:r>
          </w:p>
        </w:tc>
      </w:tr>
      <w:tr w14:paraId="604E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ADD84D0">
            <w:pPr>
              <w:widowControl/>
              <w:jc w:val="left"/>
              <w:rPr>
                <w:rFonts w:ascii="宋体" w:hAnsi="宋体" w:cs="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51BDB97">
            <w:pPr>
              <w:widowControl/>
              <w:jc w:val="left"/>
              <w:rPr>
                <w:rFonts w:ascii="宋体" w:hAnsi="宋体" w:cs="宋体"/>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10FF2221">
            <w:pPr>
              <w:pStyle w:val="81"/>
              <w:spacing w:line="276" w:lineRule="auto"/>
              <w:ind w:right="7"/>
              <w:jc w:val="center"/>
              <w:rPr>
                <w:rFonts w:ascii="宋体" w:hAnsi="宋体" w:cs="宋体"/>
                <w:kern w:val="2"/>
                <w:sz w:val="21"/>
                <w:szCs w:val="21"/>
                <w:lang w:eastAsia="zh-CN"/>
              </w:rPr>
            </w:pPr>
            <w:r>
              <w:rPr>
                <w:rFonts w:hint="eastAsia" w:ascii="宋体" w:hAnsi="宋体" w:cs="宋体"/>
                <w:w w:val="99"/>
                <w:kern w:val="2"/>
                <w:sz w:val="21"/>
                <w:szCs w:val="21"/>
                <w:lang w:eastAsia="zh-CN"/>
              </w:rPr>
              <w:t>普</w:t>
            </w:r>
            <w:r>
              <w:rPr>
                <w:rFonts w:hint="eastAsia" w:ascii="宋体" w:hAnsi="宋体" w:cs="宋体"/>
                <w:spacing w:val="24"/>
                <w:w w:val="99"/>
                <w:kern w:val="2"/>
                <w:sz w:val="21"/>
                <w:szCs w:val="21"/>
                <w:lang w:eastAsia="zh-CN"/>
              </w:rPr>
              <w:t>通</w:t>
            </w:r>
            <w:r>
              <w:rPr>
                <w:rFonts w:hint="eastAsia" w:ascii="宋体" w:hAnsi="宋体" w:cs="宋体"/>
                <w:w w:val="99"/>
                <w:kern w:val="2"/>
                <w:sz w:val="21"/>
                <w:szCs w:val="21"/>
                <w:lang w:eastAsia="zh-CN"/>
              </w:rPr>
              <w:t>照明用非</w:t>
            </w:r>
            <w:r>
              <w:rPr>
                <w:rFonts w:hint="eastAsia" w:ascii="宋体" w:hAnsi="宋体" w:cs="宋体"/>
                <w:spacing w:val="24"/>
                <w:w w:val="99"/>
                <w:kern w:val="2"/>
                <w:sz w:val="21"/>
                <w:szCs w:val="21"/>
                <w:lang w:eastAsia="zh-CN"/>
              </w:rPr>
              <w:t>定</w:t>
            </w:r>
            <w:r>
              <w:rPr>
                <w:rFonts w:hint="eastAsia" w:ascii="宋体" w:hAnsi="宋体" w:cs="宋体"/>
                <w:w w:val="99"/>
                <w:kern w:val="2"/>
                <w:sz w:val="21"/>
                <w:szCs w:val="21"/>
                <w:lang w:eastAsia="zh-CN"/>
              </w:rPr>
              <w:t>向自镇流</w:t>
            </w:r>
            <w:r>
              <w:rPr>
                <w:rFonts w:hint="eastAsia" w:ascii="宋体" w:hAnsi="宋体" w:cs="宋体"/>
                <w:spacing w:val="1"/>
                <w:w w:val="99"/>
                <w:kern w:val="2"/>
                <w:sz w:val="21"/>
                <w:szCs w:val="21"/>
                <w:lang w:eastAsia="zh-CN"/>
              </w:rPr>
              <w:t>LE</w:t>
            </w:r>
            <w:r>
              <w:rPr>
                <w:rFonts w:hint="eastAsia" w:ascii="宋体" w:hAnsi="宋体" w:cs="宋体"/>
                <w:w w:val="99"/>
                <w:kern w:val="2"/>
                <w:sz w:val="21"/>
                <w:szCs w:val="21"/>
                <w:lang w:eastAsia="zh-CN"/>
              </w:rPr>
              <w:t>D灯</w:t>
            </w:r>
          </w:p>
        </w:tc>
        <w:tc>
          <w:tcPr>
            <w:tcW w:w="1638" w:type="dxa"/>
            <w:tcBorders>
              <w:top w:val="single" w:color="000000" w:sz="4" w:space="0"/>
              <w:left w:val="single" w:color="000000" w:sz="4" w:space="0"/>
              <w:bottom w:val="single" w:color="000000" w:sz="4" w:space="0"/>
              <w:right w:val="single" w:color="000000" w:sz="4" w:space="0"/>
            </w:tcBorders>
            <w:vAlign w:val="center"/>
          </w:tcPr>
          <w:p w14:paraId="65B527F1">
            <w:pPr>
              <w:jc w:val="center"/>
              <w:rPr>
                <w:rFonts w:ascii="宋体" w:hAnsi="宋体"/>
                <w:szCs w:val="21"/>
              </w:rPr>
            </w:pPr>
          </w:p>
        </w:tc>
        <w:tc>
          <w:tcPr>
            <w:tcW w:w="4347" w:type="dxa"/>
            <w:tcBorders>
              <w:top w:val="single" w:color="000000" w:sz="4" w:space="0"/>
              <w:left w:val="single" w:color="000000" w:sz="4" w:space="0"/>
              <w:bottom w:val="single" w:color="000000" w:sz="4" w:space="0"/>
              <w:right w:val="single" w:color="000000" w:sz="4" w:space="0"/>
            </w:tcBorders>
          </w:tcPr>
          <w:p w14:paraId="52212749">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《室内照明用LED产品能效限定值及能效等级》（GB30255）</w:t>
            </w:r>
          </w:p>
        </w:tc>
      </w:tr>
      <w:tr w14:paraId="3520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3E46B5D">
            <w:pPr>
              <w:pStyle w:val="81"/>
              <w:jc w:val="center"/>
              <w:rPr>
                <w:rFonts w:ascii="宋体" w:hAnsi="宋体" w:cs="宋体"/>
                <w:kern w:val="2"/>
                <w:sz w:val="21"/>
                <w:szCs w:val="21"/>
              </w:rPr>
            </w:pPr>
            <w:r>
              <w:rPr>
                <w:rFonts w:hint="eastAsia" w:ascii="宋体" w:hAnsi="宋体"/>
                <w:spacing w:val="1"/>
                <w:w w:val="99"/>
                <w:kern w:val="2"/>
                <w:sz w:val="21"/>
                <w:szCs w:val="21"/>
              </w:rPr>
              <w:t>1</w:t>
            </w:r>
            <w:r>
              <w:rPr>
                <w:rFonts w:hint="eastAsia" w:ascii="宋体" w:hAnsi="宋体"/>
                <w:w w:val="99"/>
                <w:kern w:val="2"/>
                <w:sz w:val="21"/>
                <w:szCs w:val="21"/>
              </w:rPr>
              <w:t>2</w:t>
            </w:r>
          </w:p>
        </w:tc>
        <w:tc>
          <w:tcPr>
            <w:tcW w:w="1422" w:type="dxa"/>
            <w:tcBorders>
              <w:top w:val="single" w:color="000000" w:sz="4" w:space="0"/>
              <w:left w:val="single" w:color="000000" w:sz="4" w:space="0"/>
              <w:bottom w:val="single" w:color="000000" w:sz="4" w:space="0"/>
              <w:right w:val="single" w:color="000000" w:sz="4" w:space="0"/>
            </w:tcBorders>
            <w:vAlign w:val="center"/>
          </w:tcPr>
          <w:p w14:paraId="715FF1E0">
            <w:pPr>
              <w:pStyle w:val="81"/>
              <w:spacing w:before="81"/>
              <w:ind w:left="7"/>
              <w:jc w:val="center"/>
              <w:rPr>
                <w:rFonts w:ascii="宋体" w:hAnsi="宋体" w:cs="宋体"/>
                <w:kern w:val="2"/>
                <w:sz w:val="21"/>
                <w:szCs w:val="21"/>
              </w:rPr>
            </w:pPr>
            <w:r>
              <w:rPr>
                <w:rFonts w:hint="eastAsia" w:ascii="宋体" w:hAnsi="宋体" w:cs="宋体"/>
                <w:w w:val="99"/>
                <w:kern w:val="2"/>
                <w:sz w:val="21"/>
                <w:szCs w:val="21"/>
              </w:rPr>
              <w:t>★</w:t>
            </w:r>
            <w:r>
              <w:rPr>
                <w:rFonts w:hint="eastAsia" w:ascii="宋体" w:hAnsi="宋体" w:cs="宋体"/>
                <w:spacing w:val="1"/>
                <w:w w:val="99"/>
                <w:kern w:val="2"/>
                <w:sz w:val="21"/>
                <w:szCs w:val="21"/>
              </w:rPr>
              <w:t>A020</w:t>
            </w:r>
            <w:r>
              <w:rPr>
                <w:rFonts w:hint="eastAsia" w:ascii="宋体" w:hAnsi="宋体" w:cs="宋体"/>
                <w:w w:val="99"/>
                <w:kern w:val="2"/>
                <w:sz w:val="21"/>
                <w:szCs w:val="21"/>
              </w:rPr>
              <w:t>91000电视设备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1EE8A309">
            <w:pPr>
              <w:pStyle w:val="81"/>
              <w:spacing w:before="81" w:line="276" w:lineRule="auto"/>
              <w:ind w:left="7" w:right="5"/>
              <w:jc w:val="center"/>
              <w:rPr>
                <w:rFonts w:ascii="宋体" w:hAnsi="宋体" w:cs="宋体"/>
                <w:kern w:val="2"/>
                <w:sz w:val="21"/>
                <w:szCs w:val="21"/>
                <w:lang w:eastAsia="zh-CN"/>
              </w:rPr>
            </w:pPr>
            <w:r>
              <w:rPr>
                <w:rFonts w:hint="eastAsia" w:ascii="宋体" w:hAnsi="宋体" w:cs="宋体"/>
                <w:spacing w:val="1"/>
                <w:w w:val="99"/>
                <w:kern w:val="2"/>
                <w:sz w:val="21"/>
                <w:szCs w:val="21"/>
                <w:lang w:eastAsia="zh-CN"/>
              </w:rPr>
              <w:t>A02</w:t>
            </w:r>
            <w:r>
              <w:rPr>
                <w:rFonts w:hint="eastAsia" w:ascii="宋体" w:hAnsi="宋体" w:cs="宋体"/>
                <w:w w:val="99"/>
                <w:kern w:val="2"/>
                <w:sz w:val="21"/>
                <w:szCs w:val="21"/>
                <w:lang w:eastAsia="zh-CN"/>
              </w:rPr>
              <w:t>09</w:t>
            </w:r>
            <w:r>
              <w:rPr>
                <w:rFonts w:hint="eastAsia" w:ascii="宋体" w:hAnsi="宋体" w:cs="宋体"/>
                <w:spacing w:val="1"/>
                <w:w w:val="99"/>
                <w:kern w:val="2"/>
                <w:sz w:val="21"/>
                <w:szCs w:val="21"/>
                <w:lang w:eastAsia="zh-CN"/>
              </w:rPr>
              <w:t>1</w:t>
            </w:r>
            <w:r>
              <w:rPr>
                <w:rFonts w:hint="eastAsia" w:ascii="宋体" w:hAnsi="宋体" w:cs="宋体"/>
                <w:w w:val="99"/>
                <w:kern w:val="2"/>
                <w:sz w:val="21"/>
                <w:szCs w:val="21"/>
                <w:lang w:eastAsia="zh-CN"/>
              </w:rPr>
              <w:t>001普通电视设备（</w:t>
            </w:r>
            <w:r>
              <w:rPr>
                <w:rFonts w:hint="eastAsia" w:ascii="宋体" w:hAnsi="宋体" w:cs="宋体"/>
                <w:spacing w:val="2"/>
                <w:w w:val="99"/>
                <w:kern w:val="2"/>
                <w:sz w:val="21"/>
                <w:szCs w:val="21"/>
                <w:lang w:eastAsia="zh-CN"/>
              </w:rPr>
              <w:t>电</w:t>
            </w:r>
            <w:r>
              <w:rPr>
                <w:rFonts w:hint="eastAsia" w:ascii="宋体" w:hAnsi="宋体" w:cs="宋体"/>
                <w:w w:val="99"/>
                <w:kern w:val="2"/>
                <w:sz w:val="21"/>
                <w:szCs w:val="21"/>
                <w:lang w:eastAsia="zh-CN"/>
              </w:rPr>
              <w:t>视机）</w:t>
            </w:r>
          </w:p>
        </w:tc>
        <w:tc>
          <w:tcPr>
            <w:tcW w:w="1638" w:type="dxa"/>
            <w:tcBorders>
              <w:top w:val="single" w:color="000000" w:sz="4" w:space="0"/>
              <w:left w:val="single" w:color="000000" w:sz="4" w:space="0"/>
              <w:bottom w:val="single" w:color="000000" w:sz="4" w:space="0"/>
              <w:right w:val="single" w:color="000000" w:sz="4" w:space="0"/>
            </w:tcBorders>
            <w:vAlign w:val="center"/>
          </w:tcPr>
          <w:p w14:paraId="3EEA4875">
            <w:pPr>
              <w:jc w:val="center"/>
              <w:rPr>
                <w:rFonts w:ascii="宋体" w:hAnsi="宋体"/>
                <w:szCs w:val="21"/>
              </w:rPr>
            </w:pPr>
          </w:p>
        </w:tc>
        <w:tc>
          <w:tcPr>
            <w:tcW w:w="4347" w:type="dxa"/>
            <w:tcBorders>
              <w:top w:val="single" w:color="000000" w:sz="4" w:space="0"/>
              <w:left w:val="single" w:color="000000" w:sz="4" w:space="0"/>
              <w:bottom w:val="single" w:color="000000" w:sz="4" w:space="0"/>
              <w:right w:val="single" w:color="000000" w:sz="4" w:space="0"/>
            </w:tcBorders>
          </w:tcPr>
          <w:p w14:paraId="3EC28E54">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《平板电视能效限定值及能效等级》（GB24850）</w:t>
            </w:r>
          </w:p>
        </w:tc>
      </w:tr>
      <w:tr w14:paraId="75CE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780FD36">
            <w:pPr>
              <w:pStyle w:val="81"/>
              <w:jc w:val="center"/>
              <w:rPr>
                <w:rFonts w:ascii="宋体" w:hAnsi="宋体" w:cs="宋体"/>
                <w:kern w:val="2"/>
                <w:sz w:val="21"/>
                <w:szCs w:val="21"/>
              </w:rPr>
            </w:pPr>
            <w:r>
              <w:rPr>
                <w:rFonts w:hint="eastAsia" w:ascii="宋体" w:hAnsi="宋体"/>
                <w:spacing w:val="1"/>
                <w:w w:val="99"/>
                <w:kern w:val="2"/>
                <w:sz w:val="21"/>
                <w:szCs w:val="21"/>
              </w:rPr>
              <w:t>1</w:t>
            </w:r>
            <w:r>
              <w:rPr>
                <w:rFonts w:hint="eastAsia" w:ascii="宋体" w:hAnsi="宋体"/>
                <w:w w:val="99"/>
                <w:kern w:val="2"/>
                <w:sz w:val="21"/>
                <w:szCs w:val="21"/>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0E6B77AF">
            <w:pPr>
              <w:pStyle w:val="81"/>
              <w:jc w:val="center"/>
              <w:rPr>
                <w:rFonts w:ascii="宋体" w:hAnsi="宋体" w:cs="宋体"/>
                <w:kern w:val="2"/>
                <w:sz w:val="21"/>
                <w:szCs w:val="21"/>
              </w:rPr>
            </w:pPr>
            <w:r>
              <w:rPr>
                <w:rFonts w:hint="eastAsia" w:ascii="宋体" w:hAnsi="宋体" w:cs="宋体"/>
                <w:w w:val="99"/>
                <w:kern w:val="2"/>
                <w:sz w:val="21"/>
                <w:szCs w:val="21"/>
              </w:rPr>
              <w:t>★</w:t>
            </w:r>
            <w:r>
              <w:rPr>
                <w:rFonts w:hint="eastAsia" w:ascii="宋体" w:hAnsi="宋体" w:cs="宋体"/>
                <w:spacing w:val="1"/>
                <w:w w:val="99"/>
                <w:kern w:val="2"/>
                <w:sz w:val="21"/>
                <w:szCs w:val="21"/>
              </w:rPr>
              <w:t>A020</w:t>
            </w:r>
            <w:r>
              <w:rPr>
                <w:rFonts w:hint="eastAsia" w:ascii="宋体" w:hAnsi="宋体" w:cs="宋体"/>
                <w:w w:val="99"/>
                <w:kern w:val="2"/>
                <w:sz w:val="21"/>
                <w:szCs w:val="21"/>
              </w:rPr>
              <w:t>91100视频设备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01E9C699">
            <w:pPr>
              <w:pStyle w:val="81"/>
              <w:spacing w:line="276" w:lineRule="auto"/>
              <w:ind w:right="5"/>
              <w:jc w:val="center"/>
              <w:rPr>
                <w:rFonts w:ascii="宋体" w:hAnsi="宋体" w:cs="宋体"/>
                <w:kern w:val="2"/>
                <w:sz w:val="21"/>
                <w:szCs w:val="21"/>
              </w:rPr>
            </w:pPr>
            <w:r>
              <w:rPr>
                <w:rFonts w:hint="eastAsia" w:ascii="宋体" w:hAnsi="宋体" w:cs="宋体"/>
                <w:spacing w:val="1"/>
                <w:w w:val="99"/>
                <w:kern w:val="2"/>
                <w:sz w:val="21"/>
                <w:szCs w:val="21"/>
              </w:rPr>
              <w:t>A02</w:t>
            </w:r>
            <w:r>
              <w:rPr>
                <w:rFonts w:hint="eastAsia" w:ascii="宋体" w:hAnsi="宋体" w:cs="宋体"/>
                <w:w w:val="99"/>
                <w:kern w:val="2"/>
                <w:sz w:val="21"/>
                <w:szCs w:val="21"/>
              </w:rPr>
              <w:t>09</w:t>
            </w:r>
            <w:r>
              <w:rPr>
                <w:rFonts w:hint="eastAsia" w:ascii="宋体" w:hAnsi="宋体" w:cs="宋体"/>
                <w:spacing w:val="1"/>
                <w:w w:val="99"/>
                <w:kern w:val="2"/>
                <w:sz w:val="21"/>
                <w:szCs w:val="21"/>
              </w:rPr>
              <w:t>1</w:t>
            </w:r>
            <w:r>
              <w:rPr>
                <w:rFonts w:hint="eastAsia" w:ascii="宋体" w:hAnsi="宋体" w:cs="宋体"/>
                <w:w w:val="99"/>
                <w:kern w:val="2"/>
                <w:sz w:val="21"/>
                <w:szCs w:val="21"/>
              </w:rPr>
              <w:t>107视频监控设备</w:t>
            </w:r>
          </w:p>
        </w:tc>
        <w:tc>
          <w:tcPr>
            <w:tcW w:w="1638" w:type="dxa"/>
            <w:tcBorders>
              <w:top w:val="single" w:color="000000" w:sz="4" w:space="0"/>
              <w:left w:val="single" w:color="000000" w:sz="4" w:space="0"/>
              <w:bottom w:val="single" w:color="000000" w:sz="4" w:space="0"/>
              <w:right w:val="single" w:color="000000" w:sz="4" w:space="0"/>
            </w:tcBorders>
            <w:vAlign w:val="center"/>
          </w:tcPr>
          <w:p w14:paraId="4C7E767C">
            <w:pPr>
              <w:pStyle w:val="81"/>
              <w:jc w:val="center"/>
              <w:rPr>
                <w:rFonts w:ascii="宋体" w:hAnsi="宋体" w:cs="宋体"/>
                <w:kern w:val="2"/>
                <w:sz w:val="21"/>
                <w:szCs w:val="21"/>
              </w:rPr>
            </w:pPr>
            <w:r>
              <w:rPr>
                <w:rFonts w:hint="eastAsia" w:ascii="宋体" w:hAnsi="宋体" w:cs="宋体"/>
                <w:w w:val="99"/>
                <w:kern w:val="2"/>
                <w:sz w:val="21"/>
                <w:szCs w:val="21"/>
              </w:rPr>
              <w:t>监视器</w:t>
            </w:r>
          </w:p>
        </w:tc>
        <w:tc>
          <w:tcPr>
            <w:tcW w:w="4347" w:type="dxa"/>
            <w:tcBorders>
              <w:top w:val="single" w:color="000000" w:sz="4" w:space="0"/>
              <w:left w:val="single" w:color="000000" w:sz="4" w:space="0"/>
              <w:bottom w:val="single" w:color="000000" w:sz="4" w:space="0"/>
              <w:right w:val="single" w:color="000000" w:sz="4" w:space="0"/>
            </w:tcBorders>
          </w:tcPr>
          <w:p w14:paraId="2EC074F6">
            <w:pPr>
              <w:pStyle w:val="81"/>
              <w:spacing w:before="131" w:line="276" w:lineRule="auto"/>
              <w:ind w:left="7" w:right="4"/>
              <w:rPr>
                <w:rFonts w:ascii="宋体" w:hAnsi="宋体" w:cs="宋体"/>
                <w:spacing w:val="10"/>
                <w:kern w:val="2"/>
                <w:sz w:val="21"/>
                <w:szCs w:val="21"/>
                <w:lang w:eastAsia="zh-CN"/>
              </w:rPr>
            </w:pPr>
            <w:r>
              <w:rPr>
                <w:rFonts w:hint="eastAsia" w:ascii="宋体" w:hAnsi="宋体" w:cs="宋体"/>
                <w:spacing w:val="10"/>
                <w:kern w:val="2"/>
                <w:sz w:val="21"/>
                <w:szCs w:val="21"/>
                <w:lang w:eastAsia="zh-CN"/>
              </w:rPr>
              <w:t>以射频信号为主要信号输入的监视器应符合《平板电视能效限定值及能效等级》（GB24850），以数字信号为主要信号输入的监视器应符合《计算机显示器能效限定值及能效等级》（GB21520）</w:t>
            </w:r>
          </w:p>
        </w:tc>
      </w:tr>
      <w:tr w14:paraId="41CA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3B2C62A">
            <w:pPr>
              <w:pStyle w:val="81"/>
              <w:jc w:val="center"/>
              <w:rPr>
                <w:rFonts w:ascii="宋体" w:hAnsi="宋体" w:cs="宋体"/>
                <w:kern w:val="2"/>
                <w:sz w:val="21"/>
                <w:szCs w:val="21"/>
              </w:rPr>
            </w:pPr>
            <w:r>
              <w:rPr>
                <w:rFonts w:hint="eastAsia" w:ascii="宋体" w:hAnsi="宋体"/>
                <w:spacing w:val="1"/>
                <w:w w:val="99"/>
                <w:kern w:val="2"/>
                <w:sz w:val="21"/>
                <w:szCs w:val="21"/>
              </w:rPr>
              <w:t>1</w:t>
            </w:r>
            <w:r>
              <w:rPr>
                <w:rFonts w:hint="eastAsia" w:ascii="宋体" w:hAnsi="宋体"/>
                <w:w w:val="99"/>
                <w:kern w:val="2"/>
                <w:sz w:val="21"/>
                <w:szCs w:val="21"/>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7C4F5599">
            <w:pPr>
              <w:pStyle w:val="81"/>
              <w:spacing w:before="76"/>
              <w:ind w:left="7"/>
              <w:jc w:val="center"/>
              <w:rPr>
                <w:rFonts w:ascii="宋体" w:hAnsi="宋体" w:cs="宋体"/>
                <w:kern w:val="2"/>
                <w:sz w:val="21"/>
                <w:szCs w:val="21"/>
              </w:rPr>
            </w:pPr>
            <w:r>
              <w:rPr>
                <w:rFonts w:hint="eastAsia" w:ascii="宋体" w:hAnsi="宋体" w:cs="仿宋_GB2312"/>
                <w:kern w:val="2"/>
                <w:sz w:val="21"/>
                <w:szCs w:val="21"/>
              </w:rPr>
              <w:t>A02241000</w:t>
            </w:r>
            <w:r>
              <w:rPr>
                <w:rFonts w:hint="eastAsia" w:ascii="宋体" w:hAnsi="宋体" w:cs="宋体"/>
                <w:w w:val="99"/>
                <w:kern w:val="2"/>
                <w:sz w:val="21"/>
                <w:szCs w:val="21"/>
              </w:rPr>
              <w:t>饮食炊事机械</w:t>
            </w:r>
          </w:p>
        </w:tc>
        <w:tc>
          <w:tcPr>
            <w:tcW w:w="1496" w:type="dxa"/>
            <w:tcBorders>
              <w:top w:val="single" w:color="000000" w:sz="4" w:space="0"/>
              <w:left w:val="single" w:color="000000" w:sz="4" w:space="0"/>
              <w:bottom w:val="single" w:color="000000" w:sz="4" w:space="0"/>
              <w:right w:val="single" w:color="000000" w:sz="4" w:space="0"/>
            </w:tcBorders>
            <w:vAlign w:val="center"/>
          </w:tcPr>
          <w:p w14:paraId="56F8FAD6">
            <w:pPr>
              <w:pStyle w:val="81"/>
              <w:jc w:val="center"/>
              <w:rPr>
                <w:rFonts w:ascii="宋体" w:hAnsi="宋体" w:cs="宋体"/>
                <w:kern w:val="2"/>
                <w:sz w:val="21"/>
                <w:szCs w:val="21"/>
              </w:rPr>
            </w:pPr>
            <w:r>
              <w:rPr>
                <w:rFonts w:hint="eastAsia" w:ascii="宋体" w:hAnsi="宋体" w:cs="宋体"/>
                <w:w w:val="99"/>
                <w:kern w:val="2"/>
                <w:sz w:val="21"/>
                <w:szCs w:val="21"/>
              </w:rPr>
              <w:t>商用燃</w:t>
            </w:r>
            <w:r>
              <w:rPr>
                <w:rFonts w:hint="eastAsia" w:ascii="宋体" w:hAnsi="宋体" w:cs="宋体"/>
                <w:spacing w:val="2"/>
                <w:w w:val="99"/>
                <w:kern w:val="2"/>
                <w:sz w:val="21"/>
                <w:szCs w:val="21"/>
              </w:rPr>
              <w:t>气</w:t>
            </w:r>
            <w:r>
              <w:rPr>
                <w:rFonts w:hint="eastAsia" w:ascii="宋体" w:hAnsi="宋体" w:cs="宋体"/>
                <w:w w:val="99"/>
                <w:kern w:val="2"/>
                <w:sz w:val="21"/>
                <w:szCs w:val="21"/>
              </w:rPr>
              <w:t>灶具</w:t>
            </w:r>
          </w:p>
        </w:tc>
        <w:tc>
          <w:tcPr>
            <w:tcW w:w="1638" w:type="dxa"/>
            <w:tcBorders>
              <w:top w:val="single" w:color="000000" w:sz="4" w:space="0"/>
              <w:left w:val="single" w:color="000000" w:sz="4" w:space="0"/>
              <w:bottom w:val="single" w:color="000000" w:sz="4" w:space="0"/>
              <w:right w:val="single" w:color="000000" w:sz="4" w:space="0"/>
            </w:tcBorders>
            <w:vAlign w:val="center"/>
          </w:tcPr>
          <w:p w14:paraId="1D0DFA9F">
            <w:pPr>
              <w:jc w:val="center"/>
              <w:rPr>
                <w:rFonts w:ascii="宋体" w:hAnsi="宋体"/>
                <w:szCs w:val="21"/>
              </w:rPr>
            </w:pPr>
          </w:p>
        </w:tc>
        <w:tc>
          <w:tcPr>
            <w:tcW w:w="4347" w:type="dxa"/>
            <w:tcBorders>
              <w:top w:val="single" w:color="000000" w:sz="4" w:space="0"/>
              <w:left w:val="single" w:color="000000" w:sz="4" w:space="0"/>
              <w:bottom w:val="single" w:color="000000" w:sz="4" w:space="0"/>
              <w:right w:val="single" w:color="000000" w:sz="4" w:space="0"/>
            </w:tcBorders>
          </w:tcPr>
          <w:p w14:paraId="74DC93EE">
            <w:pPr>
              <w:pStyle w:val="81"/>
              <w:spacing w:before="131" w:line="276" w:lineRule="auto"/>
              <w:ind w:left="7" w:right="4"/>
              <w:rPr>
                <w:rFonts w:ascii="宋体" w:hAnsi="宋体" w:cs="宋体"/>
                <w:kern w:val="2"/>
                <w:sz w:val="21"/>
                <w:szCs w:val="21"/>
                <w:lang w:eastAsia="zh-CN"/>
              </w:rPr>
            </w:pPr>
            <w:r>
              <w:rPr>
                <w:rFonts w:hint="eastAsia" w:ascii="宋体" w:hAnsi="宋体" w:cs="宋体"/>
                <w:kern w:val="2"/>
                <w:sz w:val="21"/>
                <w:szCs w:val="21"/>
                <w:lang w:eastAsia="zh-CN"/>
              </w:rPr>
              <w:t>《商用燃气灶具能效限定值及能效等级》（GB30531）</w:t>
            </w:r>
          </w:p>
        </w:tc>
      </w:tr>
      <w:tr w14:paraId="0A5F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3283E9F9">
            <w:pPr>
              <w:jc w:val="center"/>
              <w:rPr>
                <w:rFonts w:ascii="宋体" w:hAnsi="宋体"/>
                <w:szCs w:val="21"/>
              </w:rPr>
            </w:pPr>
            <w:r>
              <w:rPr>
                <w:rFonts w:hint="eastAsia" w:ascii="宋体" w:hAnsi="宋体"/>
                <w:szCs w:val="21"/>
              </w:rPr>
              <w:t>15</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6111C34E">
            <w:pPr>
              <w:pStyle w:val="81"/>
              <w:jc w:val="center"/>
              <w:rPr>
                <w:rFonts w:ascii="宋体" w:hAnsi="宋体" w:cs="宋体"/>
                <w:w w:val="99"/>
                <w:kern w:val="2"/>
                <w:sz w:val="21"/>
                <w:szCs w:val="21"/>
              </w:rPr>
            </w:pPr>
            <w:r>
              <w:rPr>
                <w:rFonts w:hint="eastAsia" w:ascii="宋体" w:hAnsi="宋体" w:cs="宋体"/>
                <w:w w:val="99"/>
                <w:kern w:val="2"/>
                <w:sz w:val="21"/>
                <w:szCs w:val="21"/>
              </w:rPr>
              <w:t>★</w:t>
            </w:r>
            <w:r>
              <w:rPr>
                <w:rFonts w:hint="eastAsia" w:ascii="宋体" w:hAnsi="宋体" w:cs="仿宋_GB2312"/>
                <w:kern w:val="2"/>
                <w:sz w:val="21"/>
                <w:szCs w:val="21"/>
              </w:rPr>
              <w:t>A05020105</w:t>
            </w:r>
            <w:r>
              <w:rPr>
                <w:rFonts w:hint="eastAsia" w:ascii="宋体" w:hAnsi="宋体" w:cs="宋体"/>
                <w:w w:val="99"/>
                <w:kern w:val="2"/>
                <w:sz w:val="21"/>
                <w:szCs w:val="21"/>
              </w:rPr>
              <w:t>便器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65B4E833">
            <w:pPr>
              <w:pStyle w:val="81"/>
              <w:jc w:val="center"/>
              <w:rPr>
                <w:rFonts w:ascii="宋体" w:hAnsi="宋体" w:cs="宋体"/>
                <w:kern w:val="2"/>
                <w:sz w:val="21"/>
                <w:szCs w:val="21"/>
              </w:rPr>
            </w:pPr>
            <w:r>
              <w:rPr>
                <w:rFonts w:hint="eastAsia" w:ascii="宋体" w:hAnsi="宋体" w:cs="宋体"/>
                <w:w w:val="99"/>
                <w:kern w:val="2"/>
                <w:sz w:val="21"/>
                <w:szCs w:val="21"/>
              </w:rPr>
              <w:t>坐便器</w:t>
            </w:r>
          </w:p>
        </w:tc>
        <w:tc>
          <w:tcPr>
            <w:tcW w:w="1638" w:type="dxa"/>
            <w:tcBorders>
              <w:top w:val="single" w:color="000000" w:sz="4" w:space="0"/>
              <w:left w:val="single" w:color="000000" w:sz="4" w:space="0"/>
              <w:bottom w:val="single" w:color="000000" w:sz="4" w:space="0"/>
              <w:right w:val="single" w:color="000000" w:sz="4" w:space="0"/>
            </w:tcBorders>
            <w:vAlign w:val="center"/>
          </w:tcPr>
          <w:p w14:paraId="667E5DC9">
            <w:pPr>
              <w:jc w:val="center"/>
              <w:rPr>
                <w:rFonts w:ascii="宋体" w:hAnsi="宋体"/>
                <w:szCs w:val="21"/>
              </w:rPr>
            </w:pPr>
          </w:p>
        </w:tc>
        <w:tc>
          <w:tcPr>
            <w:tcW w:w="4347" w:type="dxa"/>
            <w:tcBorders>
              <w:top w:val="single" w:color="000000" w:sz="4" w:space="0"/>
              <w:left w:val="single" w:color="000000" w:sz="4" w:space="0"/>
              <w:bottom w:val="single" w:color="000000" w:sz="4" w:space="0"/>
              <w:right w:val="single" w:color="000000" w:sz="4" w:space="0"/>
            </w:tcBorders>
          </w:tcPr>
          <w:p w14:paraId="12C1BEF4">
            <w:pPr>
              <w:pStyle w:val="81"/>
              <w:spacing w:before="131" w:line="276" w:lineRule="auto"/>
              <w:ind w:left="7" w:right="4"/>
              <w:rPr>
                <w:rFonts w:ascii="宋体" w:hAnsi="宋体" w:cs="宋体"/>
                <w:kern w:val="2"/>
                <w:sz w:val="21"/>
                <w:szCs w:val="21"/>
                <w:lang w:eastAsia="zh-CN"/>
              </w:rPr>
            </w:pPr>
            <w:r>
              <w:rPr>
                <w:rFonts w:hint="eastAsia" w:ascii="宋体" w:hAnsi="宋体" w:cs="宋体"/>
                <w:kern w:val="2"/>
                <w:sz w:val="21"/>
                <w:szCs w:val="21"/>
                <w:lang w:eastAsia="zh-CN"/>
              </w:rPr>
              <w:t>《坐便器水效限定值及水效等级》</w:t>
            </w:r>
          </w:p>
          <w:p w14:paraId="0C6C85FA">
            <w:pPr>
              <w:pStyle w:val="81"/>
              <w:spacing w:before="131" w:line="276" w:lineRule="auto"/>
              <w:ind w:left="7" w:right="4"/>
              <w:rPr>
                <w:rFonts w:ascii="宋体" w:hAnsi="宋体" w:cs="宋体"/>
                <w:kern w:val="2"/>
                <w:sz w:val="21"/>
                <w:szCs w:val="21"/>
                <w:lang w:eastAsia="zh-CN"/>
              </w:rPr>
            </w:pPr>
            <w:r>
              <w:rPr>
                <w:rFonts w:hint="eastAsia" w:ascii="宋体" w:hAnsi="宋体" w:cs="宋体"/>
                <w:kern w:val="2"/>
                <w:sz w:val="21"/>
                <w:szCs w:val="21"/>
                <w:lang w:eastAsia="zh-CN"/>
              </w:rPr>
              <w:t>（GB25502）</w:t>
            </w:r>
          </w:p>
        </w:tc>
      </w:tr>
      <w:tr w14:paraId="4C32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50AD674">
            <w:pPr>
              <w:widowControl/>
              <w:jc w:val="left"/>
              <w:rPr>
                <w:rFonts w:ascii="宋体" w:hAnsi="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82A00E3">
            <w:pPr>
              <w:widowControl/>
              <w:jc w:val="left"/>
              <w:rPr>
                <w:rFonts w:ascii="宋体" w:hAnsi="宋体" w:cs="宋体"/>
                <w:w w:val="99"/>
                <w:szCs w:val="21"/>
                <w:lang w:eastAsia="en-US"/>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6ED09FC">
            <w:pPr>
              <w:pStyle w:val="81"/>
              <w:jc w:val="center"/>
              <w:rPr>
                <w:rFonts w:ascii="宋体" w:hAnsi="宋体" w:cs="宋体"/>
                <w:kern w:val="2"/>
                <w:sz w:val="21"/>
                <w:szCs w:val="21"/>
              </w:rPr>
            </w:pPr>
            <w:r>
              <w:rPr>
                <w:rFonts w:hint="eastAsia" w:ascii="宋体" w:hAnsi="宋体" w:cs="宋体"/>
                <w:w w:val="99"/>
                <w:kern w:val="2"/>
                <w:sz w:val="21"/>
                <w:szCs w:val="21"/>
              </w:rPr>
              <w:t>蹲便器</w:t>
            </w:r>
          </w:p>
        </w:tc>
        <w:tc>
          <w:tcPr>
            <w:tcW w:w="1638" w:type="dxa"/>
            <w:tcBorders>
              <w:top w:val="single" w:color="000000" w:sz="4" w:space="0"/>
              <w:left w:val="single" w:color="000000" w:sz="4" w:space="0"/>
              <w:bottom w:val="single" w:color="000000" w:sz="4" w:space="0"/>
              <w:right w:val="single" w:color="000000" w:sz="4" w:space="0"/>
            </w:tcBorders>
            <w:vAlign w:val="center"/>
          </w:tcPr>
          <w:p w14:paraId="100D824A">
            <w:pPr>
              <w:jc w:val="center"/>
              <w:rPr>
                <w:rFonts w:ascii="宋体" w:hAnsi="宋体"/>
                <w:szCs w:val="21"/>
              </w:rPr>
            </w:pPr>
          </w:p>
        </w:tc>
        <w:tc>
          <w:tcPr>
            <w:tcW w:w="4347" w:type="dxa"/>
            <w:tcBorders>
              <w:top w:val="single" w:color="000000" w:sz="4" w:space="0"/>
              <w:left w:val="single" w:color="000000" w:sz="4" w:space="0"/>
              <w:bottom w:val="single" w:color="000000" w:sz="4" w:space="0"/>
              <w:right w:val="single" w:color="000000" w:sz="4" w:space="0"/>
            </w:tcBorders>
          </w:tcPr>
          <w:p w14:paraId="1A3FB508">
            <w:pPr>
              <w:pStyle w:val="81"/>
              <w:spacing w:before="131" w:line="276" w:lineRule="auto"/>
              <w:ind w:left="7" w:right="4"/>
              <w:rPr>
                <w:rFonts w:ascii="宋体" w:hAnsi="宋体" w:cs="宋体"/>
                <w:kern w:val="2"/>
                <w:sz w:val="21"/>
                <w:szCs w:val="21"/>
                <w:lang w:eastAsia="zh-CN"/>
              </w:rPr>
            </w:pPr>
            <w:r>
              <w:rPr>
                <w:rFonts w:hint="eastAsia" w:ascii="宋体" w:hAnsi="宋体" w:cs="宋体"/>
                <w:kern w:val="2"/>
                <w:sz w:val="21"/>
                <w:szCs w:val="21"/>
                <w:lang w:eastAsia="zh-CN"/>
              </w:rPr>
              <w:t>《蹲便器用水效率限定值及用水效率等级》（GB30717）</w:t>
            </w:r>
          </w:p>
        </w:tc>
      </w:tr>
      <w:tr w14:paraId="25829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D750766">
            <w:pPr>
              <w:widowControl/>
              <w:jc w:val="left"/>
              <w:rPr>
                <w:rFonts w:ascii="宋体" w:hAnsi="宋体"/>
                <w:szCs w:val="21"/>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AE0F02F">
            <w:pPr>
              <w:widowControl/>
              <w:jc w:val="left"/>
              <w:rPr>
                <w:rFonts w:ascii="宋体" w:hAnsi="宋体" w:cs="宋体"/>
                <w:w w:val="99"/>
                <w:szCs w:val="21"/>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2087412">
            <w:pPr>
              <w:pStyle w:val="81"/>
              <w:jc w:val="center"/>
              <w:rPr>
                <w:rFonts w:ascii="宋体" w:hAnsi="宋体" w:cs="宋体"/>
                <w:kern w:val="2"/>
                <w:sz w:val="21"/>
                <w:szCs w:val="21"/>
              </w:rPr>
            </w:pPr>
            <w:r>
              <w:rPr>
                <w:rFonts w:hint="eastAsia" w:ascii="宋体" w:hAnsi="宋体" w:cs="宋体"/>
                <w:w w:val="99"/>
                <w:kern w:val="2"/>
                <w:sz w:val="21"/>
                <w:szCs w:val="21"/>
              </w:rPr>
              <w:t>小便器</w:t>
            </w:r>
          </w:p>
        </w:tc>
        <w:tc>
          <w:tcPr>
            <w:tcW w:w="1638" w:type="dxa"/>
            <w:tcBorders>
              <w:top w:val="single" w:color="000000" w:sz="4" w:space="0"/>
              <w:left w:val="single" w:color="000000" w:sz="4" w:space="0"/>
              <w:bottom w:val="single" w:color="000000" w:sz="4" w:space="0"/>
              <w:right w:val="single" w:color="000000" w:sz="4" w:space="0"/>
            </w:tcBorders>
            <w:vAlign w:val="center"/>
          </w:tcPr>
          <w:p w14:paraId="61251268">
            <w:pPr>
              <w:jc w:val="center"/>
              <w:rPr>
                <w:rFonts w:ascii="宋体" w:hAnsi="宋体"/>
                <w:szCs w:val="21"/>
              </w:rPr>
            </w:pPr>
          </w:p>
        </w:tc>
        <w:tc>
          <w:tcPr>
            <w:tcW w:w="4347" w:type="dxa"/>
            <w:tcBorders>
              <w:top w:val="single" w:color="000000" w:sz="4" w:space="0"/>
              <w:left w:val="single" w:color="000000" w:sz="4" w:space="0"/>
              <w:bottom w:val="single" w:color="000000" w:sz="4" w:space="0"/>
              <w:right w:val="single" w:color="000000" w:sz="4" w:space="0"/>
            </w:tcBorders>
          </w:tcPr>
          <w:p w14:paraId="2CD84062">
            <w:pPr>
              <w:pStyle w:val="81"/>
              <w:spacing w:before="131" w:line="276" w:lineRule="auto"/>
              <w:ind w:left="7" w:right="4"/>
              <w:rPr>
                <w:rFonts w:ascii="宋体" w:hAnsi="宋体" w:cs="宋体"/>
                <w:kern w:val="2"/>
                <w:sz w:val="21"/>
                <w:szCs w:val="21"/>
                <w:lang w:eastAsia="zh-CN"/>
              </w:rPr>
            </w:pPr>
            <w:r>
              <w:rPr>
                <w:rFonts w:hint="eastAsia" w:ascii="宋体" w:hAnsi="宋体" w:cs="宋体"/>
                <w:kern w:val="2"/>
                <w:sz w:val="21"/>
                <w:szCs w:val="21"/>
                <w:lang w:eastAsia="zh-CN"/>
              </w:rPr>
              <w:t>《小便器用水效率限定值及用水效率等级》（GB28377）</w:t>
            </w:r>
          </w:p>
        </w:tc>
      </w:tr>
      <w:tr w14:paraId="72E0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52DA58B">
            <w:pPr>
              <w:pStyle w:val="81"/>
              <w:jc w:val="center"/>
              <w:rPr>
                <w:rFonts w:ascii="宋体" w:hAnsi="宋体" w:cs="宋体"/>
                <w:kern w:val="2"/>
                <w:sz w:val="21"/>
                <w:szCs w:val="21"/>
              </w:rPr>
            </w:pPr>
            <w:r>
              <w:rPr>
                <w:rFonts w:hint="eastAsia" w:ascii="宋体" w:hAnsi="宋体"/>
                <w:kern w:val="2"/>
                <w:sz w:val="21"/>
                <w:szCs w:val="21"/>
              </w:rPr>
              <w:t>16</w:t>
            </w:r>
          </w:p>
        </w:tc>
        <w:tc>
          <w:tcPr>
            <w:tcW w:w="1422" w:type="dxa"/>
            <w:tcBorders>
              <w:top w:val="single" w:color="000000" w:sz="4" w:space="0"/>
              <w:left w:val="single" w:color="000000" w:sz="4" w:space="0"/>
              <w:bottom w:val="single" w:color="000000" w:sz="4" w:space="0"/>
              <w:right w:val="single" w:color="000000" w:sz="4" w:space="0"/>
            </w:tcBorders>
            <w:vAlign w:val="center"/>
          </w:tcPr>
          <w:p w14:paraId="7D549316">
            <w:pPr>
              <w:pStyle w:val="81"/>
              <w:spacing w:before="153"/>
              <w:ind w:left="7"/>
              <w:jc w:val="center"/>
              <w:rPr>
                <w:rFonts w:ascii="宋体" w:hAnsi="宋体" w:cs="宋体"/>
                <w:kern w:val="2"/>
                <w:sz w:val="21"/>
                <w:szCs w:val="21"/>
              </w:rPr>
            </w:pPr>
            <w:r>
              <w:rPr>
                <w:rFonts w:hint="eastAsia" w:ascii="宋体" w:hAnsi="宋体" w:cs="宋体"/>
                <w:kern w:val="2"/>
                <w:sz w:val="21"/>
                <w:szCs w:val="21"/>
              </w:rPr>
              <w:t>★</w:t>
            </w:r>
            <w:r>
              <w:rPr>
                <w:rFonts w:hint="eastAsia" w:ascii="宋体" w:hAnsi="宋体" w:cs="仿宋_GB2312"/>
                <w:kern w:val="2"/>
                <w:sz w:val="21"/>
                <w:szCs w:val="21"/>
              </w:rPr>
              <w:t>A05020106</w:t>
            </w:r>
            <w:r>
              <w:rPr>
                <w:rFonts w:hint="eastAsia" w:ascii="宋体" w:hAnsi="宋体" w:cs="宋体"/>
                <w:kern w:val="2"/>
                <w:sz w:val="21"/>
                <w:szCs w:val="21"/>
              </w:rPr>
              <w:t>水</w:t>
            </w:r>
            <w:r>
              <w:rPr>
                <w:rFonts w:hint="eastAsia" w:ascii="宋体" w:hAnsi="宋体" w:cs="宋体"/>
                <w:w w:val="99"/>
                <w:kern w:val="2"/>
                <w:sz w:val="21"/>
                <w:szCs w:val="21"/>
              </w:rPr>
              <w:t>嘴</w:t>
            </w:r>
          </w:p>
        </w:tc>
        <w:tc>
          <w:tcPr>
            <w:tcW w:w="1496" w:type="dxa"/>
            <w:tcBorders>
              <w:top w:val="single" w:color="000000" w:sz="4" w:space="0"/>
              <w:left w:val="single" w:color="000000" w:sz="4" w:space="0"/>
              <w:bottom w:val="single" w:color="000000" w:sz="4" w:space="0"/>
              <w:right w:val="single" w:color="000000" w:sz="4" w:space="0"/>
            </w:tcBorders>
            <w:vAlign w:val="center"/>
          </w:tcPr>
          <w:p w14:paraId="4174D820">
            <w:pPr>
              <w:jc w:val="center"/>
              <w:rPr>
                <w:rFonts w:ascii="宋体" w:hAnsi="宋体"/>
                <w:szCs w:val="21"/>
                <w:lang w:eastAsia="en-US"/>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48FFA39B">
            <w:pPr>
              <w:jc w:val="center"/>
              <w:rPr>
                <w:rFonts w:ascii="宋体" w:hAnsi="宋体"/>
                <w:szCs w:val="21"/>
                <w:lang w:eastAsia="en-US"/>
              </w:rPr>
            </w:pPr>
          </w:p>
        </w:tc>
        <w:tc>
          <w:tcPr>
            <w:tcW w:w="4347" w:type="dxa"/>
            <w:tcBorders>
              <w:top w:val="single" w:color="000000" w:sz="4" w:space="0"/>
              <w:left w:val="single" w:color="000000" w:sz="4" w:space="0"/>
              <w:bottom w:val="single" w:color="000000" w:sz="4" w:space="0"/>
              <w:right w:val="single" w:color="000000" w:sz="4" w:space="0"/>
            </w:tcBorders>
          </w:tcPr>
          <w:p w14:paraId="4068871F">
            <w:pPr>
              <w:pStyle w:val="81"/>
              <w:spacing w:before="153" w:line="276" w:lineRule="auto"/>
              <w:ind w:left="7" w:right="4"/>
              <w:rPr>
                <w:rFonts w:ascii="宋体" w:hAnsi="宋体" w:cs="宋体"/>
                <w:kern w:val="2"/>
                <w:sz w:val="21"/>
                <w:szCs w:val="21"/>
                <w:lang w:eastAsia="zh-CN"/>
              </w:rPr>
            </w:pPr>
            <w:r>
              <w:rPr>
                <w:rFonts w:hint="eastAsia" w:ascii="宋体" w:hAnsi="宋体" w:cs="宋体"/>
                <w:spacing w:val="10"/>
                <w:kern w:val="2"/>
                <w:sz w:val="21"/>
                <w:szCs w:val="21"/>
                <w:lang w:eastAsia="zh-CN"/>
              </w:rPr>
              <w:t>《水嘴用水效率限定值及用水效</w:t>
            </w:r>
            <w:r>
              <w:rPr>
                <w:rFonts w:hint="eastAsia" w:ascii="宋体" w:hAnsi="宋体" w:cs="宋体"/>
                <w:kern w:val="2"/>
                <w:sz w:val="21"/>
                <w:szCs w:val="21"/>
                <w:lang w:eastAsia="zh-CN"/>
              </w:rPr>
              <w:t>率等级》（GB 25501）</w:t>
            </w:r>
          </w:p>
        </w:tc>
      </w:tr>
      <w:tr w14:paraId="2E029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6EFD38C">
            <w:pPr>
              <w:pStyle w:val="81"/>
              <w:jc w:val="center"/>
              <w:rPr>
                <w:rFonts w:ascii="宋体" w:hAnsi="宋体" w:cs="宋体"/>
                <w:kern w:val="2"/>
                <w:sz w:val="21"/>
                <w:szCs w:val="21"/>
              </w:rPr>
            </w:pPr>
            <w:r>
              <w:rPr>
                <w:rFonts w:hint="eastAsia" w:ascii="宋体" w:hAnsi="宋体"/>
                <w:kern w:val="2"/>
                <w:sz w:val="21"/>
                <w:szCs w:val="21"/>
              </w:rPr>
              <w:t>17</w:t>
            </w:r>
          </w:p>
        </w:tc>
        <w:tc>
          <w:tcPr>
            <w:tcW w:w="1422" w:type="dxa"/>
            <w:tcBorders>
              <w:top w:val="single" w:color="000000" w:sz="4" w:space="0"/>
              <w:left w:val="single" w:color="000000" w:sz="4" w:space="0"/>
              <w:bottom w:val="single" w:color="000000" w:sz="4" w:space="0"/>
              <w:right w:val="single" w:color="000000" w:sz="4" w:space="0"/>
            </w:tcBorders>
            <w:vAlign w:val="center"/>
          </w:tcPr>
          <w:p w14:paraId="7C23B11C">
            <w:pPr>
              <w:pStyle w:val="81"/>
              <w:spacing w:before="112"/>
              <w:ind w:left="7"/>
              <w:jc w:val="center"/>
              <w:rPr>
                <w:rFonts w:ascii="宋体" w:hAnsi="宋体" w:cs="宋体"/>
                <w:kern w:val="2"/>
                <w:sz w:val="21"/>
                <w:szCs w:val="21"/>
              </w:rPr>
            </w:pPr>
            <w:r>
              <w:rPr>
                <w:rFonts w:hint="eastAsia" w:ascii="宋体" w:hAnsi="宋体" w:cs="仿宋_GB2312"/>
                <w:kern w:val="2"/>
                <w:sz w:val="21"/>
                <w:szCs w:val="21"/>
              </w:rPr>
              <w:t>A05020107</w:t>
            </w:r>
            <w:r>
              <w:rPr>
                <w:rFonts w:hint="eastAsia" w:ascii="宋体" w:hAnsi="宋体" w:cs="宋体"/>
                <w:kern w:val="2"/>
                <w:sz w:val="21"/>
                <w:szCs w:val="21"/>
              </w:rPr>
              <w:t>便器冲洗阀</w:t>
            </w:r>
          </w:p>
        </w:tc>
        <w:tc>
          <w:tcPr>
            <w:tcW w:w="1496" w:type="dxa"/>
            <w:tcBorders>
              <w:top w:val="single" w:color="000000" w:sz="4" w:space="0"/>
              <w:left w:val="single" w:color="000000" w:sz="4" w:space="0"/>
              <w:bottom w:val="single" w:color="000000" w:sz="4" w:space="0"/>
              <w:right w:val="single" w:color="000000" w:sz="4" w:space="0"/>
            </w:tcBorders>
            <w:vAlign w:val="center"/>
          </w:tcPr>
          <w:p w14:paraId="2BA8E7A4">
            <w:pPr>
              <w:jc w:val="center"/>
              <w:rPr>
                <w:rFonts w:ascii="宋体" w:hAnsi="宋体"/>
                <w:szCs w:val="21"/>
                <w:lang w:eastAsia="en-US"/>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5E8B92D9">
            <w:pPr>
              <w:jc w:val="center"/>
              <w:rPr>
                <w:rFonts w:ascii="宋体" w:hAnsi="宋体"/>
                <w:szCs w:val="21"/>
                <w:lang w:eastAsia="en-US"/>
              </w:rPr>
            </w:pPr>
          </w:p>
        </w:tc>
        <w:tc>
          <w:tcPr>
            <w:tcW w:w="4347" w:type="dxa"/>
            <w:tcBorders>
              <w:top w:val="single" w:color="000000" w:sz="4" w:space="0"/>
              <w:left w:val="single" w:color="000000" w:sz="4" w:space="0"/>
              <w:bottom w:val="single" w:color="000000" w:sz="4" w:space="0"/>
              <w:right w:val="single" w:color="000000" w:sz="4" w:space="0"/>
            </w:tcBorders>
          </w:tcPr>
          <w:p w14:paraId="2BF96215">
            <w:pPr>
              <w:pStyle w:val="81"/>
              <w:spacing w:before="112" w:line="276" w:lineRule="auto"/>
              <w:ind w:left="7" w:right="4"/>
              <w:rPr>
                <w:rFonts w:ascii="宋体" w:hAnsi="宋体" w:cs="宋体"/>
                <w:kern w:val="2"/>
                <w:sz w:val="21"/>
                <w:szCs w:val="21"/>
                <w:lang w:eastAsia="zh-CN"/>
              </w:rPr>
            </w:pPr>
            <w:r>
              <w:rPr>
                <w:rFonts w:hint="eastAsia" w:ascii="宋体" w:hAnsi="宋体" w:cs="宋体"/>
                <w:spacing w:val="10"/>
                <w:kern w:val="2"/>
                <w:sz w:val="21"/>
                <w:szCs w:val="21"/>
                <w:lang w:eastAsia="zh-CN"/>
              </w:rPr>
              <w:t>《便器冲洗阀用水效率限定值及</w:t>
            </w:r>
            <w:r>
              <w:rPr>
                <w:rFonts w:hint="eastAsia" w:ascii="宋体" w:hAnsi="宋体" w:cs="宋体"/>
                <w:kern w:val="2"/>
                <w:sz w:val="21"/>
                <w:szCs w:val="21"/>
                <w:lang w:eastAsia="zh-CN"/>
              </w:rPr>
              <w:t>用水效率等级》（GB28379）</w:t>
            </w:r>
          </w:p>
        </w:tc>
      </w:tr>
      <w:tr w14:paraId="01D3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53376603">
            <w:pPr>
              <w:pStyle w:val="81"/>
              <w:jc w:val="center"/>
              <w:rPr>
                <w:rFonts w:ascii="宋体" w:hAnsi="宋体" w:cs="宋体"/>
                <w:kern w:val="2"/>
                <w:sz w:val="21"/>
                <w:szCs w:val="21"/>
              </w:rPr>
            </w:pPr>
            <w:r>
              <w:rPr>
                <w:rFonts w:hint="eastAsia" w:ascii="宋体" w:hAnsi="宋体"/>
                <w:kern w:val="2"/>
                <w:sz w:val="21"/>
                <w:szCs w:val="21"/>
              </w:rPr>
              <w:t>18</w:t>
            </w:r>
          </w:p>
        </w:tc>
        <w:tc>
          <w:tcPr>
            <w:tcW w:w="1422" w:type="dxa"/>
            <w:tcBorders>
              <w:top w:val="single" w:color="000000" w:sz="4" w:space="0"/>
              <w:left w:val="single" w:color="000000" w:sz="4" w:space="0"/>
              <w:bottom w:val="single" w:color="000000" w:sz="4" w:space="0"/>
              <w:right w:val="single" w:color="000000" w:sz="4" w:space="0"/>
            </w:tcBorders>
            <w:vAlign w:val="center"/>
          </w:tcPr>
          <w:p w14:paraId="516C4CEE">
            <w:pPr>
              <w:pStyle w:val="81"/>
              <w:spacing w:before="131"/>
              <w:ind w:left="7"/>
              <w:jc w:val="center"/>
              <w:rPr>
                <w:rFonts w:ascii="宋体" w:hAnsi="宋体" w:cs="宋体"/>
                <w:kern w:val="2"/>
                <w:sz w:val="21"/>
                <w:szCs w:val="21"/>
              </w:rPr>
            </w:pPr>
            <w:r>
              <w:rPr>
                <w:rFonts w:hint="eastAsia" w:ascii="宋体" w:hAnsi="宋体" w:cs="仿宋_GB2312"/>
                <w:kern w:val="2"/>
                <w:sz w:val="21"/>
                <w:szCs w:val="21"/>
              </w:rPr>
              <w:t>A05020110</w:t>
            </w:r>
            <w:r>
              <w:rPr>
                <w:rFonts w:hint="eastAsia" w:ascii="宋体" w:hAnsi="宋体" w:cs="宋体"/>
                <w:kern w:val="2"/>
                <w:sz w:val="21"/>
                <w:szCs w:val="21"/>
              </w:rPr>
              <w:t>淋浴</w:t>
            </w:r>
            <w:r>
              <w:rPr>
                <w:rFonts w:hint="eastAsia" w:ascii="宋体" w:hAnsi="宋体" w:cs="宋体"/>
                <w:w w:val="99"/>
                <w:kern w:val="2"/>
                <w:sz w:val="21"/>
                <w:szCs w:val="21"/>
              </w:rPr>
              <w:t>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001EED43">
            <w:pPr>
              <w:jc w:val="center"/>
              <w:rPr>
                <w:rFonts w:ascii="宋体" w:hAnsi="宋体"/>
                <w:szCs w:val="21"/>
                <w:lang w:eastAsia="en-US"/>
              </w:rPr>
            </w:pPr>
          </w:p>
        </w:tc>
        <w:tc>
          <w:tcPr>
            <w:tcW w:w="1638" w:type="dxa"/>
            <w:tcBorders>
              <w:top w:val="single" w:color="000000" w:sz="4" w:space="0"/>
              <w:left w:val="single" w:color="000000" w:sz="4" w:space="0"/>
              <w:bottom w:val="single" w:color="000000" w:sz="4" w:space="0"/>
              <w:right w:val="single" w:color="000000" w:sz="4" w:space="0"/>
            </w:tcBorders>
            <w:vAlign w:val="center"/>
          </w:tcPr>
          <w:p w14:paraId="628EF315">
            <w:pPr>
              <w:jc w:val="center"/>
              <w:rPr>
                <w:rFonts w:ascii="宋体" w:hAnsi="宋体"/>
                <w:szCs w:val="21"/>
                <w:lang w:eastAsia="en-US"/>
              </w:rPr>
            </w:pPr>
          </w:p>
        </w:tc>
        <w:tc>
          <w:tcPr>
            <w:tcW w:w="4347" w:type="dxa"/>
            <w:tcBorders>
              <w:top w:val="single" w:color="000000" w:sz="4" w:space="0"/>
              <w:left w:val="single" w:color="000000" w:sz="4" w:space="0"/>
              <w:bottom w:val="single" w:color="000000" w:sz="4" w:space="0"/>
              <w:right w:val="single" w:color="000000" w:sz="4" w:space="0"/>
            </w:tcBorders>
          </w:tcPr>
          <w:p w14:paraId="61EB6866">
            <w:pPr>
              <w:pStyle w:val="81"/>
              <w:spacing w:before="131" w:line="276" w:lineRule="auto"/>
              <w:ind w:left="7" w:right="4"/>
              <w:rPr>
                <w:rFonts w:ascii="宋体" w:hAnsi="宋体" w:cs="宋体"/>
                <w:kern w:val="2"/>
                <w:sz w:val="21"/>
                <w:szCs w:val="21"/>
                <w:lang w:eastAsia="zh-CN"/>
              </w:rPr>
            </w:pPr>
            <w:r>
              <w:rPr>
                <w:rFonts w:hint="eastAsia" w:ascii="宋体" w:hAnsi="宋体" w:cs="宋体"/>
                <w:spacing w:val="10"/>
                <w:kern w:val="2"/>
                <w:sz w:val="21"/>
                <w:szCs w:val="21"/>
                <w:lang w:eastAsia="zh-CN"/>
              </w:rPr>
              <w:t>《淋浴器用水效率限定值及用水</w:t>
            </w:r>
            <w:r>
              <w:rPr>
                <w:rFonts w:hint="eastAsia" w:ascii="宋体" w:hAnsi="宋体" w:cs="宋体"/>
                <w:kern w:val="2"/>
                <w:sz w:val="21"/>
                <w:szCs w:val="21"/>
                <w:lang w:eastAsia="zh-CN"/>
              </w:rPr>
              <w:t>效率等级》（GB28378）</w:t>
            </w:r>
          </w:p>
        </w:tc>
      </w:tr>
    </w:tbl>
    <w:p w14:paraId="0DFBE196">
      <w:pPr>
        <w:pStyle w:val="14"/>
        <w:spacing w:line="360" w:lineRule="auto"/>
        <w:rPr>
          <w:rFonts w:ascii="宋体" w:hAnsi="宋体"/>
          <w:szCs w:val="21"/>
        </w:rPr>
      </w:pPr>
      <w:r>
        <w:rPr>
          <w:rFonts w:hint="eastAsia" w:ascii="宋体" w:hAnsi="宋体"/>
          <w:spacing w:val="-3"/>
          <w:szCs w:val="21"/>
        </w:rPr>
        <w:t>注：1.节能产品认证应依据相关国家标准的最新版本，依据国家标准中二级能效（水效）</w:t>
      </w:r>
      <w:r>
        <w:rPr>
          <w:rFonts w:hint="eastAsia" w:ascii="宋体" w:hAnsi="宋体"/>
          <w:szCs w:val="21"/>
        </w:rPr>
        <w:t>指标。</w:t>
      </w:r>
    </w:p>
    <w:p w14:paraId="2FD4DFC6">
      <w:pPr>
        <w:pStyle w:val="14"/>
        <w:spacing w:line="360" w:lineRule="auto"/>
        <w:ind w:firstLine="465"/>
        <w:rPr>
          <w:rFonts w:ascii="宋体" w:hAnsi="宋体"/>
          <w:szCs w:val="21"/>
        </w:rPr>
      </w:pPr>
      <w:r>
        <w:rPr>
          <w:rFonts w:hint="eastAsia" w:ascii="宋体" w:hAnsi="宋体"/>
          <w:szCs w:val="21"/>
        </w:rPr>
        <w:t>2.以“★”标注的为政府强制采购产品。</w:t>
      </w:r>
    </w:p>
    <w:p w14:paraId="5783D725">
      <w:pPr>
        <w:pStyle w:val="14"/>
        <w:spacing w:line="360" w:lineRule="auto"/>
        <w:ind w:firstLine="465"/>
        <w:rPr>
          <w:rFonts w:ascii="Arial Unicode MS" w:hAnsi="Arial Unicode MS" w:eastAsia="Arial Unicode MS" w:cs="Arial Unicode MS"/>
          <w:sz w:val="32"/>
          <w:szCs w:val="32"/>
        </w:rPr>
      </w:pPr>
      <w:r>
        <w:rPr>
          <w:rFonts w:hint="eastAsia" w:ascii="宋体" w:hAnsi="宋体"/>
          <w:szCs w:val="21"/>
        </w:rPr>
        <w:t>3.本表格原为《关于印发节能产品政府采购品目清单的通知》（财库〔2019〕19号）规定的表格附件，其中名称及编码已根据《财政部关于印发〈政府采购品目分类目录〉的通知》（财库〔2022〕31号）修改。</w:t>
      </w:r>
      <w:r>
        <w:rPr>
          <w:rFonts w:hint="eastAsia" w:hAnsi="宋体"/>
        </w:rPr>
        <w:br w:type="page"/>
      </w:r>
      <w:r>
        <w:rPr>
          <w:rFonts w:hint="eastAsia" w:ascii="微软雅黑" w:hAnsi="微软雅黑" w:eastAsia="微软雅黑" w:cs="微软雅黑"/>
          <w:sz w:val="32"/>
          <w:szCs w:val="32"/>
        </w:rPr>
        <w:t>附件</w:t>
      </w:r>
      <w:r>
        <w:rPr>
          <w:rFonts w:hint="eastAsia" w:ascii="Arial Unicode MS" w:hAnsi="Arial Unicode MS" w:eastAsia="Arial Unicode MS" w:cs="Arial Unicode MS"/>
          <w:sz w:val="32"/>
          <w:szCs w:val="32"/>
        </w:rPr>
        <w:t>2</w:t>
      </w:r>
      <w:r>
        <w:rPr>
          <w:rFonts w:hint="eastAsia" w:ascii="微软雅黑" w:hAnsi="微软雅黑" w:eastAsia="微软雅黑" w:cs="微软雅黑"/>
          <w:sz w:val="32"/>
          <w:szCs w:val="32"/>
        </w:rPr>
        <w:t>：</w:t>
      </w:r>
    </w:p>
    <w:p w14:paraId="120B4CE5">
      <w:pPr>
        <w:spacing w:line="528" w:lineRule="exact"/>
        <w:ind w:left="1871"/>
        <w:rPr>
          <w:rFonts w:ascii="Arial Unicode MS" w:hAnsi="Arial Unicode MS" w:eastAsia="Arial Unicode MS" w:cs="Arial Unicode MS"/>
          <w:sz w:val="40"/>
          <w:szCs w:val="40"/>
        </w:rPr>
      </w:pPr>
      <w:r>
        <w:rPr>
          <w:rFonts w:hint="eastAsia" w:ascii="微软雅黑" w:hAnsi="微软雅黑" w:eastAsia="微软雅黑" w:cs="微软雅黑"/>
          <w:sz w:val="40"/>
          <w:szCs w:val="40"/>
        </w:rPr>
        <w:t>中小微企业划型标准</w:t>
      </w:r>
    </w:p>
    <w:tbl>
      <w:tblPr>
        <w:tblStyle w:val="32"/>
        <w:tblW w:w="9430" w:type="dxa"/>
        <w:tblInd w:w="250" w:type="dxa"/>
        <w:tblLayout w:type="fixed"/>
        <w:tblCellMar>
          <w:top w:w="0" w:type="dxa"/>
          <w:left w:w="108" w:type="dxa"/>
          <w:bottom w:w="0" w:type="dxa"/>
          <w:right w:w="108" w:type="dxa"/>
        </w:tblCellMar>
      </w:tblPr>
      <w:tblGrid>
        <w:gridCol w:w="1857"/>
        <w:gridCol w:w="1573"/>
        <w:gridCol w:w="1134"/>
        <w:gridCol w:w="1946"/>
        <w:gridCol w:w="1760"/>
        <w:gridCol w:w="1160"/>
      </w:tblGrid>
      <w:tr w14:paraId="082B4B8C">
        <w:tblPrEx>
          <w:tblCellMar>
            <w:top w:w="0" w:type="dxa"/>
            <w:left w:w="108" w:type="dxa"/>
            <w:bottom w:w="0" w:type="dxa"/>
            <w:right w:w="108" w:type="dxa"/>
          </w:tblCellMar>
        </w:tblPrEx>
        <w:trPr>
          <w:trHeight w:val="285" w:hRule="atLeast"/>
        </w:trPr>
        <w:tc>
          <w:tcPr>
            <w:tcW w:w="1857" w:type="dxa"/>
            <w:tcBorders>
              <w:top w:val="single" w:color="auto" w:sz="4" w:space="0"/>
              <w:left w:val="single" w:color="auto" w:sz="4" w:space="0"/>
              <w:bottom w:val="single" w:color="auto" w:sz="4" w:space="0"/>
              <w:right w:val="single" w:color="auto" w:sz="4" w:space="0"/>
            </w:tcBorders>
            <w:vAlign w:val="center"/>
          </w:tcPr>
          <w:p w14:paraId="2123D01C">
            <w:pPr>
              <w:widowControl/>
              <w:jc w:val="left"/>
              <w:rPr>
                <w:rFonts w:ascii="宋体" w:hAnsi="宋体" w:cs="宋体"/>
                <w:b/>
                <w:kern w:val="0"/>
                <w:szCs w:val="21"/>
              </w:rPr>
            </w:pPr>
            <w:r>
              <w:rPr>
                <w:rFonts w:hint="eastAsia" w:ascii="宋体" w:hAnsi="宋体" w:cs="宋体"/>
                <w:b/>
                <w:kern w:val="0"/>
                <w:szCs w:val="21"/>
              </w:rPr>
              <w:t>行业名称</w:t>
            </w:r>
          </w:p>
        </w:tc>
        <w:tc>
          <w:tcPr>
            <w:tcW w:w="1573" w:type="dxa"/>
            <w:tcBorders>
              <w:top w:val="single" w:color="auto" w:sz="4" w:space="0"/>
              <w:left w:val="nil"/>
              <w:bottom w:val="single" w:color="auto" w:sz="4" w:space="0"/>
              <w:right w:val="single" w:color="auto" w:sz="4" w:space="0"/>
            </w:tcBorders>
            <w:vAlign w:val="center"/>
          </w:tcPr>
          <w:p w14:paraId="081A3AAF">
            <w:pPr>
              <w:widowControl/>
              <w:jc w:val="left"/>
              <w:rPr>
                <w:rFonts w:ascii="宋体" w:hAnsi="宋体" w:cs="宋体"/>
                <w:b/>
                <w:kern w:val="0"/>
                <w:szCs w:val="21"/>
              </w:rPr>
            </w:pPr>
            <w:r>
              <w:rPr>
                <w:rFonts w:hint="eastAsia" w:ascii="宋体" w:hAnsi="宋体" w:cs="宋体"/>
                <w:b/>
                <w:kern w:val="0"/>
                <w:szCs w:val="21"/>
              </w:rPr>
              <w:t>指标名称</w:t>
            </w:r>
          </w:p>
        </w:tc>
        <w:tc>
          <w:tcPr>
            <w:tcW w:w="1134" w:type="dxa"/>
            <w:tcBorders>
              <w:top w:val="single" w:color="auto" w:sz="4" w:space="0"/>
              <w:left w:val="nil"/>
              <w:bottom w:val="single" w:color="auto" w:sz="4" w:space="0"/>
              <w:right w:val="single" w:color="auto" w:sz="4" w:space="0"/>
            </w:tcBorders>
            <w:vAlign w:val="center"/>
          </w:tcPr>
          <w:p w14:paraId="51E66AB4">
            <w:pPr>
              <w:widowControl/>
              <w:jc w:val="left"/>
              <w:rPr>
                <w:rFonts w:ascii="宋体" w:hAnsi="宋体" w:cs="宋体"/>
                <w:b/>
                <w:kern w:val="0"/>
                <w:szCs w:val="21"/>
              </w:rPr>
            </w:pPr>
            <w:r>
              <w:rPr>
                <w:rFonts w:hint="eastAsia" w:ascii="宋体" w:hAnsi="宋体" w:cs="宋体"/>
                <w:b/>
                <w:kern w:val="0"/>
                <w:szCs w:val="21"/>
              </w:rPr>
              <w:t>计量单位</w:t>
            </w:r>
          </w:p>
        </w:tc>
        <w:tc>
          <w:tcPr>
            <w:tcW w:w="1946" w:type="dxa"/>
            <w:tcBorders>
              <w:top w:val="single" w:color="auto" w:sz="4" w:space="0"/>
              <w:left w:val="nil"/>
              <w:bottom w:val="single" w:color="auto" w:sz="4" w:space="0"/>
              <w:right w:val="single" w:color="auto" w:sz="4" w:space="0"/>
            </w:tcBorders>
            <w:vAlign w:val="center"/>
          </w:tcPr>
          <w:p w14:paraId="51A06709">
            <w:pPr>
              <w:widowControl/>
              <w:jc w:val="left"/>
              <w:rPr>
                <w:rFonts w:ascii="宋体" w:hAnsi="宋体" w:cs="宋体"/>
                <w:b/>
                <w:kern w:val="0"/>
                <w:szCs w:val="21"/>
              </w:rPr>
            </w:pPr>
            <w:r>
              <w:rPr>
                <w:rFonts w:hint="eastAsia" w:ascii="宋体" w:hAnsi="宋体" w:cs="宋体"/>
                <w:b/>
                <w:kern w:val="0"/>
                <w:szCs w:val="21"/>
              </w:rPr>
              <w:t>中型</w:t>
            </w:r>
          </w:p>
        </w:tc>
        <w:tc>
          <w:tcPr>
            <w:tcW w:w="1760" w:type="dxa"/>
            <w:tcBorders>
              <w:top w:val="single" w:color="auto" w:sz="4" w:space="0"/>
              <w:left w:val="nil"/>
              <w:bottom w:val="single" w:color="auto" w:sz="4" w:space="0"/>
              <w:right w:val="single" w:color="auto" w:sz="4" w:space="0"/>
            </w:tcBorders>
            <w:vAlign w:val="center"/>
          </w:tcPr>
          <w:p w14:paraId="16E74B23">
            <w:pPr>
              <w:widowControl/>
              <w:jc w:val="left"/>
              <w:rPr>
                <w:rFonts w:ascii="宋体" w:hAnsi="宋体" w:cs="宋体"/>
                <w:b/>
                <w:kern w:val="0"/>
                <w:szCs w:val="21"/>
              </w:rPr>
            </w:pPr>
            <w:r>
              <w:rPr>
                <w:rFonts w:hint="eastAsia" w:ascii="宋体" w:hAnsi="宋体" w:cs="宋体"/>
                <w:b/>
                <w:kern w:val="0"/>
                <w:szCs w:val="21"/>
              </w:rPr>
              <w:t>小型</w:t>
            </w:r>
          </w:p>
        </w:tc>
        <w:tc>
          <w:tcPr>
            <w:tcW w:w="1160" w:type="dxa"/>
            <w:tcBorders>
              <w:top w:val="single" w:color="auto" w:sz="4" w:space="0"/>
              <w:left w:val="nil"/>
              <w:bottom w:val="single" w:color="auto" w:sz="4" w:space="0"/>
              <w:right w:val="single" w:color="auto" w:sz="4" w:space="0"/>
            </w:tcBorders>
            <w:vAlign w:val="center"/>
          </w:tcPr>
          <w:p w14:paraId="34F8A2A8">
            <w:pPr>
              <w:widowControl/>
              <w:jc w:val="left"/>
              <w:rPr>
                <w:rFonts w:ascii="宋体" w:hAnsi="宋体" w:cs="宋体"/>
                <w:b/>
                <w:kern w:val="0"/>
                <w:szCs w:val="21"/>
              </w:rPr>
            </w:pPr>
            <w:r>
              <w:rPr>
                <w:rFonts w:hint="eastAsia" w:ascii="宋体" w:hAnsi="宋体" w:cs="宋体"/>
                <w:b/>
                <w:kern w:val="0"/>
                <w:szCs w:val="21"/>
              </w:rPr>
              <w:t>微型</w:t>
            </w:r>
          </w:p>
        </w:tc>
      </w:tr>
      <w:tr w14:paraId="26F77F9D">
        <w:tblPrEx>
          <w:tblCellMar>
            <w:top w:w="0" w:type="dxa"/>
            <w:left w:w="108" w:type="dxa"/>
            <w:bottom w:w="0" w:type="dxa"/>
            <w:right w:w="108" w:type="dxa"/>
          </w:tblCellMar>
        </w:tblPrEx>
        <w:trPr>
          <w:trHeight w:val="225" w:hRule="atLeast"/>
        </w:trPr>
        <w:tc>
          <w:tcPr>
            <w:tcW w:w="1857" w:type="dxa"/>
            <w:tcBorders>
              <w:top w:val="nil"/>
              <w:left w:val="single" w:color="auto" w:sz="4" w:space="0"/>
              <w:bottom w:val="single" w:color="auto" w:sz="4" w:space="0"/>
              <w:right w:val="single" w:color="auto" w:sz="4" w:space="0"/>
            </w:tcBorders>
            <w:vAlign w:val="bottom"/>
          </w:tcPr>
          <w:p w14:paraId="06300DCB">
            <w:pPr>
              <w:widowControl/>
              <w:jc w:val="center"/>
              <w:rPr>
                <w:rFonts w:ascii="宋体" w:hAnsi="宋体" w:cs="宋体"/>
                <w:b/>
                <w:bCs/>
                <w:kern w:val="0"/>
                <w:szCs w:val="21"/>
              </w:rPr>
            </w:pPr>
            <w:r>
              <w:rPr>
                <w:rFonts w:hint="eastAsia" w:ascii="宋体" w:hAnsi="宋体" w:cs="宋体"/>
                <w:b/>
                <w:bCs/>
                <w:kern w:val="0"/>
                <w:szCs w:val="21"/>
              </w:rPr>
              <w:t>农、林、牧、渔</w:t>
            </w:r>
          </w:p>
        </w:tc>
        <w:tc>
          <w:tcPr>
            <w:tcW w:w="1573" w:type="dxa"/>
            <w:tcBorders>
              <w:top w:val="nil"/>
              <w:left w:val="nil"/>
              <w:bottom w:val="single" w:color="auto" w:sz="4" w:space="0"/>
              <w:right w:val="single" w:color="auto" w:sz="4" w:space="0"/>
            </w:tcBorders>
            <w:vAlign w:val="center"/>
          </w:tcPr>
          <w:p w14:paraId="223FA93D">
            <w:pPr>
              <w:widowControl/>
              <w:jc w:val="left"/>
              <w:rPr>
                <w:rFonts w:ascii="宋体" w:hAnsi="宋体" w:cs="宋体"/>
                <w:kern w:val="0"/>
                <w:szCs w:val="21"/>
              </w:rPr>
            </w:pPr>
            <w:r>
              <w:rPr>
                <w:rFonts w:hint="eastAsia" w:ascii="宋体" w:hAnsi="宋体" w:cs="宋体"/>
                <w:kern w:val="0"/>
                <w:szCs w:val="21"/>
              </w:rPr>
              <w:t>营业收入（Y）</w:t>
            </w:r>
          </w:p>
        </w:tc>
        <w:tc>
          <w:tcPr>
            <w:tcW w:w="1134" w:type="dxa"/>
            <w:tcBorders>
              <w:top w:val="nil"/>
              <w:left w:val="nil"/>
              <w:bottom w:val="single" w:color="auto" w:sz="4" w:space="0"/>
              <w:right w:val="single" w:color="auto" w:sz="4" w:space="0"/>
            </w:tcBorders>
            <w:vAlign w:val="center"/>
          </w:tcPr>
          <w:p w14:paraId="6DE7B024">
            <w:pPr>
              <w:widowControl/>
              <w:jc w:val="left"/>
              <w:rPr>
                <w:rFonts w:ascii="宋体" w:hAnsi="宋体" w:cs="宋体"/>
                <w:kern w:val="0"/>
                <w:szCs w:val="21"/>
              </w:rPr>
            </w:pPr>
            <w:r>
              <w:rPr>
                <w:rFonts w:hint="eastAsia" w:ascii="宋体" w:hAnsi="宋体" w:cs="宋体"/>
                <w:kern w:val="0"/>
                <w:szCs w:val="21"/>
              </w:rPr>
              <w:t>万元</w:t>
            </w:r>
          </w:p>
        </w:tc>
        <w:tc>
          <w:tcPr>
            <w:tcW w:w="1946" w:type="dxa"/>
            <w:tcBorders>
              <w:top w:val="nil"/>
              <w:left w:val="nil"/>
              <w:bottom w:val="single" w:color="auto" w:sz="4" w:space="0"/>
              <w:right w:val="single" w:color="auto" w:sz="4" w:space="0"/>
            </w:tcBorders>
            <w:vAlign w:val="center"/>
          </w:tcPr>
          <w:p w14:paraId="34DE7A05">
            <w:pPr>
              <w:widowControl/>
              <w:jc w:val="left"/>
              <w:rPr>
                <w:rFonts w:ascii="宋体" w:hAnsi="宋体" w:cs="宋体"/>
                <w:kern w:val="0"/>
                <w:szCs w:val="21"/>
              </w:rPr>
            </w:pPr>
            <w:r>
              <w:rPr>
                <w:rFonts w:hint="eastAsia" w:ascii="宋体" w:hAnsi="宋体" w:cs="宋体"/>
                <w:kern w:val="0"/>
                <w:szCs w:val="21"/>
              </w:rPr>
              <w:t>500≤Y＜20000</w:t>
            </w:r>
          </w:p>
        </w:tc>
        <w:tc>
          <w:tcPr>
            <w:tcW w:w="1760" w:type="dxa"/>
            <w:tcBorders>
              <w:top w:val="nil"/>
              <w:left w:val="nil"/>
              <w:bottom w:val="single" w:color="auto" w:sz="4" w:space="0"/>
              <w:right w:val="single" w:color="auto" w:sz="4" w:space="0"/>
            </w:tcBorders>
            <w:vAlign w:val="center"/>
          </w:tcPr>
          <w:p w14:paraId="45ED70E6">
            <w:pPr>
              <w:widowControl/>
              <w:jc w:val="left"/>
              <w:rPr>
                <w:rFonts w:ascii="宋体" w:hAnsi="宋体" w:cs="宋体"/>
                <w:kern w:val="0"/>
                <w:szCs w:val="21"/>
              </w:rPr>
            </w:pPr>
            <w:r>
              <w:rPr>
                <w:rFonts w:hint="eastAsia" w:ascii="宋体" w:hAnsi="宋体" w:cs="宋体"/>
                <w:kern w:val="0"/>
                <w:szCs w:val="21"/>
              </w:rPr>
              <w:t>50≤Y＜500</w:t>
            </w:r>
          </w:p>
        </w:tc>
        <w:tc>
          <w:tcPr>
            <w:tcW w:w="1160" w:type="dxa"/>
            <w:tcBorders>
              <w:top w:val="nil"/>
              <w:left w:val="nil"/>
              <w:bottom w:val="single" w:color="auto" w:sz="4" w:space="0"/>
              <w:right w:val="single" w:color="auto" w:sz="4" w:space="0"/>
            </w:tcBorders>
            <w:vAlign w:val="center"/>
          </w:tcPr>
          <w:p w14:paraId="1F60E956">
            <w:pPr>
              <w:widowControl/>
              <w:jc w:val="left"/>
              <w:rPr>
                <w:rFonts w:ascii="宋体" w:hAnsi="宋体" w:cs="宋体"/>
                <w:kern w:val="0"/>
                <w:szCs w:val="21"/>
              </w:rPr>
            </w:pPr>
            <w:r>
              <w:rPr>
                <w:rFonts w:hint="eastAsia" w:ascii="宋体" w:hAnsi="宋体" w:cs="宋体"/>
                <w:kern w:val="0"/>
                <w:szCs w:val="21"/>
              </w:rPr>
              <w:t>Y＜50</w:t>
            </w:r>
          </w:p>
        </w:tc>
      </w:tr>
      <w:tr w14:paraId="28F9B2C8">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3D0BF23F">
            <w:pPr>
              <w:widowControl/>
              <w:jc w:val="center"/>
              <w:rPr>
                <w:rFonts w:ascii="宋体" w:hAnsi="宋体" w:cs="宋体"/>
                <w:b/>
                <w:bCs/>
                <w:kern w:val="0"/>
                <w:szCs w:val="21"/>
              </w:rPr>
            </w:pPr>
            <w:r>
              <w:rPr>
                <w:rFonts w:hint="eastAsia" w:ascii="宋体" w:hAnsi="宋体" w:cs="宋体"/>
                <w:b/>
                <w:bCs/>
                <w:kern w:val="0"/>
                <w:szCs w:val="21"/>
              </w:rPr>
              <w:t>工业</w:t>
            </w:r>
          </w:p>
        </w:tc>
        <w:tc>
          <w:tcPr>
            <w:tcW w:w="1573" w:type="dxa"/>
            <w:tcBorders>
              <w:top w:val="nil"/>
              <w:left w:val="nil"/>
              <w:bottom w:val="single" w:color="auto" w:sz="4" w:space="0"/>
              <w:right w:val="single" w:color="auto" w:sz="4" w:space="0"/>
            </w:tcBorders>
            <w:vAlign w:val="center"/>
          </w:tcPr>
          <w:p w14:paraId="1B086B5A">
            <w:pPr>
              <w:widowControl/>
              <w:jc w:val="left"/>
              <w:rPr>
                <w:rFonts w:ascii="宋体" w:hAnsi="宋体" w:cs="宋体"/>
                <w:kern w:val="0"/>
                <w:szCs w:val="21"/>
              </w:rPr>
            </w:pPr>
            <w:r>
              <w:rPr>
                <w:rFonts w:hint="eastAsia" w:ascii="宋体" w:hAnsi="宋体" w:cs="宋体"/>
                <w:kern w:val="0"/>
                <w:szCs w:val="21"/>
              </w:rPr>
              <w:t>从业人员（X）</w:t>
            </w:r>
          </w:p>
        </w:tc>
        <w:tc>
          <w:tcPr>
            <w:tcW w:w="1134" w:type="dxa"/>
            <w:tcBorders>
              <w:top w:val="nil"/>
              <w:left w:val="nil"/>
              <w:bottom w:val="single" w:color="auto" w:sz="4" w:space="0"/>
              <w:right w:val="single" w:color="auto" w:sz="4" w:space="0"/>
            </w:tcBorders>
            <w:vAlign w:val="center"/>
          </w:tcPr>
          <w:p w14:paraId="16587496">
            <w:pPr>
              <w:widowControl/>
              <w:jc w:val="left"/>
              <w:rPr>
                <w:rFonts w:ascii="宋体" w:hAnsi="宋体" w:cs="宋体"/>
                <w:kern w:val="0"/>
                <w:szCs w:val="21"/>
              </w:rPr>
            </w:pPr>
            <w:r>
              <w:rPr>
                <w:rFonts w:hint="eastAsia" w:ascii="宋体" w:hAnsi="宋体" w:cs="宋体"/>
                <w:kern w:val="0"/>
                <w:szCs w:val="21"/>
              </w:rPr>
              <w:t>人</w:t>
            </w:r>
          </w:p>
        </w:tc>
        <w:tc>
          <w:tcPr>
            <w:tcW w:w="1946" w:type="dxa"/>
            <w:tcBorders>
              <w:top w:val="nil"/>
              <w:left w:val="nil"/>
              <w:bottom w:val="single" w:color="auto" w:sz="4" w:space="0"/>
              <w:right w:val="single" w:color="auto" w:sz="4" w:space="0"/>
            </w:tcBorders>
            <w:vAlign w:val="center"/>
          </w:tcPr>
          <w:p w14:paraId="4F8C6203">
            <w:pPr>
              <w:widowControl/>
              <w:jc w:val="left"/>
              <w:rPr>
                <w:rFonts w:ascii="宋体" w:hAnsi="宋体" w:cs="宋体"/>
                <w:kern w:val="0"/>
                <w:szCs w:val="21"/>
              </w:rPr>
            </w:pPr>
            <w:r>
              <w:rPr>
                <w:rFonts w:hint="eastAsia" w:ascii="宋体" w:hAnsi="宋体" w:cs="宋体"/>
                <w:kern w:val="0"/>
                <w:szCs w:val="21"/>
              </w:rPr>
              <w:t>300≤X＜1000</w:t>
            </w:r>
          </w:p>
        </w:tc>
        <w:tc>
          <w:tcPr>
            <w:tcW w:w="1760" w:type="dxa"/>
            <w:tcBorders>
              <w:top w:val="nil"/>
              <w:left w:val="nil"/>
              <w:bottom w:val="single" w:color="auto" w:sz="4" w:space="0"/>
              <w:right w:val="single" w:color="auto" w:sz="4" w:space="0"/>
            </w:tcBorders>
            <w:vAlign w:val="center"/>
          </w:tcPr>
          <w:p w14:paraId="45C9D7E4">
            <w:pPr>
              <w:widowControl/>
              <w:jc w:val="left"/>
              <w:rPr>
                <w:rFonts w:ascii="宋体" w:hAnsi="宋体" w:cs="宋体"/>
                <w:kern w:val="0"/>
                <w:szCs w:val="21"/>
              </w:rPr>
            </w:pPr>
            <w:r>
              <w:rPr>
                <w:rFonts w:hint="eastAsia" w:ascii="宋体" w:hAnsi="宋体" w:cs="宋体"/>
                <w:kern w:val="0"/>
                <w:szCs w:val="21"/>
              </w:rPr>
              <w:t>20≤X＜300</w:t>
            </w:r>
          </w:p>
        </w:tc>
        <w:tc>
          <w:tcPr>
            <w:tcW w:w="1160" w:type="dxa"/>
            <w:tcBorders>
              <w:top w:val="nil"/>
              <w:left w:val="nil"/>
              <w:bottom w:val="single" w:color="auto" w:sz="4" w:space="0"/>
              <w:right w:val="single" w:color="auto" w:sz="4" w:space="0"/>
            </w:tcBorders>
            <w:vAlign w:val="center"/>
          </w:tcPr>
          <w:p w14:paraId="161CBFDC">
            <w:pPr>
              <w:widowControl/>
              <w:jc w:val="left"/>
              <w:rPr>
                <w:rFonts w:ascii="宋体" w:hAnsi="宋体" w:cs="宋体"/>
                <w:kern w:val="0"/>
                <w:szCs w:val="21"/>
              </w:rPr>
            </w:pPr>
            <w:r>
              <w:rPr>
                <w:rFonts w:hint="eastAsia" w:ascii="宋体" w:hAnsi="宋体" w:cs="宋体"/>
                <w:kern w:val="0"/>
                <w:szCs w:val="21"/>
              </w:rPr>
              <w:t>X＜20</w:t>
            </w:r>
          </w:p>
        </w:tc>
      </w:tr>
      <w:tr w14:paraId="01B5838F">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372A0333">
            <w:pPr>
              <w:widowControl/>
              <w:jc w:val="left"/>
              <w:rPr>
                <w:rFonts w:ascii="宋体" w:hAnsi="宋体" w:cs="宋体"/>
                <w:b/>
                <w:bCs/>
                <w:kern w:val="0"/>
                <w:szCs w:val="21"/>
              </w:rPr>
            </w:pPr>
          </w:p>
        </w:tc>
        <w:tc>
          <w:tcPr>
            <w:tcW w:w="1573" w:type="dxa"/>
            <w:tcBorders>
              <w:top w:val="nil"/>
              <w:left w:val="nil"/>
              <w:bottom w:val="single" w:color="auto" w:sz="4" w:space="0"/>
              <w:right w:val="single" w:color="auto" w:sz="4" w:space="0"/>
            </w:tcBorders>
            <w:vAlign w:val="center"/>
          </w:tcPr>
          <w:p w14:paraId="34B9D58C">
            <w:pPr>
              <w:widowControl/>
              <w:jc w:val="left"/>
              <w:rPr>
                <w:rFonts w:ascii="宋体" w:hAnsi="宋体" w:cs="宋体"/>
                <w:kern w:val="0"/>
                <w:szCs w:val="21"/>
              </w:rPr>
            </w:pPr>
            <w:r>
              <w:rPr>
                <w:rFonts w:hint="eastAsia" w:ascii="宋体" w:hAnsi="宋体" w:cs="宋体"/>
                <w:kern w:val="0"/>
                <w:szCs w:val="21"/>
              </w:rPr>
              <w:t>营业收入（Y）</w:t>
            </w:r>
          </w:p>
        </w:tc>
        <w:tc>
          <w:tcPr>
            <w:tcW w:w="1134" w:type="dxa"/>
            <w:tcBorders>
              <w:top w:val="nil"/>
              <w:left w:val="nil"/>
              <w:bottom w:val="single" w:color="auto" w:sz="4" w:space="0"/>
              <w:right w:val="single" w:color="auto" w:sz="4" w:space="0"/>
            </w:tcBorders>
            <w:vAlign w:val="center"/>
          </w:tcPr>
          <w:p w14:paraId="5AF363AE">
            <w:pPr>
              <w:widowControl/>
              <w:jc w:val="left"/>
              <w:rPr>
                <w:rFonts w:ascii="宋体" w:hAnsi="宋体" w:cs="宋体"/>
                <w:kern w:val="0"/>
                <w:szCs w:val="21"/>
              </w:rPr>
            </w:pPr>
            <w:r>
              <w:rPr>
                <w:rFonts w:hint="eastAsia" w:ascii="宋体" w:hAnsi="宋体" w:cs="宋体"/>
                <w:kern w:val="0"/>
                <w:szCs w:val="21"/>
              </w:rPr>
              <w:t>万元</w:t>
            </w:r>
          </w:p>
        </w:tc>
        <w:tc>
          <w:tcPr>
            <w:tcW w:w="1946" w:type="dxa"/>
            <w:tcBorders>
              <w:top w:val="nil"/>
              <w:left w:val="nil"/>
              <w:bottom w:val="single" w:color="auto" w:sz="4" w:space="0"/>
              <w:right w:val="single" w:color="auto" w:sz="4" w:space="0"/>
            </w:tcBorders>
            <w:vAlign w:val="center"/>
          </w:tcPr>
          <w:p w14:paraId="67CB8D26">
            <w:pPr>
              <w:widowControl/>
              <w:jc w:val="left"/>
              <w:rPr>
                <w:rFonts w:ascii="宋体" w:hAnsi="宋体" w:cs="宋体"/>
                <w:kern w:val="0"/>
                <w:szCs w:val="21"/>
              </w:rPr>
            </w:pPr>
            <w:r>
              <w:rPr>
                <w:rFonts w:hint="eastAsia" w:ascii="宋体" w:hAnsi="宋体" w:cs="宋体"/>
                <w:kern w:val="0"/>
                <w:szCs w:val="21"/>
              </w:rPr>
              <w:t>2000≤Y＜40000</w:t>
            </w:r>
          </w:p>
        </w:tc>
        <w:tc>
          <w:tcPr>
            <w:tcW w:w="1760" w:type="dxa"/>
            <w:tcBorders>
              <w:top w:val="nil"/>
              <w:left w:val="nil"/>
              <w:bottom w:val="single" w:color="auto" w:sz="4" w:space="0"/>
              <w:right w:val="single" w:color="auto" w:sz="4" w:space="0"/>
            </w:tcBorders>
            <w:vAlign w:val="center"/>
          </w:tcPr>
          <w:p w14:paraId="23546B9D">
            <w:pPr>
              <w:widowControl/>
              <w:jc w:val="left"/>
              <w:rPr>
                <w:rFonts w:ascii="宋体" w:hAnsi="宋体" w:cs="宋体"/>
                <w:kern w:val="0"/>
                <w:szCs w:val="21"/>
              </w:rPr>
            </w:pPr>
            <w:r>
              <w:rPr>
                <w:rFonts w:hint="eastAsia" w:ascii="宋体" w:hAnsi="宋体" w:cs="宋体"/>
                <w:kern w:val="0"/>
                <w:szCs w:val="21"/>
              </w:rPr>
              <w:t>300≤Y＜2000</w:t>
            </w:r>
          </w:p>
        </w:tc>
        <w:tc>
          <w:tcPr>
            <w:tcW w:w="1160" w:type="dxa"/>
            <w:tcBorders>
              <w:top w:val="nil"/>
              <w:left w:val="nil"/>
              <w:bottom w:val="single" w:color="auto" w:sz="4" w:space="0"/>
              <w:right w:val="single" w:color="auto" w:sz="4" w:space="0"/>
            </w:tcBorders>
            <w:vAlign w:val="center"/>
          </w:tcPr>
          <w:p w14:paraId="50EAB5C7">
            <w:pPr>
              <w:widowControl/>
              <w:jc w:val="left"/>
              <w:rPr>
                <w:rFonts w:ascii="宋体" w:hAnsi="宋体" w:cs="宋体"/>
                <w:kern w:val="0"/>
                <w:szCs w:val="21"/>
              </w:rPr>
            </w:pPr>
            <w:r>
              <w:rPr>
                <w:rFonts w:hint="eastAsia" w:ascii="宋体" w:hAnsi="宋体" w:cs="宋体"/>
                <w:kern w:val="0"/>
                <w:szCs w:val="21"/>
              </w:rPr>
              <w:t>Y＜300</w:t>
            </w:r>
          </w:p>
        </w:tc>
      </w:tr>
      <w:tr w14:paraId="76C5ECA7">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1D742D39">
            <w:pPr>
              <w:widowControl/>
              <w:jc w:val="center"/>
              <w:rPr>
                <w:rFonts w:ascii="宋体" w:hAnsi="宋体" w:cs="宋体"/>
                <w:b/>
                <w:bCs/>
                <w:kern w:val="0"/>
                <w:szCs w:val="21"/>
              </w:rPr>
            </w:pPr>
            <w:r>
              <w:rPr>
                <w:rFonts w:hint="eastAsia" w:ascii="宋体" w:hAnsi="宋体" w:cs="宋体"/>
                <w:b/>
                <w:bCs/>
                <w:kern w:val="0"/>
                <w:szCs w:val="21"/>
              </w:rPr>
              <w:t>建筑业</w:t>
            </w:r>
          </w:p>
        </w:tc>
        <w:tc>
          <w:tcPr>
            <w:tcW w:w="1573" w:type="dxa"/>
            <w:tcBorders>
              <w:top w:val="nil"/>
              <w:left w:val="nil"/>
              <w:bottom w:val="single" w:color="auto" w:sz="4" w:space="0"/>
              <w:right w:val="single" w:color="auto" w:sz="4" w:space="0"/>
            </w:tcBorders>
            <w:vAlign w:val="center"/>
          </w:tcPr>
          <w:p w14:paraId="2DA9D5E0">
            <w:pPr>
              <w:widowControl/>
              <w:jc w:val="left"/>
              <w:rPr>
                <w:rFonts w:ascii="宋体" w:hAnsi="宋体" w:cs="宋体"/>
                <w:kern w:val="0"/>
                <w:szCs w:val="21"/>
              </w:rPr>
            </w:pPr>
            <w:r>
              <w:rPr>
                <w:rFonts w:hint="eastAsia" w:ascii="宋体" w:hAnsi="宋体" w:cs="宋体"/>
                <w:kern w:val="0"/>
                <w:szCs w:val="21"/>
              </w:rPr>
              <w:t>营业收入（Y）</w:t>
            </w:r>
          </w:p>
        </w:tc>
        <w:tc>
          <w:tcPr>
            <w:tcW w:w="1134" w:type="dxa"/>
            <w:tcBorders>
              <w:top w:val="nil"/>
              <w:left w:val="nil"/>
              <w:bottom w:val="single" w:color="auto" w:sz="4" w:space="0"/>
              <w:right w:val="single" w:color="auto" w:sz="4" w:space="0"/>
            </w:tcBorders>
            <w:vAlign w:val="center"/>
          </w:tcPr>
          <w:p w14:paraId="2D501864">
            <w:pPr>
              <w:widowControl/>
              <w:jc w:val="left"/>
              <w:rPr>
                <w:rFonts w:ascii="宋体" w:hAnsi="宋体" w:cs="宋体"/>
                <w:kern w:val="0"/>
                <w:szCs w:val="21"/>
              </w:rPr>
            </w:pPr>
            <w:r>
              <w:rPr>
                <w:rFonts w:hint="eastAsia" w:ascii="宋体" w:hAnsi="宋体" w:cs="宋体"/>
                <w:kern w:val="0"/>
                <w:szCs w:val="21"/>
              </w:rPr>
              <w:t>万元</w:t>
            </w:r>
          </w:p>
        </w:tc>
        <w:tc>
          <w:tcPr>
            <w:tcW w:w="1946" w:type="dxa"/>
            <w:tcBorders>
              <w:top w:val="nil"/>
              <w:left w:val="nil"/>
              <w:bottom w:val="single" w:color="auto" w:sz="4" w:space="0"/>
              <w:right w:val="single" w:color="auto" w:sz="4" w:space="0"/>
            </w:tcBorders>
            <w:vAlign w:val="center"/>
          </w:tcPr>
          <w:p w14:paraId="4CE36A18">
            <w:pPr>
              <w:widowControl/>
              <w:jc w:val="left"/>
              <w:rPr>
                <w:rFonts w:ascii="宋体" w:hAnsi="宋体" w:cs="宋体"/>
                <w:kern w:val="0"/>
                <w:szCs w:val="21"/>
              </w:rPr>
            </w:pPr>
            <w:r>
              <w:rPr>
                <w:rFonts w:hint="eastAsia" w:ascii="宋体" w:hAnsi="宋体" w:cs="宋体"/>
                <w:kern w:val="0"/>
                <w:szCs w:val="21"/>
              </w:rPr>
              <w:t>6000≤Y＜80000</w:t>
            </w:r>
          </w:p>
        </w:tc>
        <w:tc>
          <w:tcPr>
            <w:tcW w:w="1760" w:type="dxa"/>
            <w:tcBorders>
              <w:top w:val="nil"/>
              <w:left w:val="nil"/>
              <w:bottom w:val="single" w:color="auto" w:sz="4" w:space="0"/>
              <w:right w:val="single" w:color="auto" w:sz="4" w:space="0"/>
            </w:tcBorders>
            <w:vAlign w:val="center"/>
          </w:tcPr>
          <w:p w14:paraId="65B265A7">
            <w:pPr>
              <w:widowControl/>
              <w:jc w:val="left"/>
              <w:rPr>
                <w:rFonts w:ascii="宋体" w:hAnsi="宋体" w:cs="宋体"/>
                <w:kern w:val="0"/>
                <w:szCs w:val="21"/>
              </w:rPr>
            </w:pPr>
            <w:r>
              <w:rPr>
                <w:rFonts w:hint="eastAsia" w:ascii="宋体" w:hAnsi="宋体" w:cs="宋体"/>
                <w:kern w:val="0"/>
                <w:szCs w:val="21"/>
              </w:rPr>
              <w:t>300≤Y＜6000</w:t>
            </w:r>
          </w:p>
        </w:tc>
        <w:tc>
          <w:tcPr>
            <w:tcW w:w="1160" w:type="dxa"/>
            <w:tcBorders>
              <w:top w:val="nil"/>
              <w:left w:val="nil"/>
              <w:bottom w:val="single" w:color="auto" w:sz="4" w:space="0"/>
              <w:right w:val="single" w:color="auto" w:sz="4" w:space="0"/>
            </w:tcBorders>
            <w:vAlign w:val="center"/>
          </w:tcPr>
          <w:p w14:paraId="1F4BA260">
            <w:pPr>
              <w:widowControl/>
              <w:jc w:val="left"/>
              <w:rPr>
                <w:rFonts w:ascii="宋体" w:hAnsi="宋体" w:cs="宋体"/>
                <w:kern w:val="0"/>
                <w:szCs w:val="21"/>
              </w:rPr>
            </w:pPr>
            <w:r>
              <w:rPr>
                <w:rFonts w:hint="eastAsia" w:ascii="宋体" w:hAnsi="宋体" w:cs="宋体"/>
                <w:kern w:val="0"/>
                <w:szCs w:val="21"/>
              </w:rPr>
              <w:t>Y＜300</w:t>
            </w:r>
          </w:p>
        </w:tc>
      </w:tr>
      <w:tr w14:paraId="4369E74C">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15AFAE02">
            <w:pPr>
              <w:widowControl/>
              <w:jc w:val="left"/>
              <w:rPr>
                <w:rFonts w:ascii="宋体" w:hAnsi="宋体" w:cs="宋体"/>
                <w:b/>
                <w:bCs/>
                <w:kern w:val="0"/>
                <w:szCs w:val="21"/>
              </w:rPr>
            </w:pPr>
          </w:p>
        </w:tc>
        <w:tc>
          <w:tcPr>
            <w:tcW w:w="1573" w:type="dxa"/>
            <w:tcBorders>
              <w:top w:val="nil"/>
              <w:left w:val="nil"/>
              <w:bottom w:val="single" w:color="auto" w:sz="4" w:space="0"/>
              <w:right w:val="single" w:color="auto" w:sz="4" w:space="0"/>
            </w:tcBorders>
            <w:vAlign w:val="center"/>
          </w:tcPr>
          <w:p w14:paraId="697E7AB4">
            <w:pPr>
              <w:widowControl/>
              <w:jc w:val="left"/>
              <w:rPr>
                <w:rFonts w:ascii="宋体" w:hAnsi="宋体" w:cs="宋体"/>
                <w:kern w:val="0"/>
                <w:szCs w:val="21"/>
              </w:rPr>
            </w:pPr>
            <w:r>
              <w:rPr>
                <w:rFonts w:hint="eastAsia" w:ascii="宋体" w:hAnsi="宋体" w:cs="宋体"/>
                <w:kern w:val="0"/>
                <w:szCs w:val="21"/>
              </w:rPr>
              <w:t>资产总额（Z）</w:t>
            </w:r>
          </w:p>
        </w:tc>
        <w:tc>
          <w:tcPr>
            <w:tcW w:w="1134" w:type="dxa"/>
            <w:tcBorders>
              <w:top w:val="nil"/>
              <w:left w:val="nil"/>
              <w:bottom w:val="single" w:color="auto" w:sz="4" w:space="0"/>
              <w:right w:val="single" w:color="auto" w:sz="4" w:space="0"/>
            </w:tcBorders>
            <w:vAlign w:val="center"/>
          </w:tcPr>
          <w:p w14:paraId="76273290">
            <w:pPr>
              <w:widowControl/>
              <w:jc w:val="left"/>
              <w:rPr>
                <w:rFonts w:ascii="宋体" w:hAnsi="宋体" w:cs="宋体"/>
                <w:kern w:val="0"/>
                <w:szCs w:val="21"/>
              </w:rPr>
            </w:pPr>
            <w:r>
              <w:rPr>
                <w:rFonts w:hint="eastAsia" w:ascii="宋体" w:hAnsi="宋体" w:cs="宋体"/>
                <w:kern w:val="0"/>
                <w:szCs w:val="21"/>
              </w:rPr>
              <w:t>万元</w:t>
            </w:r>
          </w:p>
        </w:tc>
        <w:tc>
          <w:tcPr>
            <w:tcW w:w="1946" w:type="dxa"/>
            <w:tcBorders>
              <w:top w:val="nil"/>
              <w:left w:val="nil"/>
              <w:bottom w:val="single" w:color="auto" w:sz="4" w:space="0"/>
              <w:right w:val="single" w:color="auto" w:sz="4" w:space="0"/>
            </w:tcBorders>
            <w:vAlign w:val="center"/>
          </w:tcPr>
          <w:p w14:paraId="04B02E9F">
            <w:pPr>
              <w:widowControl/>
              <w:jc w:val="left"/>
              <w:rPr>
                <w:rFonts w:ascii="宋体" w:hAnsi="宋体" w:cs="宋体"/>
                <w:kern w:val="0"/>
                <w:szCs w:val="21"/>
              </w:rPr>
            </w:pPr>
            <w:r>
              <w:rPr>
                <w:rFonts w:hint="eastAsia" w:ascii="宋体" w:hAnsi="宋体" w:cs="宋体"/>
                <w:kern w:val="0"/>
                <w:szCs w:val="21"/>
              </w:rPr>
              <w:t>5000≤Z＜80000</w:t>
            </w:r>
          </w:p>
        </w:tc>
        <w:tc>
          <w:tcPr>
            <w:tcW w:w="1760" w:type="dxa"/>
            <w:tcBorders>
              <w:top w:val="nil"/>
              <w:left w:val="nil"/>
              <w:bottom w:val="single" w:color="auto" w:sz="4" w:space="0"/>
              <w:right w:val="single" w:color="auto" w:sz="4" w:space="0"/>
            </w:tcBorders>
            <w:vAlign w:val="center"/>
          </w:tcPr>
          <w:p w14:paraId="74CAA4CE">
            <w:pPr>
              <w:widowControl/>
              <w:jc w:val="left"/>
              <w:rPr>
                <w:rFonts w:ascii="宋体" w:hAnsi="宋体" w:cs="宋体"/>
                <w:kern w:val="0"/>
                <w:szCs w:val="21"/>
              </w:rPr>
            </w:pPr>
            <w:r>
              <w:rPr>
                <w:rFonts w:hint="eastAsia" w:ascii="宋体" w:hAnsi="宋体" w:cs="宋体"/>
                <w:kern w:val="0"/>
                <w:szCs w:val="21"/>
              </w:rPr>
              <w:t>300≤Z＜5000</w:t>
            </w:r>
          </w:p>
        </w:tc>
        <w:tc>
          <w:tcPr>
            <w:tcW w:w="1160" w:type="dxa"/>
            <w:tcBorders>
              <w:top w:val="nil"/>
              <w:left w:val="nil"/>
              <w:bottom w:val="single" w:color="auto" w:sz="4" w:space="0"/>
              <w:right w:val="single" w:color="auto" w:sz="4" w:space="0"/>
            </w:tcBorders>
            <w:vAlign w:val="center"/>
          </w:tcPr>
          <w:p w14:paraId="73846572">
            <w:pPr>
              <w:widowControl/>
              <w:jc w:val="left"/>
              <w:rPr>
                <w:rFonts w:ascii="宋体" w:hAnsi="宋体" w:cs="宋体"/>
                <w:kern w:val="0"/>
                <w:szCs w:val="21"/>
              </w:rPr>
            </w:pPr>
            <w:r>
              <w:rPr>
                <w:rFonts w:hint="eastAsia" w:ascii="宋体" w:hAnsi="宋体" w:cs="宋体"/>
                <w:kern w:val="0"/>
                <w:szCs w:val="21"/>
              </w:rPr>
              <w:t>Z＜300</w:t>
            </w:r>
          </w:p>
        </w:tc>
      </w:tr>
      <w:tr w14:paraId="7FD1CEB4">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3C718E4A">
            <w:pPr>
              <w:widowControl/>
              <w:jc w:val="center"/>
              <w:rPr>
                <w:rFonts w:ascii="宋体" w:hAnsi="宋体" w:cs="宋体"/>
                <w:b/>
                <w:bCs/>
                <w:kern w:val="0"/>
                <w:szCs w:val="21"/>
              </w:rPr>
            </w:pPr>
            <w:r>
              <w:rPr>
                <w:rFonts w:hint="eastAsia" w:ascii="宋体" w:hAnsi="宋体" w:cs="宋体"/>
                <w:b/>
                <w:bCs/>
                <w:kern w:val="0"/>
                <w:szCs w:val="21"/>
              </w:rPr>
              <w:t>批发业</w:t>
            </w:r>
          </w:p>
        </w:tc>
        <w:tc>
          <w:tcPr>
            <w:tcW w:w="1573" w:type="dxa"/>
            <w:tcBorders>
              <w:top w:val="nil"/>
              <w:left w:val="nil"/>
              <w:bottom w:val="single" w:color="auto" w:sz="4" w:space="0"/>
              <w:right w:val="single" w:color="auto" w:sz="4" w:space="0"/>
            </w:tcBorders>
            <w:vAlign w:val="center"/>
          </w:tcPr>
          <w:p w14:paraId="6B739842">
            <w:pPr>
              <w:widowControl/>
              <w:jc w:val="left"/>
              <w:rPr>
                <w:rFonts w:ascii="宋体" w:hAnsi="宋体" w:cs="宋体"/>
                <w:kern w:val="0"/>
                <w:szCs w:val="21"/>
              </w:rPr>
            </w:pPr>
            <w:r>
              <w:rPr>
                <w:rFonts w:hint="eastAsia" w:ascii="宋体" w:hAnsi="宋体" w:cs="宋体"/>
                <w:kern w:val="0"/>
                <w:szCs w:val="21"/>
              </w:rPr>
              <w:t>从业人员（X）</w:t>
            </w:r>
          </w:p>
        </w:tc>
        <w:tc>
          <w:tcPr>
            <w:tcW w:w="1134" w:type="dxa"/>
            <w:tcBorders>
              <w:top w:val="nil"/>
              <w:left w:val="nil"/>
              <w:bottom w:val="single" w:color="auto" w:sz="4" w:space="0"/>
              <w:right w:val="single" w:color="auto" w:sz="4" w:space="0"/>
            </w:tcBorders>
            <w:vAlign w:val="center"/>
          </w:tcPr>
          <w:p w14:paraId="419A57B1">
            <w:pPr>
              <w:widowControl/>
              <w:jc w:val="left"/>
              <w:rPr>
                <w:rFonts w:ascii="宋体" w:hAnsi="宋体" w:cs="宋体"/>
                <w:kern w:val="0"/>
                <w:szCs w:val="21"/>
              </w:rPr>
            </w:pPr>
            <w:r>
              <w:rPr>
                <w:rFonts w:hint="eastAsia" w:ascii="宋体" w:hAnsi="宋体" w:cs="宋体"/>
                <w:kern w:val="0"/>
                <w:szCs w:val="21"/>
              </w:rPr>
              <w:t>人</w:t>
            </w:r>
          </w:p>
        </w:tc>
        <w:tc>
          <w:tcPr>
            <w:tcW w:w="1946" w:type="dxa"/>
            <w:tcBorders>
              <w:top w:val="nil"/>
              <w:left w:val="nil"/>
              <w:bottom w:val="single" w:color="auto" w:sz="4" w:space="0"/>
              <w:right w:val="single" w:color="auto" w:sz="4" w:space="0"/>
            </w:tcBorders>
            <w:vAlign w:val="center"/>
          </w:tcPr>
          <w:p w14:paraId="7F29AA07">
            <w:pPr>
              <w:widowControl/>
              <w:jc w:val="left"/>
              <w:rPr>
                <w:rFonts w:ascii="宋体" w:hAnsi="宋体" w:cs="宋体"/>
                <w:kern w:val="0"/>
                <w:szCs w:val="21"/>
              </w:rPr>
            </w:pPr>
            <w:r>
              <w:rPr>
                <w:rFonts w:hint="eastAsia" w:ascii="宋体" w:hAnsi="宋体" w:cs="宋体"/>
                <w:kern w:val="0"/>
                <w:szCs w:val="21"/>
              </w:rPr>
              <w:t>20≤X＜200</w:t>
            </w:r>
          </w:p>
        </w:tc>
        <w:tc>
          <w:tcPr>
            <w:tcW w:w="1760" w:type="dxa"/>
            <w:tcBorders>
              <w:top w:val="nil"/>
              <w:left w:val="nil"/>
              <w:bottom w:val="single" w:color="auto" w:sz="4" w:space="0"/>
              <w:right w:val="single" w:color="auto" w:sz="4" w:space="0"/>
            </w:tcBorders>
            <w:vAlign w:val="center"/>
          </w:tcPr>
          <w:p w14:paraId="4E0A2DB7">
            <w:pPr>
              <w:widowControl/>
              <w:jc w:val="left"/>
              <w:rPr>
                <w:rFonts w:ascii="宋体" w:hAnsi="宋体" w:cs="宋体"/>
                <w:kern w:val="0"/>
                <w:szCs w:val="21"/>
              </w:rPr>
            </w:pPr>
            <w:r>
              <w:rPr>
                <w:rFonts w:hint="eastAsia" w:ascii="宋体" w:hAnsi="宋体" w:cs="宋体"/>
                <w:kern w:val="0"/>
                <w:szCs w:val="21"/>
              </w:rPr>
              <w:t>5≤X＜20</w:t>
            </w:r>
          </w:p>
        </w:tc>
        <w:tc>
          <w:tcPr>
            <w:tcW w:w="1160" w:type="dxa"/>
            <w:tcBorders>
              <w:top w:val="nil"/>
              <w:left w:val="nil"/>
              <w:bottom w:val="single" w:color="auto" w:sz="4" w:space="0"/>
              <w:right w:val="single" w:color="auto" w:sz="4" w:space="0"/>
            </w:tcBorders>
            <w:vAlign w:val="center"/>
          </w:tcPr>
          <w:p w14:paraId="3C44512F">
            <w:pPr>
              <w:widowControl/>
              <w:jc w:val="left"/>
              <w:rPr>
                <w:rFonts w:ascii="宋体" w:hAnsi="宋体" w:cs="宋体"/>
                <w:kern w:val="0"/>
                <w:szCs w:val="21"/>
              </w:rPr>
            </w:pPr>
            <w:r>
              <w:rPr>
                <w:rFonts w:hint="eastAsia" w:ascii="宋体" w:hAnsi="宋体" w:cs="宋体"/>
                <w:kern w:val="0"/>
                <w:szCs w:val="21"/>
              </w:rPr>
              <w:t>X＜5</w:t>
            </w:r>
          </w:p>
        </w:tc>
      </w:tr>
      <w:tr w14:paraId="630A2599">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4E4452E8">
            <w:pPr>
              <w:widowControl/>
              <w:jc w:val="left"/>
              <w:rPr>
                <w:rFonts w:ascii="宋体" w:hAnsi="宋体" w:cs="宋体"/>
                <w:b/>
                <w:bCs/>
                <w:kern w:val="0"/>
                <w:szCs w:val="21"/>
              </w:rPr>
            </w:pPr>
          </w:p>
        </w:tc>
        <w:tc>
          <w:tcPr>
            <w:tcW w:w="1573" w:type="dxa"/>
            <w:tcBorders>
              <w:top w:val="nil"/>
              <w:left w:val="nil"/>
              <w:bottom w:val="single" w:color="auto" w:sz="4" w:space="0"/>
              <w:right w:val="single" w:color="auto" w:sz="4" w:space="0"/>
            </w:tcBorders>
            <w:vAlign w:val="center"/>
          </w:tcPr>
          <w:p w14:paraId="1D58ECDC">
            <w:pPr>
              <w:widowControl/>
              <w:jc w:val="left"/>
              <w:rPr>
                <w:rFonts w:ascii="宋体" w:hAnsi="宋体" w:cs="宋体"/>
                <w:kern w:val="0"/>
                <w:szCs w:val="21"/>
              </w:rPr>
            </w:pPr>
            <w:r>
              <w:rPr>
                <w:rFonts w:hint="eastAsia" w:ascii="宋体" w:hAnsi="宋体" w:cs="宋体"/>
                <w:kern w:val="0"/>
                <w:szCs w:val="21"/>
              </w:rPr>
              <w:t>营业收入（Y）</w:t>
            </w:r>
          </w:p>
        </w:tc>
        <w:tc>
          <w:tcPr>
            <w:tcW w:w="1134" w:type="dxa"/>
            <w:tcBorders>
              <w:top w:val="nil"/>
              <w:left w:val="nil"/>
              <w:bottom w:val="single" w:color="auto" w:sz="4" w:space="0"/>
              <w:right w:val="single" w:color="auto" w:sz="4" w:space="0"/>
            </w:tcBorders>
            <w:vAlign w:val="center"/>
          </w:tcPr>
          <w:p w14:paraId="50C2CD8B">
            <w:pPr>
              <w:widowControl/>
              <w:jc w:val="left"/>
              <w:rPr>
                <w:rFonts w:ascii="宋体" w:hAnsi="宋体" w:cs="宋体"/>
                <w:kern w:val="0"/>
                <w:szCs w:val="21"/>
              </w:rPr>
            </w:pPr>
            <w:r>
              <w:rPr>
                <w:rFonts w:hint="eastAsia" w:ascii="宋体" w:hAnsi="宋体" w:cs="宋体"/>
                <w:kern w:val="0"/>
                <w:szCs w:val="21"/>
              </w:rPr>
              <w:t>万元</w:t>
            </w:r>
          </w:p>
        </w:tc>
        <w:tc>
          <w:tcPr>
            <w:tcW w:w="1946" w:type="dxa"/>
            <w:tcBorders>
              <w:top w:val="nil"/>
              <w:left w:val="nil"/>
              <w:bottom w:val="single" w:color="auto" w:sz="4" w:space="0"/>
              <w:right w:val="single" w:color="auto" w:sz="4" w:space="0"/>
            </w:tcBorders>
            <w:vAlign w:val="center"/>
          </w:tcPr>
          <w:p w14:paraId="20F28BDD">
            <w:pPr>
              <w:widowControl/>
              <w:jc w:val="left"/>
              <w:rPr>
                <w:rFonts w:ascii="宋体" w:hAnsi="宋体" w:cs="宋体"/>
                <w:kern w:val="0"/>
                <w:szCs w:val="21"/>
              </w:rPr>
            </w:pPr>
            <w:r>
              <w:rPr>
                <w:rFonts w:hint="eastAsia" w:ascii="宋体" w:hAnsi="宋体" w:cs="宋体"/>
                <w:kern w:val="0"/>
                <w:szCs w:val="21"/>
              </w:rPr>
              <w:t>5000≤Y＜40000</w:t>
            </w:r>
          </w:p>
        </w:tc>
        <w:tc>
          <w:tcPr>
            <w:tcW w:w="1760" w:type="dxa"/>
            <w:tcBorders>
              <w:top w:val="nil"/>
              <w:left w:val="nil"/>
              <w:bottom w:val="single" w:color="auto" w:sz="4" w:space="0"/>
              <w:right w:val="single" w:color="auto" w:sz="4" w:space="0"/>
            </w:tcBorders>
            <w:vAlign w:val="center"/>
          </w:tcPr>
          <w:p w14:paraId="6C566950">
            <w:pPr>
              <w:widowControl/>
              <w:jc w:val="left"/>
              <w:rPr>
                <w:rFonts w:ascii="宋体" w:hAnsi="宋体" w:cs="宋体"/>
                <w:kern w:val="0"/>
                <w:szCs w:val="21"/>
              </w:rPr>
            </w:pPr>
            <w:r>
              <w:rPr>
                <w:rFonts w:hint="eastAsia" w:ascii="宋体" w:hAnsi="宋体" w:cs="宋体"/>
                <w:kern w:val="0"/>
                <w:szCs w:val="21"/>
              </w:rPr>
              <w:t>1000≤Y＜5000</w:t>
            </w:r>
          </w:p>
        </w:tc>
        <w:tc>
          <w:tcPr>
            <w:tcW w:w="1160" w:type="dxa"/>
            <w:tcBorders>
              <w:top w:val="nil"/>
              <w:left w:val="nil"/>
              <w:bottom w:val="single" w:color="auto" w:sz="4" w:space="0"/>
              <w:right w:val="single" w:color="auto" w:sz="4" w:space="0"/>
            </w:tcBorders>
            <w:vAlign w:val="center"/>
          </w:tcPr>
          <w:p w14:paraId="0C55DD5F">
            <w:pPr>
              <w:widowControl/>
              <w:jc w:val="left"/>
              <w:rPr>
                <w:rFonts w:ascii="宋体" w:hAnsi="宋体" w:cs="宋体"/>
                <w:kern w:val="0"/>
                <w:szCs w:val="21"/>
              </w:rPr>
            </w:pPr>
            <w:r>
              <w:rPr>
                <w:rFonts w:hint="eastAsia" w:ascii="宋体" w:hAnsi="宋体" w:cs="宋体"/>
                <w:kern w:val="0"/>
                <w:szCs w:val="21"/>
              </w:rPr>
              <w:t>Y＜1000</w:t>
            </w:r>
          </w:p>
        </w:tc>
      </w:tr>
      <w:tr w14:paraId="62E8907F">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3CD00878">
            <w:pPr>
              <w:widowControl/>
              <w:jc w:val="center"/>
              <w:rPr>
                <w:rFonts w:ascii="宋体" w:hAnsi="宋体" w:cs="宋体"/>
                <w:b/>
                <w:bCs/>
                <w:kern w:val="0"/>
                <w:szCs w:val="21"/>
              </w:rPr>
            </w:pPr>
            <w:r>
              <w:rPr>
                <w:rFonts w:hint="eastAsia" w:ascii="宋体" w:hAnsi="宋体" w:cs="宋体"/>
                <w:b/>
                <w:bCs/>
                <w:kern w:val="0"/>
                <w:szCs w:val="21"/>
              </w:rPr>
              <w:t>零售业</w:t>
            </w:r>
          </w:p>
        </w:tc>
        <w:tc>
          <w:tcPr>
            <w:tcW w:w="1573" w:type="dxa"/>
            <w:tcBorders>
              <w:top w:val="nil"/>
              <w:left w:val="nil"/>
              <w:bottom w:val="single" w:color="auto" w:sz="4" w:space="0"/>
              <w:right w:val="single" w:color="auto" w:sz="4" w:space="0"/>
            </w:tcBorders>
            <w:vAlign w:val="center"/>
          </w:tcPr>
          <w:p w14:paraId="335CF802">
            <w:pPr>
              <w:widowControl/>
              <w:jc w:val="left"/>
              <w:rPr>
                <w:rFonts w:ascii="宋体" w:hAnsi="宋体" w:cs="宋体"/>
                <w:kern w:val="0"/>
                <w:szCs w:val="21"/>
              </w:rPr>
            </w:pPr>
            <w:r>
              <w:rPr>
                <w:rFonts w:hint="eastAsia" w:ascii="宋体" w:hAnsi="宋体" w:cs="宋体"/>
                <w:kern w:val="0"/>
                <w:szCs w:val="21"/>
              </w:rPr>
              <w:t>从业人员（X）</w:t>
            </w:r>
          </w:p>
        </w:tc>
        <w:tc>
          <w:tcPr>
            <w:tcW w:w="1134" w:type="dxa"/>
            <w:tcBorders>
              <w:top w:val="nil"/>
              <w:left w:val="nil"/>
              <w:bottom w:val="single" w:color="auto" w:sz="4" w:space="0"/>
              <w:right w:val="single" w:color="auto" w:sz="4" w:space="0"/>
            </w:tcBorders>
            <w:vAlign w:val="center"/>
          </w:tcPr>
          <w:p w14:paraId="5AE3534D">
            <w:pPr>
              <w:widowControl/>
              <w:jc w:val="left"/>
              <w:rPr>
                <w:rFonts w:ascii="宋体" w:hAnsi="宋体" w:cs="宋体"/>
                <w:kern w:val="0"/>
                <w:szCs w:val="21"/>
              </w:rPr>
            </w:pPr>
            <w:r>
              <w:rPr>
                <w:rFonts w:hint="eastAsia" w:ascii="宋体" w:hAnsi="宋体" w:cs="宋体"/>
                <w:kern w:val="0"/>
                <w:szCs w:val="21"/>
              </w:rPr>
              <w:t>人</w:t>
            </w:r>
          </w:p>
        </w:tc>
        <w:tc>
          <w:tcPr>
            <w:tcW w:w="1946" w:type="dxa"/>
            <w:tcBorders>
              <w:top w:val="nil"/>
              <w:left w:val="nil"/>
              <w:bottom w:val="single" w:color="auto" w:sz="4" w:space="0"/>
              <w:right w:val="single" w:color="auto" w:sz="4" w:space="0"/>
            </w:tcBorders>
            <w:vAlign w:val="center"/>
          </w:tcPr>
          <w:p w14:paraId="29C35210">
            <w:pPr>
              <w:widowControl/>
              <w:jc w:val="left"/>
              <w:rPr>
                <w:rFonts w:ascii="宋体" w:hAnsi="宋体" w:cs="宋体"/>
                <w:kern w:val="0"/>
                <w:szCs w:val="21"/>
              </w:rPr>
            </w:pPr>
            <w:r>
              <w:rPr>
                <w:rFonts w:hint="eastAsia" w:ascii="宋体" w:hAnsi="宋体" w:cs="宋体"/>
                <w:kern w:val="0"/>
                <w:szCs w:val="21"/>
              </w:rPr>
              <w:t>50≤X＜300</w:t>
            </w:r>
          </w:p>
        </w:tc>
        <w:tc>
          <w:tcPr>
            <w:tcW w:w="1760" w:type="dxa"/>
            <w:tcBorders>
              <w:top w:val="nil"/>
              <w:left w:val="nil"/>
              <w:bottom w:val="single" w:color="auto" w:sz="4" w:space="0"/>
              <w:right w:val="single" w:color="auto" w:sz="4" w:space="0"/>
            </w:tcBorders>
            <w:vAlign w:val="center"/>
          </w:tcPr>
          <w:p w14:paraId="6380D298">
            <w:pPr>
              <w:widowControl/>
              <w:jc w:val="left"/>
              <w:rPr>
                <w:rFonts w:ascii="宋体" w:hAnsi="宋体" w:cs="宋体"/>
                <w:kern w:val="0"/>
                <w:szCs w:val="21"/>
              </w:rPr>
            </w:pPr>
            <w:r>
              <w:rPr>
                <w:rFonts w:hint="eastAsia" w:ascii="宋体" w:hAnsi="宋体" w:cs="宋体"/>
                <w:kern w:val="0"/>
                <w:szCs w:val="21"/>
              </w:rPr>
              <w:t>10≤X＜50</w:t>
            </w:r>
          </w:p>
        </w:tc>
        <w:tc>
          <w:tcPr>
            <w:tcW w:w="1160" w:type="dxa"/>
            <w:tcBorders>
              <w:top w:val="nil"/>
              <w:left w:val="nil"/>
              <w:bottom w:val="single" w:color="auto" w:sz="4" w:space="0"/>
              <w:right w:val="single" w:color="auto" w:sz="4" w:space="0"/>
            </w:tcBorders>
            <w:vAlign w:val="center"/>
          </w:tcPr>
          <w:p w14:paraId="77326508">
            <w:pPr>
              <w:widowControl/>
              <w:jc w:val="left"/>
              <w:rPr>
                <w:rFonts w:ascii="宋体" w:hAnsi="宋体" w:cs="宋体"/>
                <w:kern w:val="0"/>
                <w:szCs w:val="21"/>
              </w:rPr>
            </w:pPr>
            <w:r>
              <w:rPr>
                <w:rFonts w:hint="eastAsia" w:ascii="宋体" w:hAnsi="宋体" w:cs="宋体"/>
                <w:kern w:val="0"/>
                <w:szCs w:val="21"/>
              </w:rPr>
              <w:t>X＜10</w:t>
            </w:r>
          </w:p>
        </w:tc>
      </w:tr>
      <w:tr w14:paraId="4E1A82E9">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0DC52005">
            <w:pPr>
              <w:widowControl/>
              <w:jc w:val="left"/>
              <w:rPr>
                <w:rFonts w:ascii="宋体" w:hAnsi="宋体" w:cs="宋体"/>
                <w:b/>
                <w:bCs/>
                <w:kern w:val="0"/>
                <w:szCs w:val="21"/>
              </w:rPr>
            </w:pPr>
          </w:p>
        </w:tc>
        <w:tc>
          <w:tcPr>
            <w:tcW w:w="1573" w:type="dxa"/>
            <w:tcBorders>
              <w:top w:val="nil"/>
              <w:left w:val="nil"/>
              <w:bottom w:val="single" w:color="auto" w:sz="4" w:space="0"/>
              <w:right w:val="single" w:color="auto" w:sz="4" w:space="0"/>
            </w:tcBorders>
            <w:vAlign w:val="center"/>
          </w:tcPr>
          <w:p w14:paraId="3BBCD940">
            <w:pPr>
              <w:widowControl/>
              <w:jc w:val="left"/>
              <w:rPr>
                <w:rFonts w:ascii="宋体" w:hAnsi="宋体" w:cs="宋体"/>
                <w:kern w:val="0"/>
                <w:szCs w:val="21"/>
              </w:rPr>
            </w:pPr>
            <w:r>
              <w:rPr>
                <w:rFonts w:hint="eastAsia" w:ascii="宋体" w:hAnsi="宋体" w:cs="宋体"/>
                <w:kern w:val="0"/>
                <w:szCs w:val="21"/>
              </w:rPr>
              <w:t>营业收入（Y）</w:t>
            </w:r>
          </w:p>
        </w:tc>
        <w:tc>
          <w:tcPr>
            <w:tcW w:w="1134" w:type="dxa"/>
            <w:tcBorders>
              <w:top w:val="nil"/>
              <w:left w:val="nil"/>
              <w:bottom w:val="single" w:color="auto" w:sz="4" w:space="0"/>
              <w:right w:val="single" w:color="auto" w:sz="4" w:space="0"/>
            </w:tcBorders>
            <w:vAlign w:val="center"/>
          </w:tcPr>
          <w:p w14:paraId="0FDCAFC4">
            <w:pPr>
              <w:widowControl/>
              <w:jc w:val="left"/>
              <w:rPr>
                <w:rFonts w:ascii="宋体" w:hAnsi="宋体" w:cs="宋体"/>
                <w:kern w:val="0"/>
                <w:szCs w:val="21"/>
              </w:rPr>
            </w:pPr>
            <w:r>
              <w:rPr>
                <w:rFonts w:hint="eastAsia" w:ascii="宋体" w:hAnsi="宋体" w:cs="宋体"/>
                <w:kern w:val="0"/>
                <w:szCs w:val="21"/>
              </w:rPr>
              <w:t>万元</w:t>
            </w:r>
          </w:p>
        </w:tc>
        <w:tc>
          <w:tcPr>
            <w:tcW w:w="1946" w:type="dxa"/>
            <w:tcBorders>
              <w:top w:val="nil"/>
              <w:left w:val="nil"/>
              <w:bottom w:val="single" w:color="auto" w:sz="4" w:space="0"/>
              <w:right w:val="single" w:color="auto" w:sz="4" w:space="0"/>
            </w:tcBorders>
            <w:vAlign w:val="center"/>
          </w:tcPr>
          <w:p w14:paraId="2E550B18">
            <w:pPr>
              <w:widowControl/>
              <w:jc w:val="left"/>
              <w:rPr>
                <w:rFonts w:ascii="宋体" w:hAnsi="宋体" w:cs="宋体"/>
                <w:kern w:val="0"/>
                <w:szCs w:val="21"/>
              </w:rPr>
            </w:pPr>
            <w:r>
              <w:rPr>
                <w:rFonts w:hint="eastAsia" w:ascii="宋体" w:hAnsi="宋体" w:cs="宋体"/>
                <w:kern w:val="0"/>
                <w:szCs w:val="21"/>
              </w:rPr>
              <w:t>500≤Y＜20000</w:t>
            </w:r>
          </w:p>
        </w:tc>
        <w:tc>
          <w:tcPr>
            <w:tcW w:w="1760" w:type="dxa"/>
            <w:tcBorders>
              <w:top w:val="nil"/>
              <w:left w:val="nil"/>
              <w:bottom w:val="single" w:color="auto" w:sz="4" w:space="0"/>
              <w:right w:val="single" w:color="auto" w:sz="4" w:space="0"/>
            </w:tcBorders>
            <w:vAlign w:val="center"/>
          </w:tcPr>
          <w:p w14:paraId="72938AB0">
            <w:pPr>
              <w:widowControl/>
              <w:jc w:val="left"/>
              <w:rPr>
                <w:rFonts w:ascii="宋体" w:hAnsi="宋体" w:cs="宋体"/>
                <w:kern w:val="0"/>
                <w:szCs w:val="21"/>
              </w:rPr>
            </w:pPr>
            <w:r>
              <w:rPr>
                <w:rFonts w:hint="eastAsia" w:ascii="宋体" w:hAnsi="宋体" w:cs="宋体"/>
                <w:kern w:val="0"/>
                <w:szCs w:val="21"/>
              </w:rPr>
              <w:t>100≤Y＜500</w:t>
            </w:r>
          </w:p>
        </w:tc>
        <w:tc>
          <w:tcPr>
            <w:tcW w:w="1160" w:type="dxa"/>
            <w:tcBorders>
              <w:top w:val="nil"/>
              <w:left w:val="nil"/>
              <w:bottom w:val="single" w:color="auto" w:sz="4" w:space="0"/>
              <w:right w:val="single" w:color="auto" w:sz="4" w:space="0"/>
            </w:tcBorders>
            <w:vAlign w:val="center"/>
          </w:tcPr>
          <w:p w14:paraId="0DDAE915">
            <w:pPr>
              <w:widowControl/>
              <w:jc w:val="left"/>
              <w:rPr>
                <w:rFonts w:ascii="宋体" w:hAnsi="宋体" w:cs="宋体"/>
                <w:kern w:val="0"/>
                <w:szCs w:val="21"/>
              </w:rPr>
            </w:pPr>
            <w:r>
              <w:rPr>
                <w:rFonts w:hint="eastAsia" w:ascii="宋体" w:hAnsi="宋体" w:cs="宋体"/>
                <w:kern w:val="0"/>
                <w:szCs w:val="21"/>
              </w:rPr>
              <w:t>Y＜100</w:t>
            </w:r>
          </w:p>
        </w:tc>
      </w:tr>
      <w:tr w14:paraId="603EC27B">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18CF76E5">
            <w:pPr>
              <w:widowControl/>
              <w:jc w:val="center"/>
              <w:rPr>
                <w:rFonts w:ascii="宋体" w:hAnsi="宋体" w:cs="宋体"/>
                <w:b/>
                <w:bCs/>
                <w:kern w:val="0"/>
                <w:szCs w:val="21"/>
              </w:rPr>
            </w:pPr>
            <w:r>
              <w:rPr>
                <w:rFonts w:hint="eastAsia" w:ascii="宋体" w:hAnsi="宋体" w:cs="宋体"/>
                <w:b/>
                <w:bCs/>
                <w:kern w:val="0"/>
                <w:szCs w:val="21"/>
              </w:rPr>
              <w:t>交通运输业</w:t>
            </w:r>
          </w:p>
        </w:tc>
        <w:tc>
          <w:tcPr>
            <w:tcW w:w="1573" w:type="dxa"/>
            <w:tcBorders>
              <w:top w:val="nil"/>
              <w:left w:val="nil"/>
              <w:bottom w:val="single" w:color="auto" w:sz="4" w:space="0"/>
              <w:right w:val="single" w:color="auto" w:sz="4" w:space="0"/>
            </w:tcBorders>
            <w:vAlign w:val="center"/>
          </w:tcPr>
          <w:p w14:paraId="73351FE6">
            <w:pPr>
              <w:widowControl/>
              <w:jc w:val="left"/>
              <w:rPr>
                <w:rFonts w:ascii="宋体" w:hAnsi="宋体" w:cs="宋体"/>
                <w:kern w:val="0"/>
                <w:szCs w:val="21"/>
              </w:rPr>
            </w:pPr>
            <w:r>
              <w:rPr>
                <w:rFonts w:hint="eastAsia" w:ascii="宋体" w:hAnsi="宋体" w:cs="宋体"/>
                <w:kern w:val="0"/>
                <w:szCs w:val="21"/>
              </w:rPr>
              <w:t>从业人员（X）</w:t>
            </w:r>
          </w:p>
        </w:tc>
        <w:tc>
          <w:tcPr>
            <w:tcW w:w="1134" w:type="dxa"/>
            <w:tcBorders>
              <w:top w:val="nil"/>
              <w:left w:val="nil"/>
              <w:bottom w:val="single" w:color="auto" w:sz="4" w:space="0"/>
              <w:right w:val="single" w:color="auto" w:sz="4" w:space="0"/>
            </w:tcBorders>
            <w:vAlign w:val="center"/>
          </w:tcPr>
          <w:p w14:paraId="15756F06">
            <w:pPr>
              <w:widowControl/>
              <w:jc w:val="left"/>
              <w:rPr>
                <w:rFonts w:ascii="宋体" w:hAnsi="宋体" w:cs="宋体"/>
                <w:kern w:val="0"/>
                <w:szCs w:val="21"/>
              </w:rPr>
            </w:pPr>
            <w:r>
              <w:rPr>
                <w:rFonts w:hint="eastAsia" w:ascii="宋体" w:hAnsi="宋体" w:cs="宋体"/>
                <w:kern w:val="0"/>
                <w:szCs w:val="21"/>
              </w:rPr>
              <w:t>人</w:t>
            </w:r>
          </w:p>
        </w:tc>
        <w:tc>
          <w:tcPr>
            <w:tcW w:w="1946" w:type="dxa"/>
            <w:tcBorders>
              <w:top w:val="nil"/>
              <w:left w:val="nil"/>
              <w:bottom w:val="single" w:color="auto" w:sz="4" w:space="0"/>
              <w:right w:val="single" w:color="auto" w:sz="4" w:space="0"/>
            </w:tcBorders>
            <w:vAlign w:val="center"/>
          </w:tcPr>
          <w:p w14:paraId="3E35FF04">
            <w:pPr>
              <w:widowControl/>
              <w:jc w:val="left"/>
              <w:rPr>
                <w:rFonts w:ascii="宋体" w:hAnsi="宋体" w:cs="宋体"/>
                <w:kern w:val="0"/>
                <w:szCs w:val="21"/>
              </w:rPr>
            </w:pPr>
            <w:r>
              <w:rPr>
                <w:rFonts w:hint="eastAsia" w:ascii="宋体" w:hAnsi="宋体" w:cs="宋体"/>
                <w:kern w:val="0"/>
                <w:szCs w:val="21"/>
              </w:rPr>
              <w:t>300≤X＜1000</w:t>
            </w:r>
          </w:p>
        </w:tc>
        <w:tc>
          <w:tcPr>
            <w:tcW w:w="1760" w:type="dxa"/>
            <w:tcBorders>
              <w:top w:val="nil"/>
              <w:left w:val="nil"/>
              <w:bottom w:val="single" w:color="auto" w:sz="4" w:space="0"/>
              <w:right w:val="single" w:color="auto" w:sz="4" w:space="0"/>
            </w:tcBorders>
            <w:vAlign w:val="center"/>
          </w:tcPr>
          <w:p w14:paraId="7360167D">
            <w:pPr>
              <w:widowControl/>
              <w:jc w:val="left"/>
              <w:rPr>
                <w:rFonts w:ascii="宋体" w:hAnsi="宋体" w:cs="宋体"/>
                <w:kern w:val="0"/>
                <w:szCs w:val="21"/>
              </w:rPr>
            </w:pPr>
            <w:r>
              <w:rPr>
                <w:rFonts w:hint="eastAsia" w:ascii="宋体" w:hAnsi="宋体" w:cs="宋体"/>
                <w:kern w:val="0"/>
                <w:szCs w:val="21"/>
              </w:rPr>
              <w:t>20≤X＜300</w:t>
            </w:r>
          </w:p>
        </w:tc>
        <w:tc>
          <w:tcPr>
            <w:tcW w:w="1160" w:type="dxa"/>
            <w:tcBorders>
              <w:top w:val="nil"/>
              <w:left w:val="nil"/>
              <w:bottom w:val="single" w:color="auto" w:sz="4" w:space="0"/>
              <w:right w:val="single" w:color="auto" w:sz="4" w:space="0"/>
            </w:tcBorders>
            <w:vAlign w:val="center"/>
          </w:tcPr>
          <w:p w14:paraId="77013D3B">
            <w:pPr>
              <w:widowControl/>
              <w:jc w:val="left"/>
              <w:rPr>
                <w:rFonts w:ascii="宋体" w:hAnsi="宋体" w:cs="宋体"/>
                <w:kern w:val="0"/>
                <w:szCs w:val="21"/>
              </w:rPr>
            </w:pPr>
            <w:r>
              <w:rPr>
                <w:rFonts w:hint="eastAsia" w:ascii="宋体" w:hAnsi="宋体" w:cs="宋体"/>
                <w:kern w:val="0"/>
                <w:szCs w:val="21"/>
              </w:rPr>
              <w:t>X＜20</w:t>
            </w:r>
          </w:p>
        </w:tc>
      </w:tr>
      <w:tr w14:paraId="3592DA3C">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34C56372">
            <w:pPr>
              <w:widowControl/>
              <w:jc w:val="left"/>
              <w:rPr>
                <w:rFonts w:ascii="宋体" w:hAnsi="宋体" w:cs="宋体"/>
                <w:b/>
                <w:bCs/>
                <w:kern w:val="0"/>
                <w:szCs w:val="21"/>
              </w:rPr>
            </w:pPr>
          </w:p>
        </w:tc>
        <w:tc>
          <w:tcPr>
            <w:tcW w:w="1573" w:type="dxa"/>
            <w:tcBorders>
              <w:top w:val="nil"/>
              <w:left w:val="nil"/>
              <w:bottom w:val="single" w:color="auto" w:sz="4" w:space="0"/>
              <w:right w:val="single" w:color="auto" w:sz="4" w:space="0"/>
            </w:tcBorders>
            <w:vAlign w:val="center"/>
          </w:tcPr>
          <w:p w14:paraId="2A3B5BDD">
            <w:pPr>
              <w:widowControl/>
              <w:jc w:val="left"/>
              <w:rPr>
                <w:rFonts w:ascii="宋体" w:hAnsi="宋体" w:cs="宋体"/>
                <w:kern w:val="0"/>
                <w:szCs w:val="21"/>
              </w:rPr>
            </w:pPr>
            <w:r>
              <w:rPr>
                <w:rFonts w:hint="eastAsia" w:ascii="宋体" w:hAnsi="宋体" w:cs="宋体"/>
                <w:kern w:val="0"/>
                <w:szCs w:val="21"/>
              </w:rPr>
              <w:t>营业收入（Y）</w:t>
            </w:r>
          </w:p>
        </w:tc>
        <w:tc>
          <w:tcPr>
            <w:tcW w:w="1134" w:type="dxa"/>
            <w:tcBorders>
              <w:top w:val="nil"/>
              <w:left w:val="nil"/>
              <w:bottom w:val="single" w:color="auto" w:sz="4" w:space="0"/>
              <w:right w:val="single" w:color="auto" w:sz="4" w:space="0"/>
            </w:tcBorders>
            <w:vAlign w:val="center"/>
          </w:tcPr>
          <w:p w14:paraId="4A9E22C8">
            <w:pPr>
              <w:widowControl/>
              <w:jc w:val="left"/>
              <w:rPr>
                <w:rFonts w:ascii="宋体" w:hAnsi="宋体" w:cs="宋体"/>
                <w:kern w:val="0"/>
                <w:szCs w:val="21"/>
              </w:rPr>
            </w:pPr>
            <w:r>
              <w:rPr>
                <w:rFonts w:hint="eastAsia" w:ascii="宋体" w:hAnsi="宋体" w:cs="宋体"/>
                <w:kern w:val="0"/>
                <w:szCs w:val="21"/>
              </w:rPr>
              <w:t>万元</w:t>
            </w:r>
          </w:p>
        </w:tc>
        <w:tc>
          <w:tcPr>
            <w:tcW w:w="1946" w:type="dxa"/>
            <w:tcBorders>
              <w:top w:val="nil"/>
              <w:left w:val="nil"/>
              <w:bottom w:val="single" w:color="auto" w:sz="4" w:space="0"/>
              <w:right w:val="single" w:color="auto" w:sz="4" w:space="0"/>
            </w:tcBorders>
            <w:vAlign w:val="center"/>
          </w:tcPr>
          <w:p w14:paraId="17AB5D2D">
            <w:pPr>
              <w:widowControl/>
              <w:jc w:val="left"/>
              <w:rPr>
                <w:rFonts w:ascii="宋体" w:hAnsi="宋体" w:cs="宋体"/>
                <w:kern w:val="0"/>
                <w:szCs w:val="21"/>
              </w:rPr>
            </w:pPr>
            <w:r>
              <w:rPr>
                <w:rFonts w:hint="eastAsia" w:ascii="宋体" w:hAnsi="宋体" w:cs="宋体"/>
                <w:kern w:val="0"/>
                <w:szCs w:val="21"/>
              </w:rPr>
              <w:t>3000≤Y＜30000</w:t>
            </w:r>
          </w:p>
        </w:tc>
        <w:tc>
          <w:tcPr>
            <w:tcW w:w="1760" w:type="dxa"/>
            <w:tcBorders>
              <w:top w:val="nil"/>
              <w:left w:val="nil"/>
              <w:bottom w:val="single" w:color="auto" w:sz="4" w:space="0"/>
              <w:right w:val="single" w:color="auto" w:sz="4" w:space="0"/>
            </w:tcBorders>
            <w:vAlign w:val="center"/>
          </w:tcPr>
          <w:p w14:paraId="79C451C9">
            <w:pPr>
              <w:widowControl/>
              <w:jc w:val="left"/>
              <w:rPr>
                <w:rFonts w:ascii="宋体" w:hAnsi="宋体" w:cs="宋体"/>
                <w:kern w:val="0"/>
                <w:szCs w:val="21"/>
              </w:rPr>
            </w:pPr>
            <w:r>
              <w:rPr>
                <w:rFonts w:hint="eastAsia" w:ascii="宋体" w:hAnsi="宋体" w:cs="宋体"/>
                <w:kern w:val="0"/>
                <w:szCs w:val="21"/>
              </w:rPr>
              <w:t>200≤Y＜3000</w:t>
            </w:r>
          </w:p>
        </w:tc>
        <w:tc>
          <w:tcPr>
            <w:tcW w:w="1160" w:type="dxa"/>
            <w:tcBorders>
              <w:top w:val="nil"/>
              <w:left w:val="nil"/>
              <w:bottom w:val="single" w:color="auto" w:sz="4" w:space="0"/>
              <w:right w:val="single" w:color="auto" w:sz="4" w:space="0"/>
            </w:tcBorders>
            <w:vAlign w:val="center"/>
          </w:tcPr>
          <w:p w14:paraId="5118D0CB">
            <w:pPr>
              <w:widowControl/>
              <w:jc w:val="left"/>
              <w:rPr>
                <w:rFonts w:ascii="宋体" w:hAnsi="宋体" w:cs="宋体"/>
                <w:kern w:val="0"/>
                <w:szCs w:val="21"/>
              </w:rPr>
            </w:pPr>
            <w:r>
              <w:rPr>
                <w:rFonts w:hint="eastAsia" w:ascii="宋体" w:hAnsi="宋体" w:cs="宋体"/>
                <w:kern w:val="0"/>
                <w:szCs w:val="21"/>
              </w:rPr>
              <w:t>Y＜200</w:t>
            </w:r>
          </w:p>
        </w:tc>
      </w:tr>
      <w:tr w14:paraId="2EFE94D7">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0FF96B14">
            <w:pPr>
              <w:widowControl/>
              <w:jc w:val="center"/>
              <w:rPr>
                <w:rFonts w:ascii="宋体" w:hAnsi="宋体" w:cs="宋体"/>
                <w:b/>
                <w:bCs/>
                <w:kern w:val="0"/>
                <w:szCs w:val="21"/>
              </w:rPr>
            </w:pPr>
            <w:r>
              <w:rPr>
                <w:rFonts w:hint="eastAsia" w:ascii="宋体" w:hAnsi="宋体" w:cs="宋体"/>
                <w:b/>
                <w:bCs/>
                <w:kern w:val="0"/>
                <w:szCs w:val="21"/>
              </w:rPr>
              <w:t>仓储业</w:t>
            </w:r>
          </w:p>
        </w:tc>
        <w:tc>
          <w:tcPr>
            <w:tcW w:w="1573" w:type="dxa"/>
            <w:tcBorders>
              <w:top w:val="nil"/>
              <w:left w:val="nil"/>
              <w:bottom w:val="single" w:color="auto" w:sz="4" w:space="0"/>
              <w:right w:val="single" w:color="auto" w:sz="4" w:space="0"/>
            </w:tcBorders>
            <w:vAlign w:val="center"/>
          </w:tcPr>
          <w:p w14:paraId="61FD9512">
            <w:pPr>
              <w:widowControl/>
              <w:jc w:val="left"/>
              <w:rPr>
                <w:rFonts w:ascii="宋体" w:hAnsi="宋体" w:cs="宋体"/>
                <w:kern w:val="0"/>
                <w:szCs w:val="21"/>
              </w:rPr>
            </w:pPr>
            <w:r>
              <w:rPr>
                <w:rFonts w:hint="eastAsia" w:ascii="宋体" w:hAnsi="宋体" w:cs="宋体"/>
                <w:kern w:val="0"/>
                <w:szCs w:val="21"/>
              </w:rPr>
              <w:t>从业人员（X）</w:t>
            </w:r>
          </w:p>
        </w:tc>
        <w:tc>
          <w:tcPr>
            <w:tcW w:w="1134" w:type="dxa"/>
            <w:tcBorders>
              <w:top w:val="nil"/>
              <w:left w:val="nil"/>
              <w:bottom w:val="single" w:color="auto" w:sz="4" w:space="0"/>
              <w:right w:val="single" w:color="auto" w:sz="4" w:space="0"/>
            </w:tcBorders>
            <w:vAlign w:val="center"/>
          </w:tcPr>
          <w:p w14:paraId="37DC8FD2">
            <w:pPr>
              <w:widowControl/>
              <w:jc w:val="left"/>
              <w:rPr>
                <w:rFonts w:ascii="宋体" w:hAnsi="宋体" w:cs="宋体"/>
                <w:kern w:val="0"/>
                <w:szCs w:val="21"/>
              </w:rPr>
            </w:pPr>
            <w:r>
              <w:rPr>
                <w:rFonts w:hint="eastAsia" w:ascii="宋体" w:hAnsi="宋体" w:cs="宋体"/>
                <w:kern w:val="0"/>
                <w:szCs w:val="21"/>
              </w:rPr>
              <w:t>人</w:t>
            </w:r>
          </w:p>
        </w:tc>
        <w:tc>
          <w:tcPr>
            <w:tcW w:w="1946" w:type="dxa"/>
            <w:tcBorders>
              <w:top w:val="nil"/>
              <w:left w:val="nil"/>
              <w:bottom w:val="single" w:color="auto" w:sz="4" w:space="0"/>
              <w:right w:val="single" w:color="auto" w:sz="4" w:space="0"/>
            </w:tcBorders>
            <w:vAlign w:val="center"/>
          </w:tcPr>
          <w:p w14:paraId="5015CCB0">
            <w:pPr>
              <w:widowControl/>
              <w:jc w:val="left"/>
              <w:rPr>
                <w:rFonts w:ascii="宋体" w:hAnsi="宋体" w:cs="宋体"/>
                <w:kern w:val="0"/>
                <w:szCs w:val="21"/>
              </w:rPr>
            </w:pPr>
            <w:r>
              <w:rPr>
                <w:rFonts w:hint="eastAsia" w:ascii="宋体" w:hAnsi="宋体" w:cs="宋体"/>
                <w:kern w:val="0"/>
                <w:szCs w:val="21"/>
              </w:rPr>
              <w:t>100≤X＜200</w:t>
            </w:r>
          </w:p>
        </w:tc>
        <w:tc>
          <w:tcPr>
            <w:tcW w:w="1760" w:type="dxa"/>
            <w:tcBorders>
              <w:top w:val="nil"/>
              <w:left w:val="nil"/>
              <w:bottom w:val="single" w:color="auto" w:sz="4" w:space="0"/>
              <w:right w:val="single" w:color="auto" w:sz="4" w:space="0"/>
            </w:tcBorders>
            <w:vAlign w:val="center"/>
          </w:tcPr>
          <w:p w14:paraId="7F170DF0">
            <w:pPr>
              <w:widowControl/>
              <w:jc w:val="left"/>
              <w:rPr>
                <w:rFonts w:ascii="宋体" w:hAnsi="宋体" w:cs="宋体"/>
                <w:kern w:val="0"/>
                <w:szCs w:val="21"/>
              </w:rPr>
            </w:pPr>
            <w:r>
              <w:rPr>
                <w:rFonts w:hint="eastAsia" w:ascii="宋体" w:hAnsi="宋体" w:cs="宋体"/>
                <w:kern w:val="0"/>
                <w:szCs w:val="21"/>
              </w:rPr>
              <w:t>20≤X＜100</w:t>
            </w:r>
          </w:p>
        </w:tc>
        <w:tc>
          <w:tcPr>
            <w:tcW w:w="1160" w:type="dxa"/>
            <w:tcBorders>
              <w:top w:val="nil"/>
              <w:left w:val="nil"/>
              <w:bottom w:val="single" w:color="auto" w:sz="4" w:space="0"/>
              <w:right w:val="single" w:color="auto" w:sz="4" w:space="0"/>
            </w:tcBorders>
            <w:vAlign w:val="center"/>
          </w:tcPr>
          <w:p w14:paraId="0F426226">
            <w:pPr>
              <w:widowControl/>
              <w:jc w:val="left"/>
              <w:rPr>
                <w:rFonts w:ascii="宋体" w:hAnsi="宋体" w:cs="宋体"/>
                <w:kern w:val="0"/>
                <w:szCs w:val="21"/>
              </w:rPr>
            </w:pPr>
            <w:r>
              <w:rPr>
                <w:rFonts w:hint="eastAsia" w:ascii="宋体" w:hAnsi="宋体" w:cs="宋体"/>
                <w:kern w:val="0"/>
                <w:szCs w:val="21"/>
              </w:rPr>
              <w:t>X＜20</w:t>
            </w:r>
          </w:p>
        </w:tc>
      </w:tr>
      <w:tr w14:paraId="198CEF75">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71269476">
            <w:pPr>
              <w:widowControl/>
              <w:jc w:val="left"/>
              <w:rPr>
                <w:rFonts w:ascii="宋体" w:hAnsi="宋体" w:cs="宋体"/>
                <w:b/>
                <w:bCs/>
                <w:kern w:val="0"/>
                <w:szCs w:val="21"/>
              </w:rPr>
            </w:pPr>
          </w:p>
        </w:tc>
        <w:tc>
          <w:tcPr>
            <w:tcW w:w="1573" w:type="dxa"/>
            <w:tcBorders>
              <w:top w:val="nil"/>
              <w:left w:val="nil"/>
              <w:bottom w:val="single" w:color="auto" w:sz="4" w:space="0"/>
              <w:right w:val="single" w:color="auto" w:sz="4" w:space="0"/>
            </w:tcBorders>
            <w:vAlign w:val="center"/>
          </w:tcPr>
          <w:p w14:paraId="3C479C67">
            <w:pPr>
              <w:widowControl/>
              <w:jc w:val="left"/>
              <w:rPr>
                <w:rFonts w:ascii="宋体" w:hAnsi="宋体" w:cs="宋体"/>
                <w:kern w:val="0"/>
                <w:szCs w:val="21"/>
              </w:rPr>
            </w:pPr>
            <w:r>
              <w:rPr>
                <w:rFonts w:hint="eastAsia" w:ascii="宋体" w:hAnsi="宋体" w:cs="宋体"/>
                <w:kern w:val="0"/>
                <w:szCs w:val="21"/>
              </w:rPr>
              <w:t>营业收入（Y）</w:t>
            </w:r>
          </w:p>
        </w:tc>
        <w:tc>
          <w:tcPr>
            <w:tcW w:w="1134" w:type="dxa"/>
            <w:tcBorders>
              <w:top w:val="nil"/>
              <w:left w:val="nil"/>
              <w:bottom w:val="single" w:color="auto" w:sz="4" w:space="0"/>
              <w:right w:val="single" w:color="auto" w:sz="4" w:space="0"/>
            </w:tcBorders>
            <w:vAlign w:val="center"/>
          </w:tcPr>
          <w:p w14:paraId="5491805A">
            <w:pPr>
              <w:widowControl/>
              <w:jc w:val="left"/>
              <w:rPr>
                <w:rFonts w:ascii="宋体" w:hAnsi="宋体" w:cs="宋体"/>
                <w:kern w:val="0"/>
                <w:szCs w:val="21"/>
              </w:rPr>
            </w:pPr>
            <w:r>
              <w:rPr>
                <w:rFonts w:hint="eastAsia" w:ascii="宋体" w:hAnsi="宋体" w:cs="宋体"/>
                <w:kern w:val="0"/>
                <w:szCs w:val="21"/>
              </w:rPr>
              <w:t>万元</w:t>
            </w:r>
          </w:p>
        </w:tc>
        <w:tc>
          <w:tcPr>
            <w:tcW w:w="1946" w:type="dxa"/>
            <w:tcBorders>
              <w:top w:val="nil"/>
              <w:left w:val="nil"/>
              <w:bottom w:val="single" w:color="auto" w:sz="4" w:space="0"/>
              <w:right w:val="single" w:color="auto" w:sz="4" w:space="0"/>
            </w:tcBorders>
            <w:vAlign w:val="center"/>
          </w:tcPr>
          <w:p w14:paraId="3C737751">
            <w:pPr>
              <w:widowControl/>
              <w:jc w:val="left"/>
              <w:rPr>
                <w:rFonts w:ascii="宋体" w:hAnsi="宋体" w:cs="宋体"/>
                <w:kern w:val="0"/>
                <w:szCs w:val="21"/>
              </w:rPr>
            </w:pPr>
            <w:r>
              <w:rPr>
                <w:rFonts w:hint="eastAsia" w:ascii="宋体" w:hAnsi="宋体" w:cs="宋体"/>
                <w:kern w:val="0"/>
                <w:szCs w:val="21"/>
              </w:rPr>
              <w:t>1000≤Y＜30000</w:t>
            </w:r>
          </w:p>
        </w:tc>
        <w:tc>
          <w:tcPr>
            <w:tcW w:w="1760" w:type="dxa"/>
            <w:tcBorders>
              <w:top w:val="nil"/>
              <w:left w:val="nil"/>
              <w:bottom w:val="single" w:color="auto" w:sz="4" w:space="0"/>
              <w:right w:val="single" w:color="auto" w:sz="4" w:space="0"/>
            </w:tcBorders>
            <w:vAlign w:val="center"/>
          </w:tcPr>
          <w:p w14:paraId="25425C0F">
            <w:pPr>
              <w:widowControl/>
              <w:jc w:val="left"/>
              <w:rPr>
                <w:rFonts w:ascii="宋体" w:hAnsi="宋体" w:cs="宋体"/>
                <w:kern w:val="0"/>
                <w:szCs w:val="21"/>
              </w:rPr>
            </w:pPr>
            <w:r>
              <w:rPr>
                <w:rFonts w:hint="eastAsia" w:ascii="宋体" w:hAnsi="宋体" w:cs="宋体"/>
                <w:kern w:val="0"/>
                <w:szCs w:val="21"/>
              </w:rPr>
              <w:t>100≤Y＜1000</w:t>
            </w:r>
          </w:p>
        </w:tc>
        <w:tc>
          <w:tcPr>
            <w:tcW w:w="1160" w:type="dxa"/>
            <w:tcBorders>
              <w:top w:val="nil"/>
              <w:left w:val="nil"/>
              <w:bottom w:val="single" w:color="auto" w:sz="4" w:space="0"/>
              <w:right w:val="single" w:color="auto" w:sz="4" w:space="0"/>
            </w:tcBorders>
            <w:vAlign w:val="center"/>
          </w:tcPr>
          <w:p w14:paraId="533CEED3">
            <w:pPr>
              <w:widowControl/>
              <w:jc w:val="left"/>
              <w:rPr>
                <w:rFonts w:ascii="宋体" w:hAnsi="宋体" w:cs="宋体"/>
                <w:kern w:val="0"/>
                <w:szCs w:val="21"/>
              </w:rPr>
            </w:pPr>
            <w:r>
              <w:rPr>
                <w:rFonts w:hint="eastAsia" w:ascii="宋体" w:hAnsi="宋体" w:cs="宋体"/>
                <w:kern w:val="0"/>
                <w:szCs w:val="21"/>
              </w:rPr>
              <w:t>Y＜100</w:t>
            </w:r>
          </w:p>
        </w:tc>
      </w:tr>
      <w:tr w14:paraId="3DFC69C4">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60DB5833">
            <w:pPr>
              <w:widowControl/>
              <w:jc w:val="center"/>
              <w:rPr>
                <w:rFonts w:ascii="宋体" w:hAnsi="宋体" w:cs="宋体"/>
                <w:b/>
                <w:bCs/>
                <w:kern w:val="0"/>
                <w:szCs w:val="21"/>
              </w:rPr>
            </w:pPr>
            <w:r>
              <w:rPr>
                <w:rFonts w:hint="eastAsia" w:ascii="宋体" w:hAnsi="宋体" w:cs="宋体"/>
                <w:b/>
                <w:bCs/>
                <w:kern w:val="0"/>
                <w:szCs w:val="21"/>
              </w:rPr>
              <w:t>邮政业</w:t>
            </w:r>
          </w:p>
        </w:tc>
        <w:tc>
          <w:tcPr>
            <w:tcW w:w="1573" w:type="dxa"/>
            <w:tcBorders>
              <w:top w:val="nil"/>
              <w:left w:val="nil"/>
              <w:bottom w:val="single" w:color="auto" w:sz="4" w:space="0"/>
              <w:right w:val="single" w:color="auto" w:sz="4" w:space="0"/>
            </w:tcBorders>
            <w:vAlign w:val="center"/>
          </w:tcPr>
          <w:p w14:paraId="2A25044F">
            <w:pPr>
              <w:widowControl/>
              <w:jc w:val="left"/>
              <w:rPr>
                <w:rFonts w:ascii="宋体" w:hAnsi="宋体" w:cs="宋体"/>
                <w:kern w:val="0"/>
                <w:szCs w:val="21"/>
              </w:rPr>
            </w:pPr>
            <w:r>
              <w:rPr>
                <w:rFonts w:hint="eastAsia" w:ascii="宋体" w:hAnsi="宋体" w:cs="宋体"/>
                <w:kern w:val="0"/>
                <w:szCs w:val="21"/>
              </w:rPr>
              <w:t>从业人员（X）</w:t>
            </w:r>
          </w:p>
        </w:tc>
        <w:tc>
          <w:tcPr>
            <w:tcW w:w="1134" w:type="dxa"/>
            <w:tcBorders>
              <w:top w:val="nil"/>
              <w:left w:val="nil"/>
              <w:bottom w:val="single" w:color="auto" w:sz="4" w:space="0"/>
              <w:right w:val="single" w:color="auto" w:sz="4" w:space="0"/>
            </w:tcBorders>
            <w:vAlign w:val="center"/>
          </w:tcPr>
          <w:p w14:paraId="27E3B580">
            <w:pPr>
              <w:widowControl/>
              <w:jc w:val="left"/>
              <w:rPr>
                <w:rFonts w:ascii="宋体" w:hAnsi="宋体" w:cs="宋体"/>
                <w:kern w:val="0"/>
                <w:szCs w:val="21"/>
              </w:rPr>
            </w:pPr>
            <w:r>
              <w:rPr>
                <w:rFonts w:hint="eastAsia" w:ascii="宋体" w:hAnsi="宋体" w:cs="宋体"/>
                <w:kern w:val="0"/>
                <w:szCs w:val="21"/>
              </w:rPr>
              <w:t>人</w:t>
            </w:r>
          </w:p>
        </w:tc>
        <w:tc>
          <w:tcPr>
            <w:tcW w:w="1946" w:type="dxa"/>
            <w:tcBorders>
              <w:top w:val="nil"/>
              <w:left w:val="nil"/>
              <w:bottom w:val="single" w:color="auto" w:sz="4" w:space="0"/>
              <w:right w:val="single" w:color="auto" w:sz="4" w:space="0"/>
            </w:tcBorders>
            <w:vAlign w:val="center"/>
          </w:tcPr>
          <w:p w14:paraId="12D572EC">
            <w:pPr>
              <w:widowControl/>
              <w:jc w:val="left"/>
              <w:rPr>
                <w:rFonts w:ascii="宋体" w:hAnsi="宋体" w:cs="宋体"/>
                <w:kern w:val="0"/>
                <w:szCs w:val="21"/>
              </w:rPr>
            </w:pPr>
            <w:r>
              <w:rPr>
                <w:rFonts w:hint="eastAsia" w:ascii="宋体" w:hAnsi="宋体" w:cs="宋体"/>
                <w:kern w:val="0"/>
                <w:szCs w:val="21"/>
              </w:rPr>
              <w:t>300≤X＜1000</w:t>
            </w:r>
          </w:p>
        </w:tc>
        <w:tc>
          <w:tcPr>
            <w:tcW w:w="1760" w:type="dxa"/>
            <w:tcBorders>
              <w:top w:val="nil"/>
              <w:left w:val="nil"/>
              <w:bottom w:val="single" w:color="auto" w:sz="4" w:space="0"/>
              <w:right w:val="single" w:color="auto" w:sz="4" w:space="0"/>
            </w:tcBorders>
            <w:vAlign w:val="center"/>
          </w:tcPr>
          <w:p w14:paraId="474BCEE9">
            <w:pPr>
              <w:widowControl/>
              <w:jc w:val="left"/>
              <w:rPr>
                <w:rFonts w:ascii="宋体" w:hAnsi="宋体" w:cs="宋体"/>
                <w:kern w:val="0"/>
                <w:szCs w:val="21"/>
              </w:rPr>
            </w:pPr>
            <w:r>
              <w:rPr>
                <w:rFonts w:hint="eastAsia" w:ascii="宋体" w:hAnsi="宋体" w:cs="宋体"/>
                <w:kern w:val="0"/>
                <w:szCs w:val="21"/>
              </w:rPr>
              <w:t>20≤X＜300</w:t>
            </w:r>
          </w:p>
        </w:tc>
        <w:tc>
          <w:tcPr>
            <w:tcW w:w="1160" w:type="dxa"/>
            <w:tcBorders>
              <w:top w:val="nil"/>
              <w:left w:val="nil"/>
              <w:bottom w:val="single" w:color="auto" w:sz="4" w:space="0"/>
              <w:right w:val="single" w:color="auto" w:sz="4" w:space="0"/>
            </w:tcBorders>
            <w:vAlign w:val="center"/>
          </w:tcPr>
          <w:p w14:paraId="310DA200">
            <w:pPr>
              <w:widowControl/>
              <w:jc w:val="left"/>
              <w:rPr>
                <w:rFonts w:ascii="宋体" w:hAnsi="宋体" w:cs="宋体"/>
                <w:kern w:val="0"/>
                <w:szCs w:val="21"/>
              </w:rPr>
            </w:pPr>
            <w:r>
              <w:rPr>
                <w:rFonts w:hint="eastAsia" w:ascii="宋体" w:hAnsi="宋体" w:cs="宋体"/>
                <w:kern w:val="0"/>
                <w:szCs w:val="21"/>
              </w:rPr>
              <w:t>X＜20</w:t>
            </w:r>
          </w:p>
        </w:tc>
      </w:tr>
      <w:tr w14:paraId="304DCD85">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4BC117CC">
            <w:pPr>
              <w:widowControl/>
              <w:jc w:val="left"/>
              <w:rPr>
                <w:rFonts w:ascii="宋体" w:hAnsi="宋体" w:cs="宋体"/>
                <w:b/>
                <w:bCs/>
                <w:kern w:val="0"/>
                <w:szCs w:val="21"/>
              </w:rPr>
            </w:pPr>
          </w:p>
        </w:tc>
        <w:tc>
          <w:tcPr>
            <w:tcW w:w="1573" w:type="dxa"/>
            <w:tcBorders>
              <w:top w:val="nil"/>
              <w:left w:val="nil"/>
              <w:bottom w:val="single" w:color="auto" w:sz="4" w:space="0"/>
              <w:right w:val="single" w:color="auto" w:sz="4" w:space="0"/>
            </w:tcBorders>
            <w:vAlign w:val="center"/>
          </w:tcPr>
          <w:p w14:paraId="04A69283">
            <w:pPr>
              <w:widowControl/>
              <w:jc w:val="left"/>
              <w:rPr>
                <w:rFonts w:ascii="宋体" w:hAnsi="宋体" w:cs="宋体"/>
                <w:kern w:val="0"/>
                <w:szCs w:val="21"/>
              </w:rPr>
            </w:pPr>
            <w:r>
              <w:rPr>
                <w:rFonts w:hint="eastAsia" w:ascii="宋体" w:hAnsi="宋体" w:cs="宋体"/>
                <w:kern w:val="0"/>
                <w:szCs w:val="21"/>
              </w:rPr>
              <w:t>营业收入（Y）</w:t>
            </w:r>
          </w:p>
        </w:tc>
        <w:tc>
          <w:tcPr>
            <w:tcW w:w="1134" w:type="dxa"/>
            <w:tcBorders>
              <w:top w:val="nil"/>
              <w:left w:val="nil"/>
              <w:bottom w:val="single" w:color="auto" w:sz="4" w:space="0"/>
              <w:right w:val="single" w:color="auto" w:sz="4" w:space="0"/>
            </w:tcBorders>
            <w:vAlign w:val="center"/>
          </w:tcPr>
          <w:p w14:paraId="304AA723">
            <w:pPr>
              <w:widowControl/>
              <w:jc w:val="left"/>
              <w:rPr>
                <w:rFonts w:ascii="宋体" w:hAnsi="宋体" w:cs="宋体"/>
                <w:kern w:val="0"/>
                <w:szCs w:val="21"/>
              </w:rPr>
            </w:pPr>
            <w:r>
              <w:rPr>
                <w:rFonts w:hint="eastAsia" w:ascii="宋体" w:hAnsi="宋体" w:cs="宋体"/>
                <w:kern w:val="0"/>
                <w:szCs w:val="21"/>
              </w:rPr>
              <w:t>万元</w:t>
            </w:r>
          </w:p>
        </w:tc>
        <w:tc>
          <w:tcPr>
            <w:tcW w:w="1946" w:type="dxa"/>
            <w:tcBorders>
              <w:top w:val="nil"/>
              <w:left w:val="nil"/>
              <w:bottom w:val="single" w:color="auto" w:sz="4" w:space="0"/>
              <w:right w:val="single" w:color="auto" w:sz="4" w:space="0"/>
            </w:tcBorders>
            <w:vAlign w:val="center"/>
          </w:tcPr>
          <w:p w14:paraId="72DAC72B">
            <w:pPr>
              <w:widowControl/>
              <w:jc w:val="left"/>
              <w:rPr>
                <w:rFonts w:ascii="宋体" w:hAnsi="宋体" w:cs="宋体"/>
                <w:kern w:val="0"/>
                <w:szCs w:val="21"/>
              </w:rPr>
            </w:pPr>
            <w:r>
              <w:rPr>
                <w:rFonts w:hint="eastAsia" w:ascii="宋体" w:hAnsi="宋体" w:cs="宋体"/>
                <w:kern w:val="0"/>
                <w:szCs w:val="21"/>
              </w:rPr>
              <w:t>2000≤Y＜30000</w:t>
            </w:r>
          </w:p>
        </w:tc>
        <w:tc>
          <w:tcPr>
            <w:tcW w:w="1760" w:type="dxa"/>
            <w:tcBorders>
              <w:top w:val="nil"/>
              <w:left w:val="nil"/>
              <w:bottom w:val="single" w:color="auto" w:sz="4" w:space="0"/>
              <w:right w:val="single" w:color="auto" w:sz="4" w:space="0"/>
            </w:tcBorders>
            <w:vAlign w:val="center"/>
          </w:tcPr>
          <w:p w14:paraId="1E6C9DBA">
            <w:pPr>
              <w:widowControl/>
              <w:jc w:val="left"/>
              <w:rPr>
                <w:rFonts w:ascii="宋体" w:hAnsi="宋体" w:cs="宋体"/>
                <w:kern w:val="0"/>
                <w:szCs w:val="21"/>
              </w:rPr>
            </w:pPr>
            <w:r>
              <w:rPr>
                <w:rFonts w:hint="eastAsia" w:ascii="宋体" w:hAnsi="宋体" w:cs="宋体"/>
                <w:kern w:val="0"/>
                <w:szCs w:val="21"/>
              </w:rPr>
              <w:t>100≤Y＜2000</w:t>
            </w:r>
          </w:p>
        </w:tc>
        <w:tc>
          <w:tcPr>
            <w:tcW w:w="1160" w:type="dxa"/>
            <w:tcBorders>
              <w:top w:val="nil"/>
              <w:left w:val="nil"/>
              <w:bottom w:val="single" w:color="auto" w:sz="4" w:space="0"/>
              <w:right w:val="single" w:color="auto" w:sz="4" w:space="0"/>
            </w:tcBorders>
            <w:vAlign w:val="center"/>
          </w:tcPr>
          <w:p w14:paraId="50E5348F">
            <w:pPr>
              <w:widowControl/>
              <w:jc w:val="left"/>
              <w:rPr>
                <w:rFonts w:ascii="宋体" w:hAnsi="宋体" w:cs="宋体"/>
                <w:kern w:val="0"/>
                <w:szCs w:val="21"/>
              </w:rPr>
            </w:pPr>
            <w:r>
              <w:rPr>
                <w:rFonts w:hint="eastAsia" w:ascii="宋体" w:hAnsi="宋体" w:cs="宋体"/>
                <w:kern w:val="0"/>
                <w:szCs w:val="21"/>
              </w:rPr>
              <w:t>Y＜100</w:t>
            </w:r>
          </w:p>
        </w:tc>
      </w:tr>
      <w:tr w14:paraId="5F740041">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4962BFFF">
            <w:pPr>
              <w:widowControl/>
              <w:jc w:val="center"/>
              <w:rPr>
                <w:rFonts w:ascii="宋体" w:hAnsi="宋体" w:cs="宋体"/>
                <w:b/>
                <w:bCs/>
                <w:kern w:val="0"/>
                <w:szCs w:val="21"/>
              </w:rPr>
            </w:pPr>
            <w:r>
              <w:rPr>
                <w:rFonts w:hint="eastAsia" w:ascii="宋体" w:hAnsi="宋体" w:cs="宋体"/>
                <w:b/>
                <w:bCs/>
                <w:kern w:val="0"/>
                <w:szCs w:val="21"/>
              </w:rPr>
              <w:t>住宿业</w:t>
            </w:r>
          </w:p>
        </w:tc>
        <w:tc>
          <w:tcPr>
            <w:tcW w:w="1573" w:type="dxa"/>
            <w:tcBorders>
              <w:top w:val="nil"/>
              <w:left w:val="nil"/>
              <w:bottom w:val="single" w:color="auto" w:sz="4" w:space="0"/>
              <w:right w:val="single" w:color="auto" w:sz="4" w:space="0"/>
            </w:tcBorders>
            <w:vAlign w:val="center"/>
          </w:tcPr>
          <w:p w14:paraId="5420E47C">
            <w:pPr>
              <w:widowControl/>
              <w:jc w:val="left"/>
              <w:rPr>
                <w:rFonts w:ascii="宋体" w:hAnsi="宋体" w:cs="宋体"/>
                <w:kern w:val="0"/>
                <w:szCs w:val="21"/>
              </w:rPr>
            </w:pPr>
            <w:r>
              <w:rPr>
                <w:rFonts w:hint="eastAsia" w:ascii="宋体" w:hAnsi="宋体" w:cs="宋体"/>
                <w:kern w:val="0"/>
                <w:szCs w:val="21"/>
              </w:rPr>
              <w:t>从业人员（X）</w:t>
            </w:r>
          </w:p>
        </w:tc>
        <w:tc>
          <w:tcPr>
            <w:tcW w:w="1134" w:type="dxa"/>
            <w:tcBorders>
              <w:top w:val="nil"/>
              <w:left w:val="nil"/>
              <w:bottom w:val="single" w:color="auto" w:sz="4" w:space="0"/>
              <w:right w:val="single" w:color="auto" w:sz="4" w:space="0"/>
            </w:tcBorders>
            <w:vAlign w:val="center"/>
          </w:tcPr>
          <w:p w14:paraId="4EF62C6A">
            <w:pPr>
              <w:widowControl/>
              <w:jc w:val="left"/>
              <w:rPr>
                <w:rFonts w:ascii="宋体" w:hAnsi="宋体" w:cs="宋体"/>
                <w:kern w:val="0"/>
                <w:szCs w:val="21"/>
              </w:rPr>
            </w:pPr>
            <w:r>
              <w:rPr>
                <w:rFonts w:hint="eastAsia" w:ascii="宋体" w:hAnsi="宋体" w:cs="宋体"/>
                <w:kern w:val="0"/>
                <w:szCs w:val="21"/>
              </w:rPr>
              <w:t>人</w:t>
            </w:r>
          </w:p>
        </w:tc>
        <w:tc>
          <w:tcPr>
            <w:tcW w:w="1946" w:type="dxa"/>
            <w:tcBorders>
              <w:top w:val="nil"/>
              <w:left w:val="nil"/>
              <w:bottom w:val="single" w:color="auto" w:sz="4" w:space="0"/>
              <w:right w:val="single" w:color="auto" w:sz="4" w:space="0"/>
            </w:tcBorders>
            <w:vAlign w:val="center"/>
          </w:tcPr>
          <w:p w14:paraId="53C0A322">
            <w:pPr>
              <w:widowControl/>
              <w:jc w:val="left"/>
              <w:rPr>
                <w:rFonts w:ascii="宋体" w:hAnsi="宋体" w:cs="宋体"/>
                <w:kern w:val="0"/>
                <w:szCs w:val="21"/>
              </w:rPr>
            </w:pPr>
            <w:r>
              <w:rPr>
                <w:rFonts w:hint="eastAsia" w:ascii="宋体" w:hAnsi="宋体" w:cs="宋体"/>
                <w:kern w:val="0"/>
                <w:szCs w:val="21"/>
              </w:rPr>
              <w:t>100≤X＜300</w:t>
            </w:r>
          </w:p>
        </w:tc>
        <w:tc>
          <w:tcPr>
            <w:tcW w:w="1760" w:type="dxa"/>
            <w:tcBorders>
              <w:top w:val="nil"/>
              <w:left w:val="nil"/>
              <w:bottom w:val="single" w:color="auto" w:sz="4" w:space="0"/>
              <w:right w:val="single" w:color="auto" w:sz="4" w:space="0"/>
            </w:tcBorders>
            <w:vAlign w:val="center"/>
          </w:tcPr>
          <w:p w14:paraId="510523E1">
            <w:pPr>
              <w:widowControl/>
              <w:jc w:val="left"/>
              <w:rPr>
                <w:rFonts w:ascii="宋体" w:hAnsi="宋体" w:cs="宋体"/>
                <w:kern w:val="0"/>
                <w:szCs w:val="21"/>
              </w:rPr>
            </w:pPr>
            <w:r>
              <w:rPr>
                <w:rFonts w:hint="eastAsia" w:ascii="宋体" w:hAnsi="宋体" w:cs="宋体"/>
                <w:kern w:val="0"/>
                <w:szCs w:val="21"/>
              </w:rPr>
              <w:t>10≤X＜100</w:t>
            </w:r>
          </w:p>
        </w:tc>
        <w:tc>
          <w:tcPr>
            <w:tcW w:w="1160" w:type="dxa"/>
            <w:tcBorders>
              <w:top w:val="nil"/>
              <w:left w:val="nil"/>
              <w:bottom w:val="single" w:color="auto" w:sz="4" w:space="0"/>
              <w:right w:val="single" w:color="auto" w:sz="4" w:space="0"/>
            </w:tcBorders>
            <w:vAlign w:val="center"/>
          </w:tcPr>
          <w:p w14:paraId="541FA696">
            <w:pPr>
              <w:widowControl/>
              <w:jc w:val="left"/>
              <w:rPr>
                <w:rFonts w:ascii="宋体" w:hAnsi="宋体" w:cs="宋体"/>
                <w:kern w:val="0"/>
                <w:szCs w:val="21"/>
              </w:rPr>
            </w:pPr>
            <w:r>
              <w:rPr>
                <w:rFonts w:hint="eastAsia" w:ascii="宋体" w:hAnsi="宋体" w:cs="宋体"/>
                <w:kern w:val="0"/>
                <w:szCs w:val="21"/>
              </w:rPr>
              <w:t>X＜10</w:t>
            </w:r>
          </w:p>
        </w:tc>
      </w:tr>
      <w:tr w14:paraId="60EE68D4">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04C96314">
            <w:pPr>
              <w:widowControl/>
              <w:jc w:val="left"/>
              <w:rPr>
                <w:rFonts w:ascii="宋体" w:hAnsi="宋体" w:cs="宋体"/>
                <w:b/>
                <w:bCs/>
                <w:kern w:val="0"/>
                <w:szCs w:val="21"/>
              </w:rPr>
            </w:pPr>
          </w:p>
        </w:tc>
        <w:tc>
          <w:tcPr>
            <w:tcW w:w="1573" w:type="dxa"/>
            <w:tcBorders>
              <w:top w:val="nil"/>
              <w:left w:val="nil"/>
              <w:bottom w:val="single" w:color="auto" w:sz="4" w:space="0"/>
              <w:right w:val="single" w:color="auto" w:sz="4" w:space="0"/>
            </w:tcBorders>
            <w:vAlign w:val="center"/>
          </w:tcPr>
          <w:p w14:paraId="7A893273">
            <w:pPr>
              <w:widowControl/>
              <w:jc w:val="left"/>
              <w:rPr>
                <w:rFonts w:ascii="宋体" w:hAnsi="宋体" w:cs="宋体"/>
                <w:kern w:val="0"/>
                <w:szCs w:val="21"/>
              </w:rPr>
            </w:pPr>
            <w:r>
              <w:rPr>
                <w:rFonts w:hint="eastAsia" w:ascii="宋体" w:hAnsi="宋体" w:cs="宋体"/>
                <w:kern w:val="0"/>
                <w:szCs w:val="21"/>
              </w:rPr>
              <w:t>营业收入（Y）</w:t>
            </w:r>
          </w:p>
        </w:tc>
        <w:tc>
          <w:tcPr>
            <w:tcW w:w="1134" w:type="dxa"/>
            <w:tcBorders>
              <w:top w:val="nil"/>
              <w:left w:val="nil"/>
              <w:bottom w:val="single" w:color="auto" w:sz="4" w:space="0"/>
              <w:right w:val="single" w:color="auto" w:sz="4" w:space="0"/>
            </w:tcBorders>
            <w:vAlign w:val="center"/>
          </w:tcPr>
          <w:p w14:paraId="448D95EB">
            <w:pPr>
              <w:widowControl/>
              <w:jc w:val="left"/>
              <w:rPr>
                <w:rFonts w:ascii="宋体" w:hAnsi="宋体" w:cs="宋体"/>
                <w:kern w:val="0"/>
                <w:szCs w:val="21"/>
              </w:rPr>
            </w:pPr>
            <w:r>
              <w:rPr>
                <w:rFonts w:hint="eastAsia" w:ascii="宋体" w:hAnsi="宋体" w:cs="宋体"/>
                <w:kern w:val="0"/>
                <w:szCs w:val="21"/>
              </w:rPr>
              <w:t>万元</w:t>
            </w:r>
          </w:p>
        </w:tc>
        <w:tc>
          <w:tcPr>
            <w:tcW w:w="1946" w:type="dxa"/>
            <w:tcBorders>
              <w:top w:val="nil"/>
              <w:left w:val="nil"/>
              <w:bottom w:val="single" w:color="auto" w:sz="4" w:space="0"/>
              <w:right w:val="single" w:color="auto" w:sz="4" w:space="0"/>
            </w:tcBorders>
            <w:vAlign w:val="center"/>
          </w:tcPr>
          <w:p w14:paraId="34EF389A">
            <w:pPr>
              <w:widowControl/>
              <w:jc w:val="left"/>
              <w:rPr>
                <w:rFonts w:ascii="宋体" w:hAnsi="宋体" w:cs="宋体"/>
                <w:kern w:val="0"/>
                <w:szCs w:val="21"/>
              </w:rPr>
            </w:pPr>
            <w:r>
              <w:rPr>
                <w:rFonts w:hint="eastAsia" w:ascii="宋体" w:hAnsi="宋体" w:cs="宋体"/>
                <w:kern w:val="0"/>
                <w:szCs w:val="21"/>
              </w:rPr>
              <w:t>2000≤Y＜10000</w:t>
            </w:r>
          </w:p>
        </w:tc>
        <w:tc>
          <w:tcPr>
            <w:tcW w:w="1760" w:type="dxa"/>
            <w:tcBorders>
              <w:top w:val="nil"/>
              <w:left w:val="nil"/>
              <w:bottom w:val="single" w:color="auto" w:sz="4" w:space="0"/>
              <w:right w:val="single" w:color="auto" w:sz="4" w:space="0"/>
            </w:tcBorders>
            <w:vAlign w:val="center"/>
          </w:tcPr>
          <w:p w14:paraId="7EEC9F88">
            <w:pPr>
              <w:widowControl/>
              <w:jc w:val="left"/>
              <w:rPr>
                <w:rFonts w:ascii="宋体" w:hAnsi="宋体" w:cs="宋体"/>
                <w:kern w:val="0"/>
                <w:szCs w:val="21"/>
              </w:rPr>
            </w:pPr>
            <w:r>
              <w:rPr>
                <w:rFonts w:hint="eastAsia" w:ascii="宋体" w:hAnsi="宋体" w:cs="宋体"/>
                <w:kern w:val="0"/>
                <w:szCs w:val="21"/>
              </w:rPr>
              <w:t>100≤Y＜2000</w:t>
            </w:r>
          </w:p>
        </w:tc>
        <w:tc>
          <w:tcPr>
            <w:tcW w:w="1160" w:type="dxa"/>
            <w:tcBorders>
              <w:top w:val="nil"/>
              <w:left w:val="nil"/>
              <w:bottom w:val="single" w:color="auto" w:sz="4" w:space="0"/>
              <w:right w:val="single" w:color="auto" w:sz="4" w:space="0"/>
            </w:tcBorders>
            <w:vAlign w:val="center"/>
          </w:tcPr>
          <w:p w14:paraId="316AC4BD">
            <w:pPr>
              <w:widowControl/>
              <w:jc w:val="left"/>
              <w:rPr>
                <w:rFonts w:ascii="宋体" w:hAnsi="宋体" w:cs="宋体"/>
                <w:kern w:val="0"/>
                <w:szCs w:val="21"/>
              </w:rPr>
            </w:pPr>
            <w:r>
              <w:rPr>
                <w:rFonts w:hint="eastAsia" w:ascii="宋体" w:hAnsi="宋体" w:cs="宋体"/>
                <w:kern w:val="0"/>
                <w:szCs w:val="21"/>
              </w:rPr>
              <w:t>Y＜100</w:t>
            </w:r>
          </w:p>
        </w:tc>
      </w:tr>
      <w:tr w14:paraId="4969BDDE">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1E63916F">
            <w:pPr>
              <w:widowControl/>
              <w:jc w:val="center"/>
              <w:rPr>
                <w:rFonts w:ascii="宋体" w:hAnsi="宋体" w:cs="宋体"/>
                <w:b/>
                <w:bCs/>
                <w:kern w:val="0"/>
                <w:szCs w:val="21"/>
              </w:rPr>
            </w:pPr>
            <w:r>
              <w:rPr>
                <w:rFonts w:hint="eastAsia" w:ascii="宋体" w:hAnsi="宋体" w:cs="宋体"/>
                <w:b/>
                <w:bCs/>
                <w:kern w:val="0"/>
                <w:szCs w:val="21"/>
              </w:rPr>
              <w:t>餐饮业</w:t>
            </w:r>
          </w:p>
        </w:tc>
        <w:tc>
          <w:tcPr>
            <w:tcW w:w="1573" w:type="dxa"/>
            <w:tcBorders>
              <w:top w:val="nil"/>
              <w:left w:val="nil"/>
              <w:bottom w:val="single" w:color="auto" w:sz="4" w:space="0"/>
              <w:right w:val="single" w:color="auto" w:sz="4" w:space="0"/>
            </w:tcBorders>
            <w:vAlign w:val="center"/>
          </w:tcPr>
          <w:p w14:paraId="6347F43C">
            <w:pPr>
              <w:widowControl/>
              <w:jc w:val="left"/>
              <w:rPr>
                <w:rFonts w:ascii="宋体" w:hAnsi="宋体" w:cs="宋体"/>
                <w:kern w:val="0"/>
                <w:szCs w:val="21"/>
              </w:rPr>
            </w:pPr>
            <w:r>
              <w:rPr>
                <w:rFonts w:hint="eastAsia" w:ascii="宋体" w:hAnsi="宋体" w:cs="宋体"/>
                <w:kern w:val="0"/>
                <w:szCs w:val="21"/>
              </w:rPr>
              <w:t>从业人员（X）</w:t>
            </w:r>
          </w:p>
        </w:tc>
        <w:tc>
          <w:tcPr>
            <w:tcW w:w="1134" w:type="dxa"/>
            <w:tcBorders>
              <w:top w:val="nil"/>
              <w:left w:val="nil"/>
              <w:bottom w:val="single" w:color="auto" w:sz="4" w:space="0"/>
              <w:right w:val="single" w:color="auto" w:sz="4" w:space="0"/>
            </w:tcBorders>
            <w:vAlign w:val="center"/>
          </w:tcPr>
          <w:p w14:paraId="3C506196">
            <w:pPr>
              <w:widowControl/>
              <w:jc w:val="left"/>
              <w:rPr>
                <w:rFonts w:ascii="宋体" w:hAnsi="宋体" w:cs="宋体"/>
                <w:kern w:val="0"/>
                <w:szCs w:val="21"/>
              </w:rPr>
            </w:pPr>
            <w:r>
              <w:rPr>
                <w:rFonts w:hint="eastAsia" w:ascii="宋体" w:hAnsi="宋体" w:cs="宋体"/>
                <w:kern w:val="0"/>
                <w:szCs w:val="21"/>
              </w:rPr>
              <w:t>人</w:t>
            </w:r>
          </w:p>
        </w:tc>
        <w:tc>
          <w:tcPr>
            <w:tcW w:w="1946" w:type="dxa"/>
            <w:tcBorders>
              <w:top w:val="nil"/>
              <w:left w:val="nil"/>
              <w:bottom w:val="single" w:color="auto" w:sz="4" w:space="0"/>
              <w:right w:val="single" w:color="auto" w:sz="4" w:space="0"/>
            </w:tcBorders>
            <w:vAlign w:val="center"/>
          </w:tcPr>
          <w:p w14:paraId="7DC4C918">
            <w:pPr>
              <w:widowControl/>
              <w:jc w:val="left"/>
              <w:rPr>
                <w:rFonts w:ascii="宋体" w:hAnsi="宋体" w:cs="宋体"/>
                <w:kern w:val="0"/>
                <w:szCs w:val="21"/>
              </w:rPr>
            </w:pPr>
            <w:r>
              <w:rPr>
                <w:rFonts w:hint="eastAsia" w:ascii="宋体" w:hAnsi="宋体" w:cs="宋体"/>
                <w:kern w:val="0"/>
                <w:szCs w:val="21"/>
              </w:rPr>
              <w:t>100≤X＜300</w:t>
            </w:r>
          </w:p>
        </w:tc>
        <w:tc>
          <w:tcPr>
            <w:tcW w:w="1760" w:type="dxa"/>
            <w:tcBorders>
              <w:top w:val="nil"/>
              <w:left w:val="nil"/>
              <w:bottom w:val="single" w:color="auto" w:sz="4" w:space="0"/>
              <w:right w:val="single" w:color="auto" w:sz="4" w:space="0"/>
            </w:tcBorders>
            <w:vAlign w:val="center"/>
          </w:tcPr>
          <w:p w14:paraId="0E1E0865">
            <w:pPr>
              <w:widowControl/>
              <w:jc w:val="left"/>
              <w:rPr>
                <w:rFonts w:ascii="宋体" w:hAnsi="宋体" w:cs="宋体"/>
                <w:kern w:val="0"/>
                <w:szCs w:val="21"/>
              </w:rPr>
            </w:pPr>
            <w:r>
              <w:rPr>
                <w:rFonts w:hint="eastAsia" w:ascii="宋体" w:hAnsi="宋体" w:cs="宋体"/>
                <w:kern w:val="0"/>
                <w:szCs w:val="21"/>
              </w:rPr>
              <w:t>10≤X＜100</w:t>
            </w:r>
          </w:p>
        </w:tc>
        <w:tc>
          <w:tcPr>
            <w:tcW w:w="1160" w:type="dxa"/>
            <w:tcBorders>
              <w:top w:val="nil"/>
              <w:left w:val="nil"/>
              <w:bottom w:val="single" w:color="auto" w:sz="4" w:space="0"/>
              <w:right w:val="single" w:color="auto" w:sz="4" w:space="0"/>
            </w:tcBorders>
            <w:vAlign w:val="center"/>
          </w:tcPr>
          <w:p w14:paraId="6CC473DB">
            <w:pPr>
              <w:widowControl/>
              <w:jc w:val="left"/>
              <w:rPr>
                <w:rFonts w:ascii="宋体" w:hAnsi="宋体" w:cs="宋体"/>
                <w:kern w:val="0"/>
                <w:szCs w:val="21"/>
              </w:rPr>
            </w:pPr>
            <w:r>
              <w:rPr>
                <w:rFonts w:hint="eastAsia" w:ascii="宋体" w:hAnsi="宋体" w:cs="宋体"/>
                <w:kern w:val="0"/>
                <w:szCs w:val="21"/>
              </w:rPr>
              <w:t>X＜10</w:t>
            </w:r>
          </w:p>
        </w:tc>
      </w:tr>
      <w:tr w14:paraId="5741CCA5">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05803B1E">
            <w:pPr>
              <w:widowControl/>
              <w:jc w:val="left"/>
              <w:rPr>
                <w:rFonts w:ascii="宋体" w:hAnsi="宋体" w:cs="宋体"/>
                <w:b/>
                <w:bCs/>
                <w:kern w:val="0"/>
                <w:szCs w:val="21"/>
              </w:rPr>
            </w:pPr>
          </w:p>
        </w:tc>
        <w:tc>
          <w:tcPr>
            <w:tcW w:w="1573" w:type="dxa"/>
            <w:tcBorders>
              <w:top w:val="nil"/>
              <w:left w:val="nil"/>
              <w:bottom w:val="single" w:color="auto" w:sz="4" w:space="0"/>
              <w:right w:val="single" w:color="auto" w:sz="4" w:space="0"/>
            </w:tcBorders>
            <w:vAlign w:val="center"/>
          </w:tcPr>
          <w:p w14:paraId="7C3FD937">
            <w:pPr>
              <w:widowControl/>
              <w:jc w:val="left"/>
              <w:rPr>
                <w:rFonts w:ascii="宋体" w:hAnsi="宋体" w:cs="宋体"/>
                <w:kern w:val="0"/>
                <w:szCs w:val="21"/>
              </w:rPr>
            </w:pPr>
            <w:r>
              <w:rPr>
                <w:rFonts w:hint="eastAsia" w:ascii="宋体" w:hAnsi="宋体" w:cs="宋体"/>
                <w:kern w:val="0"/>
                <w:szCs w:val="21"/>
              </w:rPr>
              <w:t>营业收入（Y）</w:t>
            </w:r>
          </w:p>
        </w:tc>
        <w:tc>
          <w:tcPr>
            <w:tcW w:w="1134" w:type="dxa"/>
            <w:tcBorders>
              <w:top w:val="nil"/>
              <w:left w:val="nil"/>
              <w:bottom w:val="single" w:color="auto" w:sz="4" w:space="0"/>
              <w:right w:val="single" w:color="auto" w:sz="4" w:space="0"/>
            </w:tcBorders>
            <w:vAlign w:val="center"/>
          </w:tcPr>
          <w:p w14:paraId="2097E651">
            <w:pPr>
              <w:widowControl/>
              <w:jc w:val="left"/>
              <w:rPr>
                <w:rFonts w:ascii="宋体" w:hAnsi="宋体" w:cs="宋体"/>
                <w:kern w:val="0"/>
                <w:szCs w:val="21"/>
              </w:rPr>
            </w:pPr>
            <w:r>
              <w:rPr>
                <w:rFonts w:hint="eastAsia" w:ascii="宋体" w:hAnsi="宋体" w:cs="宋体"/>
                <w:kern w:val="0"/>
                <w:szCs w:val="21"/>
              </w:rPr>
              <w:t>万元</w:t>
            </w:r>
          </w:p>
        </w:tc>
        <w:tc>
          <w:tcPr>
            <w:tcW w:w="1946" w:type="dxa"/>
            <w:tcBorders>
              <w:top w:val="nil"/>
              <w:left w:val="nil"/>
              <w:bottom w:val="single" w:color="auto" w:sz="4" w:space="0"/>
              <w:right w:val="single" w:color="auto" w:sz="4" w:space="0"/>
            </w:tcBorders>
            <w:vAlign w:val="center"/>
          </w:tcPr>
          <w:p w14:paraId="0A6FE04C">
            <w:pPr>
              <w:widowControl/>
              <w:jc w:val="left"/>
              <w:rPr>
                <w:rFonts w:ascii="宋体" w:hAnsi="宋体" w:cs="宋体"/>
                <w:kern w:val="0"/>
                <w:szCs w:val="21"/>
              </w:rPr>
            </w:pPr>
            <w:r>
              <w:rPr>
                <w:rFonts w:hint="eastAsia" w:ascii="宋体" w:hAnsi="宋体" w:cs="宋体"/>
                <w:kern w:val="0"/>
                <w:szCs w:val="21"/>
              </w:rPr>
              <w:t>2000≤Y＜10000</w:t>
            </w:r>
          </w:p>
        </w:tc>
        <w:tc>
          <w:tcPr>
            <w:tcW w:w="1760" w:type="dxa"/>
            <w:tcBorders>
              <w:top w:val="nil"/>
              <w:left w:val="nil"/>
              <w:bottom w:val="single" w:color="auto" w:sz="4" w:space="0"/>
              <w:right w:val="single" w:color="auto" w:sz="4" w:space="0"/>
            </w:tcBorders>
            <w:vAlign w:val="center"/>
          </w:tcPr>
          <w:p w14:paraId="46DFA848">
            <w:pPr>
              <w:widowControl/>
              <w:jc w:val="left"/>
              <w:rPr>
                <w:rFonts w:ascii="宋体" w:hAnsi="宋体" w:cs="宋体"/>
                <w:kern w:val="0"/>
                <w:szCs w:val="21"/>
              </w:rPr>
            </w:pPr>
            <w:r>
              <w:rPr>
                <w:rFonts w:hint="eastAsia" w:ascii="宋体" w:hAnsi="宋体" w:cs="宋体"/>
                <w:kern w:val="0"/>
                <w:szCs w:val="21"/>
              </w:rPr>
              <w:t>100≤Y＜2000</w:t>
            </w:r>
          </w:p>
        </w:tc>
        <w:tc>
          <w:tcPr>
            <w:tcW w:w="1160" w:type="dxa"/>
            <w:tcBorders>
              <w:top w:val="nil"/>
              <w:left w:val="nil"/>
              <w:bottom w:val="single" w:color="auto" w:sz="4" w:space="0"/>
              <w:right w:val="single" w:color="auto" w:sz="4" w:space="0"/>
            </w:tcBorders>
            <w:vAlign w:val="center"/>
          </w:tcPr>
          <w:p w14:paraId="73B62606">
            <w:pPr>
              <w:widowControl/>
              <w:jc w:val="left"/>
              <w:rPr>
                <w:rFonts w:ascii="宋体" w:hAnsi="宋体" w:cs="宋体"/>
                <w:kern w:val="0"/>
                <w:szCs w:val="21"/>
              </w:rPr>
            </w:pPr>
            <w:r>
              <w:rPr>
                <w:rFonts w:hint="eastAsia" w:ascii="宋体" w:hAnsi="宋体" w:cs="宋体"/>
                <w:kern w:val="0"/>
                <w:szCs w:val="21"/>
              </w:rPr>
              <w:t>Y＜100</w:t>
            </w:r>
          </w:p>
        </w:tc>
      </w:tr>
      <w:tr w14:paraId="7E48DA47">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553726B2">
            <w:pPr>
              <w:widowControl/>
              <w:jc w:val="center"/>
              <w:rPr>
                <w:rFonts w:ascii="宋体" w:hAnsi="宋体" w:cs="宋体"/>
                <w:b/>
                <w:bCs/>
                <w:kern w:val="0"/>
                <w:szCs w:val="21"/>
              </w:rPr>
            </w:pPr>
            <w:r>
              <w:rPr>
                <w:rFonts w:hint="eastAsia" w:ascii="宋体" w:hAnsi="宋体" w:cs="宋体"/>
                <w:b/>
                <w:bCs/>
                <w:kern w:val="0"/>
                <w:szCs w:val="21"/>
              </w:rPr>
              <w:t>信息传输业</w:t>
            </w:r>
          </w:p>
        </w:tc>
        <w:tc>
          <w:tcPr>
            <w:tcW w:w="1573" w:type="dxa"/>
            <w:tcBorders>
              <w:top w:val="nil"/>
              <w:left w:val="nil"/>
              <w:bottom w:val="single" w:color="auto" w:sz="4" w:space="0"/>
              <w:right w:val="single" w:color="auto" w:sz="4" w:space="0"/>
            </w:tcBorders>
            <w:vAlign w:val="center"/>
          </w:tcPr>
          <w:p w14:paraId="3313ABAB">
            <w:pPr>
              <w:widowControl/>
              <w:jc w:val="left"/>
              <w:rPr>
                <w:rFonts w:ascii="宋体" w:hAnsi="宋体" w:cs="宋体"/>
                <w:kern w:val="0"/>
                <w:szCs w:val="21"/>
              </w:rPr>
            </w:pPr>
            <w:r>
              <w:rPr>
                <w:rFonts w:hint="eastAsia" w:ascii="宋体" w:hAnsi="宋体" w:cs="宋体"/>
                <w:kern w:val="0"/>
                <w:szCs w:val="21"/>
              </w:rPr>
              <w:t>从业人员（X）</w:t>
            </w:r>
          </w:p>
        </w:tc>
        <w:tc>
          <w:tcPr>
            <w:tcW w:w="1134" w:type="dxa"/>
            <w:tcBorders>
              <w:top w:val="nil"/>
              <w:left w:val="nil"/>
              <w:bottom w:val="single" w:color="auto" w:sz="4" w:space="0"/>
              <w:right w:val="single" w:color="auto" w:sz="4" w:space="0"/>
            </w:tcBorders>
            <w:vAlign w:val="center"/>
          </w:tcPr>
          <w:p w14:paraId="1624481A">
            <w:pPr>
              <w:widowControl/>
              <w:jc w:val="left"/>
              <w:rPr>
                <w:rFonts w:ascii="宋体" w:hAnsi="宋体" w:cs="宋体"/>
                <w:kern w:val="0"/>
                <w:szCs w:val="21"/>
              </w:rPr>
            </w:pPr>
            <w:r>
              <w:rPr>
                <w:rFonts w:hint="eastAsia" w:ascii="宋体" w:hAnsi="宋体" w:cs="宋体"/>
                <w:kern w:val="0"/>
                <w:szCs w:val="21"/>
              </w:rPr>
              <w:t>人</w:t>
            </w:r>
          </w:p>
        </w:tc>
        <w:tc>
          <w:tcPr>
            <w:tcW w:w="1946" w:type="dxa"/>
            <w:tcBorders>
              <w:top w:val="nil"/>
              <w:left w:val="nil"/>
              <w:bottom w:val="single" w:color="auto" w:sz="4" w:space="0"/>
              <w:right w:val="single" w:color="auto" w:sz="4" w:space="0"/>
            </w:tcBorders>
            <w:vAlign w:val="center"/>
          </w:tcPr>
          <w:p w14:paraId="737F7718">
            <w:pPr>
              <w:widowControl/>
              <w:jc w:val="left"/>
              <w:rPr>
                <w:rFonts w:ascii="宋体" w:hAnsi="宋体" w:cs="宋体"/>
                <w:kern w:val="0"/>
                <w:szCs w:val="21"/>
              </w:rPr>
            </w:pPr>
            <w:r>
              <w:rPr>
                <w:rFonts w:hint="eastAsia" w:ascii="宋体" w:hAnsi="宋体" w:cs="宋体"/>
                <w:kern w:val="0"/>
                <w:szCs w:val="21"/>
              </w:rPr>
              <w:t>100≤X＜2000</w:t>
            </w:r>
          </w:p>
        </w:tc>
        <w:tc>
          <w:tcPr>
            <w:tcW w:w="1760" w:type="dxa"/>
            <w:tcBorders>
              <w:top w:val="nil"/>
              <w:left w:val="nil"/>
              <w:bottom w:val="single" w:color="auto" w:sz="4" w:space="0"/>
              <w:right w:val="single" w:color="auto" w:sz="4" w:space="0"/>
            </w:tcBorders>
            <w:vAlign w:val="center"/>
          </w:tcPr>
          <w:p w14:paraId="03B2AC77">
            <w:pPr>
              <w:widowControl/>
              <w:jc w:val="left"/>
              <w:rPr>
                <w:rFonts w:ascii="宋体" w:hAnsi="宋体" w:cs="宋体"/>
                <w:kern w:val="0"/>
                <w:szCs w:val="21"/>
              </w:rPr>
            </w:pPr>
            <w:r>
              <w:rPr>
                <w:rFonts w:hint="eastAsia" w:ascii="宋体" w:hAnsi="宋体" w:cs="宋体"/>
                <w:kern w:val="0"/>
                <w:szCs w:val="21"/>
              </w:rPr>
              <w:t>10≤X＜100</w:t>
            </w:r>
          </w:p>
        </w:tc>
        <w:tc>
          <w:tcPr>
            <w:tcW w:w="1160" w:type="dxa"/>
            <w:tcBorders>
              <w:top w:val="nil"/>
              <w:left w:val="nil"/>
              <w:bottom w:val="single" w:color="auto" w:sz="4" w:space="0"/>
              <w:right w:val="single" w:color="auto" w:sz="4" w:space="0"/>
            </w:tcBorders>
            <w:vAlign w:val="center"/>
          </w:tcPr>
          <w:p w14:paraId="2839DC08">
            <w:pPr>
              <w:widowControl/>
              <w:jc w:val="left"/>
              <w:rPr>
                <w:rFonts w:ascii="宋体" w:hAnsi="宋体" w:cs="宋体"/>
                <w:kern w:val="0"/>
                <w:szCs w:val="21"/>
              </w:rPr>
            </w:pPr>
            <w:r>
              <w:rPr>
                <w:rFonts w:hint="eastAsia" w:ascii="宋体" w:hAnsi="宋体" w:cs="宋体"/>
                <w:kern w:val="0"/>
                <w:szCs w:val="21"/>
              </w:rPr>
              <w:t>X＜10</w:t>
            </w:r>
          </w:p>
        </w:tc>
      </w:tr>
      <w:tr w14:paraId="1A804859">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55BF30E3">
            <w:pPr>
              <w:widowControl/>
              <w:jc w:val="left"/>
              <w:rPr>
                <w:rFonts w:ascii="宋体" w:hAnsi="宋体" w:cs="宋体"/>
                <w:b/>
                <w:bCs/>
                <w:kern w:val="0"/>
                <w:szCs w:val="21"/>
              </w:rPr>
            </w:pPr>
          </w:p>
        </w:tc>
        <w:tc>
          <w:tcPr>
            <w:tcW w:w="1573" w:type="dxa"/>
            <w:tcBorders>
              <w:top w:val="nil"/>
              <w:left w:val="nil"/>
              <w:bottom w:val="single" w:color="auto" w:sz="4" w:space="0"/>
              <w:right w:val="single" w:color="auto" w:sz="4" w:space="0"/>
            </w:tcBorders>
            <w:vAlign w:val="center"/>
          </w:tcPr>
          <w:p w14:paraId="5174B906">
            <w:pPr>
              <w:widowControl/>
              <w:jc w:val="left"/>
              <w:rPr>
                <w:rFonts w:ascii="宋体" w:hAnsi="宋体" w:cs="宋体"/>
                <w:kern w:val="0"/>
                <w:szCs w:val="21"/>
              </w:rPr>
            </w:pPr>
            <w:r>
              <w:rPr>
                <w:rFonts w:hint="eastAsia" w:ascii="宋体" w:hAnsi="宋体" w:cs="宋体"/>
                <w:kern w:val="0"/>
                <w:szCs w:val="21"/>
              </w:rPr>
              <w:t>营业收入（Y）</w:t>
            </w:r>
          </w:p>
        </w:tc>
        <w:tc>
          <w:tcPr>
            <w:tcW w:w="1134" w:type="dxa"/>
            <w:tcBorders>
              <w:top w:val="nil"/>
              <w:left w:val="nil"/>
              <w:bottom w:val="single" w:color="auto" w:sz="4" w:space="0"/>
              <w:right w:val="single" w:color="auto" w:sz="4" w:space="0"/>
            </w:tcBorders>
            <w:vAlign w:val="center"/>
          </w:tcPr>
          <w:p w14:paraId="4AF043D8">
            <w:pPr>
              <w:widowControl/>
              <w:jc w:val="left"/>
              <w:rPr>
                <w:rFonts w:ascii="宋体" w:hAnsi="宋体" w:cs="宋体"/>
                <w:kern w:val="0"/>
                <w:szCs w:val="21"/>
              </w:rPr>
            </w:pPr>
            <w:r>
              <w:rPr>
                <w:rFonts w:hint="eastAsia" w:ascii="宋体" w:hAnsi="宋体" w:cs="宋体"/>
                <w:kern w:val="0"/>
                <w:szCs w:val="21"/>
              </w:rPr>
              <w:t>万元</w:t>
            </w:r>
          </w:p>
        </w:tc>
        <w:tc>
          <w:tcPr>
            <w:tcW w:w="1946" w:type="dxa"/>
            <w:tcBorders>
              <w:top w:val="nil"/>
              <w:left w:val="nil"/>
              <w:bottom w:val="single" w:color="auto" w:sz="4" w:space="0"/>
              <w:right w:val="single" w:color="auto" w:sz="4" w:space="0"/>
            </w:tcBorders>
            <w:vAlign w:val="center"/>
          </w:tcPr>
          <w:p w14:paraId="518937ED">
            <w:pPr>
              <w:widowControl/>
              <w:jc w:val="left"/>
              <w:rPr>
                <w:rFonts w:ascii="宋体" w:hAnsi="宋体" w:cs="宋体"/>
                <w:kern w:val="0"/>
                <w:szCs w:val="21"/>
              </w:rPr>
            </w:pPr>
            <w:r>
              <w:rPr>
                <w:rFonts w:hint="eastAsia" w:ascii="宋体" w:hAnsi="宋体" w:cs="宋体"/>
                <w:kern w:val="0"/>
                <w:szCs w:val="21"/>
              </w:rPr>
              <w:t>1000≤Y＜100000</w:t>
            </w:r>
          </w:p>
        </w:tc>
        <w:tc>
          <w:tcPr>
            <w:tcW w:w="1760" w:type="dxa"/>
            <w:tcBorders>
              <w:top w:val="nil"/>
              <w:left w:val="nil"/>
              <w:bottom w:val="single" w:color="auto" w:sz="4" w:space="0"/>
              <w:right w:val="single" w:color="auto" w:sz="4" w:space="0"/>
            </w:tcBorders>
            <w:vAlign w:val="center"/>
          </w:tcPr>
          <w:p w14:paraId="4148702D">
            <w:pPr>
              <w:widowControl/>
              <w:jc w:val="left"/>
              <w:rPr>
                <w:rFonts w:ascii="宋体" w:hAnsi="宋体" w:cs="宋体"/>
                <w:kern w:val="0"/>
                <w:szCs w:val="21"/>
              </w:rPr>
            </w:pPr>
            <w:r>
              <w:rPr>
                <w:rFonts w:hint="eastAsia" w:ascii="宋体" w:hAnsi="宋体" w:cs="宋体"/>
                <w:kern w:val="0"/>
                <w:szCs w:val="21"/>
              </w:rPr>
              <w:t>100≤Y＜1000</w:t>
            </w:r>
          </w:p>
        </w:tc>
        <w:tc>
          <w:tcPr>
            <w:tcW w:w="1160" w:type="dxa"/>
            <w:tcBorders>
              <w:top w:val="nil"/>
              <w:left w:val="nil"/>
              <w:bottom w:val="single" w:color="auto" w:sz="4" w:space="0"/>
              <w:right w:val="single" w:color="auto" w:sz="4" w:space="0"/>
            </w:tcBorders>
            <w:vAlign w:val="center"/>
          </w:tcPr>
          <w:p w14:paraId="5E32904D">
            <w:pPr>
              <w:widowControl/>
              <w:jc w:val="left"/>
              <w:rPr>
                <w:rFonts w:ascii="宋体" w:hAnsi="宋体" w:cs="宋体"/>
                <w:kern w:val="0"/>
                <w:szCs w:val="21"/>
              </w:rPr>
            </w:pPr>
            <w:r>
              <w:rPr>
                <w:rFonts w:hint="eastAsia" w:ascii="宋体" w:hAnsi="宋体" w:cs="宋体"/>
                <w:kern w:val="0"/>
                <w:szCs w:val="21"/>
              </w:rPr>
              <w:t>Y＜100</w:t>
            </w:r>
          </w:p>
        </w:tc>
      </w:tr>
      <w:tr w14:paraId="58C468E5">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794E7C3E">
            <w:pPr>
              <w:widowControl/>
              <w:jc w:val="center"/>
              <w:rPr>
                <w:rFonts w:ascii="宋体" w:hAnsi="宋体" w:cs="宋体"/>
                <w:b/>
                <w:bCs/>
                <w:kern w:val="0"/>
                <w:szCs w:val="21"/>
              </w:rPr>
            </w:pPr>
            <w:r>
              <w:rPr>
                <w:rFonts w:hint="eastAsia" w:ascii="宋体" w:hAnsi="宋体" w:cs="宋体"/>
                <w:b/>
                <w:bCs/>
                <w:kern w:val="0"/>
                <w:szCs w:val="21"/>
              </w:rPr>
              <w:t>软件和信息技术服务业</w:t>
            </w:r>
          </w:p>
        </w:tc>
        <w:tc>
          <w:tcPr>
            <w:tcW w:w="1573" w:type="dxa"/>
            <w:tcBorders>
              <w:top w:val="nil"/>
              <w:left w:val="nil"/>
              <w:bottom w:val="single" w:color="auto" w:sz="4" w:space="0"/>
              <w:right w:val="single" w:color="auto" w:sz="4" w:space="0"/>
            </w:tcBorders>
            <w:vAlign w:val="center"/>
          </w:tcPr>
          <w:p w14:paraId="792ED0A3">
            <w:pPr>
              <w:widowControl/>
              <w:jc w:val="left"/>
              <w:rPr>
                <w:rFonts w:ascii="宋体" w:hAnsi="宋体" w:cs="宋体"/>
                <w:kern w:val="0"/>
                <w:szCs w:val="21"/>
              </w:rPr>
            </w:pPr>
            <w:r>
              <w:rPr>
                <w:rFonts w:hint="eastAsia" w:ascii="宋体" w:hAnsi="宋体" w:cs="宋体"/>
                <w:kern w:val="0"/>
                <w:szCs w:val="21"/>
              </w:rPr>
              <w:t>从业人员（X）</w:t>
            </w:r>
          </w:p>
        </w:tc>
        <w:tc>
          <w:tcPr>
            <w:tcW w:w="1134" w:type="dxa"/>
            <w:tcBorders>
              <w:top w:val="nil"/>
              <w:left w:val="nil"/>
              <w:bottom w:val="single" w:color="auto" w:sz="4" w:space="0"/>
              <w:right w:val="single" w:color="auto" w:sz="4" w:space="0"/>
            </w:tcBorders>
            <w:vAlign w:val="center"/>
          </w:tcPr>
          <w:p w14:paraId="0F3403FD">
            <w:pPr>
              <w:widowControl/>
              <w:jc w:val="left"/>
              <w:rPr>
                <w:rFonts w:ascii="宋体" w:hAnsi="宋体" w:cs="宋体"/>
                <w:kern w:val="0"/>
                <w:szCs w:val="21"/>
              </w:rPr>
            </w:pPr>
            <w:r>
              <w:rPr>
                <w:rFonts w:hint="eastAsia" w:ascii="宋体" w:hAnsi="宋体" w:cs="宋体"/>
                <w:kern w:val="0"/>
                <w:szCs w:val="21"/>
              </w:rPr>
              <w:t>人</w:t>
            </w:r>
          </w:p>
        </w:tc>
        <w:tc>
          <w:tcPr>
            <w:tcW w:w="1946" w:type="dxa"/>
            <w:tcBorders>
              <w:top w:val="nil"/>
              <w:left w:val="nil"/>
              <w:bottom w:val="single" w:color="auto" w:sz="4" w:space="0"/>
              <w:right w:val="single" w:color="auto" w:sz="4" w:space="0"/>
            </w:tcBorders>
            <w:vAlign w:val="center"/>
          </w:tcPr>
          <w:p w14:paraId="212B8F21">
            <w:pPr>
              <w:widowControl/>
              <w:jc w:val="left"/>
              <w:rPr>
                <w:rFonts w:ascii="宋体" w:hAnsi="宋体" w:cs="宋体"/>
                <w:kern w:val="0"/>
                <w:szCs w:val="21"/>
              </w:rPr>
            </w:pPr>
            <w:r>
              <w:rPr>
                <w:rFonts w:hint="eastAsia" w:ascii="宋体" w:hAnsi="宋体" w:cs="宋体"/>
                <w:kern w:val="0"/>
                <w:szCs w:val="21"/>
              </w:rPr>
              <w:t>100≤X＜300</w:t>
            </w:r>
          </w:p>
        </w:tc>
        <w:tc>
          <w:tcPr>
            <w:tcW w:w="1760" w:type="dxa"/>
            <w:tcBorders>
              <w:top w:val="nil"/>
              <w:left w:val="nil"/>
              <w:bottom w:val="single" w:color="auto" w:sz="4" w:space="0"/>
              <w:right w:val="single" w:color="auto" w:sz="4" w:space="0"/>
            </w:tcBorders>
            <w:vAlign w:val="center"/>
          </w:tcPr>
          <w:p w14:paraId="704E3590">
            <w:pPr>
              <w:widowControl/>
              <w:jc w:val="left"/>
              <w:rPr>
                <w:rFonts w:ascii="宋体" w:hAnsi="宋体" w:cs="宋体"/>
                <w:kern w:val="0"/>
                <w:szCs w:val="21"/>
              </w:rPr>
            </w:pPr>
            <w:r>
              <w:rPr>
                <w:rFonts w:hint="eastAsia" w:ascii="宋体" w:hAnsi="宋体" w:cs="宋体"/>
                <w:kern w:val="0"/>
                <w:szCs w:val="21"/>
              </w:rPr>
              <w:t>10≤X＜100</w:t>
            </w:r>
          </w:p>
        </w:tc>
        <w:tc>
          <w:tcPr>
            <w:tcW w:w="1160" w:type="dxa"/>
            <w:tcBorders>
              <w:top w:val="nil"/>
              <w:left w:val="nil"/>
              <w:bottom w:val="single" w:color="auto" w:sz="4" w:space="0"/>
              <w:right w:val="single" w:color="auto" w:sz="4" w:space="0"/>
            </w:tcBorders>
            <w:vAlign w:val="center"/>
          </w:tcPr>
          <w:p w14:paraId="4CE93629">
            <w:pPr>
              <w:widowControl/>
              <w:jc w:val="left"/>
              <w:rPr>
                <w:rFonts w:ascii="宋体" w:hAnsi="宋体" w:cs="宋体"/>
                <w:kern w:val="0"/>
                <w:szCs w:val="21"/>
              </w:rPr>
            </w:pPr>
            <w:r>
              <w:rPr>
                <w:rFonts w:hint="eastAsia" w:ascii="宋体" w:hAnsi="宋体" w:cs="宋体"/>
                <w:kern w:val="0"/>
                <w:szCs w:val="21"/>
              </w:rPr>
              <w:t>X＜10</w:t>
            </w:r>
          </w:p>
        </w:tc>
      </w:tr>
      <w:tr w14:paraId="6BE9831F">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0A56D3F1">
            <w:pPr>
              <w:widowControl/>
              <w:jc w:val="left"/>
              <w:rPr>
                <w:rFonts w:ascii="宋体" w:hAnsi="宋体" w:cs="宋体"/>
                <w:b/>
                <w:bCs/>
                <w:kern w:val="0"/>
                <w:szCs w:val="21"/>
              </w:rPr>
            </w:pPr>
          </w:p>
        </w:tc>
        <w:tc>
          <w:tcPr>
            <w:tcW w:w="1573" w:type="dxa"/>
            <w:tcBorders>
              <w:top w:val="nil"/>
              <w:left w:val="nil"/>
              <w:bottom w:val="single" w:color="auto" w:sz="4" w:space="0"/>
              <w:right w:val="single" w:color="auto" w:sz="4" w:space="0"/>
            </w:tcBorders>
            <w:vAlign w:val="center"/>
          </w:tcPr>
          <w:p w14:paraId="4A287C59">
            <w:pPr>
              <w:widowControl/>
              <w:jc w:val="left"/>
              <w:rPr>
                <w:rFonts w:ascii="宋体" w:hAnsi="宋体" w:cs="宋体"/>
                <w:kern w:val="0"/>
                <w:szCs w:val="21"/>
              </w:rPr>
            </w:pPr>
            <w:r>
              <w:rPr>
                <w:rFonts w:hint="eastAsia" w:ascii="宋体" w:hAnsi="宋体" w:cs="宋体"/>
                <w:kern w:val="0"/>
                <w:szCs w:val="21"/>
              </w:rPr>
              <w:t>营业收入（Y）</w:t>
            </w:r>
          </w:p>
        </w:tc>
        <w:tc>
          <w:tcPr>
            <w:tcW w:w="1134" w:type="dxa"/>
            <w:tcBorders>
              <w:top w:val="nil"/>
              <w:left w:val="nil"/>
              <w:bottom w:val="single" w:color="auto" w:sz="4" w:space="0"/>
              <w:right w:val="single" w:color="auto" w:sz="4" w:space="0"/>
            </w:tcBorders>
            <w:vAlign w:val="center"/>
          </w:tcPr>
          <w:p w14:paraId="3F88BE77">
            <w:pPr>
              <w:widowControl/>
              <w:jc w:val="left"/>
              <w:rPr>
                <w:rFonts w:ascii="宋体" w:hAnsi="宋体" w:cs="宋体"/>
                <w:kern w:val="0"/>
                <w:szCs w:val="21"/>
              </w:rPr>
            </w:pPr>
            <w:r>
              <w:rPr>
                <w:rFonts w:hint="eastAsia" w:ascii="宋体" w:hAnsi="宋体" w:cs="宋体"/>
                <w:kern w:val="0"/>
                <w:szCs w:val="21"/>
              </w:rPr>
              <w:t>万元</w:t>
            </w:r>
          </w:p>
        </w:tc>
        <w:tc>
          <w:tcPr>
            <w:tcW w:w="1946" w:type="dxa"/>
            <w:tcBorders>
              <w:top w:val="nil"/>
              <w:left w:val="nil"/>
              <w:bottom w:val="single" w:color="auto" w:sz="4" w:space="0"/>
              <w:right w:val="single" w:color="auto" w:sz="4" w:space="0"/>
            </w:tcBorders>
            <w:vAlign w:val="center"/>
          </w:tcPr>
          <w:p w14:paraId="3E864DFD">
            <w:pPr>
              <w:widowControl/>
              <w:jc w:val="left"/>
              <w:rPr>
                <w:rFonts w:ascii="宋体" w:hAnsi="宋体" w:cs="宋体"/>
                <w:kern w:val="0"/>
                <w:szCs w:val="21"/>
              </w:rPr>
            </w:pPr>
            <w:r>
              <w:rPr>
                <w:rFonts w:hint="eastAsia" w:ascii="宋体" w:hAnsi="宋体" w:cs="宋体"/>
                <w:kern w:val="0"/>
                <w:szCs w:val="21"/>
              </w:rPr>
              <w:t>1000≤Y＜10000</w:t>
            </w:r>
          </w:p>
        </w:tc>
        <w:tc>
          <w:tcPr>
            <w:tcW w:w="1760" w:type="dxa"/>
            <w:tcBorders>
              <w:top w:val="nil"/>
              <w:left w:val="nil"/>
              <w:bottom w:val="single" w:color="auto" w:sz="4" w:space="0"/>
              <w:right w:val="single" w:color="auto" w:sz="4" w:space="0"/>
            </w:tcBorders>
            <w:vAlign w:val="center"/>
          </w:tcPr>
          <w:p w14:paraId="758036E3">
            <w:pPr>
              <w:widowControl/>
              <w:jc w:val="left"/>
              <w:rPr>
                <w:rFonts w:ascii="宋体" w:hAnsi="宋体" w:cs="宋体"/>
                <w:kern w:val="0"/>
                <w:szCs w:val="21"/>
              </w:rPr>
            </w:pPr>
            <w:r>
              <w:rPr>
                <w:rFonts w:hint="eastAsia" w:ascii="宋体" w:hAnsi="宋体" w:cs="宋体"/>
                <w:kern w:val="0"/>
                <w:szCs w:val="21"/>
              </w:rPr>
              <w:t>50≤Y＜1000</w:t>
            </w:r>
          </w:p>
        </w:tc>
        <w:tc>
          <w:tcPr>
            <w:tcW w:w="1160" w:type="dxa"/>
            <w:tcBorders>
              <w:top w:val="nil"/>
              <w:left w:val="nil"/>
              <w:bottom w:val="single" w:color="auto" w:sz="4" w:space="0"/>
              <w:right w:val="single" w:color="auto" w:sz="4" w:space="0"/>
            </w:tcBorders>
            <w:vAlign w:val="center"/>
          </w:tcPr>
          <w:p w14:paraId="311429DF">
            <w:pPr>
              <w:widowControl/>
              <w:jc w:val="left"/>
              <w:rPr>
                <w:rFonts w:ascii="宋体" w:hAnsi="宋体" w:cs="宋体"/>
                <w:kern w:val="0"/>
                <w:szCs w:val="21"/>
              </w:rPr>
            </w:pPr>
            <w:r>
              <w:rPr>
                <w:rFonts w:hint="eastAsia" w:ascii="宋体" w:hAnsi="宋体" w:cs="宋体"/>
                <w:kern w:val="0"/>
                <w:szCs w:val="21"/>
              </w:rPr>
              <w:t>Y＜50</w:t>
            </w:r>
          </w:p>
        </w:tc>
      </w:tr>
      <w:tr w14:paraId="2B5ACC19">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6C88E441">
            <w:pPr>
              <w:widowControl/>
              <w:jc w:val="center"/>
              <w:rPr>
                <w:rFonts w:ascii="宋体" w:hAnsi="宋体" w:cs="宋体"/>
                <w:b/>
                <w:bCs/>
                <w:kern w:val="0"/>
                <w:szCs w:val="21"/>
              </w:rPr>
            </w:pPr>
            <w:r>
              <w:rPr>
                <w:rFonts w:hint="eastAsia" w:ascii="宋体" w:hAnsi="宋体" w:cs="宋体"/>
                <w:b/>
                <w:bCs/>
                <w:kern w:val="0"/>
                <w:szCs w:val="21"/>
              </w:rPr>
              <w:t>房地产开发经营</w:t>
            </w:r>
          </w:p>
        </w:tc>
        <w:tc>
          <w:tcPr>
            <w:tcW w:w="1573" w:type="dxa"/>
            <w:tcBorders>
              <w:top w:val="nil"/>
              <w:left w:val="nil"/>
              <w:bottom w:val="single" w:color="auto" w:sz="4" w:space="0"/>
              <w:right w:val="single" w:color="auto" w:sz="4" w:space="0"/>
            </w:tcBorders>
            <w:vAlign w:val="center"/>
          </w:tcPr>
          <w:p w14:paraId="0695E73D">
            <w:pPr>
              <w:widowControl/>
              <w:jc w:val="left"/>
              <w:rPr>
                <w:rFonts w:ascii="宋体" w:hAnsi="宋体" w:cs="宋体"/>
                <w:kern w:val="0"/>
                <w:szCs w:val="21"/>
              </w:rPr>
            </w:pPr>
            <w:r>
              <w:rPr>
                <w:rFonts w:hint="eastAsia" w:ascii="宋体" w:hAnsi="宋体" w:cs="宋体"/>
                <w:kern w:val="0"/>
                <w:szCs w:val="21"/>
              </w:rPr>
              <w:t>营业收入（Y）</w:t>
            </w:r>
          </w:p>
        </w:tc>
        <w:tc>
          <w:tcPr>
            <w:tcW w:w="1134" w:type="dxa"/>
            <w:tcBorders>
              <w:top w:val="nil"/>
              <w:left w:val="nil"/>
              <w:bottom w:val="single" w:color="auto" w:sz="4" w:space="0"/>
              <w:right w:val="single" w:color="auto" w:sz="4" w:space="0"/>
            </w:tcBorders>
            <w:vAlign w:val="center"/>
          </w:tcPr>
          <w:p w14:paraId="72C0EE5F">
            <w:pPr>
              <w:widowControl/>
              <w:jc w:val="left"/>
              <w:rPr>
                <w:rFonts w:ascii="宋体" w:hAnsi="宋体" w:cs="宋体"/>
                <w:kern w:val="0"/>
                <w:szCs w:val="21"/>
              </w:rPr>
            </w:pPr>
            <w:r>
              <w:rPr>
                <w:rFonts w:hint="eastAsia" w:ascii="宋体" w:hAnsi="宋体" w:cs="宋体"/>
                <w:kern w:val="0"/>
                <w:szCs w:val="21"/>
              </w:rPr>
              <w:t>万元</w:t>
            </w:r>
          </w:p>
        </w:tc>
        <w:tc>
          <w:tcPr>
            <w:tcW w:w="1946" w:type="dxa"/>
            <w:tcBorders>
              <w:top w:val="nil"/>
              <w:left w:val="nil"/>
              <w:bottom w:val="single" w:color="auto" w:sz="4" w:space="0"/>
              <w:right w:val="single" w:color="auto" w:sz="4" w:space="0"/>
            </w:tcBorders>
            <w:vAlign w:val="center"/>
          </w:tcPr>
          <w:p w14:paraId="3FA8045F">
            <w:pPr>
              <w:widowControl/>
              <w:jc w:val="left"/>
              <w:rPr>
                <w:rFonts w:ascii="宋体" w:hAnsi="宋体" w:cs="宋体"/>
                <w:kern w:val="0"/>
                <w:szCs w:val="21"/>
              </w:rPr>
            </w:pPr>
            <w:r>
              <w:rPr>
                <w:rFonts w:hint="eastAsia" w:ascii="宋体" w:hAnsi="宋体" w:cs="宋体"/>
                <w:kern w:val="0"/>
                <w:szCs w:val="21"/>
              </w:rPr>
              <w:t>1000≤Y＜200000</w:t>
            </w:r>
          </w:p>
        </w:tc>
        <w:tc>
          <w:tcPr>
            <w:tcW w:w="1760" w:type="dxa"/>
            <w:tcBorders>
              <w:top w:val="nil"/>
              <w:left w:val="nil"/>
              <w:bottom w:val="single" w:color="auto" w:sz="4" w:space="0"/>
              <w:right w:val="single" w:color="auto" w:sz="4" w:space="0"/>
            </w:tcBorders>
            <w:vAlign w:val="center"/>
          </w:tcPr>
          <w:p w14:paraId="77559842">
            <w:pPr>
              <w:widowControl/>
              <w:jc w:val="left"/>
              <w:rPr>
                <w:rFonts w:ascii="宋体" w:hAnsi="宋体" w:cs="宋体"/>
                <w:kern w:val="0"/>
                <w:szCs w:val="21"/>
              </w:rPr>
            </w:pPr>
            <w:r>
              <w:rPr>
                <w:rFonts w:hint="eastAsia" w:ascii="宋体" w:hAnsi="宋体" w:cs="宋体"/>
                <w:kern w:val="0"/>
                <w:szCs w:val="21"/>
              </w:rPr>
              <w:t>100≤X＜1000</w:t>
            </w:r>
          </w:p>
        </w:tc>
        <w:tc>
          <w:tcPr>
            <w:tcW w:w="1160" w:type="dxa"/>
            <w:tcBorders>
              <w:top w:val="nil"/>
              <w:left w:val="nil"/>
              <w:bottom w:val="single" w:color="auto" w:sz="4" w:space="0"/>
              <w:right w:val="single" w:color="auto" w:sz="4" w:space="0"/>
            </w:tcBorders>
            <w:vAlign w:val="center"/>
          </w:tcPr>
          <w:p w14:paraId="3D88113A">
            <w:pPr>
              <w:widowControl/>
              <w:jc w:val="left"/>
              <w:rPr>
                <w:rFonts w:ascii="宋体" w:hAnsi="宋体" w:cs="宋体"/>
                <w:kern w:val="0"/>
                <w:szCs w:val="21"/>
              </w:rPr>
            </w:pPr>
            <w:r>
              <w:rPr>
                <w:rFonts w:hint="eastAsia" w:ascii="宋体" w:hAnsi="宋体" w:cs="宋体"/>
                <w:kern w:val="0"/>
                <w:szCs w:val="21"/>
              </w:rPr>
              <w:t>X＜100</w:t>
            </w:r>
          </w:p>
        </w:tc>
      </w:tr>
      <w:tr w14:paraId="146CED22">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55C0DE6E">
            <w:pPr>
              <w:widowControl/>
              <w:jc w:val="left"/>
              <w:rPr>
                <w:rFonts w:ascii="宋体" w:hAnsi="宋体" w:cs="宋体"/>
                <w:b/>
                <w:bCs/>
                <w:kern w:val="0"/>
                <w:szCs w:val="21"/>
              </w:rPr>
            </w:pPr>
          </w:p>
        </w:tc>
        <w:tc>
          <w:tcPr>
            <w:tcW w:w="1573" w:type="dxa"/>
            <w:tcBorders>
              <w:top w:val="nil"/>
              <w:left w:val="nil"/>
              <w:bottom w:val="single" w:color="auto" w:sz="4" w:space="0"/>
              <w:right w:val="single" w:color="auto" w:sz="4" w:space="0"/>
            </w:tcBorders>
            <w:vAlign w:val="center"/>
          </w:tcPr>
          <w:p w14:paraId="570548A2">
            <w:pPr>
              <w:widowControl/>
              <w:jc w:val="left"/>
              <w:rPr>
                <w:rFonts w:ascii="宋体" w:hAnsi="宋体" w:cs="宋体"/>
                <w:kern w:val="0"/>
                <w:szCs w:val="21"/>
              </w:rPr>
            </w:pPr>
            <w:r>
              <w:rPr>
                <w:rFonts w:hint="eastAsia" w:ascii="宋体" w:hAnsi="宋体" w:cs="宋体"/>
                <w:kern w:val="0"/>
                <w:szCs w:val="21"/>
              </w:rPr>
              <w:t>资产总额（Z）</w:t>
            </w:r>
          </w:p>
        </w:tc>
        <w:tc>
          <w:tcPr>
            <w:tcW w:w="1134" w:type="dxa"/>
            <w:tcBorders>
              <w:top w:val="nil"/>
              <w:left w:val="nil"/>
              <w:bottom w:val="single" w:color="auto" w:sz="4" w:space="0"/>
              <w:right w:val="single" w:color="auto" w:sz="4" w:space="0"/>
            </w:tcBorders>
            <w:vAlign w:val="center"/>
          </w:tcPr>
          <w:p w14:paraId="324B9C13">
            <w:pPr>
              <w:widowControl/>
              <w:jc w:val="left"/>
              <w:rPr>
                <w:rFonts w:ascii="宋体" w:hAnsi="宋体" w:cs="宋体"/>
                <w:kern w:val="0"/>
                <w:szCs w:val="21"/>
              </w:rPr>
            </w:pPr>
            <w:r>
              <w:rPr>
                <w:rFonts w:hint="eastAsia" w:ascii="宋体" w:hAnsi="宋体" w:cs="宋体"/>
                <w:kern w:val="0"/>
                <w:szCs w:val="21"/>
              </w:rPr>
              <w:t>万元</w:t>
            </w:r>
          </w:p>
        </w:tc>
        <w:tc>
          <w:tcPr>
            <w:tcW w:w="1946" w:type="dxa"/>
            <w:tcBorders>
              <w:top w:val="nil"/>
              <w:left w:val="nil"/>
              <w:bottom w:val="single" w:color="auto" w:sz="4" w:space="0"/>
              <w:right w:val="single" w:color="auto" w:sz="4" w:space="0"/>
            </w:tcBorders>
            <w:vAlign w:val="center"/>
          </w:tcPr>
          <w:p w14:paraId="470E5AF5">
            <w:pPr>
              <w:widowControl/>
              <w:jc w:val="left"/>
              <w:rPr>
                <w:rFonts w:ascii="宋体" w:hAnsi="宋体" w:cs="宋体"/>
                <w:kern w:val="0"/>
                <w:szCs w:val="21"/>
              </w:rPr>
            </w:pPr>
            <w:r>
              <w:rPr>
                <w:rFonts w:hint="eastAsia" w:ascii="宋体" w:hAnsi="宋体" w:cs="宋体"/>
                <w:kern w:val="0"/>
                <w:szCs w:val="21"/>
              </w:rPr>
              <w:t>5000≤Z＜10000</w:t>
            </w:r>
          </w:p>
        </w:tc>
        <w:tc>
          <w:tcPr>
            <w:tcW w:w="1760" w:type="dxa"/>
            <w:tcBorders>
              <w:top w:val="nil"/>
              <w:left w:val="nil"/>
              <w:bottom w:val="single" w:color="auto" w:sz="4" w:space="0"/>
              <w:right w:val="single" w:color="auto" w:sz="4" w:space="0"/>
            </w:tcBorders>
            <w:vAlign w:val="center"/>
          </w:tcPr>
          <w:p w14:paraId="73C550A2">
            <w:pPr>
              <w:widowControl/>
              <w:jc w:val="left"/>
              <w:rPr>
                <w:rFonts w:ascii="宋体" w:hAnsi="宋体" w:cs="宋体"/>
                <w:kern w:val="0"/>
                <w:szCs w:val="21"/>
              </w:rPr>
            </w:pPr>
            <w:r>
              <w:rPr>
                <w:rFonts w:hint="eastAsia" w:ascii="宋体" w:hAnsi="宋体" w:cs="宋体"/>
                <w:kern w:val="0"/>
                <w:szCs w:val="21"/>
              </w:rPr>
              <w:t>2000≤Y＜5000</w:t>
            </w:r>
          </w:p>
        </w:tc>
        <w:tc>
          <w:tcPr>
            <w:tcW w:w="1160" w:type="dxa"/>
            <w:tcBorders>
              <w:top w:val="nil"/>
              <w:left w:val="nil"/>
              <w:bottom w:val="single" w:color="auto" w:sz="4" w:space="0"/>
              <w:right w:val="single" w:color="auto" w:sz="4" w:space="0"/>
            </w:tcBorders>
            <w:vAlign w:val="center"/>
          </w:tcPr>
          <w:p w14:paraId="6EC15A48">
            <w:pPr>
              <w:widowControl/>
              <w:jc w:val="left"/>
              <w:rPr>
                <w:rFonts w:ascii="宋体" w:hAnsi="宋体" w:cs="宋体"/>
                <w:kern w:val="0"/>
                <w:szCs w:val="21"/>
              </w:rPr>
            </w:pPr>
            <w:r>
              <w:rPr>
                <w:rFonts w:hint="eastAsia" w:ascii="宋体" w:hAnsi="宋体" w:cs="宋体"/>
                <w:kern w:val="0"/>
                <w:szCs w:val="21"/>
              </w:rPr>
              <w:t>Y＜2000</w:t>
            </w:r>
          </w:p>
        </w:tc>
      </w:tr>
      <w:tr w14:paraId="655D006D">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615178E4">
            <w:pPr>
              <w:widowControl/>
              <w:jc w:val="center"/>
              <w:rPr>
                <w:rFonts w:ascii="宋体" w:hAnsi="宋体" w:cs="宋体"/>
                <w:b/>
                <w:bCs/>
                <w:kern w:val="0"/>
                <w:szCs w:val="21"/>
              </w:rPr>
            </w:pPr>
            <w:r>
              <w:rPr>
                <w:rFonts w:hint="eastAsia" w:ascii="宋体" w:hAnsi="宋体" w:cs="宋体"/>
                <w:b/>
                <w:bCs/>
                <w:kern w:val="0"/>
                <w:szCs w:val="21"/>
              </w:rPr>
              <w:t>物业管理</w:t>
            </w:r>
          </w:p>
        </w:tc>
        <w:tc>
          <w:tcPr>
            <w:tcW w:w="1573" w:type="dxa"/>
            <w:tcBorders>
              <w:top w:val="nil"/>
              <w:left w:val="nil"/>
              <w:bottom w:val="single" w:color="auto" w:sz="4" w:space="0"/>
              <w:right w:val="single" w:color="auto" w:sz="4" w:space="0"/>
            </w:tcBorders>
            <w:vAlign w:val="center"/>
          </w:tcPr>
          <w:p w14:paraId="47382917">
            <w:pPr>
              <w:widowControl/>
              <w:jc w:val="left"/>
              <w:rPr>
                <w:rFonts w:ascii="宋体" w:hAnsi="宋体" w:cs="宋体"/>
                <w:kern w:val="0"/>
                <w:szCs w:val="21"/>
              </w:rPr>
            </w:pPr>
            <w:r>
              <w:rPr>
                <w:rFonts w:hint="eastAsia" w:ascii="宋体" w:hAnsi="宋体" w:cs="宋体"/>
                <w:kern w:val="0"/>
                <w:szCs w:val="21"/>
              </w:rPr>
              <w:t>从业人员（X）</w:t>
            </w:r>
          </w:p>
        </w:tc>
        <w:tc>
          <w:tcPr>
            <w:tcW w:w="1134" w:type="dxa"/>
            <w:tcBorders>
              <w:top w:val="nil"/>
              <w:left w:val="nil"/>
              <w:bottom w:val="single" w:color="auto" w:sz="4" w:space="0"/>
              <w:right w:val="single" w:color="auto" w:sz="4" w:space="0"/>
            </w:tcBorders>
            <w:vAlign w:val="center"/>
          </w:tcPr>
          <w:p w14:paraId="65A07DFF">
            <w:pPr>
              <w:widowControl/>
              <w:jc w:val="left"/>
              <w:rPr>
                <w:rFonts w:ascii="宋体" w:hAnsi="宋体" w:cs="宋体"/>
                <w:kern w:val="0"/>
                <w:szCs w:val="21"/>
              </w:rPr>
            </w:pPr>
            <w:r>
              <w:rPr>
                <w:rFonts w:hint="eastAsia" w:ascii="宋体" w:hAnsi="宋体" w:cs="宋体"/>
                <w:kern w:val="0"/>
                <w:szCs w:val="21"/>
              </w:rPr>
              <w:t>人</w:t>
            </w:r>
          </w:p>
        </w:tc>
        <w:tc>
          <w:tcPr>
            <w:tcW w:w="1946" w:type="dxa"/>
            <w:tcBorders>
              <w:top w:val="nil"/>
              <w:left w:val="nil"/>
              <w:bottom w:val="single" w:color="auto" w:sz="4" w:space="0"/>
              <w:right w:val="single" w:color="auto" w:sz="4" w:space="0"/>
            </w:tcBorders>
            <w:vAlign w:val="center"/>
          </w:tcPr>
          <w:p w14:paraId="266D8DBD">
            <w:pPr>
              <w:widowControl/>
              <w:jc w:val="left"/>
              <w:rPr>
                <w:rFonts w:ascii="宋体" w:hAnsi="宋体" w:cs="宋体"/>
                <w:kern w:val="0"/>
                <w:szCs w:val="21"/>
              </w:rPr>
            </w:pPr>
            <w:r>
              <w:rPr>
                <w:rFonts w:hint="eastAsia" w:ascii="宋体" w:hAnsi="宋体" w:cs="宋体"/>
                <w:kern w:val="0"/>
                <w:szCs w:val="21"/>
              </w:rPr>
              <w:t>300≤X＜1000</w:t>
            </w:r>
          </w:p>
        </w:tc>
        <w:tc>
          <w:tcPr>
            <w:tcW w:w="1760" w:type="dxa"/>
            <w:tcBorders>
              <w:top w:val="nil"/>
              <w:left w:val="nil"/>
              <w:bottom w:val="single" w:color="auto" w:sz="4" w:space="0"/>
              <w:right w:val="single" w:color="auto" w:sz="4" w:space="0"/>
            </w:tcBorders>
            <w:vAlign w:val="center"/>
          </w:tcPr>
          <w:p w14:paraId="4B05E6A2">
            <w:pPr>
              <w:widowControl/>
              <w:jc w:val="left"/>
              <w:rPr>
                <w:rFonts w:ascii="宋体" w:hAnsi="宋体" w:cs="宋体"/>
                <w:kern w:val="0"/>
                <w:szCs w:val="21"/>
              </w:rPr>
            </w:pPr>
            <w:r>
              <w:rPr>
                <w:rFonts w:hint="eastAsia" w:ascii="宋体" w:hAnsi="宋体" w:cs="宋体"/>
                <w:kern w:val="0"/>
                <w:szCs w:val="21"/>
              </w:rPr>
              <w:t>100≤X＜300</w:t>
            </w:r>
          </w:p>
        </w:tc>
        <w:tc>
          <w:tcPr>
            <w:tcW w:w="1160" w:type="dxa"/>
            <w:tcBorders>
              <w:top w:val="nil"/>
              <w:left w:val="nil"/>
              <w:bottom w:val="single" w:color="auto" w:sz="4" w:space="0"/>
              <w:right w:val="single" w:color="auto" w:sz="4" w:space="0"/>
            </w:tcBorders>
            <w:vAlign w:val="center"/>
          </w:tcPr>
          <w:p w14:paraId="025FA6EB">
            <w:pPr>
              <w:widowControl/>
              <w:jc w:val="left"/>
              <w:rPr>
                <w:rFonts w:ascii="宋体" w:hAnsi="宋体" w:cs="宋体"/>
                <w:kern w:val="0"/>
                <w:szCs w:val="21"/>
              </w:rPr>
            </w:pPr>
            <w:r>
              <w:rPr>
                <w:rFonts w:hint="eastAsia" w:ascii="宋体" w:hAnsi="宋体" w:cs="宋体"/>
                <w:kern w:val="0"/>
                <w:szCs w:val="21"/>
              </w:rPr>
              <w:t>X＜100</w:t>
            </w:r>
          </w:p>
        </w:tc>
      </w:tr>
      <w:tr w14:paraId="7BB7F0A2">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165A9DF3">
            <w:pPr>
              <w:widowControl/>
              <w:jc w:val="left"/>
              <w:rPr>
                <w:rFonts w:ascii="宋体" w:hAnsi="宋体" w:cs="宋体"/>
                <w:b/>
                <w:bCs/>
                <w:kern w:val="0"/>
                <w:szCs w:val="21"/>
              </w:rPr>
            </w:pPr>
          </w:p>
        </w:tc>
        <w:tc>
          <w:tcPr>
            <w:tcW w:w="1573" w:type="dxa"/>
            <w:tcBorders>
              <w:top w:val="nil"/>
              <w:left w:val="nil"/>
              <w:bottom w:val="single" w:color="auto" w:sz="4" w:space="0"/>
              <w:right w:val="single" w:color="auto" w:sz="4" w:space="0"/>
            </w:tcBorders>
            <w:vAlign w:val="center"/>
          </w:tcPr>
          <w:p w14:paraId="774B6F6C">
            <w:pPr>
              <w:widowControl/>
              <w:jc w:val="left"/>
              <w:rPr>
                <w:rFonts w:ascii="宋体" w:hAnsi="宋体" w:cs="宋体"/>
                <w:kern w:val="0"/>
                <w:szCs w:val="21"/>
              </w:rPr>
            </w:pPr>
            <w:r>
              <w:rPr>
                <w:rFonts w:hint="eastAsia" w:ascii="宋体" w:hAnsi="宋体" w:cs="宋体"/>
                <w:kern w:val="0"/>
                <w:szCs w:val="21"/>
              </w:rPr>
              <w:t>营业收入（Y）</w:t>
            </w:r>
          </w:p>
        </w:tc>
        <w:tc>
          <w:tcPr>
            <w:tcW w:w="1134" w:type="dxa"/>
            <w:tcBorders>
              <w:top w:val="nil"/>
              <w:left w:val="nil"/>
              <w:bottom w:val="single" w:color="auto" w:sz="4" w:space="0"/>
              <w:right w:val="single" w:color="auto" w:sz="4" w:space="0"/>
            </w:tcBorders>
            <w:vAlign w:val="center"/>
          </w:tcPr>
          <w:p w14:paraId="545A639C">
            <w:pPr>
              <w:widowControl/>
              <w:jc w:val="left"/>
              <w:rPr>
                <w:rFonts w:ascii="宋体" w:hAnsi="宋体" w:cs="宋体"/>
                <w:kern w:val="0"/>
                <w:szCs w:val="21"/>
              </w:rPr>
            </w:pPr>
            <w:r>
              <w:rPr>
                <w:rFonts w:hint="eastAsia" w:ascii="宋体" w:hAnsi="宋体" w:cs="宋体"/>
                <w:kern w:val="0"/>
                <w:szCs w:val="21"/>
              </w:rPr>
              <w:t>万元</w:t>
            </w:r>
          </w:p>
        </w:tc>
        <w:tc>
          <w:tcPr>
            <w:tcW w:w="1946" w:type="dxa"/>
            <w:tcBorders>
              <w:top w:val="nil"/>
              <w:left w:val="nil"/>
              <w:bottom w:val="single" w:color="auto" w:sz="4" w:space="0"/>
              <w:right w:val="single" w:color="auto" w:sz="4" w:space="0"/>
            </w:tcBorders>
            <w:vAlign w:val="center"/>
          </w:tcPr>
          <w:p w14:paraId="319495DA">
            <w:pPr>
              <w:widowControl/>
              <w:jc w:val="left"/>
              <w:rPr>
                <w:rFonts w:ascii="宋体" w:hAnsi="宋体" w:cs="宋体"/>
                <w:kern w:val="0"/>
                <w:szCs w:val="21"/>
              </w:rPr>
            </w:pPr>
            <w:r>
              <w:rPr>
                <w:rFonts w:hint="eastAsia" w:ascii="宋体" w:hAnsi="宋体" w:cs="宋体"/>
                <w:kern w:val="0"/>
                <w:szCs w:val="21"/>
              </w:rPr>
              <w:t>1000≤Y＜5000</w:t>
            </w:r>
          </w:p>
        </w:tc>
        <w:tc>
          <w:tcPr>
            <w:tcW w:w="1760" w:type="dxa"/>
            <w:tcBorders>
              <w:top w:val="nil"/>
              <w:left w:val="nil"/>
              <w:bottom w:val="single" w:color="auto" w:sz="4" w:space="0"/>
              <w:right w:val="single" w:color="auto" w:sz="4" w:space="0"/>
            </w:tcBorders>
            <w:vAlign w:val="center"/>
          </w:tcPr>
          <w:p w14:paraId="580C1E7B">
            <w:pPr>
              <w:widowControl/>
              <w:jc w:val="left"/>
              <w:rPr>
                <w:rFonts w:ascii="宋体" w:hAnsi="宋体" w:cs="宋体"/>
                <w:kern w:val="0"/>
                <w:szCs w:val="21"/>
              </w:rPr>
            </w:pPr>
            <w:r>
              <w:rPr>
                <w:rFonts w:hint="eastAsia" w:ascii="宋体" w:hAnsi="宋体" w:cs="宋体"/>
                <w:kern w:val="0"/>
                <w:szCs w:val="21"/>
              </w:rPr>
              <w:t>500≤Y＜1000</w:t>
            </w:r>
          </w:p>
        </w:tc>
        <w:tc>
          <w:tcPr>
            <w:tcW w:w="1160" w:type="dxa"/>
            <w:tcBorders>
              <w:top w:val="nil"/>
              <w:left w:val="nil"/>
              <w:bottom w:val="single" w:color="auto" w:sz="4" w:space="0"/>
              <w:right w:val="single" w:color="auto" w:sz="4" w:space="0"/>
            </w:tcBorders>
            <w:vAlign w:val="center"/>
          </w:tcPr>
          <w:p w14:paraId="5B2C4413">
            <w:pPr>
              <w:widowControl/>
              <w:jc w:val="left"/>
              <w:rPr>
                <w:rFonts w:ascii="宋体" w:hAnsi="宋体" w:cs="宋体"/>
                <w:kern w:val="0"/>
                <w:szCs w:val="21"/>
              </w:rPr>
            </w:pPr>
            <w:r>
              <w:rPr>
                <w:rFonts w:hint="eastAsia" w:ascii="宋体" w:hAnsi="宋体" w:cs="宋体"/>
                <w:kern w:val="0"/>
                <w:szCs w:val="21"/>
              </w:rPr>
              <w:t>Y＜500</w:t>
            </w:r>
          </w:p>
        </w:tc>
      </w:tr>
      <w:tr w14:paraId="6CE0B15E">
        <w:tblPrEx>
          <w:tblCellMar>
            <w:top w:w="0" w:type="dxa"/>
            <w:left w:w="108" w:type="dxa"/>
            <w:bottom w:w="0" w:type="dxa"/>
            <w:right w:w="108" w:type="dxa"/>
          </w:tblCellMar>
        </w:tblPrEx>
        <w:trPr>
          <w:trHeight w:val="225" w:hRule="atLeast"/>
        </w:trPr>
        <w:tc>
          <w:tcPr>
            <w:tcW w:w="1857" w:type="dxa"/>
            <w:vMerge w:val="restart"/>
            <w:tcBorders>
              <w:top w:val="nil"/>
              <w:left w:val="single" w:color="auto" w:sz="4" w:space="0"/>
              <w:bottom w:val="single" w:color="auto" w:sz="4" w:space="0"/>
              <w:right w:val="single" w:color="auto" w:sz="4" w:space="0"/>
            </w:tcBorders>
            <w:vAlign w:val="bottom"/>
          </w:tcPr>
          <w:p w14:paraId="48477DD2">
            <w:pPr>
              <w:widowControl/>
              <w:jc w:val="center"/>
              <w:rPr>
                <w:rFonts w:ascii="宋体" w:hAnsi="宋体" w:cs="宋体"/>
                <w:b/>
                <w:bCs/>
                <w:kern w:val="0"/>
                <w:szCs w:val="21"/>
              </w:rPr>
            </w:pPr>
            <w:r>
              <w:rPr>
                <w:rFonts w:hint="eastAsia" w:ascii="宋体" w:hAnsi="宋体" w:cs="宋体"/>
                <w:b/>
                <w:bCs/>
                <w:kern w:val="0"/>
                <w:szCs w:val="21"/>
              </w:rPr>
              <w:t>租赁和商务服务业</w:t>
            </w:r>
          </w:p>
        </w:tc>
        <w:tc>
          <w:tcPr>
            <w:tcW w:w="1573" w:type="dxa"/>
            <w:tcBorders>
              <w:top w:val="nil"/>
              <w:left w:val="nil"/>
              <w:bottom w:val="single" w:color="auto" w:sz="4" w:space="0"/>
              <w:right w:val="single" w:color="auto" w:sz="4" w:space="0"/>
            </w:tcBorders>
            <w:vAlign w:val="center"/>
          </w:tcPr>
          <w:p w14:paraId="665625C5">
            <w:pPr>
              <w:widowControl/>
              <w:jc w:val="left"/>
              <w:rPr>
                <w:rFonts w:ascii="宋体" w:hAnsi="宋体" w:cs="宋体"/>
                <w:kern w:val="0"/>
                <w:szCs w:val="21"/>
              </w:rPr>
            </w:pPr>
            <w:r>
              <w:rPr>
                <w:rFonts w:hint="eastAsia" w:ascii="宋体" w:hAnsi="宋体" w:cs="宋体"/>
                <w:kern w:val="0"/>
                <w:szCs w:val="21"/>
              </w:rPr>
              <w:t>从业人员（X）</w:t>
            </w:r>
          </w:p>
        </w:tc>
        <w:tc>
          <w:tcPr>
            <w:tcW w:w="1134" w:type="dxa"/>
            <w:tcBorders>
              <w:top w:val="nil"/>
              <w:left w:val="nil"/>
              <w:bottom w:val="single" w:color="auto" w:sz="4" w:space="0"/>
              <w:right w:val="single" w:color="auto" w:sz="4" w:space="0"/>
            </w:tcBorders>
            <w:vAlign w:val="center"/>
          </w:tcPr>
          <w:p w14:paraId="651F167E">
            <w:pPr>
              <w:widowControl/>
              <w:jc w:val="left"/>
              <w:rPr>
                <w:rFonts w:ascii="宋体" w:hAnsi="宋体" w:cs="宋体"/>
                <w:kern w:val="0"/>
                <w:szCs w:val="21"/>
              </w:rPr>
            </w:pPr>
            <w:r>
              <w:rPr>
                <w:rFonts w:hint="eastAsia" w:ascii="宋体" w:hAnsi="宋体" w:cs="宋体"/>
                <w:kern w:val="0"/>
                <w:szCs w:val="21"/>
              </w:rPr>
              <w:t>人</w:t>
            </w:r>
          </w:p>
        </w:tc>
        <w:tc>
          <w:tcPr>
            <w:tcW w:w="1946" w:type="dxa"/>
            <w:tcBorders>
              <w:top w:val="nil"/>
              <w:left w:val="nil"/>
              <w:bottom w:val="single" w:color="auto" w:sz="4" w:space="0"/>
              <w:right w:val="single" w:color="auto" w:sz="4" w:space="0"/>
            </w:tcBorders>
            <w:vAlign w:val="center"/>
          </w:tcPr>
          <w:p w14:paraId="738CCBD7">
            <w:pPr>
              <w:widowControl/>
              <w:jc w:val="left"/>
              <w:rPr>
                <w:rFonts w:ascii="宋体" w:hAnsi="宋体" w:cs="宋体"/>
                <w:kern w:val="0"/>
                <w:szCs w:val="21"/>
              </w:rPr>
            </w:pPr>
            <w:r>
              <w:rPr>
                <w:rFonts w:hint="eastAsia" w:ascii="宋体" w:hAnsi="宋体" w:cs="宋体"/>
                <w:kern w:val="0"/>
                <w:szCs w:val="21"/>
              </w:rPr>
              <w:t>100≤X＜300</w:t>
            </w:r>
          </w:p>
        </w:tc>
        <w:tc>
          <w:tcPr>
            <w:tcW w:w="1760" w:type="dxa"/>
            <w:tcBorders>
              <w:top w:val="nil"/>
              <w:left w:val="nil"/>
              <w:bottom w:val="single" w:color="auto" w:sz="4" w:space="0"/>
              <w:right w:val="single" w:color="auto" w:sz="4" w:space="0"/>
            </w:tcBorders>
            <w:vAlign w:val="center"/>
          </w:tcPr>
          <w:p w14:paraId="6CF4A70E">
            <w:pPr>
              <w:widowControl/>
              <w:jc w:val="left"/>
              <w:rPr>
                <w:rFonts w:ascii="宋体" w:hAnsi="宋体" w:cs="宋体"/>
                <w:kern w:val="0"/>
                <w:szCs w:val="21"/>
              </w:rPr>
            </w:pPr>
            <w:r>
              <w:rPr>
                <w:rFonts w:hint="eastAsia" w:ascii="宋体" w:hAnsi="宋体" w:cs="宋体"/>
                <w:kern w:val="0"/>
                <w:szCs w:val="21"/>
              </w:rPr>
              <w:t>10≤X＜100</w:t>
            </w:r>
          </w:p>
        </w:tc>
        <w:tc>
          <w:tcPr>
            <w:tcW w:w="1160" w:type="dxa"/>
            <w:tcBorders>
              <w:top w:val="nil"/>
              <w:left w:val="nil"/>
              <w:bottom w:val="single" w:color="auto" w:sz="4" w:space="0"/>
              <w:right w:val="single" w:color="auto" w:sz="4" w:space="0"/>
            </w:tcBorders>
            <w:vAlign w:val="center"/>
          </w:tcPr>
          <w:p w14:paraId="10D0FAA4">
            <w:pPr>
              <w:widowControl/>
              <w:jc w:val="left"/>
              <w:rPr>
                <w:rFonts w:ascii="宋体" w:hAnsi="宋体" w:cs="宋体"/>
                <w:kern w:val="0"/>
                <w:szCs w:val="21"/>
              </w:rPr>
            </w:pPr>
            <w:r>
              <w:rPr>
                <w:rFonts w:hint="eastAsia" w:ascii="宋体" w:hAnsi="宋体" w:cs="宋体"/>
                <w:kern w:val="0"/>
                <w:szCs w:val="21"/>
              </w:rPr>
              <w:t>X＜10</w:t>
            </w:r>
          </w:p>
        </w:tc>
      </w:tr>
      <w:tr w14:paraId="78AED1CC">
        <w:tblPrEx>
          <w:tblCellMar>
            <w:top w:w="0" w:type="dxa"/>
            <w:left w:w="108" w:type="dxa"/>
            <w:bottom w:w="0" w:type="dxa"/>
            <w:right w:w="108" w:type="dxa"/>
          </w:tblCellMar>
        </w:tblPrEx>
        <w:trPr>
          <w:trHeight w:val="225" w:hRule="atLeast"/>
        </w:trPr>
        <w:tc>
          <w:tcPr>
            <w:tcW w:w="1857" w:type="dxa"/>
            <w:vMerge w:val="continue"/>
            <w:tcBorders>
              <w:top w:val="nil"/>
              <w:left w:val="single" w:color="auto" w:sz="4" w:space="0"/>
              <w:bottom w:val="single" w:color="auto" w:sz="4" w:space="0"/>
              <w:right w:val="single" w:color="auto" w:sz="4" w:space="0"/>
            </w:tcBorders>
            <w:vAlign w:val="center"/>
          </w:tcPr>
          <w:p w14:paraId="7198CB9D">
            <w:pPr>
              <w:widowControl/>
              <w:jc w:val="left"/>
              <w:rPr>
                <w:rFonts w:ascii="宋体" w:hAnsi="宋体" w:cs="宋体"/>
                <w:b/>
                <w:bCs/>
                <w:kern w:val="0"/>
                <w:szCs w:val="21"/>
              </w:rPr>
            </w:pPr>
          </w:p>
        </w:tc>
        <w:tc>
          <w:tcPr>
            <w:tcW w:w="1573" w:type="dxa"/>
            <w:tcBorders>
              <w:top w:val="nil"/>
              <w:left w:val="nil"/>
              <w:bottom w:val="single" w:color="auto" w:sz="4" w:space="0"/>
              <w:right w:val="single" w:color="auto" w:sz="4" w:space="0"/>
            </w:tcBorders>
            <w:vAlign w:val="center"/>
          </w:tcPr>
          <w:p w14:paraId="1B10E618">
            <w:pPr>
              <w:widowControl/>
              <w:jc w:val="left"/>
              <w:rPr>
                <w:rFonts w:ascii="宋体" w:hAnsi="宋体" w:cs="宋体"/>
                <w:kern w:val="0"/>
                <w:szCs w:val="21"/>
              </w:rPr>
            </w:pPr>
            <w:r>
              <w:rPr>
                <w:rFonts w:hint="eastAsia" w:ascii="宋体" w:hAnsi="宋体" w:cs="宋体"/>
                <w:kern w:val="0"/>
                <w:szCs w:val="21"/>
              </w:rPr>
              <w:t>资产总额（Z）</w:t>
            </w:r>
          </w:p>
        </w:tc>
        <w:tc>
          <w:tcPr>
            <w:tcW w:w="1134" w:type="dxa"/>
            <w:tcBorders>
              <w:top w:val="nil"/>
              <w:left w:val="nil"/>
              <w:bottom w:val="single" w:color="auto" w:sz="4" w:space="0"/>
              <w:right w:val="single" w:color="auto" w:sz="4" w:space="0"/>
            </w:tcBorders>
            <w:vAlign w:val="center"/>
          </w:tcPr>
          <w:p w14:paraId="4691E4A3">
            <w:pPr>
              <w:widowControl/>
              <w:jc w:val="left"/>
              <w:rPr>
                <w:rFonts w:ascii="宋体" w:hAnsi="宋体" w:cs="宋体"/>
                <w:kern w:val="0"/>
                <w:szCs w:val="21"/>
              </w:rPr>
            </w:pPr>
            <w:r>
              <w:rPr>
                <w:rFonts w:hint="eastAsia" w:ascii="宋体" w:hAnsi="宋体" w:cs="宋体"/>
                <w:kern w:val="0"/>
                <w:szCs w:val="21"/>
              </w:rPr>
              <w:t>万元</w:t>
            </w:r>
          </w:p>
        </w:tc>
        <w:tc>
          <w:tcPr>
            <w:tcW w:w="1946" w:type="dxa"/>
            <w:tcBorders>
              <w:top w:val="nil"/>
              <w:left w:val="nil"/>
              <w:bottom w:val="single" w:color="auto" w:sz="4" w:space="0"/>
              <w:right w:val="single" w:color="auto" w:sz="4" w:space="0"/>
            </w:tcBorders>
            <w:vAlign w:val="center"/>
          </w:tcPr>
          <w:p w14:paraId="6521B501">
            <w:pPr>
              <w:widowControl/>
              <w:jc w:val="left"/>
              <w:rPr>
                <w:rFonts w:ascii="宋体" w:hAnsi="宋体" w:cs="宋体"/>
                <w:kern w:val="0"/>
                <w:szCs w:val="21"/>
              </w:rPr>
            </w:pPr>
            <w:r>
              <w:rPr>
                <w:rFonts w:hint="eastAsia" w:ascii="宋体" w:hAnsi="宋体" w:cs="宋体"/>
                <w:kern w:val="0"/>
                <w:szCs w:val="21"/>
              </w:rPr>
              <w:t>8000≤Z＜120000</w:t>
            </w:r>
          </w:p>
        </w:tc>
        <w:tc>
          <w:tcPr>
            <w:tcW w:w="1760" w:type="dxa"/>
            <w:tcBorders>
              <w:top w:val="nil"/>
              <w:left w:val="nil"/>
              <w:bottom w:val="single" w:color="auto" w:sz="4" w:space="0"/>
              <w:right w:val="single" w:color="auto" w:sz="4" w:space="0"/>
            </w:tcBorders>
            <w:vAlign w:val="center"/>
          </w:tcPr>
          <w:p w14:paraId="043634E7">
            <w:pPr>
              <w:widowControl/>
              <w:jc w:val="left"/>
              <w:rPr>
                <w:rFonts w:ascii="宋体" w:hAnsi="宋体" w:cs="宋体"/>
                <w:kern w:val="0"/>
                <w:szCs w:val="21"/>
              </w:rPr>
            </w:pPr>
            <w:r>
              <w:rPr>
                <w:rFonts w:hint="eastAsia" w:ascii="宋体" w:hAnsi="宋体" w:cs="宋体"/>
                <w:kern w:val="0"/>
                <w:szCs w:val="21"/>
              </w:rPr>
              <w:t>100≤Z＜8000</w:t>
            </w:r>
          </w:p>
        </w:tc>
        <w:tc>
          <w:tcPr>
            <w:tcW w:w="1160" w:type="dxa"/>
            <w:tcBorders>
              <w:top w:val="nil"/>
              <w:left w:val="nil"/>
              <w:bottom w:val="single" w:color="auto" w:sz="4" w:space="0"/>
              <w:right w:val="single" w:color="auto" w:sz="4" w:space="0"/>
            </w:tcBorders>
            <w:vAlign w:val="center"/>
          </w:tcPr>
          <w:p w14:paraId="759516F1">
            <w:pPr>
              <w:widowControl/>
              <w:jc w:val="left"/>
              <w:rPr>
                <w:rFonts w:ascii="宋体" w:hAnsi="宋体" w:cs="宋体"/>
                <w:kern w:val="0"/>
                <w:szCs w:val="21"/>
              </w:rPr>
            </w:pPr>
            <w:r>
              <w:rPr>
                <w:rFonts w:hint="eastAsia" w:ascii="宋体" w:hAnsi="宋体" w:cs="宋体"/>
                <w:kern w:val="0"/>
                <w:szCs w:val="21"/>
              </w:rPr>
              <w:t>Y＜100</w:t>
            </w:r>
          </w:p>
        </w:tc>
      </w:tr>
      <w:tr w14:paraId="461BDA3F">
        <w:tblPrEx>
          <w:tblCellMar>
            <w:top w:w="0" w:type="dxa"/>
            <w:left w:w="108" w:type="dxa"/>
            <w:bottom w:w="0" w:type="dxa"/>
            <w:right w:w="108" w:type="dxa"/>
          </w:tblCellMar>
        </w:tblPrEx>
        <w:trPr>
          <w:trHeight w:val="225" w:hRule="atLeast"/>
        </w:trPr>
        <w:tc>
          <w:tcPr>
            <w:tcW w:w="1857" w:type="dxa"/>
            <w:tcBorders>
              <w:top w:val="nil"/>
              <w:left w:val="single" w:color="auto" w:sz="4" w:space="0"/>
              <w:bottom w:val="single" w:color="auto" w:sz="4" w:space="0"/>
              <w:right w:val="single" w:color="auto" w:sz="4" w:space="0"/>
            </w:tcBorders>
            <w:vAlign w:val="bottom"/>
          </w:tcPr>
          <w:p w14:paraId="21675230">
            <w:pPr>
              <w:widowControl/>
              <w:jc w:val="center"/>
              <w:rPr>
                <w:rFonts w:ascii="宋体" w:hAnsi="宋体" w:cs="宋体"/>
                <w:b/>
                <w:bCs/>
                <w:kern w:val="0"/>
                <w:szCs w:val="21"/>
              </w:rPr>
            </w:pPr>
            <w:r>
              <w:rPr>
                <w:rFonts w:hint="eastAsia" w:ascii="宋体" w:hAnsi="宋体" w:cs="宋体"/>
                <w:b/>
                <w:bCs/>
                <w:kern w:val="0"/>
                <w:szCs w:val="21"/>
              </w:rPr>
              <w:t>其他未列明行业</w:t>
            </w:r>
          </w:p>
        </w:tc>
        <w:tc>
          <w:tcPr>
            <w:tcW w:w="1573" w:type="dxa"/>
            <w:tcBorders>
              <w:top w:val="nil"/>
              <w:left w:val="nil"/>
              <w:bottom w:val="single" w:color="auto" w:sz="4" w:space="0"/>
              <w:right w:val="single" w:color="auto" w:sz="4" w:space="0"/>
            </w:tcBorders>
            <w:vAlign w:val="center"/>
          </w:tcPr>
          <w:p w14:paraId="2F74C48C">
            <w:pPr>
              <w:widowControl/>
              <w:jc w:val="left"/>
              <w:rPr>
                <w:rFonts w:ascii="宋体" w:hAnsi="宋体" w:cs="宋体"/>
                <w:kern w:val="0"/>
                <w:szCs w:val="21"/>
              </w:rPr>
            </w:pPr>
            <w:r>
              <w:rPr>
                <w:rFonts w:hint="eastAsia" w:ascii="宋体" w:hAnsi="宋体" w:cs="宋体"/>
                <w:kern w:val="0"/>
                <w:szCs w:val="21"/>
              </w:rPr>
              <w:t>从业人员（X）</w:t>
            </w:r>
          </w:p>
        </w:tc>
        <w:tc>
          <w:tcPr>
            <w:tcW w:w="1134" w:type="dxa"/>
            <w:tcBorders>
              <w:top w:val="nil"/>
              <w:left w:val="nil"/>
              <w:bottom w:val="single" w:color="auto" w:sz="4" w:space="0"/>
              <w:right w:val="single" w:color="auto" w:sz="4" w:space="0"/>
            </w:tcBorders>
            <w:vAlign w:val="center"/>
          </w:tcPr>
          <w:p w14:paraId="70F8EA5E">
            <w:pPr>
              <w:widowControl/>
              <w:jc w:val="left"/>
              <w:rPr>
                <w:rFonts w:ascii="宋体" w:hAnsi="宋体" w:cs="宋体"/>
                <w:kern w:val="0"/>
                <w:szCs w:val="21"/>
              </w:rPr>
            </w:pPr>
            <w:r>
              <w:rPr>
                <w:rFonts w:hint="eastAsia" w:ascii="宋体" w:hAnsi="宋体" w:cs="宋体"/>
                <w:kern w:val="0"/>
                <w:szCs w:val="21"/>
              </w:rPr>
              <w:t>人</w:t>
            </w:r>
          </w:p>
        </w:tc>
        <w:tc>
          <w:tcPr>
            <w:tcW w:w="1946" w:type="dxa"/>
            <w:tcBorders>
              <w:top w:val="nil"/>
              <w:left w:val="nil"/>
              <w:bottom w:val="single" w:color="auto" w:sz="4" w:space="0"/>
              <w:right w:val="single" w:color="auto" w:sz="4" w:space="0"/>
            </w:tcBorders>
            <w:vAlign w:val="center"/>
          </w:tcPr>
          <w:p w14:paraId="741508C2">
            <w:pPr>
              <w:widowControl/>
              <w:jc w:val="left"/>
              <w:rPr>
                <w:rFonts w:ascii="宋体" w:hAnsi="宋体" w:cs="宋体"/>
                <w:kern w:val="0"/>
                <w:szCs w:val="21"/>
              </w:rPr>
            </w:pPr>
            <w:r>
              <w:rPr>
                <w:rFonts w:hint="eastAsia" w:ascii="宋体" w:hAnsi="宋体" w:cs="宋体"/>
                <w:kern w:val="0"/>
                <w:szCs w:val="21"/>
              </w:rPr>
              <w:t>100≤X＜300</w:t>
            </w:r>
          </w:p>
        </w:tc>
        <w:tc>
          <w:tcPr>
            <w:tcW w:w="1760" w:type="dxa"/>
            <w:tcBorders>
              <w:top w:val="nil"/>
              <w:left w:val="nil"/>
              <w:bottom w:val="single" w:color="auto" w:sz="4" w:space="0"/>
              <w:right w:val="single" w:color="auto" w:sz="4" w:space="0"/>
            </w:tcBorders>
            <w:vAlign w:val="center"/>
          </w:tcPr>
          <w:p w14:paraId="2229986B">
            <w:pPr>
              <w:widowControl/>
              <w:jc w:val="left"/>
              <w:rPr>
                <w:rFonts w:ascii="宋体" w:hAnsi="宋体" w:cs="宋体"/>
                <w:kern w:val="0"/>
                <w:szCs w:val="21"/>
              </w:rPr>
            </w:pPr>
            <w:r>
              <w:rPr>
                <w:rFonts w:hint="eastAsia" w:ascii="宋体" w:hAnsi="宋体" w:cs="宋体"/>
                <w:kern w:val="0"/>
                <w:szCs w:val="21"/>
              </w:rPr>
              <w:t>10≤X＜100</w:t>
            </w:r>
          </w:p>
        </w:tc>
        <w:tc>
          <w:tcPr>
            <w:tcW w:w="1160" w:type="dxa"/>
            <w:tcBorders>
              <w:top w:val="nil"/>
              <w:left w:val="nil"/>
              <w:bottom w:val="single" w:color="auto" w:sz="4" w:space="0"/>
              <w:right w:val="single" w:color="auto" w:sz="4" w:space="0"/>
            </w:tcBorders>
            <w:vAlign w:val="center"/>
          </w:tcPr>
          <w:p w14:paraId="564CBD07">
            <w:pPr>
              <w:widowControl/>
              <w:jc w:val="left"/>
              <w:rPr>
                <w:rFonts w:ascii="宋体" w:hAnsi="宋体" w:cs="宋体"/>
                <w:kern w:val="0"/>
                <w:szCs w:val="21"/>
              </w:rPr>
            </w:pPr>
            <w:r>
              <w:rPr>
                <w:rFonts w:hint="eastAsia" w:ascii="宋体" w:hAnsi="宋体" w:cs="宋体"/>
                <w:kern w:val="0"/>
                <w:szCs w:val="21"/>
              </w:rPr>
              <w:t>X＜10</w:t>
            </w:r>
          </w:p>
        </w:tc>
      </w:tr>
    </w:tbl>
    <w:p w14:paraId="42075D11">
      <w:pPr>
        <w:spacing w:line="360" w:lineRule="auto"/>
        <w:ind w:firstLine="525" w:firstLineChars="250"/>
        <w:rPr>
          <w:rFonts w:ascii="仿宋_GB2312" w:hAnsi="仿宋" w:eastAsia="仿宋_GB2312"/>
          <w:szCs w:val="21"/>
        </w:rPr>
      </w:pPr>
      <w:r>
        <w:rPr>
          <w:rFonts w:hint="eastAsia" w:ascii="仿宋_GB2312" w:hAnsi="仿宋" w:eastAsia="仿宋_GB2312"/>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47F9E452">
      <w:pPr>
        <w:widowControl/>
        <w:jc w:val="left"/>
        <w:rPr>
          <w:rFonts w:ascii="宋体" w:hAnsi="宋体"/>
          <w:szCs w:val="20"/>
        </w:rPr>
        <w:sectPr>
          <w:pgSz w:w="11906" w:h="16838"/>
          <w:pgMar w:top="1134" w:right="1134" w:bottom="1134" w:left="1134" w:header="720" w:footer="720" w:gutter="0"/>
          <w:cols w:space="720" w:num="1"/>
          <w:docGrid w:type="lines" w:linePitch="331" w:charSpace="0"/>
        </w:sectPr>
      </w:pPr>
    </w:p>
    <w:p w14:paraId="1F045856">
      <w:pPr>
        <w:pStyle w:val="18"/>
        <w:jc w:val="center"/>
        <w:outlineLvl w:val="0"/>
        <w:rPr>
          <w:rFonts w:hAnsi="宋体"/>
          <w:b/>
          <w:sz w:val="36"/>
          <w:szCs w:val="36"/>
        </w:rPr>
      </w:pPr>
      <w:bookmarkStart w:id="34" w:name="_Toc532545044"/>
      <w:bookmarkStart w:id="35" w:name="_Toc187761551"/>
      <w:r>
        <w:rPr>
          <w:rFonts w:hint="eastAsia" w:ascii="Times New Roman" w:hAnsi="Times New Roman"/>
          <w:b/>
          <w:sz w:val="36"/>
        </w:rPr>
        <w:t>第三章投标人须知</w:t>
      </w:r>
      <w:bookmarkEnd w:id="34"/>
      <w:bookmarkEnd w:id="35"/>
    </w:p>
    <w:p w14:paraId="4559BA03">
      <w:pPr>
        <w:pStyle w:val="18"/>
        <w:spacing w:line="720" w:lineRule="auto"/>
        <w:jc w:val="center"/>
        <w:outlineLvl w:val="1"/>
        <w:rPr>
          <w:rFonts w:ascii="Times New Roman" w:hAnsi="Times New Roman"/>
          <w:b/>
          <w:sz w:val="30"/>
          <w:szCs w:val="30"/>
        </w:rPr>
      </w:pPr>
      <w:bookmarkStart w:id="36" w:name="_Toc187761552"/>
      <w:r>
        <w:rPr>
          <w:rFonts w:hint="eastAsia" w:ascii="Times New Roman" w:hAnsi="Times New Roman"/>
          <w:b/>
          <w:sz w:val="30"/>
          <w:szCs w:val="30"/>
        </w:rPr>
        <w:t>第一节投标人须知前附表</w:t>
      </w:r>
      <w:bookmarkEnd w:id="36"/>
    </w:p>
    <w:tbl>
      <w:tblPr>
        <w:tblStyle w:val="32"/>
        <w:tblW w:w="9918"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6"/>
        <w:gridCol w:w="2097"/>
        <w:gridCol w:w="6975"/>
      </w:tblGrid>
      <w:tr w14:paraId="3E8C69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4B9DB033">
            <w:pPr>
              <w:snapToGrid w:val="0"/>
              <w:spacing w:line="360" w:lineRule="auto"/>
              <w:jc w:val="left"/>
              <w:rPr>
                <w:rFonts w:ascii="宋体" w:hAnsi="宋体"/>
                <w:szCs w:val="21"/>
              </w:rPr>
            </w:pPr>
            <w:r>
              <w:rPr>
                <w:rFonts w:hint="eastAsia" w:ascii="宋体" w:hAnsi="宋体"/>
                <w:szCs w:val="21"/>
              </w:rPr>
              <w:t>条款号</w:t>
            </w:r>
          </w:p>
        </w:tc>
        <w:tc>
          <w:tcPr>
            <w:tcW w:w="2097" w:type="dxa"/>
            <w:tcBorders>
              <w:top w:val="single" w:color="auto" w:sz="4" w:space="0"/>
              <w:left w:val="single" w:color="auto" w:sz="4" w:space="0"/>
              <w:bottom w:val="single" w:color="auto" w:sz="4" w:space="0"/>
              <w:right w:val="single" w:color="auto" w:sz="4" w:space="0"/>
            </w:tcBorders>
            <w:vAlign w:val="center"/>
          </w:tcPr>
          <w:p w14:paraId="5C6380B6">
            <w:pPr>
              <w:snapToGrid w:val="0"/>
              <w:spacing w:line="360" w:lineRule="auto"/>
              <w:jc w:val="left"/>
              <w:rPr>
                <w:rFonts w:ascii="宋体" w:hAnsi="宋体"/>
                <w:szCs w:val="21"/>
              </w:rPr>
            </w:pPr>
            <w:r>
              <w:rPr>
                <w:rFonts w:hint="eastAsia" w:ascii="宋体" w:hAnsi="宋体"/>
                <w:szCs w:val="21"/>
              </w:rPr>
              <w:t>项目内容</w:t>
            </w:r>
          </w:p>
        </w:tc>
        <w:tc>
          <w:tcPr>
            <w:tcW w:w="6975" w:type="dxa"/>
            <w:tcBorders>
              <w:top w:val="single" w:color="auto" w:sz="4" w:space="0"/>
              <w:left w:val="single" w:color="auto" w:sz="4" w:space="0"/>
              <w:bottom w:val="single" w:color="auto" w:sz="4" w:space="0"/>
              <w:right w:val="single" w:color="auto" w:sz="4" w:space="0"/>
            </w:tcBorders>
            <w:vAlign w:val="center"/>
          </w:tcPr>
          <w:p w14:paraId="2D80610C">
            <w:pPr>
              <w:snapToGrid w:val="0"/>
              <w:spacing w:line="360" w:lineRule="auto"/>
              <w:jc w:val="center"/>
              <w:rPr>
                <w:rFonts w:ascii="宋体" w:hAnsi="宋体"/>
                <w:szCs w:val="21"/>
              </w:rPr>
            </w:pPr>
            <w:r>
              <w:rPr>
                <w:rFonts w:hint="eastAsia" w:ascii="宋体" w:hAnsi="宋体"/>
                <w:szCs w:val="21"/>
              </w:rPr>
              <w:t>编列内容</w:t>
            </w:r>
          </w:p>
        </w:tc>
      </w:tr>
      <w:tr w14:paraId="296D6D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6958DF3A">
            <w:pPr>
              <w:spacing w:line="380" w:lineRule="exact"/>
              <w:rPr>
                <w:rFonts w:ascii="宋体" w:hAnsi="宋体"/>
                <w:szCs w:val="21"/>
              </w:rPr>
            </w:pPr>
            <w:r>
              <w:rPr>
                <w:rFonts w:hint="eastAsia" w:ascii="宋体" w:hAnsi="宋体"/>
                <w:szCs w:val="21"/>
              </w:rPr>
              <w:t>6.1</w:t>
            </w:r>
          </w:p>
        </w:tc>
        <w:tc>
          <w:tcPr>
            <w:tcW w:w="2097" w:type="dxa"/>
            <w:tcBorders>
              <w:top w:val="single" w:color="auto" w:sz="4" w:space="0"/>
              <w:left w:val="single" w:color="auto" w:sz="4" w:space="0"/>
              <w:bottom w:val="single" w:color="auto" w:sz="4" w:space="0"/>
              <w:right w:val="single" w:color="auto" w:sz="4" w:space="0"/>
            </w:tcBorders>
            <w:vAlign w:val="center"/>
          </w:tcPr>
          <w:p w14:paraId="79D20586">
            <w:pPr>
              <w:spacing w:line="380" w:lineRule="exact"/>
              <w:rPr>
                <w:rFonts w:ascii="宋体" w:hAnsi="宋体"/>
                <w:szCs w:val="21"/>
              </w:rPr>
            </w:pPr>
            <w:bookmarkStart w:id="37" w:name="_8.1"/>
            <w:bookmarkEnd w:id="37"/>
            <w:bookmarkStart w:id="38" w:name="_5"/>
            <w:bookmarkEnd w:id="38"/>
            <w:bookmarkStart w:id="39" w:name="_9.2"/>
            <w:bookmarkEnd w:id="39"/>
            <w:r>
              <w:rPr>
                <w:rFonts w:hint="eastAsia" w:ascii="宋体" w:hAnsi="宋体"/>
                <w:szCs w:val="21"/>
              </w:rPr>
              <w:t>是否接受联合体投标</w:t>
            </w:r>
          </w:p>
        </w:tc>
        <w:tc>
          <w:tcPr>
            <w:tcW w:w="6975" w:type="dxa"/>
            <w:tcBorders>
              <w:top w:val="single" w:color="auto" w:sz="4" w:space="0"/>
              <w:left w:val="single" w:color="auto" w:sz="4" w:space="0"/>
              <w:bottom w:val="single" w:color="auto" w:sz="4" w:space="0"/>
              <w:right w:val="single" w:color="auto" w:sz="4" w:space="0"/>
            </w:tcBorders>
            <w:vAlign w:val="center"/>
          </w:tcPr>
          <w:p w14:paraId="686C4740">
            <w:pPr>
              <w:pStyle w:val="12"/>
              <w:spacing w:line="380" w:lineRule="exact"/>
              <w:rPr>
                <w:rFonts w:ascii="宋体" w:hAnsi="宋体"/>
                <w:szCs w:val="21"/>
              </w:rPr>
            </w:pPr>
            <w:r>
              <w:rPr>
                <w:rFonts w:hint="eastAsia" w:ascii="宋体" w:hAnsi="宋体"/>
                <w:szCs w:val="21"/>
              </w:rPr>
              <w:t>□是/</w:t>
            </w:r>
            <w:r>
              <w:rPr>
                <w:rFonts w:hint="eastAsia" w:ascii="宋体" w:hAnsi="宋体"/>
                <w:szCs w:val="21"/>
              </w:rPr>
              <w:sym w:font="Wingdings 2" w:char="0052"/>
            </w:r>
            <w:r>
              <w:rPr>
                <w:rFonts w:hint="eastAsia" w:ascii="宋体" w:hAnsi="宋体"/>
                <w:szCs w:val="21"/>
              </w:rPr>
              <w:t>否。</w:t>
            </w:r>
          </w:p>
        </w:tc>
      </w:tr>
      <w:tr w14:paraId="298801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4D0A6BEF">
            <w:pPr>
              <w:spacing w:line="380" w:lineRule="exact"/>
              <w:rPr>
                <w:rFonts w:ascii="宋体" w:hAnsi="宋体"/>
                <w:szCs w:val="21"/>
              </w:rPr>
            </w:pPr>
            <w:r>
              <w:rPr>
                <w:rFonts w:hint="eastAsia" w:ascii="宋体" w:hAnsi="宋体"/>
                <w:szCs w:val="21"/>
              </w:rPr>
              <w:t>6.2</w:t>
            </w:r>
          </w:p>
        </w:tc>
        <w:tc>
          <w:tcPr>
            <w:tcW w:w="2097" w:type="dxa"/>
            <w:tcBorders>
              <w:top w:val="single" w:color="auto" w:sz="4" w:space="0"/>
              <w:left w:val="single" w:color="auto" w:sz="4" w:space="0"/>
              <w:bottom w:val="single" w:color="auto" w:sz="4" w:space="0"/>
              <w:right w:val="single" w:color="auto" w:sz="4" w:space="0"/>
            </w:tcBorders>
            <w:vAlign w:val="center"/>
          </w:tcPr>
          <w:p w14:paraId="1CFF4E5D">
            <w:pPr>
              <w:spacing w:line="380" w:lineRule="exact"/>
              <w:rPr>
                <w:rFonts w:ascii="宋体" w:hAnsi="宋体"/>
                <w:szCs w:val="21"/>
              </w:rPr>
            </w:pPr>
            <w:r>
              <w:rPr>
                <w:rFonts w:hint="eastAsia" w:ascii="宋体" w:hAnsi="宋体"/>
                <w:szCs w:val="21"/>
              </w:rPr>
              <w:t>联合体投标要求</w:t>
            </w:r>
          </w:p>
        </w:tc>
        <w:tc>
          <w:tcPr>
            <w:tcW w:w="6975" w:type="dxa"/>
            <w:tcBorders>
              <w:top w:val="single" w:color="auto" w:sz="4" w:space="0"/>
              <w:left w:val="single" w:color="auto" w:sz="4" w:space="0"/>
              <w:bottom w:val="single" w:color="auto" w:sz="4" w:space="0"/>
              <w:right w:val="single" w:color="auto" w:sz="4" w:space="0"/>
            </w:tcBorders>
            <w:vAlign w:val="center"/>
          </w:tcPr>
          <w:p w14:paraId="76BD75D8">
            <w:pPr>
              <w:pStyle w:val="12"/>
              <w:spacing w:line="380" w:lineRule="exact"/>
              <w:rPr>
                <w:rFonts w:ascii="宋体" w:hAnsi="宋体"/>
                <w:szCs w:val="21"/>
              </w:rPr>
            </w:pPr>
            <w:r>
              <w:rPr>
                <w:rFonts w:hint="eastAsia" w:ascii="宋体" w:hAnsi="宋体"/>
                <w:szCs w:val="21"/>
              </w:rPr>
              <w:t>本项目不接受联合体投标。</w:t>
            </w:r>
          </w:p>
        </w:tc>
      </w:tr>
      <w:tr w14:paraId="50F51E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3FE2441B">
            <w:pPr>
              <w:spacing w:line="380" w:lineRule="exact"/>
              <w:rPr>
                <w:rFonts w:ascii="宋体" w:hAnsi="宋体"/>
                <w:szCs w:val="21"/>
              </w:rPr>
            </w:pPr>
            <w:r>
              <w:rPr>
                <w:rFonts w:hint="eastAsia" w:ascii="宋体" w:hAnsi="宋体"/>
                <w:szCs w:val="21"/>
              </w:rPr>
              <w:t>7.2</w:t>
            </w:r>
          </w:p>
        </w:tc>
        <w:tc>
          <w:tcPr>
            <w:tcW w:w="2097" w:type="dxa"/>
            <w:tcBorders>
              <w:top w:val="single" w:color="auto" w:sz="4" w:space="0"/>
              <w:left w:val="single" w:color="auto" w:sz="4" w:space="0"/>
              <w:bottom w:val="single" w:color="auto" w:sz="4" w:space="0"/>
              <w:right w:val="single" w:color="auto" w:sz="4" w:space="0"/>
            </w:tcBorders>
            <w:vAlign w:val="center"/>
          </w:tcPr>
          <w:p w14:paraId="599091FC">
            <w:pPr>
              <w:spacing w:line="380" w:lineRule="exact"/>
              <w:rPr>
                <w:rFonts w:ascii="宋体" w:hAnsi="宋体"/>
                <w:szCs w:val="21"/>
              </w:rPr>
            </w:pPr>
            <w:r>
              <w:rPr>
                <w:rFonts w:hint="eastAsia" w:ascii="宋体" w:hAnsi="宋体"/>
                <w:szCs w:val="21"/>
              </w:rPr>
              <w:t>是否允许转包/分包</w:t>
            </w:r>
          </w:p>
        </w:tc>
        <w:tc>
          <w:tcPr>
            <w:tcW w:w="6975" w:type="dxa"/>
            <w:tcBorders>
              <w:top w:val="single" w:color="auto" w:sz="4" w:space="0"/>
              <w:left w:val="single" w:color="auto" w:sz="4" w:space="0"/>
              <w:bottom w:val="single" w:color="auto" w:sz="4" w:space="0"/>
              <w:right w:val="single" w:color="auto" w:sz="4" w:space="0"/>
            </w:tcBorders>
            <w:vAlign w:val="center"/>
          </w:tcPr>
          <w:p w14:paraId="4FA8818B">
            <w:pPr>
              <w:pStyle w:val="12"/>
              <w:spacing w:line="380" w:lineRule="exact"/>
              <w:rPr>
                <w:rFonts w:ascii="宋体" w:hAnsi="宋体"/>
                <w:szCs w:val="21"/>
              </w:rPr>
            </w:pPr>
            <w:r>
              <w:rPr>
                <w:rFonts w:hint="eastAsia" w:ascii="宋体" w:hAnsi="宋体"/>
                <w:szCs w:val="21"/>
              </w:rPr>
              <w:t>本项目不允许转包。</w:t>
            </w:r>
          </w:p>
          <w:p w14:paraId="1E8E439C">
            <w:pPr>
              <w:pStyle w:val="12"/>
              <w:spacing w:line="380" w:lineRule="exact"/>
              <w:rPr>
                <w:rFonts w:ascii="宋体" w:hAnsi="宋体"/>
                <w:szCs w:val="21"/>
              </w:rPr>
            </w:pPr>
            <w:r>
              <w:rPr>
                <w:rFonts w:hint="eastAsia" w:ascii="宋体" w:hAnsi="宋体"/>
                <w:szCs w:val="21"/>
              </w:rPr>
              <w:t>□允许分包/</w:t>
            </w:r>
            <w:r>
              <w:rPr>
                <w:rFonts w:hint="eastAsia" w:ascii="宋体" w:hAnsi="宋体"/>
                <w:szCs w:val="21"/>
              </w:rPr>
              <w:sym w:font="Wingdings 2" w:char="0052"/>
            </w:r>
            <w:r>
              <w:rPr>
                <w:rFonts w:hint="eastAsia" w:ascii="宋体" w:hAnsi="宋体"/>
                <w:szCs w:val="21"/>
              </w:rPr>
              <w:t>不允许分包。</w:t>
            </w:r>
          </w:p>
          <w:p w14:paraId="65A667D4">
            <w:pPr>
              <w:pStyle w:val="12"/>
              <w:spacing w:line="380" w:lineRule="exact"/>
              <w:rPr>
                <w:rFonts w:ascii="宋体" w:hAnsi="宋体"/>
                <w:szCs w:val="21"/>
              </w:rPr>
            </w:pPr>
            <w:r>
              <w:rPr>
                <w:rFonts w:hint="eastAsia" w:ascii="宋体" w:hAnsi="宋体"/>
                <w:szCs w:val="21"/>
              </w:rPr>
              <w:t>分包内容：</w:t>
            </w:r>
            <w:r>
              <w:rPr>
                <w:rFonts w:hint="eastAsia" w:ascii="宋体" w:hAnsi="宋体"/>
                <w:szCs w:val="21"/>
                <w:u w:val="single"/>
              </w:rPr>
              <w:t>/。</w:t>
            </w:r>
          </w:p>
          <w:p w14:paraId="0752AB4A">
            <w:pPr>
              <w:pStyle w:val="12"/>
              <w:spacing w:line="380" w:lineRule="exact"/>
              <w:rPr>
                <w:rFonts w:ascii="宋体" w:hAnsi="宋体"/>
                <w:szCs w:val="21"/>
              </w:rPr>
            </w:pPr>
            <w:r>
              <w:rPr>
                <w:rFonts w:hint="eastAsia" w:ascii="宋体" w:hAnsi="宋体"/>
                <w:szCs w:val="21"/>
              </w:rPr>
              <w:t>分包金额或者比例：</w:t>
            </w:r>
            <w:r>
              <w:rPr>
                <w:rFonts w:hint="eastAsia" w:ascii="宋体" w:hAnsi="宋体"/>
                <w:szCs w:val="21"/>
                <w:u w:val="single"/>
              </w:rPr>
              <w:t xml:space="preserve">   /   。</w:t>
            </w:r>
          </w:p>
        </w:tc>
      </w:tr>
      <w:tr w14:paraId="48655C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23AD595E">
            <w:pPr>
              <w:spacing w:line="380" w:lineRule="exact"/>
              <w:rPr>
                <w:rFonts w:ascii="宋体" w:hAnsi="宋体"/>
                <w:szCs w:val="21"/>
              </w:rPr>
            </w:pPr>
            <w:r>
              <w:rPr>
                <w:rFonts w:hint="eastAsia" w:ascii="宋体" w:hAnsi="宋体"/>
                <w:szCs w:val="21"/>
              </w:rPr>
              <w:t>11.4</w:t>
            </w:r>
          </w:p>
        </w:tc>
        <w:tc>
          <w:tcPr>
            <w:tcW w:w="2097" w:type="dxa"/>
            <w:tcBorders>
              <w:top w:val="single" w:color="auto" w:sz="4" w:space="0"/>
              <w:left w:val="single" w:color="auto" w:sz="4" w:space="0"/>
              <w:bottom w:val="single" w:color="auto" w:sz="4" w:space="0"/>
              <w:right w:val="single" w:color="auto" w:sz="4" w:space="0"/>
            </w:tcBorders>
            <w:vAlign w:val="center"/>
          </w:tcPr>
          <w:p w14:paraId="497366CC">
            <w:pPr>
              <w:spacing w:line="380" w:lineRule="exact"/>
              <w:rPr>
                <w:rFonts w:ascii="宋体" w:hAnsi="宋体"/>
                <w:szCs w:val="21"/>
              </w:rPr>
            </w:pPr>
            <w:r>
              <w:rPr>
                <w:rFonts w:hint="eastAsia" w:ascii="宋体" w:hAnsi="宋体"/>
                <w:szCs w:val="21"/>
              </w:rPr>
              <w:t>媒体发布渠道</w:t>
            </w:r>
          </w:p>
        </w:tc>
        <w:tc>
          <w:tcPr>
            <w:tcW w:w="6975" w:type="dxa"/>
            <w:tcBorders>
              <w:top w:val="single" w:color="auto" w:sz="4" w:space="0"/>
              <w:left w:val="single" w:color="auto" w:sz="4" w:space="0"/>
              <w:bottom w:val="single" w:color="auto" w:sz="4" w:space="0"/>
              <w:right w:val="single" w:color="auto" w:sz="4" w:space="0"/>
            </w:tcBorders>
            <w:vAlign w:val="center"/>
          </w:tcPr>
          <w:p w14:paraId="1D2D57FA">
            <w:pPr>
              <w:rPr>
                <w:sz w:val="28"/>
                <w:szCs w:val="18"/>
              </w:rPr>
            </w:pPr>
            <w:r>
              <w:rPr>
                <w:rFonts w:hint="eastAsia" w:ascii="宋体" w:hAnsi="宋体" w:cs="宋体"/>
                <w:szCs w:val="21"/>
              </w:rPr>
              <w:t>与本项目相关的政府采购业务澄清、更正及与之相关的事项将在采购公告中“</w:t>
            </w:r>
            <w:r>
              <w:rPr>
                <w:rFonts w:hint="eastAsia" w:ascii="宋体" w:hAnsi="宋体"/>
                <w:szCs w:val="21"/>
              </w:rPr>
              <w:t>六、其他补充事宜”中网上查询地址</w:t>
            </w:r>
            <w:r>
              <w:rPr>
                <w:rFonts w:hint="eastAsia" w:ascii="宋体" w:hAnsi="宋体" w:cs="宋体"/>
                <w:szCs w:val="21"/>
              </w:rPr>
              <w:t>上发布</w:t>
            </w:r>
            <w:r>
              <w:rPr>
                <w:rFonts w:hint="eastAsia" w:ascii="宋体" w:hAnsi="宋体" w:cs="宋体"/>
                <w:kern w:val="0"/>
                <w:szCs w:val="21"/>
              </w:rPr>
              <w:t>。</w:t>
            </w:r>
          </w:p>
        </w:tc>
      </w:tr>
      <w:tr w14:paraId="01CDFC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12EC5EB8">
            <w:pPr>
              <w:spacing w:line="380" w:lineRule="exact"/>
              <w:rPr>
                <w:rFonts w:ascii="宋体" w:hAnsi="宋体"/>
                <w:szCs w:val="21"/>
              </w:rPr>
            </w:pPr>
            <w:r>
              <w:rPr>
                <w:rFonts w:hint="eastAsia" w:ascii="宋体" w:hAnsi="宋体"/>
                <w:szCs w:val="21"/>
              </w:rPr>
              <w:t>11.6</w:t>
            </w:r>
          </w:p>
        </w:tc>
        <w:tc>
          <w:tcPr>
            <w:tcW w:w="2097" w:type="dxa"/>
            <w:tcBorders>
              <w:top w:val="single" w:color="auto" w:sz="4" w:space="0"/>
              <w:left w:val="single" w:color="auto" w:sz="4" w:space="0"/>
              <w:bottom w:val="single" w:color="auto" w:sz="4" w:space="0"/>
              <w:right w:val="single" w:color="auto" w:sz="4" w:space="0"/>
            </w:tcBorders>
            <w:vAlign w:val="center"/>
          </w:tcPr>
          <w:p w14:paraId="1CC79731">
            <w:pPr>
              <w:spacing w:line="380" w:lineRule="exact"/>
              <w:rPr>
                <w:rFonts w:ascii="宋体" w:hAnsi="宋体"/>
                <w:szCs w:val="21"/>
              </w:rPr>
            </w:pPr>
            <w:r>
              <w:rPr>
                <w:rFonts w:hint="eastAsia" w:ascii="宋体" w:hAnsi="宋体"/>
                <w:szCs w:val="21"/>
              </w:rPr>
              <w:t>是否组织标前答疑会</w:t>
            </w:r>
          </w:p>
        </w:tc>
        <w:tc>
          <w:tcPr>
            <w:tcW w:w="6975" w:type="dxa"/>
            <w:tcBorders>
              <w:top w:val="single" w:color="auto" w:sz="4" w:space="0"/>
              <w:left w:val="single" w:color="auto" w:sz="4" w:space="0"/>
              <w:bottom w:val="single" w:color="auto" w:sz="4" w:space="0"/>
              <w:right w:val="single" w:color="auto" w:sz="4" w:space="0"/>
            </w:tcBorders>
            <w:vAlign w:val="center"/>
          </w:tcPr>
          <w:p w14:paraId="06145ACE">
            <w:pPr>
              <w:snapToGrid w:val="0"/>
              <w:spacing w:line="380" w:lineRule="exact"/>
              <w:rPr>
                <w:rFonts w:ascii="宋体" w:hAnsi="宋体"/>
                <w:szCs w:val="21"/>
              </w:rPr>
            </w:pPr>
            <w:r>
              <w:rPr>
                <w:rFonts w:hint="eastAsia" w:ascii="宋体" w:hAnsi="宋体"/>
                <w:szCs w:val="21"/>
              </w:rPr>
              <w:sym w:font="Wingdings 2" w:char="0052"/>
            </w:r>
            <w:r>
              <w:rPr>
                <w:rFonts w:hint="eastAsia" w:ascii="宋体" w:hAnsi="宋体"/>
                <w:szCs w:val="21"/>
              </w:rPr>
              <w:t>不组织召开开标前答疑会</w:t>
            </w:r>
          </w:p>
          <w:p w14:paraId="799C327B">
            <w:pPr>
              <w:snapToGrid w:val="0"/>
              <w:spacing w:line="380" w:lineRule="exact"/>
              <w:rPr>
                <w:rFonts w:ascii="宋体" w:hAnsi="宋体"/>
                <w:szCs w:val="21"/>
              </w:rPr>
            </w:pPr>
            <w:r>
              <w:rPr>
                <w:rFonts w:hint="eastAsia" w:ascii="宋体" w:hAnsi="宋体"/>
                <w:szCs w:val="21"/>
              </w:rPr>
              <w:t>□组织召开开标前答疑会</w:t>
            </w:r>
          </w:p>
          <w:p w14:paraId="6CB70664">
            <w:pPr>
              <w:snapToGrid w:val="0"/>
              <w:spacing w:line="380" w:lineRule="exact"/>
              <w:rPr>
                <w:rFonts w:ascii="宋体" w:hAnsi="宋体"/>
                <w:szCs w:val="21"/>
                <w:u w:val="single"/>
              </w:rPr>
            </w:pPr>
            <w:r>
              <w:rPr>
                <w:rFonts w:hint="eastAsia" w:ascii="宋体" w:hAnsi="宋体"/>
                <w:szCs w:val="21"/>
              </w:rPr>
              <w:t>会议开始时间：/年/月/日/时/分，逾期后果自负。会议地点：</w:t>
            </w:r>
          </w:p>
        </w:tc>
      </w:tr>
      <w:tr w14:paraId="19A99B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nil"/>
              <w:left w:val="single" w:color="auto" w:sz="4" w:space="0"/>
              <w:bottom w:val="nil"/>
              <w:right w:val="single" w:color="auto" w:sz="4" w:space="0"/>
            </w:tcBorders>
            <w:vAlign w:val="center"/>
          </w:tcPr>
          <w:p w14:paraId="4CA8C7A9">
            <w:pPr>
              <w:spacing w:line="380" w:lineRule="exact"/>
              <w:rPr>
                <w:rFonts w:ascii="宋体" w:hAnsi="宋体"/>
                <w:szCs w:val="21"/>
              </w:rPr>
            </w:pPr>
            <w:r>
              <w:rPr>
                <w:rFonts w:hint="eastAsia" w:ascii="宋体" w:hAnsi="宋体"/>
                <w:szCs w:val="21"/>
              </w:rPr>
              <w:t>13.1</w:t>
            </w:r>
          </w:p>
        </w:tc>
        <w:tc>
          <w:tcPr>
            <w:tcW w:w="2097" w:type="dxa"/>
            <w:tcBorders>
              <w:top w:val="single" w:color="auto" w:sz="4" w:space="0"/>
              <w:left w:val="single" w:color="auto" w:sz="4" w:space="0"/>
              <w:bottom w:val="single" w:color="auto" w:sz="4" w:space="0"/>
              <w:right w:val="single" w:color="auto" w:sz="4" w:space="0"/>
            </w:tcBorders>
            <w:vAlign w:val="center"/>
          </w:tcPr>
          <w:p w14:paraId="7BC45A5A">
            <w:pPr>
              <w:snapToGrid w:val="0"/>
              <w:spacing w:line="380" w:lineRule="exact"/>
              <w:jc w:val="left"/>
              <w:rPr>
                <w:rFonts w:ascii="宋体" w:hAnsi="宋体" w:cs="Courier New"/>
                <w:szCs w:val="21"/>
              </w:rPr>
            </w:pPr>
            <w:bookmarkStart w:id="40" w:name="_13.2"/>
            <w:bookmarkEnd w:id="40"/>
            <w:r>
              <w:rPr>
                <w:rFonts w:hint="eastAsia" w:ascii="宋体" w:hAnsi="宋体" w:cs="Courier New"/>
                <w:szCs w:val="21"/>
              </w:rPr>
              <w:t>资格证明文件组成</w:t>
            </w:r>
          </w:p>
        </w:tc>
        <w:tc>
          <w:tcPr>
            <w:tcW w:w="6975" w:type="dxa"/>
            <w:tcBorders>
              <w:top w:val="single" w:color="auto" w:sz="4" w:space="0"/>
              <w:left w:val="single" w:color="auto" w:sz="4" w:space="0"/>
              <w:bottom w:val="single" w:color="auto" w:sz="4" w:space="0"/>
              <w:right w:val="single" w:color="auto" w:sz="4" w:space="0"/>
            </w:tcBorders>
            <w:vAlign w:val="center"/>
          </w:tcPr>
          <w:p w14:paraId="25FAC534">
            <w:pPr>
              <w:snapToGrid w:val="0"/>
              <w:spacing w:line="380" w:lineRule="exact"/>
              <w:jc w:val="left"/>
              <w:rPr>
                <w:rFonts w:ascii="宋体" w:hAnsi="宋体"/>
                <w:szCs w:val="21"/>
              </w:rPr>
            </w:pPr>
            <w:r>
              <w:rPr>
                <w:rFonts w:hint="eastAsia" w:ascii="宋体" w:hAnsi="宋体"/>
                <w:szCs w:val="21"/>
              </w:rPr>
              <w:t>1、投标人为法人或者其他组织的，提供营业执照等证明文件</w:t>
            </w:r>
            <w:r>
              <w:rPr>
                <w:rFonts w:hint="eastAsia" w:ascii="宋体" w:hAnsi="宋体" w:cs="宋体"/>
                <w:szCs w:val="21"/>
              </w:rPr>
              <w:t>（如营业执照或者事业单位法人证</w:t>
            </w:r>
            <w:r>
              <w:rPr>
                <w:rFonts w:hint="eastAsia" w:ascii="宋体" w:hAnsi="宋体"/>
                <w:szCs w:val="21"/>
              </w:rPr>
              <w:t>书或者执业许可证等</w:t>
            </w:r>
            <w:r>
              <w:rPr>
                <w:rFonts w:hint="eastAsia" w:ascii="宋体" w:hAnsi="宋体" w:cs="宋体"/>
                <w:szCs w:val="21"/>
              </w:rPr>
              <w:t>）</w:t>
            </w:r>
            <w:r>
              <w:rPr>
                <w:rFonts w:hint="eastAsia" w:ascii="宋体" w:hAnsi="宋体"/>
                <w:szCs w:val="21"/>
              </w:rPr>
              <w:t>，投标人为自然人的，提供身份证</w:t>
            </w:r>
            <w:r>
              <w:rPr>
                <w:rFonts w:hint="eastAsia" w:ascii="宋体" w:hAnsi="宋体" w:cs="宋体"/>
                <w:szCs w:val="21"/>
              </w:rPr>
              <w:t>复印件</w:t>
            </w:r>
            <w:r>
              <w:rPr>
                <w:rFonts w:hint="eastAsia" w:ascii="宋体" w:hAnsi="宋体"/>
                <w:szCs w:val="21"/>
              </w:rPr>
              <w:t>。（</w:t>
            </w:r>
            <w:r>
              <w:rPr>
                <w:rFonts w:hint="eastAsia" w:ascii="宋体" w:hAnsi="宋体"/>
                <w:b/>
                <w:szCs w:val="21"/>
              </w:rPr>
              <w:t>必须提供，否则作无效投标处理</w:t>
            </w:r>
            <w:r>
              <w:rPr>
                <w:rFonts w:hint="eastAsia" w:ascii="宋体" w:hAnsi="宋体"/>
                <w:szCs w:val="21"/>
              </w:rPr>
              <w:t>）</w:t>
            </w:r>
          </w:p>
          <w:p w14:paraId="75085D01">
            <w:pPr>
              <w:snapToGrid w:val="0"/>
              <w:spacing w:line="380" w:lineRule="exact"/>
              <w:jc w:val="left"/>
              <w:rPr>
                <w:rFonts w:ascii="宋体" w:hAnsi="宋体"/>
                <w:szCs w:val="21"/>
              </w:rPr>
            </w:pPr>
            <w:r>
              <w:rPr>
                <w:rFonts w:hint="eastAsia" w:ascii="宋体" w:hAnsi="宋体" w:cs="宋体"/>
                <w:szCs w:val="21"/>
              </w:rPr>
              <w:t>2、投标人依法缴纳税收的相关材料[</w:t>
            </w:r>
            <w:r>
              <w:rPr>
                <w:rFonts w:ascii="宋体" w:hAnsi="宋体" w:cs="宋体"/>
                <w:szCs w:val="21"/>
                <w:u w:val="single"/>
              </w:rPr>
              <w:t>2024</w:t>
            </w:r>
            <w:r>
              <w:rPr>
                <w:rFonts w:hint="eastAsia" w:ascii="宋体" w:hAnsi="宋体" w:cs="宋体"/>
                <w:szCs w:val="21"/>
              </w:rPr>
              <w:t>年</w:t>
            </w:r>
            <w:r>
              <w:rPr>
                <w:rFonts w:hint="eastAsia" w:ascii="宋体" w:hAnsi="宋体" w:cs="宋体"/>
                <w:szCs w:val="21"/>
                <w:u w:val="single"/>
                <w:lang w:val="en-US" w:eastAsia="zh-CN"/>
              </w:rPr>
              <w:t>10</w:t>
            </w:r>
            <w:r>
              <w:rPr>
                <w:rFonts w:hint="eastAsia" w:ascii="宋体" w:hAnsi="宋体" w:cs="宋体"/>
                <w:szCs w:val="21"/>
              </w:rPr>
              <w:t>月至</w:t>
            </w:r>
            <w:r>
              <w:rPr>
                <w:rFonts w:ascii="宋体" w:hAnsi="宋体" w:cs="宋体"/>
                <w:szCs w:val="21"/>
                <w:u w:val="single"/>
              </w:rPr>
              <w:t>2025</w:t>
            </w:r>
            <w:r>
              <w:rPr>
                <w:rFonts w:hint="eastAsia" w:ascii="宋体" w:hAnsi="宋体" w:cs="宋体"/>
                <w:szCs w:val="21"/>
              </w:rPr>
              <w:t>年</w:t>
            </w:r>
            <w:r>
              <w:rPr>
                <w:rFonts w:hint="eastAsia" w:ascii="宋体" w:hAnsi="宋体" w:cs="宋体"/>
                <w:szCs w:val="21"/>
                <w:u w:val="single"/>
                <w:lang w:val="en-US" w:eastAsia="zh-CN"/>
              </w:rPr>
              <w:t>4</w:t>
            </w:r>
            <w:r>
              <w:rPr>
                <w:rFonts w:hint="eastAsia" w:ascii="宋体" w:hAnsi="宋体" w:cs="宋体"/>
                <w:szCs w:val="21"/>
              </w:rPr>
              <w:t>月连续</w:t>
            </w:r>
            <w:r>
              <w:rPr>
                <w:rFonts w:ascii="宋体" w:hAnsi="宋体" w:cs="宋体"/>
                <w:szCs w:val="21"/>
                <w:u w:val="single"/>
              </w:rPr>
              <w:t>3</w:t>
            </w:r>
            <w:r>
              <w:rPr>
                <w:rFonts w:hint="eastAsia" w:ascii="宋体" w:hAnsi="宋体" w:cs="宋体"/>
                <w:szCs w:val="21"/>
              </w:rPr>
              <w:t>个月的依法缴纳税收的凭据复印件；依</w:t>
            </w:r>
            <w:r>
              <w:rPr>
                <w:rFonts w:hint="eastAsia" w:ascii="宋体" w:hAnsi="宋体"/>
                <w:szCs w:val="21"/>
              </w:rPr>
              <w:t>法免税的供应商，必须提供相应文件证明其依法免税。无纳税记录的，应提供投标人所在地主管税务部门出具的依法纳税或依法免税证明复印件。</w:t>
            </w:r>
            <w:r>
              <w:rPr>
                <w:rFonts w:hint="eastAsia" w:ascii="宋体" w:hAnsi="宋体" w:cs="宋体"/>
                <w:szCs w:val="21"/>
              </w:rPr>
              <w:t>从取得营业执照时间起到投标文件提交截止时间为止不足要求月数的，只需提供从取得营业执照起的依法缴纳税收</w:t>
            </w:r>
            <w:r>
              <w:rPr>
                <w:rFonts w:hint="eastAsia" w:ascii="宋体" w:hAnsi="宋体"/>
                <w:szCs w:val="21"/>
              </w:rPr>
              <w:t>相应证明文件</w:t>
            </w:r>
            <w:r>
              <w:rPr>
                <w:rFonts w:hint="eastAsia" w:ascii="宋体" w:hAnsi="宋体" w:cs="宋体"/>
                <w:szCs w:val="21"/>
              </w:rPr>
              <w:t>）</w:t>
            </w:r>
            <w:r>
              <w:rPr>
                <w:rFonts w:hint="eastAsia" w:ascii="宋体" w:hAnsi="宋体"/>
                <w:szCs w:val="21"/>
              </w:rPr>
              <w:t>。（</w:t>
            </w:r>
            <w:r>
              <w:rPr>
                <w:rFonts w:hint="eastAsia" w:ascii="宋体" w:hAnsi="宋体"/>
                <w:b/>
                <w:szCs w:val="21"/>
              </w:rPr>
              <w:t>必须提供，否则作无效投标处理</w:t>
            </w:r>
            <w:r>
              <w:rPr>
                <w:rFonts w:hint="eastAsia" w:ascii="宋体" w:hAnsi="宋体"/>
                <w:szCs w:val="21"/>
              </w:rPr>
              <w:t>）</w:t>
            </w:r>
          </w:p>
          <w:p w14:paraId="3B2FF192">
            <w:pPr>
              <w:snapToGrid w:val="0"/>
              <w:spacing w:line="380" w:lineRule="exact"/>
              <w:jc w:val="left"/>
              <w:rPr>
                <w:rFonts w:ascii="宋体" w:hAnsi="宋体"/>
                <w:szCs w:val="21"/>
              </w:rPr>
            </w:pPr>
            <w:r>
              <w:rPr>
                <w:rFonts w:hint="eastAsia" w:ascii="宋体" w:hAnsi="宋体" w:cs="宋体"/>
                <w:szCs w:val="21"/>
              </w:rPr>
              <w:t>3、投标人依法缴纳社会保障资金的相关材料[</w:t>
            </w:r>
            <w:r>
              <w:rPr>
                <w:rFonts w:ascii="宋体" w:hAnsi="宋体" w:cs="宋体"/>
                <w:szCs w:val="21"/>
                <w:u w:val="single"/>
              </w:rPr>
              <w:t>2024</w:t>
            </w:r>
            <w:r>
              <w:rPr>
                <w:rFonts w:hint="eastAsia" w:ascii="宋体" w:hAnsi="宋体" w:cs="宋体"/>
                <w:szCs w:val="21"/>
              </w:rPr>
              <w:t>年</w:t>
            </w:r>
            <w:r>
              <w:rPr>
                <w:rFonts w:hint="eastAsia" w:ascii="宋体" w:hAnsi="宋体" w:cs="宋体"/>
                <w:szCs w:val="21"/>
                <w:u w:val="single"/>
                <w:lang w:val="en-US" w:eastAsia="zh-CN"/>
              </w:rPr>
              <w:t>10</w:t>
            </w:r>
            <w:r>
              <w:rPr>
                <w:rFonts w:hint="eastAsia" w:ascii="宋体" w:hAnsi="宋体" w:cs="宋体"/>
                <w:szCs w:val="21"/>
              </w:rPr>
              <w:t>月至</w:t>
            </w:r>
            <w:r>
              <w:rPr>
                <w:rFonts w:ascii="宋体" w:hAnsi="宋体" w:cs="宋体"/>
                <w:szCs w:val="21"/>
                <w:u w:val="single"/>
              </w:rPr>
              <w:t>2025</w:t>
            </w:r>
            <w:r>
              <w:rPr>
                <w:rFonts w:hint="eastAsia" w:ascii="宋体" w:hAnsi="宋体" w:cs="宋体"/>
                <w:szCs w:val="21"/>
              </w:rPr>
              <w:t>年</w:t>
            </w:r>
            <w:r>
              <w:rPr>
                <w:rFonts w:hint="eastAsia" w:ascii="宋体" w:hAnsi="宋体" w:cs="宋体"/>
                <w:szCs w:val="21"/>
                <w:u w:val="single"/>
                <w:lang w:val="en-US" w:eastAsia="zh-CN"/>
              </w:rPr>
              <w:t>4</w:t>
            </w:r>
            <w:r>
              <w:rPr>
                <w:rFonts w:hint="eastAsia" w:ascii="宋体" w:hAnsi="宋体" w:cs="宋体"/>
                <w:szCs w:val="21"/>
              </w:rPr>
              <w:t>月连续</w:t>
            </w:r>
            <w:r>
              <w:rPr>
                <w:rFonts w:ascii="宋体" w:hAnsi="宋体" w:cs="宋体"/>
                <w:szCs w:val="21"/>
                <w:u w:val="single"/>
              </w:rPr>
              <w:t>3</w:t>
            </w:r>
            <w:r>
              <w:rPr>
                <w:rFonts w:hint="eastAsia" w:ascii="宋体" w:hAnsi="宋体" w:cs="宋体"/>
                <w:szCs w:val="21"/>
              </w:rPr>
              <w:t>个月的依法缴纳社会保障资金的缴费凭证（专用收据或者社会保险缴纳清单）复印件；</w:t>
            </w:r>
            <w:r>
              <w:rPr>
                <w:rFonts w:hint="eastAsia" w:ascii="宋体" w:hAnsi="宋体"/>
                <w:szCs w:val="21"/>
              </w:rPr>
              <w:t>依法不需要缴纳社会保障资金的供应商，必须提供相应文件证明不需要缴纳社会保障资金。</w:t>
            </w:r>
            <w:r>
              <w:rPr>
                <w:rFonts w:hint="eastAsia" w:ascii="宋体" w:hAnsi="宋体" w:cs="宋体"/>
                <w:szCs w:val="21"/>
              </w:rPr>
              <w:t>从取得营业执照时间起到投标文件提交截止时间为止不足要求月数的只需提供从取得营业执照起的依法缴纳社会保障资金的</w:t>
            </w:r>
            <w:r>
              <w:rPr>
                <w:rFonts w:hint="eastAsia" w:ascii="宋体" w:hAnsi="宋体"/>
                <w:szCs w:val="21"/>
              </w:rPr>
              <w:t>相应证明文件。（</w:t>
            </w:r>
            <w:r>
              <w:rPr>
                <w:rFonts w:hint="eastAsia" w:ascii="宋体" w:hAnsi="宋体"/>
                <w:b/>
                <w:szCs w:val="21"/>
              </w:rPr>
              <w:t>必须提供，否则作无效投标处理</w:t>
            </w:r>
            <w:r>
              <w:rPr>
                <w:rFonts w:hint="eastAsia" w:ascii="宋体" w:hAnsi="宋体"/>
                <w:szCs w:val="21"/>
              </w:rPr>
              <w:t>）</w:t>
            </w:r>
          </w:p>
          <w:p w14:paraId="0C247588">
            <w:pPr>
              <w:snapToGrid w:val="0"/>
              <w:spacing w:line="380" w:lineRule="exact"/>
              <w:jc w:val="left"/>
              <w:rPr>
                <w:rFonts w:ascii="宋体" w:hAnsi="宋体"/>
                <w:szCs w:val="21"/>
              </w:rPr>
            </w:pPr>
            <w:r>
              <w:rPr>
                <w:rFonts w:hint="eastAsia" w:ascii="宋体" w:hAnsi="宋体" w:cs="宋体"/>
                <w:szCs w:val="21"/>
              </w:rPr>
              <w:t>4、投标人财务状况报告：</w:t>
            </w:r>
            <w:r>
              <w:rPr>
                <w:rFonts w:hint="eastAsia" w:ascii="宋体" w:hAnsi="宋体"/>
                <w:szCs w:val="21"/>
              </w:rPr>
              <w:t>[</w:t>
            </w:r>
            <w:r>
              <w:rPr>
                <w:rFonts w:hint="eastAsia" w:ascii="宋体" w:hAnsi="宋体"/>
                <w:szCs w:val="21"/>
                <w:u w:val="single"/>
              </w:rPr>
              <w:t xml:space="preserve"> 2</w:t>
            </w:r>
            <w:r>
              <w:rPr>
                <w:rFonts w:ascii="宋体" w:hAnsi="宋体"/>
                <w:szCs w:val="21"/>
                <w:u w:val="single"/>
              </w:rPr>
              <w:t>023</w:t>
            </w:r>
            <w:r>
              <w:rPr>
                <w:rFonts w:hint="eastAsia" w:ascii="宋体" w:hAnsi="宋体"/>
                <w:szCs w:val="21"/>
                <w:u w:val="single"/>
              </w:rPr>
              <w:t>或2</w:t>
            </w:r>
            <w:r>
              <w:rPr>
                <w:rFonts w:ascii="宋体" w:hAnsi="宋体"/>
                <w:szCs w:val="21"/>
                <w:u w:val="single"/>
              </w:rPr>
              <w:t>024</w:t>
            </w:r>
            <w:r>
              <w:rPr>
                <w:rFonts w:hint="eastAsia" w:ascii="宋体" w:hAnsi="宋体"/>
                <w:szCs w:val="21"/>
              </w:rPr>
              <w:t>年]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szCs w:val="21"/>
              </w:rPr>
              <w:t>必须提供，否则作无效投标处理</w:t>
            </w:r>
            <w:r>
              <w:rPr>
                <w:rFonts w:hint="eastAsia" w:ascii="宋体" w:hAnsi="宋体"/>
                <w:szCs w:val="21"/>
              </w:rPr>
              <w:t>）</w:t>
            </w:r>
          </w:p>
          <w:p w14:paraId="4F940DB9">
            <w:pPr>
              <w:snapToGrid w:val="0"/>
              <w:spacing w:line="380" w:lineRule="exact"/>
              <w:jc w:val="left"/>
              <w:rPr>
                <w:rFonts w:ascii="宋体" w:hAnsi="宋体"/>
                <w:szCs w:val="21"/>
              </w:rPr>
            </w:pPr>
            <w:r>
              <w:rPr>
                <w:rFonts w:hint="eastAsia" w:ascii="宋体" w:hAnsi="宋体"/>
                <w:szCs w:val="21"/>
              </w:rPr>
              <w:t>5、投标人直接控股、管理关系信息表。（</w:t>
            </w:r>
            <w:r>
              <w:rPr>
                <w:rFonts w:hint="eastAsia" w:ascii="宋体" w:hAnsi="宋体"/>
                <w:b/>
                <w:szCs w:val="21"/>
              </w:rPr>
              <w:t>必须提供，否则作无效投标处理</w:t>
            </w:r>
            <w:r>
              <w:rPr>
                <w:rFonts w:hint="eastAsia" w:ascii="宋体" w:hAnsi="宋体"/>
                <w:szCs w:val="21"/>
              </w:rPr>
              <w:t>）</w:t>
            </w:r>
          </w:p>
          <w:p w14:paraId="391413AC">
            <w:pPr>
              <w:numPr>
                <w:ilvl w:val="0"/>
                <w:numId w:val="1"/>
              </w:numPr>
              <w:snapToGrid w:val="0"/>
              <w:spacing w:line="380" w:lineRule="exact"/>
              <w:jc w:val="left"/>
              <w:rPr>
                <w:rFonts w:ascii="宋体" w:hAnsi="宋体"/>
                <w:szCs w:val="21"/>
              </w:rPr>
            </w:pPr>
            <w:r>
              <w:rPr>
                <w:rFonts w:hint="eastAsia" w:ascii="宋体" w:hAnsi="宋体"/>
                <w:szCs w:val="21"/>
              </w:rPr>
              <w:t>投标资格声明。（</w:t>
            </w:r>
            <w:r>
              <w:rPr>
                <w:rFonts w:hint="eastAsia" w:ascii="宋体" w:hAnsi="宋体"/>
                <w:b/>
                <w:szCs w:val="21"/>
              </w:rPr>
              <w:t>必须提供，否则作无效投标处理</w:t>
            </w:r>
            <w:r>
              <w:rPr>
                <w:rFonts w:hint="eastAsia" w:ascii="宋体" w:hAnsi="宋体"/>
                <w:szCs w:val="21"/>
              </w:rPr>
              <w:t>）</w:t>
            </w:r>
          </w:p>
          <w:p w14:paraId="28A876EC">
            <w:pPr>
              <w:snapToGrid w:val="0"/>
              <w:spacing w:line="380" w:lineRule="exact"/>
              <w:jc w:val="left"/>
              <w:rPr>
                <w:rFonts w:ascii="宋体" w:hAnsi="宋体"/>
                <w:szCs w:val="21"/>
              </w:rPr>
            </w:pPr>
            <w:r>
              <w:rPr>
                <w:rFonts w:hint="eastAsia" w:ascii="宋体" w:hAnsi="宋体"/>
                <w:szCs w:val="21"/>
              </w:rPr>
              <w:t>7、本项目的特定资格要求：</w:t>
            </w:r>
          </w:p>
          <w:p w14:paraId="562A0013">
            <w:pPr>
              <w:snapToGrid w:val="0"/>
              <w:spacing w:line="380" w:lineRule="exact"/>
              <w:jc w:val="left"/>
              <w:rPr>
                <w:rFonts w:ascii="宋体" w:hAnsi="宋体"/>
                <w:szCs w:val="21"/>
              </w:rPr>
            </w:pPr>
            <w:r>
              <w:rPr>
                <w:rFonts w:hint="eastAsia" w:ascii="宋体" w:hAnsi="宋体"/>
                <w:szCs w:val="21"/>
              </w:rPr>
              <w:t>（1）具有公路工程试验检测综合类甲级或公路工程桥梁隧道专项试验检测资质或省级及以上有关行政管理部门颁发的建设工程质量检测机构资质证书（检测范围须包含主体结构工程现场检测内容）或根据《建设工程质量检测机构资质标准》（建质规〔2023〕1 号）具有建设工程质量检测机构综合资质或桥梁与地下工程专项资质；</w:t>
            </w:r>
          </w:p>
          <w:p w14:paraId="4345A25B">
            <w:pPr>
              <w:snapToGrid w:val="0"/>
              <w:spacing w:line="380" w:lineRule="exact"/>
              <w:jc w:val="left"/>
              <w:rPr>
                <w:rFonts w:ascii="宋体" w:hAnsi="宋体"/>
                <w:b/>
                <w:szCs w:val="21"/>
              </w:rPr>
            </w:pPr>
            <w:r>
              <w:rPr>
                <w:rFonts w:hint="eastAsia" w:ascii="宋体" w:hAnsi="宋体"/>
                <w:szCs w:val="21"/>
              </w:rPr>
              <w:t>（2）具有省级及以上质量技术监督部门颁发的中国计量认证证书（CMA 认证）（证书范围须包含桥梁试验检测的相关内容）。</w:t>
            </w:r>
            <w:r>
              <w:rPr>
                <w:rFonts w:hint="eastAsia" w:ascii="宋体" w:hAnsi="宋体"/>
                <w:b/>
                <w:szCs w:val="21"/>
              </w:rPr>
              <w:t>（必须提供，否则作无效投标处理）</w:t>
            </w:r>
          </w:p>
          <w:p w14:paraId="5821466C">
            <w:pPr>
              <w:snapToGrid w:val="0"/>
              <w:spacing w:line="380" w:lineRule="exact"/>
              <w:jc w:val="left"/>
              <w:rPr>
                <w:rFonts w:ascii="宋体" w:hAnsi="宋体"/>
                <w:szCs w:val="21"/>
              </w:rPr>
            </w:pPr>
            <w:r>
              <w:rPr>
                <w:rFonts w:hint="eastAsia" w:ascii="宋体" w:hAnsi="宋体"/>
                <w:szCs w:val="21"/>
              </w:rPr>
              <w:t>8、除招标文件规定必须提供以外，投标人认为需要提供的其他证明材料。</w:t>
            </w:r>
          </w:p>
          <w:p w14:paraId="66D6E5E3">
            <w:pPr>
              <w:snapToGrid w:val="0"/>
              <w:spacing w:line="380" w:lineRule="exact"/>
              <w:jc w:val="left"/>
              <w:rPr>
                <w:rFonts w:ascii="宋体" w:hAnsi="宋体"/>
                <w:b/>
                <w:bCs/>
                <w:szCs w:val="21"/>
              </w:rPr>
            </w:pPr>
            <w:r>
              <w:rPr>
                <w:rFonts w:hint="eastAsia" w:ascii="宋体" w:hAnsi="宋体"/>
                <w:b/>
                <w:bCs/>
                <w:szCs w:val="21"/>
              </w:rPr>
              <w:t>注：以上标明“必须提供”的材料</w:t>
            </w:r>
            <w:r>
              <w:rPr>
                <w:rFonts w:hint="eastAsia" w:ascii="宋体" w:hAnsi="宋体" w:cs="宋体"/>
                <w:b/>
                <w:szCs w:val="21"/>
              </w:rPr>
              <w:t>属于复印件的扫描件的</w:t>
            </w:r>
            <w:r>
              <w:rPr>
                <w:rFonts w:hint="eastAsia" w:ascii="宋体" w:hAnsi="宋体"/>
                <w:b/>
                <w:bCs/>
                <w:szCs w:val="21"/>
              </w:rPr>
              <w:t>，必须加盖投标人电子公章，否则</w:t>
            </w:r>
            <w:r>
              <w:rPr>
                <w:rFonts w:hint="eastAsia" w:ascii="宋体" w:hAnsi="宋体" w:cs="Courier New"/>
                <w:b/>
                <w:szCs w:val="21"/>
              </w:rPr>
              <w:t>作无效投标处理。</w:t>
            </w:r>
          </w:p>
        </w:tc>
      </w:tr>
      <w:tr w14:paraId="381EEF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nil"/>
              <w:left w:val="single" w:color="auto" w:sz="4" w:space="0"/>
              <w:bottom w:val="nil"/>
              <w:right w:val="single" w:color="auto" w:sz="4" w:space="0"/>
            </w:tcBorders>
            <w:vAlign w:val="center"/>
          </w:tcPr>
          <w:p w14:paraId="7F88C4CC">
            <w:pPr>
              <w:spacing w:line="380" w:lineRule="exact"/>
              <w:rPr>
                <w:rFonts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04612E9B">
            <w:pPr>
              <w:snapToGrid w:val="0"/>
              <w:spacing w:line="380" w:lineRule="exact"/>
              <w:jc w:val="left"/>
              <w:rPr>
                <w:rFonts w:ascii="宋体" w:hAnsi="宋体" w:cs="Courier New"/>
                <w:szCs w:val="21"/>
              </w:rPr>
            </w:pPr>
            <w:bookmarkStart w:id="41" w:name="_13.3"/>
            <w:bookmarkEnd w:id="41"/>
            <w:r>
              <w:rPr>
                <w:rFonts w:hint="eastAsia" w:ascii="宋体" w:hAnsi="宋体" w:cs="Courier New"/>
                <w:szCs w:val="21"/>
              </w:rPr>
              <w:t>商务文件组成</w:t>
            </w:r>
          </w:p>
          <w:p w14:paraId="4E01EB8D">
            <w:pPr>
              <w:spacing w:line="380" w:lineRule="exact"/>
              <w:rPr>
                <w:rFonts w:ascii="宋体" w:hAnsi="宋体"/>
                <w:szCs w:val="21"/>
              </w:rPr>
            </w:pPr>
          </w:p>
        </w:tc>
        <w:tc>
          <w:tcPr>
            <w:tcW w:w="6975" w:type="dxa"/>
            <w:tcBorders>
              <w:top w:val="single" w:color="auto" w:sz="4" w:space="0"/>
              <w:left w:val="single" w:color="auto" w:sz="4" w:space="0"/>
              <w:bottom w:val="single" w:color="auto" w:sz="4" w:space="0"/>
              <w:right w:val="single" w:color="auto" w:sz="4" w:space="0"/>
            </w:tcBorders>
            <w:vAlign w:val="center"/>
          </w:tcPr>
          <w:p w14:paraId="4DAF5AC5">
            <w:pPr>
              <w:snapToGrid w:val="0"/>
              <w:spacing w:line="380" w:lineRule="exact"/>
              <w:jc w:val="left"/>
              <w:rPr>
                <w:rFonts w:ascii="宋体" w:hAnsi="宋体"/>
                <w:szCs w:val="21"/>
              </w:rPr>
            </w:pPr>
            <w:r>
              <w:rPr>
                <w:rFonts w:hint="eastAsia" w:ascii="宋体" w:hAnsi="宋体"/>
                <w:szCs w:val="21"/>
              </w:rPr>
              <w:t>1、无串通投标行为的承诺函；（</w:t>
            </w:r>
            <w:r>
              <w:rPr>
                <w:rFonts w:hint="eastAsia" w:ascii="宋体" w:hAnsi="宋体"/>
                <w:b/>
                <w:szCs w:val="21"/>
              </w:rPr>
              <w:t>必须提供，否则作无效投标处理</w:t>
            </w:r>
            <w:r>
              <w:rPr>
                <w:rFonts w:hint="eastAsia" w:ascii="宋体" w:hAnsi="宋体"/>
                <w:szCs w:val="21"/>
              </w:rPr>
              <w:t>）</w:t>
            </w:r>
          </w:p>
          <w:p w14:paraId="4354C3E7">
            <w:pPr>
              <w:snapToGrid w:val="0"/>
              <w:spacing w:line="380" w:lineRule="exact"/>
              <w:jc w:val="left"/>
              <w:rPr>
                <w:rFonts w:ascii="宋体" w:hAnsi="宋体"/>
                <w:szCs w:val="21"/>
              </w:rPr>
            </w:pPr>
            <w:r>
              <w:rPr>
                <w:rFonts w:hint="eastAsia" w:ascii="宋体" w:hAnsi="宋体"/>
                <w:szCs w:val="21"/>
              </w:rPr>
              <w:t>2、法定代表人身份证明及法定代表人有效身份证正反面复印件；（</w:t>
            </w:r>
            <w:r>
              <w:rPr>
                <w:rFonts w:hint="eastAsia" w:ascii="宋体" w:hAnsi="宋体" w:cs="宋体"/>
                <w:b/>
                <w:bCs/>
                <w:szCs w:val="21"/>
              </w:rPr>
              <w:t>除自然人投标外</w:t>
            </w:r>
            <w:r>
              <w:rPr>
                <w:rFonts w:hint="eastAsia" w:ascii="宋体" w:hAnsi="宋体"/>
                <w:b/>
                <w:szCs w:val="21"/>
              </w:rPr>
              <w:t>必须提供，否则作无效投标处理</w:t>
            </w:r>
            <w:r>
              <w:rPr>
                <w:rFonts w:hint="eastAsia" w:ascii="宋体" w:hAnsi="宋体"/>
                <w:szCs w:val="21"/>
              </w:rPr>
              <w:t>）</w:t>
            </w:r>
          </w:p>
          <w:p w14:paraId="2AC4C374">
            <w:pPr>
              <w:snapToGrid w:val="0"/>
              <w:spacing w:line="380" w:lineRule="exact"/>
              <w:jc w:val="left"/>
              <w:rPr>
                <w:rFonts w:ascii="宋体" w:hAnsi="宋体"/>
                <w:szCs w:val="21"/>
              </w:rPr>
            </w:pPr>
            <w:r>
              <w:rPr>
                <w:rFonts w:hint="eastAsia" w:ascii="宋体" w:hAnsi="宋体"/>
                <w:szCs w:val="21"/>
              </w:rPr>
              <w:t>3、法定代表人授权委托书及委托代理人有效身份证正反面复印件；（</w:t>
            </w:r>
            <w:r>
              <w:rPr>
                <w:rFonts w:hint="eastAsia" w:ascii="宋体" w:hAnsi="宋体"/>
                <w:b/>
                <w:szCs w:val="21"/>
              </w:rPr>
              <w:t>委托时必须提供，否则作无效投标处理</w:t>
            </w:r>
            <w:r>
              <w:rPr>
                <w:rFonts w:hint="eastAsia" w:ascii="宋体" w:hAnsi="宋体"/>
                <w:szCs w:val="21"/>
              </w:rPr>
              <w:t>）</w:t>
            </w:r>
          </w:p>
          <w:p w14:paraId="1386BFB0">
            <w:pPr>
              <w:snapToGrid w:val="0"/>
              <w:spacing w:line="380" w:lineRule="exact"/>
              <w:jc w:val="left"/>
              <w:rPr>
                <w:rFonts w:ascii="宋体" w:hAnsi="宋体"/>
                <w:szCs w:val="21"/>
              </w:rPr>
            </w:pPr>
            <w:r>
              <w:rPr>
                <w:rFonts w:hint="eastAsia" w:ascii="宋体" w:hAnsi="宋体"/>
                <w:szCs w:val="21"/>
              </w:rPr>
              <w:t>4、商务条款偏离表；（</w:t>
            </w:r>
            <w:r>
              <w:rPr>
                <w:rFonts w:hint="eastAsia" w:ascii="宋体" w:hAnsi="宋体"/>
                <w:b/>
                <w:szCs w:val="21"/>
              </w:rPr>
              <w:t>必须提供，否则作无效投标处理</w:t>
            </w:r>
            <w:r>
              <w:rPr>
                <w:rFonts w:hint="eastAsia" w:ascii="宋体" w:hAnsi="宋体"/>
                <w:szCs w:val="21"/>
              </w:rPr>
              <w:t>）</w:t>
            </w:r>
          </w:p>
          <w:p w14:paraId="0AFD8CFE">
            <w:pPr>
              <w:snapToGrid w:val="0"/>
              <w:spacing w:line="380" w:lineRule="exact"/>
              <w:jc w:val="left"/>
              <w:rPr>
                <w:rFonts w:ascii="宋体" w:hAnsi="宋体"/>
                <w:szCs w:val="21"/>
              </w:rPr>
            </w:pPr>
            <w:r>
              <w:rPr>
                <w:rFonts w:hint="eastAsia" w:ascii="宋体" w:hAnsi="宋体"/>
                <w:szCs w:val="21"/>
              </w:rPr>
              <w:t>5、投标人情况介绍；（如有，请提供）</w:t>
            </w:r>
          </w:p>
          <w:p w14:paraId="6C229F36">
            <w:pPr>
              <w:snapToGrid w:val="0"/>
              <w:spacing w:line="380" w:lineRule="exact"/>
              <w:jc w:val="left"/>
              <w:rPr>
                <w:rFonts w:ascii="宋体" w:hAnsi="宋体"/>
                <w:szCs w:val="21"/>
              </w:rPr>
            </w:pPr>
            <w:r>
              <w:rPr>
                <w:rFonts w:hint="eastAsia" w:ascii="宋体" w:hAnsi="宋体"/>
                <w:szCs w:val="21"/>
              </w:rPr>
              <w:t>6、实力信誉及业绩；（如有，请提供）</w:t>
            </w:r>
          </w:p>
          <w:p w14:paraId="30CD6627">
            <w:pPr>
              <w:snapToGrid w:val="0"/>
              <w:spacing w:line="380" w:lineRule="exact"/>
              <w:jc w:val="left"/>
              <w:rPr>
                <w:rFonts w:ascii="宋体" w:hAnsi="宋体"/>
                <w:szCs w:val="21"/>
              </w:rPr>
            </w:pPr>
            <w:r>
              <w:rPr>
                <w:rFonts w:hint="eastAsia" w:ascii="宋体" w:hAnsi="宋体"/>
                <w:szCs w:val="21"/>
              </w:rPr>
              <w:t>7、售后服务方案；（如有，请提供）</w:t>
            </w:r>
          </w:p>
          <w:p w14:paraId="39730143">
            <w:pPr>
              <w:snapToGrid w:val="0"/>
              <w:spacing w:line="380" w:lineRule="exact"/>
              <w:jc w:val="left"/>
              <w:rPr>
                <w:rFonts w:ascii="宋体" w:hAnsi="宋体"/>
                <w:szCs w:val="21"/>
              </w:rPr>
            </w:pPr>
            <w:r>
              <w:rPr>
                <w:rFonts w:hint="eastAsia" w:ascii="宋体" w:hAnsi="宋体"/>
                <w:szCs w:val="21"/>
              </w:rPr>
              <w:t>8、专业服务及服务时限；（如有，请提供）</w:t>
            </w:r>
          </w:p>
          <w:p w14:paraId="4807D2C5">
            <w:pPr>
              <w:snapToGrid w:val="0"/>
              <w:spacing w:line="380" w:lineRule="exact"/>
              <w:jc w:val="left"/>
              <w:rPr>
                <w:rFonts w:ascii="宋体" w:hAnsi="宋体"/>
                <w:szCs w:val="21"/>
              </w:rPr>
            </w:pPr>
            <w:r>
              <w:rPr>
                <w:rFonts w:hint="eastAsia" w:ascii="宋体" w:hAnsi="宋体"/>
                <w:szCs w:val="21"/>
              </w:rPr>
              <w:t>9.除招标文件规定必须提供以外，投标人认为需要提供的其他证明材料。（投标人根据“第二章 采购需求”及“第四章 评标方法及评标标准”提供有关证明材料）。</w:t>
            </w:r>
          </w:p>
          <w:p w14:paraId="08F832A1">
            <w:pPr>
              <w:snapToGrid w:val="0"/>
              <w:spacing w:line="380" w:lineRule="exact"/>
              <w:jc w:val="left"/>
              <w:rPr>
                <w:rFonts w:ascii="宋体" w:hAnsi="宋体"/>
                <w:b/>
                <w:bCs/>
                <w:szCs w:val="21"/>
              </w:rPr>
            </w:pPr>
            <w:r>
              <w:rPr>
                <w:rFonts w:hint="eastAsia" w:ascii="宋体" w:hAnsi="宋体"/>
                <w:b/>
                <w:bCs/>
                <w:szCs w:val="21"/>
              </w:rPr>
              <w:t>注： 1.法定代表人授权委托书必须由法定代表人及委托代理人签字，并加盖投标人公章，否则作无效投标处理。</w:t>
            </w:r>
          </w:p>
          <w:p w14:paraId="2BEE72EF">
            <w:pPr>
              <w:snapToGrid w:val="0"/>
              <w:spacing w:line="380" w:lineRule="exact"/>
              <w:ind w:firstLine="422" w:firstLineChars="200"/>
              <w:jc w:val="left"/>
              <w:rPr>
                <w:rFonts w:ascii="宋体" w:hAnsi="宋体" w:cs="Courier New"/>
                <w:b/>
                <w:szCs w:val="21"/>
              </w:rPr>
            </w:pPr>
            <w:r>
              <w:rPr>
                <w:rFonts w:hint="eastAsia" w:ascii="宋体" w:hAnsi="宋体"/>
                <w:b/>
                <w:bCs/>
                <w:szCs w:val="21"/>
              </w:rPr>
              <w:t>2.以上标明“必须提供”的材料</w:t>
            </w:r>
            <w:r>
              <w:rPr>
                <w:rFonts w:hint="eastAsia" w:ascii="宋体" w:hAnsi="宋体" w:cs="宋体"/>
                <w:b/>
                <w:szCs w:val="21"/>
              </w:rPr>
              <w:t>属于复印件的扫描件的</w:t>
            </w:r>
            <w:r>
              <w:rPr>
                <w:rFonts w:hint="eastAsia" w:ascii="宋体" w:hAnsi="宋体"/>
                <w:b/>
                <w:bCs/>
                <w:szCs w:val="21"/>
              </w:rPr>
              <w:t>，必须加盖投标人电子公章，否则</w:t>
            </w:r>
            <w:r>
              <w:rPr>
                <w:rFonts w:hint="eastAsia" w:ascii="宋体" w:hAnsi="宋体" w:cs="Courier New"/>
                <w:b/>
                <w:szCs w:val="21"/>
              </w:rPr>
              <w:t>作无效投标处理</w:t>
            </w:r>
            <w:r>
              <w:rPr>
                <w:rFonts w:hint="eastAsia" w:ascii="宋体" w:hAnsi="宋体"/>
                <w:b/>
                <w:bCs/>
                <w:szCs w:val="21"/>
              </w:rPr>
              <w:t>。</w:t>
            </w:r>
          </w:p>
        </w:tc>
      </w:tr>
      <w:tr w14:paraId="669713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vMerge w:val="restart"/>
            <w:tcBorders>
              <w:top w:val="nil"/>
              <w:left w:val="single" w:color="auto" w:sz="4" w:space="0"/>
              <w:bottom w:val="single" w:color="auto" w:sz="4" w:space="0"/>
              <w:right w:val="single" w:color="auto" w:sz="4" w:space="0"/>
            </w:tcBorders>
            <w:vAlign w:val="center"/>
          </w:tcPr>
          <w:p w14:paraId="111E7F98">
            <w:pPr>
              <w:spacing w:line="380" w:lineRule="exact"/>
              <w:rPr>
                <w:rFonts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06ED205C">
            <w:pPr>
              <w:snapToGrid w:val="0"/>
              <w:spacing w:line="380" w:lineRule="exact"/>
              <w:jc w:val="left"/>
              <w:rPr>
                <w:rFonts w:ascii="宋体" w:hAnsi="宋体" w:cs="Courier New"/>
                <w:szCs w:val="21"/>
              </w:rPr>
            </w:pPr>
            <w:bookmarkStart w:id="42" w:name="_13.4"/>
            <w:bookmarkEnd w:id="42"/>
            <w:r>
              <w:rPr>
                <w:rFonts w:hint="eastAsia" w:ascii="宋体" w:hAnsi="宋体" w:cs="Courier New"/>
                <w:szCs w:val="21"/>
              </w:rPr>
              <w:t>技术文件组成</w:t>
            </w:r>
          </w:p>
          <w:p w14:paraId="77A37D14">
            <w:pPr>
              <w:spacing w:line="380" w:lineRule="exact"/>
              <w:rPr>
                <w:rFonts w:ascii="宋体" w:hAnsi="宋体"/>
                <w:szCs w:val="21"/>
              </w:rPr>
            </w:pPr>
          </w:p>
        </w:tc>
        <w:tc>
          <w:tcPr>
            <w:tcW w:w="6975" w:type="dxa"/>
            <w:tcBorders>
              <w:top w:val="single" w:color="auto" w:sz="4" w:space="0"/>
              <w:left w:val="single" w:color="auto" w:sz="4" w:space="0"/>
              <w:bottom w:val="single" w:color="auto" w:sz="4" w:space="0"/>
              <w:right w:val="single" w:color="auto" w:sz="4" w:space="0"/>
            </w:tcBorders>
            <w:vAlign w:val="center"/>
          </w:tcPr>
          <w:p w14:paraId="07994001">
            <w:pPr>
              <w:snapToGrid w:val="0"/>
              <w:spacing w:line="380" w:lineRule="exact"/>
              <w:jc w:val="left"/>
              <w:rPr>
                <w:rFonts w:ascii="宋体" w:hAnsi="宋体"/>
                <w:szCs w:val="21"/>
              </w:rPr>
            </w:pPr>
            <w:r>
              <w:rPr>
                <w:rFonts w:hint="eastAsia" w:ascii="宋体" w:hAnsi="宋体"/>
                <w:szCs w:val="21"/>
              </w:rPr>
              <w:t>1、服务需求、技术需求偏离表；（</w:t>
            </w:r>
            <w:r>
              <w:rPr>
                <w:rFonts w:hint="eastAsia" w:ascii="宋体" w:hAnsi="宋体"/>
                <w:b/>
                <w:szCs w:val="21"/>
              </w:rPr>
              <w:t>必须提供，否则作无效投标处理</w:t>
            </w:r>
            <w:r>
              <w:rPr>
                <w:rFonts w:hint="eastAsia" w:ascii="宋体" w:hAnsi="宋体"/>
                <w:szCs w:val="21"/>
              </w:rPr>
              <w:t>）</w:t>
            </w:r>
          </w:p>
          <w:p w14:paraId="6E583E7E">
            <w:pPr>
              <w:snapToGrid w:val="0"/>
              <w:spacing w:line="380" w:lineRule="exact"/>
              <w:jc w:val="left"/>
              <w:rPr>
                <w:rFonts w:ascii="宋体" w:hAnsi="宋体"/>
                <w:szCs w:val="21"/>
              </w:rPr>
            </w:pPr>
            <w:r>
              <w:rPr>
                <w:rFonts w:hint="eastAsia" w:ascii="宋体" w:hAnsi="宋体"/>
                <w:szCs w:val="21"/>
              </w:rPr>
              <w:t xml:space="preserve">2、项目检测总体工作方案（包括但不限于检测措施、拟制定的总进度计划，投入人员、仪器和设备）；（如有，请提供） </w:t>
            </w:r>
          </w:p>
          <w:p w14:paraId="21EEACC0">
            <w:pPr>
              <w:snapToGrid w:val="0"/>
              <w:spacing w:line="380" w:lineRule="exact"/>
              <w:jc w:val="left"/>
              <w:rPr>
                <w:rFonts w:ascii="宋体" w:hAnsi="宋体"/>
                <w:szCs w:val="21"/>
              </w:rPr>
            </w:pPr>
            <w:r>
              <w:rPr>
                <w:rFonts w:hint="eastAsia" w:ascii="宋体" w:hAnsi="宋体"/>
                <w:szCs w:val="21"/>
              </w:rPr>
              <w:t>3、项目检测总体工作保障措施（包括但不限于质量保障、工期进度保障、交通组织保障、安全生产保障）；（如有，请提供）</w:t>
            </w:r>
          </w:p>
          <w:p w14:paraId="5D16DBE0">
            <w:pPr>
              <w:snapToGrid w:val="0"/>
              <w:spacing w:line="380" w:lineRule="exact"/>
              <w:jc w:val="left"/>
              <w:rPr>
                <w:rFonts w:ascii="宋体" w:hAnsi="宋体"/>
                <w:szCs w:val="21"/>
              </w:rPr>
            </w:pPr>
            <w:r>
              <w:rPr>
                <w:rFonts w:hint="eastAsia" w:ascii="宋体" w:hAnsi="宋体"/>
                <w:szCs w:val="21"/>
              </w:rPr>
              <w:t>4、投标时需提供的具体检测方案（包括但不限于常规定期检测、结构定期检测）；（如有，请提供）</w:t>
            </w:r>
          </w:p>
          <w:p w14:paraId="79B745AA">
            <w:pPr>
              <w:snapToGrid w:val="0"/>
              <w:spacing w:line="380" w:lineRule="exact"/>
              <w:jc w:val="left"/>
              <w:rPr>
                <w:rFonts w:ascii="宋体" w:hAnsi="宋体"/>
                <w:szCs w:val="21"/>
              </w:rPr>
            </w:pPr>
            <w:r>
              <w:rPr>
                <w:rFonts w:hint="eastAsia" w:ascii="宋体" w:hAnsi="宋体"/>
                <w:szCs w:val="21"/>
              </w:rPr>
              <w:t>5.项目负责人、技术负责人2022年1月以来参加过（或正从事）同类服务的业绩（桥梁检测类）；（如有，请提供）</w:t>
            </w:r>
          </w:p>
          <w:p w14:paraId="0F175669">
            <w:pPr>
              <w:snapToGrid w:val="0"/>
              <w:spacing w:line="380" w:lineRule="exact"/>
              <w:jc w:val="left"/>
              <w:rPr>
                <w:rFonts w:ascii="宋体" w:hAnsi="宋体"/>
                <w:szCs w:val="21"/>
              </w:rPr>
            </w:pPr>
            <w:r>
              <w:rPr>
                <w:rFonts w:hint="eastAsia" w:ascii="宋体" w:hAnsi="宋体"/>
                <w:szCs w:val="21"/>
              </w:rPr>
              <w:t>6、投标人对本项目的合理化建议和改进措施；（如有，请提供）</w:t>
            </w:r>
          </w:p>
          <w:p w14:paraId="65FF6D6A">
            <w:pPr>
              <w:snapToGrid w:val="0"/>
              <w:spacing w:line="380" w:lineRule="exact"/>
              <w:jc w:val="left"/>
              <w:rPr>
                <w:rFonts w:ascii="宋体" w:hAnsi="宋体"/>
                <w:bCs/>
                <w:szCs w:val="21"/>
              </w:rPr>
            </w:pPr>
            <w:r>
              <w:rPr>
                <w:rFonts w:hint="eastAsia" w:ascii="宋体" w:hAnsi="宋体"/>
                <w:szCs w:val="21"/>
              </w:rPr>
              <w:t>7、除招标文件规定必须提供以外，投标人需要说明的其他文件和说明。</w:t>
            </w:r>
          </w:p>
          <w:p w14:paraId="5BC6065D">
            <w:pPr>
              <w:snapToGrid w:val="0"/>
              <w:spacing w:line="380" w:lineRule="exact"/>
              <w:jc w:val="left"/>
              <w:rPr>
                <w:rFonts w:ascii="宋体" w:hAnsi="宋体"/>
                <w:b/>
                <w:bCs/>
                <w:szCs w:val="21"/>
              </w:rPr>
            </w:pPr>
            <w:r>
              <w:rPr>
                <w:rFonts w:hint="eastAsia" w:ascii="宋体" w:hAnsi="宋体"/>
                <w:b/>
                <w:bCs/>
                <w:szCs w:val="21"/>
              </w:rPr>
              <w:t>注：以上标明“必须提供”的材料</w:t>
            </w:r>
            <w:r>
              <w:rPr>
                <w:rFonts w:hint="eastAsia" w:ascii="宋体" w:hAnsi="宋体" w:cs="宋体"/>
                <w:b/>
                <w:szCs w:val="21"/>
              </w:rPr>
              <w:t>属于复印件的扫描件的</w:t>
            </w:r>
            <w:r>
              <w:rPr>
                <w:rFonts w:hint="eastAsia" w:ascii="宋体" w:hAnsi="宋体"/>
                <w:b/>
                <w:bCs/>
                <w:szCs w:val="21"/>
              </w:rPr>
              <w:t>，必须加盖投标人电子公章，否则</w:t>
            </w:r>
            <w:r>
              <w:rPr>
                <w:rFonts w:hint="eastAsia" w:ascii="宋体" w:hAnsi="宋体" w:cs="Courier New"/>
                <w:b/>
                <w:szCs w:val="21"/>
              </w:rPr>
              <w:t>作无效投标处理</w:t>
            </w:r>
            <w:r>
              <w:rPr>
                <w:rFonts w:hint="eastAsia" w:ascii="宋体" w:hAnsi="宋体"/>
                <w:b/>
                <w:bCs/>
                <w:szCs w:val="21"/>
              </w:rPr>
              <w:t>。</w:t>
            </w:r>
          </w:p>
        </w:tc>
      </w:tr>
      <w:tr w14:paraId="51361B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vMerge w:val="continue"/>
            <w:tcBorders>
              <w:top w:val="nil"/>
              <w:left w:val="single" w:color="auto" w:sz="4" w:space="0"/>
              <w:bottom w:val="single" w:color="auto" w:sz="4" w:space="0"/>
              <w:right w:val="single" w:color="auto" w:sz="4" w:space="0"/>
            </w:tcBorders>
            <w:vAlign w:val="center"/>
          </w:tcPr>
          <w:p w14:paraId="7D236465">
            <w:pPr>
              <w:widowControl/>
              <w:jc w:val="left"/>
              <w:rPr>
                <w:rFonts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31DAF122">
            <w:pPr>
              <w:snapToGrid w:val="0"/>
              <w:spacing w:line="380" w:lineRule="exact"/>
              <w:jc w:val="left"/>
              <w:rPr>
                <w:rFonts w:ascii="宋体" w:hAnsi="宋体" w:cs="Courier New"/>
                <w:szCs w:val="21"/>
              </w:rPr>
            </w:pPr>
            <w:r>
              <w:rPr>
                <w:rFonts w:hint="eastAsia" w:ascii="宋体" w:hAnsi="宋体" w:cs="Courier New"/>
                <w:szCs w:val="21"/>
              </w:rPr>
              <w:t>报价文件</w:t>
            </w:r>
            <w:r>
              <w:rPr>
                <w:rFonts w:hint="eastAsia" w:ascii="宋体" w:hAnsi="宋体"/>
                <w:szCs w:val="21"/>
              </w:rPr>
              <w:t>组成</w:t>
            </w:r>
          </w:p>
        </w:tc>
        <w:tc>
          <w:tcPr>
            <w:tcW w:w="6975" w:type="dxa"/>
            <w:tcBorders>
              <w:top w:val="single" w:color="auto" w:sz="4" w:space="0"/>
              <w:left w:val="single" w:color="auto" w:sz="4" w:space="0"/>
              <w:bottom w:val="single" w:color="auto" w:sz="4" w:space="0"/>
              <w:right w:val="single" w:color="auto" w:sz="4" w:space="0"/>
            </w:tcBorders>
            <w:vAlign w:val="center"/>
          </w:tcPr>
          <w:p w14:paraId="20C6C358">
            <w:pPr>
              <w:tabs>
                <w:tab w:val="left" w:pos="459"/>
              </w:tabs>
              <w:snapToGrid w:val="0"/>
              <w:spacing w:line="380" w:lineRule="exact"/>
              <w:jc w:val="left"/>
              <w:rPr>
                <w:rFonts w:ascii="宋体" w:hAnsi="宋体"/>
                <w:szCs w:val="21"/>
              </w:rPr>
            </w:pPr>
            <w:r>
              <w:rPr>
                <w:rFonts w:hint="eastAsia" w:ascii="宋体" w:hAnsi="宋体"/>
                <w:szCs w:val="21"/>
              </w:rPr>
              <w:t>1、投标函；</w:t>
            </w:r>
            <w:r>
              <w:rPr>
                <w:rFonts w:hint="eastAsia" w:ascii="宋体" w:hAnsi="宋体"/>
                <w:b/>
                <w:szCs w:val="21"/>
              </w:rPr>
              <w:t>（必须提供，否则作无效投标处理）</w:t>
            </w:r>
          </w:p>
          <w:p w14:paraId="241C87C5">
            <w:pPr>
              <w:tabs>
                <w:tab w:val="left" w:pos="459"/>
              </w:tabs>
              <w:snapToGrid w:val="0"/>
              <w:spacing w:line="380" w:lineRule="exact"/>
              <w:jc w:val="left"/>
              <w:rPr>
                <w:rFonts w:ascii="宋体" w:hAnsi="宋体"/>
                <w:szCs w:val="21"/>
              </w:rPr>
            </w:pPr>
            <w:r>
              <w:rPr>
                <w:rFonts w:hint="eastAsia" w:ascii="宋体" w:hAnsi="宋体"/>
                <w:szCs w:val="21"/>
              </w:rPr>
              <w:t>2、开标一览表；（</w:t>
            </w:r>
            <w:r>
              <w:rPr>
                <w:rFonts w:hint="eastAsia" w:ascii="宋体" w:hAnsi="宋体"/>
                <w:b/>
                <w:szCs w:val="21"/>
              </w:rPr>
              <w:t>必须提供，否则作无效投标处理</w:t>
            </w:r>
            <w:r>
              <w:rPr>
                <w:rFonts w:hint="eastAsia" w:ascii="宋体" w:hAnsi="宋体"/>
                <w:szCs w:val="21"/>
              </w:rPr>
              <w:t>）</w:t>
            </w:r>
          </w:p>
          <w:p w14:paraId="0995D5BF">
            <w:pPr>
              <w:tabs>
                <w:tab w:val="left" w:pos="459"/>
              </w:tabs>
              <w:snapToGrid w:val="0"/>
              <w:spacing w:line="380" w:lineRule="exact"/>
              <w:jc w:val="left"/>
              <w:rPr>
                <w:rFonts w:ascii="宋体" w:hAnsi="宋体"/>
                <w:szCs w:val="21"/>
              </w:rPr>
            </w:pPr>
            <w:r>
              <w:rPr>
                <w:rFonts w:ascii="宋体" w:hAnsi="宋体"/>
                <w:szCs w:val="21"/>
              </w:rPr>
              <w:t>3</w:t>
            </w:r>
            <w:r>
              <w:rPr>
                <w:rFonts w:hint="eastAsia" w:ascii="宋体" w:hAnsi="宋体"/>
                <w:szCs w:val="21"/>
              </w:rPr>
              <w:t>、中小企业声明函；（如有，请提供）</w:t>
            </w:r>
          </w:p>
          <w:p w14:paraId="08505788">
            <w:pPr>
              <w:tabs>
                <w:tab w:val="left" w:pos="459"/>
              </w:tabs>
              <w:snapToGrid w:val="0"/>
              <w:spacing w:line="380" w:lineRule="exact"/>
              <w:jc w:val="left"/>
              <w:rPr>
                <w:rFonts w:ascii="宋体" w:hAnsi="宋体"/>
                <w:szCs w:val="21"/>
              </w:rPr>
            </w:pPr>
            <w:r>
              <w:rPr>
                <w:rFonts w:hint="eastAsia" w:ascii="宋体" w:hAnsi="宋体"/>
                <w:szCs w:val="21"/>
              </w:rPr>
              <w:t>4、投标人针对报价需要说明的其他文件和说明。</w:t>
            </w:r>
          </w:p>
        </w:tc>
      </w:tr>
      <w:tr w14:paraId="372B4C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57B18BE3">
            <w:pPr>
              <w:spacing w:line="380" w:lineRule="exact"/>
              <w:rPr>
                <w:rFonts w:ascii="宋体" w:hAnsi="宋体"/>
                <w:szCs w:val="21"/>
              </w:rPr>
            </w:pPr>
            <w:r>
              <w:rPr>
                <w:rFonts w:hint="eastAsia" w:ascii="宋体" w:hAnsi="宋体"/>
                <w:szCs w:val="21"/>
              </w:rPr>
              <w:t>16.2</w:t>
            </w:r>
          </w:p>
        </w:tc>
        <w:tc>
          <w:tcPr>
            <w:tcW w:w="2097" w:type="dxa"/>
            <w:tcBorders>
              <w:top w:val="single" w:color="auto" w:sz="4" w:space="0"/>
              <w:left w:val="single" w:color="auto" w:sz="4" w:space="0"/>
              <w:bottom w:val="single" w:color="auto" w:sz="4" w:space="0"/>
              <w:right w:val="single" w:color="auto" w:sz="4" w:space="0"/>
            </w:tcBorders>
            <w:vAlign w:val="center"/>
          </w:tcPr>
          <w:p w14:paraId="702FD580">
            <w:pPr>
              <w:spacing w:line="380" w:lineRule="exact"/>
              <w:rPr>
                <w:rFonts w:ascii="宋体" w:hAnsi="宋体"/>
                <w:szCs w:val="21"/>
              </w:rPr>
            </w:pPr>
            <w:bookmarkStart w:id="43" w:name="_16.2"/>
            <w:bookmarkEnd w:id="43"/>
            <w:r>
              <w:rPr>
                <w:rFonts w:hint="eastAsia" w:ascii="宋体" w:hAnsi="宋体"/>
                <w:szCs w:val="21"/>
              </w:rPr>
              <w:t>投标报价要求</w:t>
            </w:r>
          </w:p>
        </w:tc>
        <w:tc>
          <w:tcPr>
            <w:tcW w:w="6975" w:type="dxa"/>
            <w:tcBorders>
              <w:top w:val="single" w:color="auto" w:sz="4" w:space="0"/>
              <w:left w:val="single" w:color="auto" w:sz="4" w:space="0"/>
              <w:bottom w:val="single" w:color="auto" w:sz="4" w:space="0"/>
              <w:right w:val="single" w:color="auto" w:sz="4" w:space="0"/>
            </w:tcBorders>
            <w:vAlign w:val="center"/>
          </w:tcPr>
          <w:p w14:paraId="2D3B65C7">
            <w:pPr>
              <w:pStyle w:val="12"/>
              <w:spacing w:line="380" w:lineRule="exact"/>
              <w:rPr>
                <w:rFonts w:ascii="宋体" w:hAnsi="宋体"/>
                <w:b/>
                <w:szCs w:val="21"/>
              </w:rPr>
            </w:pPr>
            <w:r>
              <w:rPr>
                <w:rFonts w:hint="eastAsia" w:ascii="宋体" w:hAnsi="宋体"/>
                <w:szCs w:val="21"/>
              </w:rPr>
              <w:t>投标报价是履行合同的最终价格，必须包含以下部分：（1）服务的价格（包括交通维护费、提供服务必须拆除的装饰板、媒体公告费、图纸复印费、方案评审费及验收评审费等费用）；（2）必要的保险费用和各项税金；（3）其他：运输、装卸、安装、调试、培训、技术支持、售后服务、人工费、检测工作所需机械设备使用费及进退场等费用。</w:t>
            </w:r>
          </w:p>
        </w:tc>
      </w:tr>
      <w:tr w14:paraId="44EB9B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219B3B44">
            <w:pPr>
              <w:spacing w:line="380" w:lineRule="exact"/>
              <w:rPr>
                <w:rFonts w:ascii="宋体" w:hAnsi="宋体"/>
                <w:szCs w:val="21"/>
              </w:rPr>
            </w:pPr>
            <w:r>
              <w:rPr>
                <w:rFonts w:hint="eastAsia" w:ascii="宋体" w:hAnsi="宋体"/>
                <w:szCs w:val="21"/>
              </w:rPr>
              <w:t>17.2</w:t>
            </w:r>
          </w:p>
        </w:tc>
        <w:tc>
          <w:tcPr>
            <w:tcW w:w="2097" w:type="dxa"/>
            <w:tcBorders>
              <w:top w:val="single" w:color="auto" w:sz="4" w:space="0"/>
              <w:left w:val="single" w:color="auto" w:sz="4" w:space="0"/>
              <w:bottom w:val="single" w:color="auto" w:sz="4" w:space="0"/>
              <w:right w:val="single" w:color="auto" w:sz="4" w:space="0"/>
            </w:tcBorders>
            <w:vAlign w:val="center"/>
          </w:tcPr>
          <w:p w14:paraId="14842D1B">
            <w:pPr>
              <w:spacing w:line="380" w:lineRule="exact"/>
              <w:rPr>
                <w:rFonts w:ascii="宋体" w:hAnsi="宋体"/>
                <w:szCs w:val="21"/>
              </w:rPr>
            </w:pPr>
            <w:bookmarkStart w:id="44" w:name="_17.1"/>
            <w:bookmarkEnd w:id="44"/>
            <w:r>
              <w:rPr>
                <w:rFonts w:hint="eastAsia" w:ascii="宋体" w:hAnsi="宋体"/>
                <w:szCs w:val="21"/>
              </w:rPr>
              <w:t>投标有效期</w:t>
            </w:r>
          </w:p>
        </w:tc>
        <w:tc>
          <w:tcPr>
            <w:tcW w:w="6975" w:type="dxa"/>
            <w:tcBorders>
              <w:top w:val="single" w:color="auto" w:sz="4" w:space="0"/>
              <w:left w:val="single" w:color="auto" w:sz="4" w:space="0"/>
              <w:bottom w:val="single" w:color="auto" w:sz="4" w:space="0"/>
              <w:right w:val="single" w:color="auto" w:sz="4" w:space="0"/>
            </w:tcBorders>
            <w:vAlign w:val="center"/>
          </w:tcPr>
          <w:p w14:paraId="4274CE6C">
            <w:pPr>
              <w:snapToGrid w:val="0"/>
              <w:spacing w:line="380" w:lineRule="exact"/>
              <w:rPr>
                <w:rFonts w:ascii="宋体" w:hAnsi="宋体"/>
                <w:szCs w:val="21"/>
              </w:rPr>
            </w:pPr>
            <w:r>
              <w:rPr>
                <w:rFonts w:hint="eastAsia" w:ascii="宋体" w:hAnsi="宋体"/>
                <w:szCs w:val="21"/>
              </w:rPr>
              <w:t>自投标截止之日起</w:t>
            </w:r>
            <w:r>
              <w:rPr>
                <w:rFonts w:ascii="宋体" w:hAnsi="宋体"/>
                <w:szCs w:val="21"/>
                <w:u w:val="single"/>
              </w:rPr>
              <w:t>90</w:t>
            </w:r>
            <w:r>
              <w:rPr>
                <w:rFonts w:hint="eastAsia" w:ascii="宋体" w:hAnsi="宋体"/>
                <w:szCs w:val="21"/>
              </w:rPr>
              <w:t>日。</w:t>
            </w:r>
          </w:p>
        </w:tc>
      </w:tr>
      <w:tr w14:paraId="323CE5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087BFEF4">
            <w:pPr>
              <w:spacing w:line="380" w:lineRule="exact"/>
              <w:rPr>
                <w:rFonts w:ascii="宋体" w:hAnsi="宋体"/>
                <w:szCs w:val="21"/>
              </w:rPr>
            </w:pPr>
            <w:r>
              <w:rPr>
                <w:rFonts w:hint="eastAsia" w:ascii="宋体" w:hAnsi="宋体"/>
                <w:szCs w:val="21"/>
              </w:rPr>
              <w:t>18</w:t>
            </w:r>
          </w:p>
        </w:tc>
        <w:tc>
          <w:tcPr>
            <w:tcW w:w="2097" w:type="dxa"/>
            <w:tcBorders>
              <w:top w:val="single" w:color="auto" w:sz="4" w:space="0"/>
              <w:left w:val="single" w:color="auto" w:sz="4" w:space="0"/>
              <w:bottom w:val="single" w:color="auto" w:sz="4" w:space="0"/>
              <w:right w:val="single" w:color="auto" w:sz="4" w:space="0"/>
            </w:tcBorders>
            <w:vAlign w:val="center"/>
          </w:tcPr>
          <w:p w14:paraId="2EE771F2">
            <w:pPr>
              <w:spacing w:line="380" w:lineRule="exact"/>
              <w:rPr>
                <w:rFonts w:ascii="宋体" w:hAnsi="宋体"/>
                <w:szCs w:val="21"/>
              </w:rPr>
            </w:pPr>
            <w:bookmarkStart w:id="45" w:name="_18"/>
            <w:bookmarkEnd w:id="45"/>
            <w:r>
              <w:rPr>
                <w:rFonts w:hint="eastAsia" w:ascii="宋体" w:hAnsi="宋体"/>
                <w:szCs w:val="21"/>
              </w:rPr>
              <w:t>投标保证金金额</w:t>
            </w:r>
          </w:p>
        </w:tc>
        <w:tc>
          <w:tcPr>
            <w:tcW w:w="6975" w:type="dxa"/>
            <w:tcBorders>
              <w:top w:val="single" w:color="auto" w:sz="4" w:space="0"/>
              <w:left w:val="single" w:color="auto" w:sz="4" w:space="0"/>
              <w:bottom w:val="single" w:color="auto" w:sz="4" w:space="0"/>
              <w:right w:val="single" w:color="auto" w:sz="4" w:space="0"/>
            </w:tcBorders>
            <w:vAlign w:val="center"/>
          </w:tcPr>
          <w:p w14:paraId="31D49D23">
            <w:pPr>
              <w:autoSpaceDE w:val="0"/>
              <w:autoSpaceDN w:val="0"/>
              <w:snapToGrid w:val="0"/>
              <w:spacing w:line="380" w:lineRule="exact"/>
              <w:textAlignment w:val="bottom"/>
              <w:rPr>
                <w:rFonts w:ascii="宋体" w:hAnsi="宋体"/>
                <w:szCs w:val="21"/>
              </w:rPr>
            </w:pPr>
            <w:r>
              <w:rPr>
                <w:rFonts w:hint="eastAsia" w:ascii="宋体" w:hAnsi="宋体"/>
                <w:szCs w:val="21"/>
              </w:rPr>
              <w:t>本项目不收取投标保证金。</w:t>
            </w:r>
          </w:p>
        </w:tc>
      </w:tr>
      <w:tr w14:paraId="28A0CD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67AE356A">
            <w:pPr>
              <w:spacing w:line="380" w:lineRule="exact"/>
              <w:rPr>
                <w:rFonts w:ascii="宋体" w:hAnsi="宋体"/>
                <w:szCs w:val="21"/>
              </w:rPr>
            </w:pPr>
            <w:r>
              <w:rPr>
                <w:rFonts w:hint="eastAsia" w:ascii="宋体" w:hAnsi="宋体"/>
                <w:szCs w:val="21"/>
              </w:rPr>
              <w:t>19.1</w:t>
            </w:r>
          </w:p>
        </w:tc>
        <w:tc>
          <w:tcPr>
            <w:tcW w:w="2097" w:type="dxa"/>
            <w:tcBorders>
              <w:top w:val="single" w:color="auto" w:sz="4" w:space="0"/>
              <w:left w:val="single" w:color="auto" w:sz="4" w:space="0"/>
              <w:bottom w:val="single" w:color="auto" w:sz="4" w:space="0"/>
              <w:right w:val="single" w:color="auto" w:sz="4" w:space="0"/>
            </w:tcBorders>
            <w:vAlign w:val="center"/>
          </w:tcPr>
          <w:p w14:paraId="0B032003">
            <w:pPr>
              <w:spacing w:line="380" w:lineRule="exact"/>
              <w:rPr>
                <w:rFonts w:ascii="宋体" w:hAnsi="宋体"/>
                <w:szCs w:val="21"/>
              </w:rPr>
            </w:pPr>
            <w:r>
              <w:rPr>
                <w:rFonts w:hint="eastAsia" w:ascii="宋体" w:hAnsi="宋体"/>
                <w:szCs w:val="21"/>
              </w:rPr>
              <w:t>投标文件编制要求</w:t>
            </w:r>
          </w:p>
        </w:tc>
        <w:tc>
          <w:tcPr>
            <w:tcW w:w="6975" w:type="dxa"/>
            <w:tcBorders>
              <w:top w:val="single" w:color="auto" w:sz="4" w:space="0"/>
              <w:left w:val="single" w:color="auto" w:sz="4" w:space="0"/>
              <w:bottom w:val="single" w:color="auto" w:sz="4" w:space="0"/>
              <w:right w:val="single" w:color="auto" w:sz="4" w:space="0"/>
            </w:tcBorders>
            <w:vAlign w:val="center"/>
          </w:tcPr>
          <w:p w14:paraId="477B65C4">
            <w:pPr>
              <w:spacing w:line="380" w:lineRule="exact"/>
              <w:rPr>
                <w:rFonts w:ascii="宋体" w:hAnsi="宋体"/>
                <w:b/>
                <w:szCs w:val="21"/>
                <w:u w:val="single"/>
              </w:rPr>
            </w:pPr>
            <w:r>
              <w:rPr>
                <w:rFonts w:hint="eastAsia" w:hAnsi="宋体"/>
                <w:szCs w:val="21"/>
              </w:rPr>
              <w:t>投标文件应按报价文件、资格证明文件、商务文件、技术文件分别编制，报价文件、资格证明文件分别生成电子文件，商务文件和技术文件按顺序合并生成电子文件。</w:t>
            </w:r>
            <w:r>
              <w:rPr>
                <w:rFonts w:hint="eastAsia" w:ascii="宋体" w:hAnsi="宋体"/>
                <w:b/>
                <w:szCs w:val="21"/>
                <w:u w:val="single"/>
              </w:rPr>
              <w:t>电子版投标文件制作方式见招标公告附件。</w:t>
            </w:r>
          </w:p>
        </w:tc>
      </w:tr>
      <w:tr w14:paraId="5CADF9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7634DC67">
            <w:pPr>
              <w:spacing w:line="380" w:lineRule="exact"/>
              <w:rPr>
                <w:rFonts w:ascii="宋体" w:hAnsi="宋体"/>
                <w:szCs w:val="21"/>
              </w:rPr>
            </w:pPr>
            <w:r>
              <w:rPr>
                <w:rFonts w:hint="eastAsia" w:ascii="宋体" w:hAnsi="宋体"/>
                <w:szCs w:val="21"/>
              </w:rPr>
              <w:t>20</w:t>
            </w:r>
          </w:p>
        </w:tc>
        <w:tc>
          <w:tcPr>
            <w:tcW w:w="2097" w:type="dxa"/>
            <w:tcBorders>
              <w:top w:val="single" w:color="auto" w:sz="4" w:space="0"/>
              <w:left w:val="single" w:color="auto" w:sz="4" w:space="0"/>
              <w:bottom w:val="single" w:color="auto" w:sz="4" w:space="0"/>
              <w:right w:val="single" w:color="auto" w:sz="4" w:space="0"/>
            </w:tcBorders>
            <w:vAlign w:val="center"/>
          </w:tcPr>
          <w:p w14:paraId="060217BD">
            <w:pPr>
              <w:spacing w:line="380" w:lineRule="exact"/>
              <w:rPr>
                <w:rFonts w:ascii="宋体" w:hAnsi="宋体"/>
                <w:szCs w:val="21"/>
              </w:rPr>
            </w:pPr>
            <w:r>
              <w:rPr>
                <w:rFonts w:hint="eastAsia" w:ascii="宋体" w:hAnsi="宋体"/>
                <w:szCs w:val="21"/>
              </w:rPr>
              <w:t>备份投标文件</w:t>
            </w:r>
          </w:p>
        </w:tc>
        <w:tc>
          <w:tcPr>
            <w:tcW w:w="6975" w:type="dxa"/>
            <w:tcBorders>
              <w:top w:val="single" w:color="auto" w:sz="4" w:space="0"/>
              <w:left w:val="single" w:color="auto" w:sz="4" w:space="0"/>
              <w:bottom w:val="single" w:color="auto" w:sz="4" w:space="0"/>
              <w:right w:val="single" w:color="auto" w:sz="4" w:space="0"/>
            </w:tcBorders>
            <w:vAlign w:val="center"/>
          </w:tcPr>
          <w:p w14:paraId="5DE93595">
            <w:pPr>
              <w:autoSpaceDE w:val="0"/>
              <w:autoSpaceDN w:val="0"/>
              <w:snapToGrid w:val="0"/>
              <w:spacing w:line="380" w:lineRule="exact"/>
              <w:textAlignment w:val="bottom"/>
              <w:rPr>
                <w:rFonts w:ascii="宋体" w:hAnsi="宋体"/>
                <w:szCs w:val="21"/>
              </w:rPr>
            </w:pPr>
            <w:r>
              <w:rPr>
                <w:rFonts w:hint="eastAsia" w:ascii="宋体" w:hAnsi="宋体"/>
                <w:szCs w:val="21"/>
              </w:rPr>
              <w:t>本项目不接受备份投标文件。</w:t>
            </w:r>
          </w:p>
        </w:tc>
      </w:tr>
      <w:tr w14:paraId="532637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846" w:type="dxa"/>
            <w:vMerge w:val="restart"/>
            <w:tcBorders>
              <w:top w:val="single" w:color="auto" w:sz="4" w:space="0"/>
              <w:left w:val="single" w:color="auto" w:sz="4" w:space="0"/>
              <w:bottom w:val="nil"/>
              <w:right w:val="single" w:color="auto" w:sz="4" w:space="0"/>
            </w:tcBorders>
            <w:vAlign w:val="center"/>
          </w:tcPr>
          <w:p w14:paraId="5B860C36">
            <w:pPr>
              <w:spacing w:line="380" w:lineRule="exact"/>
              <w:rPr>
                <w:rFonts w:ascii="宋体" w:hAnsi="宋体"/>
                <w:szCs w:val="21"/>
              </w:rPr>
            </w:pPr>
            <w:r>
              <w:rPr>
                <w:rFonts w:hint="eastAsia" w:ascii="宋体" w:hAnsi="宋体"/>
                <w:szCs w:val="21"/>
              </w:rPr>
              <w:t>21.1</w:t>
            </w:r>
          </w:p>
        </w:tc>
        <w:tc>
          <w:tcPr>
            <w:tcW w:w="2097" w:type="dxa"/>
            <w:tcBorders>
              <w:top w:val="single" w:color="auto" w:sz="4" w:space="0"/>
              <w:left w:val="single" w:color="auto" w:sz="4" w:space="0"/>
              <w:bottom w:val="single" w:color="auto" w:sz="4" w:space="0"/>
              <w:right w:val="single" w:color="auto" w:sz="4" w:space="0"/>
            </w:tcBorders>
            <w:vAlign w:val="center"/>
          </w:tcPr>
          <w:p w14:paraId="07D1A469">
            <w:pPr>
              <w:spacing w:line="380" w:lineRule="exact"/>
              <w:rPr>
                <w:rFonts w:ascii="宋体" w:hAnsi="宋体"/>
                <w:szCs w:val="21"/>
              </w:rPr>
            </w:pPr>
            <w:bookmarkStart w:id="46" w:name="_21.1"/>
            <w:bookmarkEnd w:id="46"/>
            <w:r>
              <w:rPr>
                <w:rFonts w:hint="eastAsia" w:ascii="宋体" w:hAnsi="宋体"/>
                <w:szCs w:val="21"/>
              </w:rPr>
              <w:t>投标截止时间</w:t>
            </w:r>
          </w:p>
        </w:tc>
        <w:tc>
          <w:tcPr>
            <w:tcW w:w="6975" w:type="dxa"/>
            <w:tcBorders>
              <w:top w:val="single" w:color="auto" w:sz="4" w:space="0"/>
              <w:left w:val="single" w:color="auto" w:sz="4" w:space="0"/>
              <w:bottom w:val="single" w:color="auto" w:sz="4" w:space="0"/>
              <w:right w:val="single" w:color="auto" w:sz="4" w:space="0"/>
            </w:tcBorders>
            <w:vAlign w:val="center"/>
          </w:tcPr>
          <w:p w14:paraId="6E3A3BD9">
            <w:pPr>
              <w:snapToGrid w:val="0"/>
              <w:spacing w:line="380" w:lineRule="exact"/>
              <w:rPr>
                <w:rFonts w:ascii="宋体" w:hAnsi="宋体"/>
                <w:szCs w:val="21"/>
                <w:u w:val="single"/>
              </w:rPr>
            </w:pPr>
            <w:r>
              <w:rPr>
                <w:rFonts w:hint="eastAsia" w:ascii="宋体" w:hAnsi="宋体"/>
                <w:szCs w:val="21"/>
              </w:rPr>
              <w:t>详见招标公告</w:t>
            </w:r>
          </w:p>
        </w:tc>
      </w:tr>
      <w:tr w14:paraId="5FD1C2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46" w:type="dxa"/>
            <w:vMerge w:val="continue"/>
            <w:tcBorders>
              <w:top w:val="single" w:color="auto" w:sz="4" w:space="0"/>
              <w:left w:val="single" w:color="auto" w:sz="4" w:space="0"/>
              <w:bottom w:val="nil"/>
              <w:right w:val="single" w:color="auto" w:sz="4" w:space="0"/>
            </w:tcBorders>
            <w:vAlign w:val="center"/>
          </w:tcPr>
          <w:p w14:paraId="09CCC67E">
            <w:pPr>
              <w:widowControl/>
              <w:jc w:val="left"/>
              <w:rPr>
                <w:rFonts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0124F48A">
            <w:pPr>
              <w:spacing w:line="380" w:lineRule="exact"/>
              <w:rPr>
                <w:rFonts w:ascii="宋体" w:hAnsi="宋体"/>
                <w:szCs w:val="21"/>
              </w:rPr>
            </w:pPr>
            <w:r>
              <w:rPr>
                <w:rFonts w:hint="eastAsia" w:ascii="宋体" w:hAnsi="宋体"/>
                <w:szCs w:val="21"/>
              </w:rPr>
              <w:t>投标文件提交起止时间</w:t>
            </w:r>
          </w:p>
        </w:tc>
        <w:tc>
          <w:tcPr>
            <w:tcW w:w="6975" w:type="dxa"/>
            <w:tcBorders>
              <w:top w:val="single" w:color="auto" w:sz="4" w:space="0"/>
              <w:left w:val="single" w:color="auto" w:sz="4" w:space="0"/>
              <w:bottom w:val="single" w:color="auto" w:sz="4" w:space="0"/>
              <w:right w:val="single" w:color="auto" w:sz="4" w:space="0"/>
            </w:tcBorders>
            <w:vAlign w:val="center"/>
          </w:tcPr>
          <w:p w14:paraId="289E4553">
            <w:pPr>
              <w:snapToGrid w:val="0"/>
              <w:spacing w:line="380" w:lineRule="exact"/>
              <w:rPr>
                <w:rFonts w:ascii="宋体" w:hAnsi="宋体"/>
                <w:szCs w:val="21"/>
              </w:rPr>
            </w:pPr>
            <w:r>
              <w:rPr>
                <w:rFonts w:hint="eastAsia" w:ascii="宋体" w:hAnsi="宋体"/>
                <w:szCs w:val="21"/>
              </w:rPr>
              <w:t>详见招标公告</w:t>
            </w:r>
          </w:p>
        </w:tc>
      </w:tr>
      <w:tr w14:paraId="1E3DAC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46" w:type="dxa"/>
            <w:vMerge w:val="continue"/>
            <w:tcBorders>
              <w:top w:val="single" w:color="auto" w:sz="4" w:space="0"/>
              <w:left w:val="single" w:color="auto" w:sz="4" w:space="0"/>
              <w:bottom w:val="nil"/>
              <w:right w:val="single" w:color="auto" w:sz="4" w:space="0"/>
            </w:tcBorders>
            <w:vAlign w:val="center"/>
          </w:tcPr>
          <w:p w14:paraId="704CC82B">
            <w:pPr>
              <w:widowControl/>
              <w:jc w:val="left"/>
              <w:rPr>
                <w:rFonts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6D79D8B6">
            <w:pPr>
              <w:spacing w:line="380" w:lineRule="exact"/>
              <w:rPr>
                <w:rFonts w:ascii="宋体" w:hAnsi="宋体"/>
                <w:szCs w:val="21"/>
              </w:rPr>
            </w:pPr>
            <w:r>
              <w:rPr>
                <w:rFonts w:hint="eastAsia" w:ascii="宋体" w:hAnsi="宋体"/>
                <w:szCs w:val="21"/>
              </w:rPr>
              <w:t>投标地点</w:t>
            </w:r>
          </w:p>
        </w:tc>
        <w:tc>
          <w:tcPr>
            <w:tcW w:w="6975" w:type="dxa"/>
            <w:tcBorders>
              <w:top w:val="single" w:color="auto" w:sz="4" w:space="0"/>
              <w:left w:val="single" w:color="auto" w:sz="4" w:space="0"/>
              <w:bottom w:val="single" w:color="auto" w:sz="4" w:space="0"/>
              <w:right w:val="single" w:color="auto" w:sz="4" w:space="0"/>
            </w:tcBorders>
            <w:vAlign w:val="center"/>
          </w:tcPr>
          <w:p w14:paraId="36644F67">
            <w:pPr>
              <w:snapToGrid w:val="0"/>
              <w:spacing w:line="380" w:lineRule="exact"/>
              <w:rPr>
                <w:rFonts w:ascii="宋体" w:hAnsi="宋体"/>
                <w:szCs w:val="21"/>
              </w:rPr>
            </w:pPr>
            <w:r>
              <w:rPr>
                <w:rFonts w:hint="eastAsia" w:ascii="宋体" w:hAnsi="宋体"/>
                <w:szCs w:val="21"/>
              </w:rPr>
              <w:t>详见招标公告</w:t>
            </w:r>
          </w:p>
        </w:tc>
      </w:tr>
      <w:tr w14:paraId="6AF816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46" w:type="dxa"/>
            <w:vMerge w:val="continue"/>
            <w:tcBorders>
              <w:top w:val="single" w:color="auto" w:sz="4" w:space="0"/>
              <w:left w:val="single" w:color="auto" w:sz="4" w:space="0"/>
              <w:bottom w:val="nil"/>
              <w:right w:val="single" w:color="auto" w:sz="4" w:space="0"/>
            </w:tcBorders>
            <w:vAlign w:val="center"/>
          </w:tcPr>
          <w:p w14:paraId="06CDB42A">
            <w:pPr>
              <w:widowControl/>
              <w:jc w:val="left"/>
              <w:rPr>
                <w:rFonts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48AA390E">
            <w:pPr>
              <w:spacing w:line="380" w:lineRule="exact"/>
              <w:rPr>
                <w:rFonts w:ascii="宋体" w:hAnsi="宋体"/>
                <w:szCs w:val="21"/>
              </w:rPr>
            </w:pPr>
            <w:r>
              <w:rPr>
                <w:rFonts w:hint="eastAsia" w:ascii="宋体" w:hAnsi="宋体"/>
                <w:szCs w:val="21"/>
              </w:rPr>
              <w:t>投标人递交投标样品截止时间及地点</w:t>
            </w:r>
          </w:p>
        </w:tc>
        <w:tc>
          <w:tcPr>
            <w:tcW w:w="6975" w:type="dxa"/>
            <w:tcBorders>
              <w:top w:val="single" w:color="auto" w:sz="4" w:space="0"/>
              <w:left w:val="single" w:color="auto" w:sz="4" w:space="0"/>
              <w:bottom w:val="single" w:color="auto" w:sz="4" w:space="0"/>
              <w:right w:val="single" w:color="auto" w:sz="4" w:space="0"/>
            </w:tcBorders>
            <w:vAlign w:val="center"/>
          </w:tcPr>
          <w:p w14:paraId="4E4BD4ED">
            <w:pPr>
              <w:snapToGrid w:val="0"/>
              <w:spacing w:line="380" w:lineRule="exact"/>
              <w:rPr>
                <w:rFonts w:ascii="宋体" w:hAnsi="宋体"/>
                <w:bCs/>
                <w:szCs w:val="21"/>
              </w:rPr>
            </w:pPr>
            <w:r>
              <w:rPr>
                <w:rFonts w:hint="eastAsia" w:ascii="宋体" w:hAnsi="宋体"/>
                <w:bCs/>
                <w:szCs w:val="21"/>
              </w:rPr>
              <w:t>时间：</w:t>
            </w:r>
            <w:r>
              <w:rPr>
                <w:rFonts w:hint="eastAsia" w:ascii="宋体" w:hAnsi="宋体"/>
                <w:bCs/>
                <w:szCs w:val="21"/>
                <w:u w:val="single"/>
              </w:rPr>
              <w:t xml:space="preserve">  / 年 / 月 / 日 / 时 / 分</w:t>
            </w:r>
            <w:r>
              <w:rPr>
                <w:rFonts w:hint="eastAsia" w:ascii="宋体" w:hAnsi="宋体"/>
                <w:bCs/>
                <w:szCs w:val="21"/>
              </w:rPr>
              <w:t>（北京时间）</w:t>
            </w:r>
          </w:p>
          <w:p w14:paraId="31C6903C">
            <w:pPr>
              <w:snapToGrid w:val="0"/>
              <w:spacing w:line="380" w:lineRule="exact"/>
              <w:rPr>
                <w:rFonts w:ascii="宋体" w:hAnsi="宋体"/>
                <w:szCs w:val="21"/>
              </w:rPr>
            </w:pPr>
            <w:r>
              <w:rPr>
                <w:rFonts w:hint="eastAsia" w:ascii="宋体" w:hAnsi="宋体"/>
                <w:bCs/>
                <w:szCs w:val="21"/>
              </w:rPr>
              <w:t>地点：/</w:t>
            </w:r>
          </w:p>
        </w:tc>
      </w:tr>
      <w:tr w14:paraId="4B3BE5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4C50A6EF">
            <w:pPr>
              <w:spacing w:line="380" w:lineRule="exact"/>
              <w:rPr>
                <w:rFonts w:ascii="宋体" w:hAnsi="宋体"/>
                <w:szCs w:val="21"/>
              </w:rPr>
            </w:pPr>
            <w:r>
              <w:rPr>
                <w:rFonts w:hint="eastAsia" w:ascii="宋体" w:hAnsi="宋体"/>
                <w:szCs w:val="21"/>
              </w:rPr>
              <w:t>23</w:t>
            </w:r>
          </w:p>
        </w:tc>
        <w:tc>
          <w:tcPr>
            <w:tcW w:w="2097" w:type="dxa"/>
            <w:tcBorders>
              <w:top w:val="single" w:color="auto" w:sz="4" w:space="0"/>
              <w:left w:val="single" w:color="auto" w:sz="4" w:space="0"/>
              <w:bottom w:val="single" w:color="auto" w:sz="4" w:space="0"/>
              <w:right w:val="single" w:color="auto" w:sz="4" w:space="0"/>
            </w:tcBorders>
            <w:vAlign w:val="center"/>
          </w:tcPr>
          <w:p w14:paraId="49EE9A14">
            <w:pPr>
              <w:spacing w:line="380" w:lineRule="exact"/>
              <w:rPr>
                <w:rFonts w:ascii="宋体" w:hAnsi="宋体"/>
                <w:szCs w:val="21"/>
              </w:rPr>
            </w:pPr>
            <w:bookmarkStart w:id="47" w:name="_23"/>
            <w:bookmarkEnd w:id="47"/>
            <w:r>
              <w:rPr>
                <w:rFonts w:hint="eastAsia" w:ascii="宋体" w:hAnsi="宋体"/>
                <w:szCs w:val="21"/>
              </w:rPr>
              <w:t>开标时间、地点</w:t>
            </w:r>
          </w:p>
        </w:tc>
        <w:tc>
          <w:tcPr>
            <w:tcW w:w="6975" w:type="dxa"/>
            <w:tcBorders>
              <w:top w:val="single" w:color="auto" w:sz="4" w:space="0"/>
              <w:left w:val="single" w:color="auto" w:sz="4" w:space="0"/>
              <w:bottom w:val="single" w:color="auto" w:sz="4" w:space="0"/>
              <w:right w:val="single" w:color="auto" w:sz="4" w:space="0"/>
            </w:tcBorders>
            <w:vAlign w:val="center"/>
          </w:tcPr>
          <w:p w14:paraId="4DE92CB3">
            <w:pPr>
              <w:snapToGrid w:val="0"/>
              <w:spacing w:line="380" w:lineRule="exact"/>
              <w:rPr>
                <w:rFonts w:ascii="宋体" w:hAnsi="宋体"/>
                <w:szCs w:val="21"/>
              </w:rPr>
            </w:pPr>
            <w:r>
              <w:rPr>
                <w:rFonts w:hint="eastAsia" w:ascii="宋体" w:hAnsi="宋体"/>
                <w:szCs w:val="21"/>
              </w:rPr>
              <w:t xml:space="preserve">详见招标公告 </w:t>
            </w:r>
          </w:p>
        </w:tc>
      </w:tr>
      <w:tr w14:paraId="11F3B2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846" w:type="dxa"/>
            <w:vMerge w:val="restart"/>
            <w:tcBorders>
              <w:top w:val="single" w:color="auto" w:sz="4" w:space="0"/>
              <w:left w:val="single" w:color="auto" w:sz="4" w:space="0"/>
              <w:bottom w:val="single" w:color="auto" w:sz="4" w:space="0"/>
              <w:right w:val="single" w:color="auto" w:sz="4" w:space="0"/>
            </w:tcBorders>
            <w:vAlign w:val="center"/>
          </w:tcPr>
          <w:p w14:paraId="3024A259">
            <w:pPr>
              <w:spacing w:line="380" w:lineRule="exact"/>
              <w:rPr>
                <w:rFonts w:ascii="宋体" w:hAnsi="宋体"/>
                <w:szCs w:val="21"/>
              </w:rPr>
            </w:pPr>
            <w:r>
              <w:rPr>
                <w:rFonts w:hint="eastAsia" w:ascii="宋体" w:hAnsi="宋体"/>
                <w:szCs w:val="21"/>
              </w:rPr>
              <w:t>25.3（2）</w:t>
            </w:r>
          </w:p>
        </w:tc>
        <w:tc>
          <w:tcPr>
            <w:tcW w:w="2097" w:type="dxa"/>
            <w:tcBorders>
              <w:top w:val="single" w:color="auto" w:sz="4" w:space="0"/>
              <w:left w:val="single" w:color="auto" w:sz="4" w:space="0"/>
              <w:bottom w:val="single" w:color="auto" w:sz="4" w:space="0"/>
              <w:right w:val="single" w:color="auto" w:sz="4" w:space="0"/>
            </w:tcBorders>
            <w:vAlign w:val="center"/>
          </w:tcPr>
          <w:p w14:paraId="6A668AB4">
            <w:pPr>
              <w:spacing w:line="380" w:lineRule="exact"/>
              <w:rPr>
                <w:rFonts w:ascii="宋体" w:hAnsi="宋体"/>
                <w:szCs w:val="21"/>
              </w:rPr>
            </w:pPr>
            <w:bookmarkStart w:id="48" w:name="_25.3"/>
            <w:bookmarkEnd w:id="48"/>
            <w:r>
              <w:rPr>
                <w:rFonts w:hint="eastAsia" w:ascii="宋体" w:hAnsi="宋体"/>
                <w:szCs w:val="21"/>
              </w:rPr>
              <w:t>投标人信用查询渠道</w:t>
            </w:r>
          </w:p>
        </w:tc>
        <w:tc>
          <w:tcPr>
            <w:tcW w:w="6975" w:type="dxa"/>
            <w:tcBorders>
              <w:top w:val="single" w:color="auto" w:sz="4" w:space="0"/>
              <w:left w:val="single" w:color="auto" w:sz="4" w:space="0"/>
              <w:bottom w:val="single" w:color="auto" w:sz="4" w:space="0"/>
              <w:right w:val="single" w:color="auto" w:sz="4" w:space="0"/>
            </w:tcBorders>
            <w:vAlign w:val="center"/>
          </w:tcPr>
          <w:p w14:paraId="37852AAD">
            <w:pPr>
              <w:snapToGrid w:val="0"/>
              <w:spacing w:line="380" w:lineRule="exact"/>
              <w:rPr>
                <w:rFonts w:ascii="宋体" w:hAnsi="宋体"/>
                <w:szCs w:val="21"/>
              </w:rPr>
            </w:pPr>
            <w:r>
              <w:rPr>
                <w:rFonts w:hint="eastAsia" w:ascii="宋体" w:hAnsi="宋体"/>
                <w:szCs w:val="21"/>
              </w:rPr>
              <w:t>采购人或者采购代理机构在资格审查结束前，对投标人进行信用查询。</w:t>
            </w:r>
          </w:p>
          <w:p w14:paraId="794B5367">
            <w:pPr>
              <w:snapToGrid w:val="0"/>
              <w:spacing w:line="380" w:lineRule="exact"/>
              <w:rPr>
                <w:rFonts w:ascii="宋体" w:hAnsi="宋体"/>
                <w:szCs w:val="21"/>
              </w:rPr>
            </w:pPr>
            <w:r>
              <w:rPr>
                <w:rFonts w:hint="eastAsia" w:ascii="宋体" w:hAnsi="宋体"/>
                <w:szCs w:val="21"/>
              </w:rPr>
              <w:t>查询渠道：“信用中国”网站(www.creditchina.gov.cn) 、中国政府采购网(www.ccgp.gov.cn)。</w:t>
            </w:r>
          </w:p>
        </w:tc>
      </w:tr>
      <w:tr w14:paraId="62B052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431053C2">
            <w:pPr>
              <w:widowControl/>
              <w:jc w:val="left"/>
              <w:rPr>
                <w:rFonts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67ED5D3A">
            <w:pPr>
              <w:spacing w:line="380" w:lineRule="exact"/>
              <w:rPr>
                <w:rFonts w:ascii="宋体" w:hAnsi="宋体"/>
                <w:szCs w:val="21"/>
              </w:rPr>
            </w:pPr>
            <w:r>
              <w:rPr>
                <w:rFonts w:hint="eastAsia" w:ascii="宋体" w:hAnsi="宋体"/>
                <w:szCs w:val="21"/>
              </w:rPr>
              <w:t>信用查询截止时点</w:t>
            </w:r>
          </w:p>
        </w:tc>
        <w:tc>
          <w:tcPr>
            <w:tcW w:w="6975" w:type="dxa"/>
            <w:tcBorders>
              <w:top w:val="single" w:color="auto" w:sz="4" w:space="0"/>
              <w:left w:val="single" w:color="auto" w:sz="4" w:space="0"/>
              <w:bottom w:val="single" w:color="auto" w:sz="4" w:space="0"/>
              <w:right w:val="single" w:color="auto" w:sz="4" w:space="0"/>
            </w:tcBorders>
            <w:vAlign w:val="center"/>
          </w:tcPr>
          <w:p w14:paraId="373EF398">
            <w:pPr>
              <w:snapToGrid w:val="0"/>
              <w:spacing w:line="380" w:lineRule="exact"/>
              <w:rPr>
                <w:rFonts w:ascii="宋体" w:hAnsi="宋体"/>
                <w:szCs w:val="21"/>
              </w:rPr>
            </w:pPr>
            <w:r>
              <w:rPr>
                <w:rFonts w:hint="eastAsia" w:ascii="宋体" w:hAnsi="宋体"/>
                <w:szCs w:val="21"/>
              </w:rPr>
              <w:t>资格审查结束前</w:t>
            </w:r>
          </w:p>
        </w:tc>
      </w:tr>
      <w:tr w14:paraId="049CE6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5229862D">
            <w:pPr>
              <w:widowControl/>
              <w:jc w:val="left"/>
              <w:rPr>
                <w:rFonts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061C8ABA">
            <w:pPr>
              <w:spacing w:line="380" w:lineRule="exact"/>
              <w:rPr>
                <w:rFonts w:ascii="宋体" w:hAnsi="宋体"/>
                <w:szCs w:val="21"/>
              </w:rPr>
            </w:pPr>
            <w:r>
              <w:rPr>
                <w:rFonts w:hint="eastAsia" w:ascii="宋体" w:hAnsi="宋体"/>
                <w:szCs w:val="21"/>
              </w:rPr>
              <w:t>查询记录和证据留存方式</w:t>
            </w:r>
          </w:p>
        </w:tc>
        <w:tc>
          <w:tcPr>
            <w:tcW w:w="6975" w:type="dxa"/>
            <w:tcBorders>
              <w:top w:val="single" w:color="auto" w:sz="4" w:space="0"/>
              <w:left w:val="single" w:color="auto" w:sz="4" w:space="0"/>
              <w:bottom w:val="single" w:color="auto" w:sz="4" w:space="0"/>
              <w:right w:val="single" w:color="auto" w:sz="4" w:space="0"/>
            </w:tcBorders>
            <w:vAlign w:val="center"/>
          </w:tcPr>
          <w:p w14:paraId="095BEC7C">
            <w:pPr>
              <w:snapToGrid w:val="0"/>
              <w:spacing w:line="380" w:lineRule="exact"/>
              <w:rPr>
                <w:rFonts w:ascii="宋体" w:hAnsi="宋体"/>
                <w:szCs w:val="21"/>
              </w:rPr>
            </w:pPr>
            <w:r>
              <w:rPr>
                <w:rFonts w:hint="eastAsia" w:ascii="宋体" w:hAnsi="宋体"/>
                <w:szCs w:val="21"/>
              </w:rPr>
              <w:t>在查询网站中直接截图查询记录，截图作为在“广西政府采购云”平台作为附件上传保存。</w:t>
            </w:r>
          </w:p>
        </w:tc>
      </w:tr>
      <w:tr w14:paraId="1ED338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2759AC12">
            <w:pPr>
              <w:widowControl/>
              <w:jc w:val="left"/>
              <w:rPr>
                <w:rFonts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2D42CFEC">
            <w:pPr>
              <w:spacing w:line="380" w:lineRule="exact"/>
              <w:rPr>
                <w:rFonts w:ascii="宋体" w:hAnsi="宋体"/>
                <w:szCs w:val="21"/>
              </w:rPr>
            </w:pPr>
            <w:r>
              <w:rPr>
                <w:rFonts w:hint="eastAsia" w:ascii="宋体" w:hAnsi="宋体"/>
                <w:szCs w:val="21"/>
              </w:rPr>
              <w:t>信用信息使用规则</w:t>
            </w:r>
          </w:p>
        </w:tc>
        <w:tc>
          <w:tcPr>
            <w:tcW w:w="6975" w:type="dxa"/>
            <w:tcBorders>
              <w:top w:val="single" w:color="auto" w:sz="4" w:space="0"/>
              <w:left w:val="single" w:color="auto" w:sz="4" w:space="0"/>
              <w:bottom w:val="single" w:color="auto" w:sz="4" w:space="0"/>
              <w:right w:val="single" w:color="auto" w:sz="4" w:space="0"/>
            </w:tcBorders>
            <w:vAlign w:val="center"/>
          </w:tcPr>
          <w:p w14:paraId="10E68B73">
            <w:pPr>
              <w:snapToGrid w:val="0"/>
              <w:spacing w:line="380" w:lineRule="exact"/>
              <w:rPr>
                <w:rFonts w:ascii="宋体" w:hAnsi="宋体"/>
                <w:szCs w:val="21"/>
              </w:rPr>
            </w:pPr>
            <w:r>
              <w:rPr>
                <w:rFonts w:hint="eastAsia" w:ascii="宋体" w:hAnsi="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Pr>
                <w:rFonts w:hint="eastAsia"/>
                <w:sz w:val="22"/>
                <w:szCs w:val="22"/>
              </w:rPr>
              <w:t>应当拒绝其参与政府采购活动</w:t>
            </w:r>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B49F1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4E6420D0">
            <w:pPr>
              <w:spacing w:line="380" w:lineRule="exact"/>
              <w:rPr>
                <w:rFonts w:ascii="宋体" w:hAnsi="宋体"/>
                <w:szCs w:val="21"/>
              </w:rPr>
            </w:pPr>
            <w:r>
              <w:rPr>
                <w:rFonts w:hint="eastAsia" w:ascii="宋体" w:hAnsi="宋体"/>
                <w:szCs w:val="21"/>
              </w:rPr>
              <w:t>29.1</w:t>
            </w:r>
          </w:p>
        </w:tc>
        <w:tc>
          <w:tcPr>
            <w:tcW w:w="2097" w:type="dxa"/>
            <w:tcBorders>
              <w:top w:val="single" w:color="auto" w:sz="4" w:space="0"/>
              <w:left w:val="single" w:color="auto" w:sz="4" w:space="0"/>
              <w:bottom w:val="single" w:color="auto" w:sz="4" w:space="0"/>
              <w:right w:val="single" w:color="auto" w:sz="4" w:space="0"/>
            </w:tcBorders>
            <w:vAlign w:val="center"/>
          </w:tcPr>
          <w:p w14:paraId="2D032A29">
            <w:pPr>
              <w:spacing w:line="380" w:lineRule="exact"/>
              <w:rPr>
                <w:rFonts w:ascii="宋体" w:hAnsi="宋体"/>
                <w:szCs w:val="21"/>
              </w:rPr>
            </w:pPr>
            <w:bookmarkStart w:id="49" w:name="_26"/>
            <w:bookmarkEnd w:id="49"/>
            <w:bookmarkStart w:id="50" w:name="_28.3"/>
            <w:bookmarkEnd w:id="50"/>
            <w:r>
              <w:rPr>
                <w:rFonts w:hint="eastAsia" w:ascii="宋体" w:hAnsi="宋体"/>
                <w:szCs w:val="21"/>
              </w:rPr>
              <w:t>评标方法</w:t>
            </w:r>
          </w:p>
        </w:tc>
        <w:tc>
          <w:tcPr>
            <w:tcW w:w="6975" w:type="dxa"/>
            <w:tcBorders>
              <w:top w:val="single" w:color="auto" w:sz="4" w:space="0"/>
              <w:left w:val="single" w:color="auto" w:sz="4" w:space="0"/>
              <w:bottom w:val="single" w:color="auto" w:sz="4" w:space="0"/>
              <w:right w:val="single" w:color="auto" w:sz="4" w:space="0"/>
            </w:tcBorders>
            <w:vAlign w:val="center"/>
          </w:tcPr>
          <w:p w14:paraId="4A2B595F">
            <w:pPr>
              <w:autoSpaceDE w:val="0"/>
              <w:autoSpaceDN w:val="0"/>
              <w:snapToGrid w:val="0"/>
              <w:spacing w:line="380" w:lineRule="exact"/>
              <w:textAlignment w:val="bottom"/>
              <w:rPr>
                <w:rFonts w:ascii="宋体" w:hAnsi="宋体"/>
                <w:szCs w:val="21"/>
              </w:rPr>
            </w:pPr>
            <w:r>
              <w:rPr>
                <w:rFonts w:hint="eastAsia" w:ascii="宋体" w:hAnsi="宋体"/>
                <w:szCs w:val="21"/>
              </w:rPr>
              <w:sym w:font="Wingdings 2" w:char="0052"/>
            </w:r>
            <w:r>
              <w:rPr>
                <w:rFonts w:hint="eastAsia" w:ascii="宋体" w:hAnsi="宋体"/>
                <w:szCs w:val="21"/>
              </w:rPr>
              <w:t>综合评分法</w:t>
            </w:r>
          </w:p>
          <w:p w14:paraId="323617A6">
            <w:pPr>
              <w:autoSpaceDE w:val="0"/>
              <w:autoSpaceDN w:val="0"/>
              <w:snapToGrid w:val="0"/>
              <w:spacing w:line="380" w:lineRule="exact"/>
              <w:textAlignment w:val="bottom"/>
              <w:rPr>
                <w:rFonts w:ascii="宋体" w:hAnsi="宋体"/>
                <w:szCs w:val="21"/>
              </w:rPr>
            </w:pPr>
            <w:r>
              <w:rPr>
                <w:rFonts w:hint="eastAsia" w:ascii="宋体" w:hAnsi="宋体"/>
                <w:szCs w:val="21"/>
              </w:rPr>
              <w:t>□最低评标价法</w:t>
            </w:r>
          </w:p>
        </w:tc>
      </w:tr>
      <w:tr w14:paraId="489157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nil"/>
              <w:right w:val="single" w:color="auto" w:sz="4" w:space="0"/>
            </w:tcBorders>
            <w:vAlign w:val="center"/>
          </w:tcPr>
          <w:p w14:paraId="01228401">
            <w:pPr>
              <w:spacing w:line="380" w:lineRule="exact"/>
              <w:rPr>
                <w:rFonts w:ascii="宋体" w:hAnsi="宋体"/>
                <w:szCs w:val="21"/>
              </w:rPr>
            </w:pPr>
            <w:r>
              <w:rPr>
                <w:rFonts w:hint="eastAsia" w:ascii="宋体" w:hAnsi="宋体"/>
                <w:szCs w:val="21"/>
              </w:rPr>
              <w:t>29.2</w:t>
            </w:r>
          </w:p>
        </w:tc>
        <w:tc>
          <w:tcPr>
            <w:tcW w:w="2097" w:type="dxa"/>
            <w:tcBorders>
              <w:top w:val="single" w:color="auto" w:sz="4" w:space="0"/>
              <w:left w:val="single" w:color="auto" w:sz="4" w:space="0"/>
              <w:bottom w:val="nil"/>
              <w:right w:val="single" w:color="auto" w:sz="4" w:space="0"/>
            </w:tcBorders>
            <w:vAlign w:val="center"/>
          </w:tcPr>
          <w:p w14:paraId="7D36ECDB">
            <w:pPr>
              <w:spacing w:line="380" w:lineRule="exact"/>
              <w:rPr>
                <w:rFonts w:ascii="宋体" w:hAnsi="宋体"/>
                <w:szCs w:val="21"/>
              </w:rPr>
            </w:pPr>
            <w:bookmarkStart w:id="51" w:name="_29.2.2（2）"/>
            <w:bookmarkEnd w:id="51"/>
            <w:r>
              <w:rPr>
                <w:rFonts w:hint="eastAsia" w:ascii="宋体" w:hAnsi="宋体"/>
                <w:szCs w:val="21"/>
              </w:rPr>
              <w:t>允许负偏离项</w:t>
            </w:r>
          </w:p>
        </w:tc>
        <w:tc>
          <w:tcPr>
            <w:tcW w:w="6975" w:type="dxa"/>
            <w:tcBorders>
              <w:top w:val="single" w:color="auto" w:sz="4" w:space="0"/>
              <w:left w:val="single" w:color="auto" w:sz="4" w:space="0"/>
              <w:bottom w:val="nil"/>
              <w:right w:val="single" w:color="auto" w:sz="4" w:space="0"/>
            </w:tcBorders>
            <w:vAlign w:val="center"/>
          </w:tcPr>
          <w:p w14:paraId="0B6D1A30">
            <w:pPr>
              <w:snapToGrid w:val="0"/>
              <w:spacing w:line="380" w:lineRule="exact"/>
              <w:rPr>
                <w:rFonts w:ascii="宋体" w:hAnsi="宋体"/>
                <w:szCs w:val="21"/>
              </w:rPr>
            </w:pPr>
            <w:r>
              <w:rPr>
                <w:rFonts w:hint="eastAsia" w:ascii="宋体" w:hAnsi="宋体" w:cs="宋体"/>
                <w:szCs w:val="21"/>
              </w:rPr>
              <w:t>商务条款</w:t>
            </w:r>
            <w:r>
              <w:rPr>
                <w:rFonts w:hint="eastAsia" w:ascii="宋体" w:hAnsi="宋体"/>
                <w:szCs w:val="21"/>
              </w:rPr>
              <w:t>评审中允许负偏离的条款数为</w:t>
            </w:r>
            <w:r>
              <w:rPr>
                <w:rFonts w:hint="eastAsia" w:ascii="宋体" w:hAnsi="宋体"/>
                <w:szCs w:val="21"/>
                <w:u w:val="single"/>
              </w:rPr>
              <w:t>3</w:t>
            </w:r>
            <w:r>
              <w:rPr>
                <w:rFonts w:hint="eastAsia" w:ascii="宋体" w:hAnsi="宋体"/>
                <w:szCs w:val="21"/>
              </w:rPr>
              <w:t>项。</w:t>
            </w:r>
          </w:p>
          <w:p w14:paraId="205090D2">
            <w:pPr>
              <w:snapToGrid w:val="0"/>
              <w:spacing w:line="380" w:lineRule="exact"/>
              <w:rPr>
                <w:rFonts w:ascii="宋体" w:hAnsi="宋体"/>
                <w:szCs w:val="21"/>
              </w:rPr>
            </w:pPr>
            <w:r>
              <w:rPr>
                <w:rFonts w:hint="eastAsia" w:ascii="宋体" w:hAnsi="宋体" w:cs="宋体"/>
                <w:szCs w:val="21"/>
              </w:rPr>
              <w:t>技术需求</w:t>
            </w:r>
            <w:r>
              <w:rPr>
                <w:rFonts w:hint="eastAsia" w:ascii="宋体" w:hAnsi="宋体"/>
                <w:szCs w:val="21"/>
              </w:rPr>
              <w:t>评审中允许负偏离的条款数为0项。</w:t>
            </w:r>
          </w:p>
        </w:tc>
      </w:tr>
      <w:tr w14:paraId="646B0A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3D3B8D9E">
            <w:pPr>
              <w:spacing w:line="380" w:lineRule="exact"/>
              <w:rPr>
                <w:rFonts w:ascii="宋体" w:hAnsi="宋体"/>
                <w:szCs w:val="21"/>
              </w:rPr>
            </w:pPr>
            <w:r>
              <w:rPr>
                <w:rFonts w:hint="eastAsia" w:ascii="宋体" w:hAnsi="宋体"/>
                <w:szCs w:val="21"/>
              </w:rPr>
              <w:t>30.1</w:t>
            </w:r>
          </w:p>
        </w:tc>
        <w:tc>
          <w:tcPr>
            <w:tcW w:w="2097" w:type="dxa"/>
            <w:tcBorders>
              <w:top w:val="single" w:color="auto" w:sz="4" w:space="0"/>
              <w:left w:val="single" w:color="auto" w:sz="4" w:space="0"/>
              <w:bottom w:val="single" w:color="auto" w:sz="4" w:space="0"/>
              <w:right w:val="single" w:color="auto" w:sz="4" w:space="0"/>
            </w:tcBorders>
            <w:vAlign w:val="center"/>
          </w:tcPr>
          <w:p w14:paraId="31A36C02">
            <w:pPr>
              <w:autoSpaceDE w:val="0"/>
              <w:autoSpaceDN w:val="0"/>
              <w:snapToGrid w:val="0"/>
              <w:spacing w:line="380" w:lineRule="exact"/>
              <w:textAlignment w:val="bottom"/>
              <w:rPr>
                <w:rFonts w:ascii="宋体" w:hAnsi="宋体"/>
                <w:szCs w:val="21"/>
              </w:rPr>
            </w:pPr>
            <w:r>
              <w:rPr>
                <w:rFonts w:hint="eastAsia" w:ascii="宋体" w:hAnsi="宋体"/>
                <w:szCs w:val="21"/>
              </w:rPr>
              <w:t xml:space="preserve">确定中标人时，出现中标候选人分数并列的情形，确定中标人方式 </w:t>
            </w:r>
          </w:p>
        </w:tc>
        <w:tc>
          <w:tcPr>
            <w:tcW w:w="6975" w:type="dxa"/>
            <w:tcBorders>
              <w:top w:val="single" w:color="auto" w:sz="4" w:space="0"/>
              <w:left w:val="single" w:color="auto" w:sz="4" w:space="0"/>
              <w:bottom w:val="single" w:color="auto" w:sz="4" w:space="0"/>
              <w:right w:val="single" w:color="auto" w:sz="4" w:space="0"/>
            </w:tcBorders>
            <w:vAlign w:val="center"/>
          </w:tcPr>
          <w:p w14:paraId="04A7EA2D">
            <w:pPr>
              <w:autoSpaceDE w:val="0"/>
              <w:autoSpaceDN w:val="0"/>
              <w:snapToGrid w:val="0"/>
              <w:spacing w:line="380" w:lineRule="exact"/>
              <w:textAlignment w:val="bottom"/>
              <w:rPr>
                <w:rFonts w:ascii="宋体" w:hAnsi="宋体"/>
                <w:szCs w:val="21"/>
              </w:rPr>
            </w:pPr>
            <w:r>
              <w:rPr>
                <w:rFonts w:hint="eastAsia" w:ascii="宋体" w:hAnsi="宋体"/>
                <w:szCs w:val="21"/>
              </w:rPr>
              <w:t xml:space="preserve">□采用最低评标价法的，投标文件满足招标文件全部实质性要求且投标报价最低的投标人为排名第一的中标候选人； </w:t>
            </w:r>
          </w:p>
          <w:p w14:paraId="17300DAA">
            <w:pPr>
              <w:autoSpaceDE w:val="0"/>
              <w:autoSpaceDN w:val="0"/>
              <w:snapToGrid w:val="0"/>
              <w:spacing w:line="380" w:lineRule="exact"/>
              <w:textAlignment w:val="bottom"/>
              <w:rPr>
                <w:rFonts w:ascii="宋体" w:hAnsi="宋体"/>
                <w:b/>
                <w:szCs w:val="21"/>
              </w:rPr>
            </w:pPr>
            <w:r>
              <w:rPr>
                <w:rFonts w:hint="eastAsia" w:ascii="宋体" w:hAnsi="宋体"/>
                <w:szCs w:val="21"/>
              </w:rPr>
              <w:sym w:font="Wingdings 2" w:char="0052"/>
            </w:r>
            <w:r>
              <w:rPr>
                <w:rFonts w:hint="eastAsia" w:ascii="宋体" w:hAnsi="宋体"/>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4F9290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46" w:type="dxa"/>
            <w:tcBorders>
              <w:top w:val="single" w:color="auto" w:sz="4" w:space="0"/>
              <w:left w:val="single" w:color="auto" w:sz="4" w:space="0"/>
              <w:bottom w:val="single" w:color="auto" w:sz="4" w:space="0"/>
              <w:right w:val="single" w:color="auto" w:sz="4" w:space="0"/>
            </w:tcBorders>
            <w:vAlign w:val="center"/>
          </w:tcPr>
          <w:p w14:paraId="6AD227A3">
            <w:pPr>
              <w:spacing w:line="380" w:lineRule="exact"/>
              <w:rPr>
                <w:rFonts w:ascii="宋体" w:hAnsi="宋体"/>
                <w:szCs w:val="21"/>
              </w:rPr>
            </w:pPr>
            <w:r>
              <w:rPr>
                <w:rFonts w:hint="eastAsia" w:ascii="宋体" w:hAnsi="宋体"/>
                <w:szCs w:val="21"/>
              </w:rPr>
              <w:t>35</w:t>
            </w:r>
          </w:p>
        </w:tc>
        <w:tc>
          <w:tcPr>
            <w:tcW w:w="2097" w:type="dxa"/>
            <w:tcBorders>
              <w:top w:val="single" w:color="auto" w:sz="4" w:space="0"/>
              <w:left w:val="single" w:color="auto" w:sz="4" w:space="0"/>
              <w:bottom w:val="single" w:color="auto" w:sz="4" w:space="0"/>
              <w:right w:val="single" w:color="auto" w:sz="4" w:space="0"/>
            </w:tcBorders>
            <w:vAlign w:val="center"/>
          </w:tcPr>
          <w:p w14:paraId="2F6B7CE8">
            <w:pPr>
              <w:spacing w:line="380" w:lineRule="exact"/>
              <w:rPr>
                <w:rFonts w:ascii="宋体" w:hAnsi="宋体"/>
                <w:szCs w:val="21"/>
              </w:rPr>
            </w:pPr>
            <w:bookmarkStart w:id="52" w:name="_39.1"/>
            <w:bookmarkEnd w:id="52"/>
            <w:r>
              <w:rPr>
                <w:rFonts w:hint="eastAsia" w:ascii="宋体" w:hAnsi="宋体"/>
                <w:szCs w:val="21"/>
              </w:rPr>
              <w:t>履约保证金金额</w:t>
            </w:r>
          </w:p>
        </w:tc>
        <w:tc>
          <w:tcPr>
            <w:tcW w:w="6975" w:type="dxa"/>
            <w:tcBorders>
              <w:top w:val="single" w:color="auto" w:sz="4" w:space="0"/>
              <w:left w:val="single" w:color="auto" w:sz="4" w:space="0"/>
              <w:bottom w:val="single" w:color="auto" w:sz="4" w:space="0"/>
              <w:right w:val="single" w:color="auto" w:sz="4" w:space="0"/>
            </w:tcBorders>
            <w:vAlign w:val="bottom"/>
          </w:tcPr>
          <w:p w14:paraId="4453E60C">
            <w:pPr>
              <w:autoSpaceDE w:val="0"/>
              <w:autoSpaceDN w:val="0"/>
              <w:snapToGrid w:val="0"/>
              <w:spacing w:line="380" w:lineRule="exact"/>
              <w:jc w:val="left"/>
              <w:textAlignment w:val="bottom"/>
              <w:rPr>
                <w:rFonts w:ascii="宋体" w:hAnsi="宋体"/>
                <w:szCs w:val="21"/>
              </w:rPr>
            </w:pPr>
            <w:r>
              <w:rPr>
                <w:rFonts w:hint="eastAsia" w:ascii="宋体" w:hAnsi="宋体"/>
                <w:szCs w:val="21"/>
              </w:rPr>
              <w:t>本项目不收取履约保证金。</w:t>
            </w:r>
          </w:p>
        </w:tc>
      </w:tr>
      <w:tr w14:paraId="750B3A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1CC6B493">
            <w:pPr>
              <w:spacing w:line="380" w:lineRule="exact"/>
              <w:rPr>
                <w:rFonts w:ascii="宋体" w:hAnsi="宋体"/>
                <w:szCs w:val="21"/>
              </w:rPr>
            </w:pPr>
            <w:r>
              <w:rPr>
                <w:rFonts w:hint="eastAsia" w:ascii="宋体" w:hAnsi="宋体"/>
                <w:szCs w:val="21"/>
              </w:rPr>
              <w:t>36.1</w:t>
            </w:r>
          </w:p>
        </w:tc>
        <w:tc>
          <w:tcPr>
            <w:tcW w:w="2097" w:type="dxa"/>
            <w:tcBorders>
              <w:top w:val="single" w:color="auto" w:sz="4" w:space="0"/>
              <w:left w:val="single" w:color="auto" w:sz="4" w:space="0"/>
              <w:bottom w:val="single" w:color="auto" w:sz="4" w:space="0"/>
              <w:right w:val="single" w:color="auto" w:sz="4" w:space="0"/>
            </w:tcBorders>
            <w:vAlign w:val="center"/>
          </w:tcPr>
          <w:p w14:paraId="2856E309">
            <w:pPr>
              <w:spacing w:line="380" w:lineRule="exact"/>
              <w:rPr>
                <w:rFonts w:ascii="宋体" w:hAnsi="宋体"/>
                <w:szCs w:val="21"/>
              </w:rPr>
            </w:pPr>
            <w:bookmarkStart w:id="53" w:name="_40.1"/>
            <w:bookmarkEnd w:id="53"/>
            <w:r>
              <w:rPr>
                <w:rFonts w:hint="eastAsia" w:ascii="宋体" w:hAnsi="宋体"/>
                <w:szCs w:val="21"/>
              </w:rPr>
              <w:t>签订电子合同携带的材料</w:t>
            </w:r>
          </w:p>
        </w:tc>
        <w:tc>
          <w:tcPr>
            <w:tcW w:w="6975" w:type="dxa"/>
            <w:tcBorders>
              <w:top w:val="single" w:color="auto" w:sz="4" w:space="0"/>
              <w:left w:val="single" w:color="auto" w:sz="4" w:space="0"/>
              <w:bottom w:val="single" w:color="auto" w:sz="4" w:space="0"/>
              <w:right w:val="single" w:color="auto" w:sz="4" w:space="0"/>
            </w:tcBorders>
            <w:vAlign w:val="center"/>
          </w:tcPr>
          <w:p w14:paraId="48948E27">
            <w:pPr>
              <w:autoSpaceDE w:val="0"/>
              <w:autoSpaceDN w:val="0"/>
              <w:snapToGrid w:val="0"/>
              <w:spacing w:line="380" w:lineRule="exact"/>
              <w:textAlignment w:val="bottom"/>
              <w:rPr>
                <w:rFonts w:ascii="宋体" w:hAnsi="宋体"/>
                <w:szCs w:val="21"/>
              </w:rPr>
            </w:pPr>
            <w:r>
              <w:rPr>
                <w:rFonts w:hint="eastAsia" w:ascii="宋体" w:hAnsi="宋体"/>
                <w:szCs w:val="21"/>
              </w:rPr>
              <w:t>电子采购合同需要供应商通过有效CA证书进行电子签署</w:t>
            </w:r>
          </w:p>
        </w:tc>
      </w:tr>
      <w:tr w14:paraId="6F7C0A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46" w:type="dxa"/>
            <w:vMerge w:val="restart"/>
            <w:tcBorders>
              <w:top w:val="single" w:color="auto" w:sz="4" w:space="0"/>
              <w:left w:val="single" w:color="auto" w:sz="4" w:space="0"/>
              <w:bottom w:val="single" w:color="auto" w:sz="4" w:space="0"/>
              <w:right w:val="single" w:color="auto" w:sz="4" w:space="0"/>
            </w:tcBorders>
            <w:vAlign w:val="center"/>
          </w:tcPr>
          <w:p w14:paraId="67CA4AC2">
            <w:pPr>
              <w:spacing w:line="380" w:lineRule="exact"/>
              <w:rPr>
                <w:rFonts w:ascii="宋体" w:hAnsi="宋体"/>
                <w:szCs w:val="21"/>
              </w:rPr>
            </w:pPr>
            <w:r>
              <w:rPr>
                <w:rFonts w:hint="eastAsia" w:ascii="宋体" w:hAnsi="宋体"/>
                <w:szCs w:val="21"/>
              </w:rPr>
              <w:t>38.2.1</w:t>
            </w:r>
          </w:p>
        </w:tc>
        <w:tc>
          <w:tcPr>
            <w:tcW w:w="2097" w:type="dxa"/>
            <w:tcBorders>
              <w:top w:val="single" w:color="auto" w:sz="4" w:space="0"/>
              <w:left w:val="single" w:color="auto" w:sz="4" w:space="0"/>
              <w:bottom w:val="single" w:color="auto" w:sz="4" w:space="0"/>
              <w:right w:val="single" w:color="auto" w:sz="4" w:space="0"/>
            </w:tcBorders>
            <w:vAlign w:val="center"/>
          </w:tcPr>
          <w:p w14:paraId="0CAA6E47">
            <w:pPr>
              <w:spacing w:line="380" w:lineRule="exact"/>
              <w:rPr>
                <w:rFonts w:ascii="宋体" w:hAnsi="宋体"/>
                <w:szCs w:val="21"/>
              </w:rPr>
            </w:pPr>
            <w:r>
              <w:rPr>
                <w:rFonts w:hint="eastAsia" w:ascii="宋体" w:hAnsi="宋体"/>
                <w:szCs w:val="21"/>
              </w:rPr>
              <w:t>接收质疑函方式</w:t>
            </w:r>
          </w:p>
        </w:tc>
        <w:tc>
          <w:tcPr>
            <w:tcW w:w="6975" w:type="dxa"/>
            <w:tcBorders>
              <w:top w:val="single" w:color="auto" w:sz="4" w:space="0"/>
              <w:left w:val="single" w:color="auto" w:sz="4" w:space="0"/>
              <w:bottom w:val="single" w:color="auto" w:sz="4" w:space="0"/>
              <w:right w:val="single" w:color="auto" w:sz="4" w:space="0"/>
            </w:tcBorders>
            <w:vAlign w:val="center"/>
          </w:tcPr>
          <w:p w14:paraId="70784078">
            <w:pPr>
              <w:snapToGrid w:val="0"/>
              <w:spacing w:line="380" w:lineRule="exact"/>
              <w:rPr>
                <w:rFonts w:ascii="宋体" w:hAnsi="宋体"/>
                <w:szCs w:val="21"/>
              </w:rPr>
            </w:pPr>
            <w:r>
              <w:rPr>
                <w:rFonts w:hint="eastAsia" w:ascii="宋体" w:hAnsi="宋体"/>
                <w:szCs w:val="21"/>
              </w:rPr>
              <w:t>以书面形式</w:t>
            </w:r>
          </w:p>
        </w:tc>
      </w:tr>
      <w:tr w14:paraId="3F1D32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2F724C9F">
            <w:pPr>
              <w:widowControl/>
              <w:jc w:val="left"/>
              <w:rPr>
                <w:rFonts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4F9AD13D">
            <w:pPr>
              <w:spacing w:line="380" w:lineRule="exact"/>
              <w:rPr>
                <w:rFonts w:ascii="宋体" w:hAnsi="宋体"/>
                <w:szCs w:val="21"/>
              </w:rPr>
            </w:pPr>
            <w:r>
              <w:rPr>
                <w:rFonts w:hint="eastAsia" w:ascii="宋体" w:hAnsi="宋体"/>
                <w:szCs w:val="21"/>
              </w:rPr>
              <w:t>质疑联系部门及联系方式</w:t>
            </w:r>
          </w:p>
        </w:tc>
        <w:tc>
          <w:tcPr>
            <w:tcW w:w="6975" w:type="dxa"/>
            <w:tcBorders>
              <w:top w:val="single" w:color="auto" w:sz="4" w:space="0"/>
              <w:left w:val="single" w:color="auto" w:sz="4" w:space="0"/>
              <w:bottom w:val="single" w:color="auto" w:sz="4" w:space="0"/>
              <w:right w:val="single" w:color="auto" w:sz="4" w:space="0"/>
            </w:tcBorders>
            <w:vAlign w:val="center"/>
          </w:tcPr>
          <w:p w14:paraId="1D8E03CE">
            <w:pPr>
              <w:snapToGrid w:val="0"/>
              <w:spacing w:line="380" w:lineRule="exact"/>
              <w:rPr>
                <w:rFonts w:ascii="宋体" w:hAnsi="宋体"/>
                <w:szCs w:val="21"/>
              </w:rPr>
            </w:pPr>
            <w:r>
              <w:rPr>
                <w:rFonts w:hint="eastAsia" w:ascii="宋体" w:hAnsi="宋体"/>
                <w:szCs w:val="21"/>
              </w:rPr>
              <w:t>（1）广西工程咨询集团有限公司；</w:t>
            </w:r>
          </w:p>
          <w:p w14:paraId="13AFD8A4">
            <w:pPr>
              <w:snapToGrid w:val="0"/>
              <w:spacing w:line="380" w:lineRule="exact"/>
              <w:rPr>
                <w:rFonts w:ascii="宋体" w:hAnsi="宋体"/>
                <w:szCs w:val="21"/>
              </w:rPr>
            </w:pPr>
            <w:r>
              <w:rPr>
                <w:rFonts w:hint="eastAsia" w:ascii="宋体" w:hAnsi="宋体"/>
                <w:szCs w:val="21"/>
              </w:rPr>
              <w:t>联系电话：0771-2231082</w:t>
            </w:r>
          </w:p>
          <w:p w14:paraId="42840758">
            <w:pPr>
              <w:snapToGrid w:val="0"/>
              <w:spacing w:line="380" w:lineRule="exact"/>
              <w:rPr>
                <w:rFonts w:ascii="宋体" w:hAnsi="宋体"/>
                <w:szCs w:val="21"/>
              </w:rPr>
            </w:pPr>
            <w:r>
              <w:rPr>
                <w:rFonts w:hint="eastAsia" w:ascii="宋体" w:hAnsi="宋体"/>
                <w:szCs w:val="21"/>
              </w:rPr>
              <w:t>通讯地址</w:t>
            </w:r>
            <w:r>
              <w:rPr>
                <w:rFonts w:hint="eastAsia" w:ascii="宋体" w:hAnsi="宋体" w:cs="Helvetica"/>
                <w:szCs w:val="21"/>
              </w:rPr>
              <w:t>：广西南宁市良庆区金龙路2号广西能源大厦D座10楼</w:t>
            </w:r>
          </w:p>
          <w:p w14:paraId="6B788371">
            <w:pPr>
              <w:snapToGrid w:val="0"/>
              <w:spacing w:line="380" w:lineRule="exact"/>
              <w:rPr>
                <w:rFonts w:ascii="宋体" w:hAnsi="宋体"/>
                <w:szCs w:val="21"/>
              </w:rPr>
            </w:pPr>
            <w:r>
              <w:rPr>
                <w:rFonts w:hint="eastAsia" w:ascii="宋体" w:hAnsi="宋体"/>
                <w:szCs w:val="21"/>
              </w:rPr>
              <w:t>（2）</w:t>
            </w:r>
            <w:r>
              <w:rPr>
                <w:rFonts w:hint="eastAsia" w:ascii="宋体" w:cs="Arial"/>
                <w:szCs w:val="21"/>
              </w:rPr>
              <w:t>南宁市市政工程管理处</w:t>
            </w:r>
            <w:r>
              <w:rPr>
                <w:rFonts w:hint="eastAsia" w:ascii="宋体" w:hAnsi="宋体"/>
                <w:szCs w:val="21"/>
              </w:rPr>
              <w:t>；</w:t>
            </w:r>
          </w:p>
          <w:p w14:paraId="7B57C4C4">
            <w:pPr>
              <w:snapToGrid w:val="0"/>
              <w:spacing w:line="380" w:lineRule="exact"/>
              <w:rPr>
                <w:rFonts w:ascii="宋体" w:hAnsi="宋体"/>
                <w:highlight w:val="none"/>
              </w:rPr>
            </w:pPr>
            <w:r>
              <w:rPr>
                <w:rFonts w:hint="eastAsia" w:ascii="宋体" w:hAnsi="宋体"/>
                <w:szCs w:val="21"/>
                <w:highlight w:val="none"/>
              </w:rPr>
              <w:t>联系电话：</w:t>
            </w:r>
            <w:r>
              <w:rPr>
                <w:rFonts w:hint="eastAsia" w:ascii="宋体" w:hAnsi="宋体" w:cs="宋体"/>
                <w:szCs w:val="21"/>
                <w:highlight w:val="none"/>
              </w:rPr>
              <w:t>0771</w:t>
            </w:r>
            <w:r>
              <w:rPr>
                <w:rFonts w:hint="eastAsia" w:ascii="宋体" w:hAnsi="宋体" w:cs="宋体"/>
                <w:szCs w:val="21"/>
                <w:highlight w:val="none"/>
                <w:lang w:val="en-US" w:eastAsia="zh-CN"/>
              </w:rPr>
              <w:t>-</w:t>
            </w:r>
            <w:r>
              <w:rPr>
                <w:rFonts w:hint="eastAsia" w:ascii="宋体" w:hAnsi="宋体" w:cs="宋体"/>
                <w:szCs w:val="21"/>
                <w:highlight w:val="none"/>
              </w:rPr>
              <w:t>2426942</w:t>
            </w:r>
          </w:p>
          <w:p w14:paraId="061D9BAF">
            <w:pPr>
              <w:snapToGrid w:val="0"/>
              <w:spacing w:line="380" w:lineRule="exact"/>
            </w:pPr>
            <w:r>
              <w:rPr>
                <w:rFonts w:hint="eastAsia" w:ascii="宋体" w:hAnsi="宋体"/>
                <w:szCs w:val="21"/>
              </w:rPr>
              <w:t>通讯地址</w:t>
            </w:r>
            <w:r>
              <w:rPr>
                <w:rFonts w:hint="eastAsia" w:ascii="宋体" w:hAnsi="宋体" w:cs="Helvetica"/>
                <w:szCs w:val="21"/>
              </w:rPr>
              <w:t>：</w:t>
            </w:r>
            <w:r>
              <w:rPr>
                <w:rFonts w:hint="eastAsia" w:ascii="宋体" w:hAnsi="宋体"/>
                <w:szCs w:val="21"/>
              </w:rPr>
              <w:t>南宁市中华路50号</w:t>
            </w:r>
          </w:p>
        </w:tc>
      </w:tr>
      <w:tr w14:paraId="12F063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06161E49">
            <w:pPr>
              <w:widowControl/>
              <w:jc w:val="left"/>
              <w:rPr>
                <w:rFonts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7C3ADD2B">
            <w:pPr>
              <w:spacing w:line="380" w:lineRule="exact"/>
              <w:rPr>
                <w:rFonts w:ascii="宋体" w:hAnsi="宋体"/>
                <w:szCs w:val="21"/>
              </w:rPr>
            </w:pPr>
            <w:r>
              <w:rPr>
                <w:rFonts w:hint="eastAsia" w:hAnsi="宋体"/>
              </w:rPr>
              <w:t>现场提交质疑办理业务时间</w:t>
            </w:r>
          </w:p>
        </w:tc>
        <w:tc>
          <w:tcPr>
            <w:tcW w:w="6975" w:type="dxa"/>
            <w:tcBorders>
              <w:top w:val="single" w:color="auto" w:sz="4" w:space="0"/>
              <w:left w:val="single" w:color="auto" w:sz="4" w:space="0"/>
              <w:bottom w:val="single" w:color="auto" w:sz="4" w:space="0"/>
              <w:right w:val="single" w:color="auto" w:sz="4" w:space="0"/>
            </w:tcBorders>
            <w:vAlign w:val="center"/>
          </w:tcPr>
          <w:p w14:paraId="1C563DE1">
            <w:pPr>
              <w:snapToGrid w:val="0"/>
              <w:spacing w:line="380" w:lineRule="exact"/>
              <w:rPr>
                <w:rFonts w:ascii="宋体" w:hAnsi="宋体"/>
                <w:szCs w:val="21"/>
              </w:rPr>
            </w:pPr>
            <w:r>
              <w:rPr>
                <w:rFonts w:hint="eastAsia" w:hAnsi="宋体"/>
              </w:rPr>
              <w:t>质疑期内每个工作日</w:t>
            </w:r>
            <w:r>
              <w:rPr>
                <w:rFonts w:hAnsi="宋体"/>
                <w:u w:val="single"/>
              </w:rPr>
              <w:t xml:space="preserve"> 8</w:t>
            </w:r>
            <w:r>
              <w:rPr>
                <w:rFonts w:hint="eastAsia" w:hAnsi="宋体"/>
              </w:rPr>
              <w:t>时</w:t>
            </w:r>
            <w:r>
              <w:rPr>
                <w:rFonts w:hAnsi="宋体"/>
                <w:u w:val="single"/>
              </w:rPr>
              <w:t xml:space="preserve"> 00</w:t>
            </w:r>
            <w:r>
              <w:rPr>
                <w:rFonts w:hint="eastAsia" w:hAnsi="宋体"/>
              </w:rPr>
              <w:t>分到</w:t>
            </w:r>
            <w:r>
              <w:rPr>
                <w:rFonts w:hAnsi="宋体"/>
                <w:u w:val="single"/>
              </w:rPr>
              <w:t xml:space="preserve"> 12 </w:t>
            </w:r>
            <w:r>
              <w:rPr>
                <w:rFonts w:hint="eastAsia" w:hAnsi="宋体"/>
              </w:rPr>
              <w:t>时</w:t>
            </w:r>
            <w:r>
              <w:rPr>
                <w:rFonts w:hAnsi="宋体"/>
              </w:rPr>
              <w:t>00</w:t>
            </w:r>
            <w:r>
              <w:rPr>
                <w:rFonts w:hint="eastAsia" w:hAnsi="宋体"/>
              </w:rPr>
              <w:t>分，</w:t>
            </w:r>
            <w:r>
              <w:rPr>
                <w:rFonts w:hAnsi="宋体"/>
                <w:u w:val="single"/>
              </w:rPr>
              <w:t xml:space="preserve"> </w:t>
            </w:r>
            <w:r>
              <w:rPr>
                <w:rFonts w:hint="eastAsia" w:hAnsi="宋体"/>
                <w:u w:val="single"/>
              </w:rPr>
              <w:t>14</w:t>
            </w:r>
            <w:r>
              <w:rPr>
                <w:rFonts w:hAnsi="宋体"/>
                <w:u w:val="single"/>
              </w:rPr>
              <w:t xml:space="preserve"> </w:t>
            </w:r>
            <w:r>
              <w:rPr>
                <w:rFonts w:hint="eastAsia" w:hAnsi="宋体"/>
              </w:rPr>
              <w:t>时3</w:t>
            </w:r>
            <w:r>
              <w:rPr>
                <w:rFonts w:hAnsi="宋体"/>
                <w:u w:val="single"/>
              </w:rPr>
              <w:t>0</w:t>
            </w:r>
            <w:r>
              <w:rPr>
                <w:rFonts w:hint="eastAsia" w:hAnsi="宋体"/>
              </w:rPr>
              <w:t>分到</w:t>
            </w:r>
            <w:r>
              <w:rPr>
                <w:rFonts w:hint="eastAsia" w:hAnsi="宋体"/>
                <w:u w:val="single"/>
              </w:rPr>
              <w:t>17</w:t>
            </w:r>
            <w:r>
              <w:rPr>
                <w:rFonts w:hint="eastAsia" w:hAnsi="宋体"/>
              </w:rPr>
              <w:t>时</w:t>
            </w:r>
            <w:r>
              <w:rPr>
                <w:rFonts w:hint="eastAsia" w:hAnsi="宋体"/>
                <w:u w:val="single"/>
              </w:rPr>
              <w:t>3</w:t>
            </w:r>
            <w:r>
              <w:rPr>
                <w:rFonts w:hAnsi="宋体"/>
                <w:u w:val="single"/>
              </w:rPr>
              <w:t xml:space="preserve">0 </w:t>
            </w:r>
            <w:r>
              <w:rPr>
                <w:rFonts w:hint="eastAsia" w:hAnsi="宋体"/>
              </w:rPr>
              <w:t>分</w:t>
            </w:r>
          </w:p>
        </w:tc>
      </w:tr>
      <w:tr w14:paraId="7C6415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846" w:type="dxa"/>
            <w:tcBorders>
              <w:top w:val="nil"/>
              <w:left w:val="single" w:color="auto" w:sz="4" w:space="0"/>
              <w:bottom w:val="single" w:color="auto" w:sz="4" w:space="0"/>
              <w:right w:val="single" w:color="auto" w:sz="4" w:space="0"/>
            </w:tcBorders>
            <w:vAlign w:val="center"/>
          </w:tcPr>
          <w:p w14:paraId="58B904E5">
            <w:pPr>
              <w:spacing w:line="380" w:lineRule="exact"/>
              <w:rPr>
                <w:rFonts w:ascii="宋体" w:hAnsi="宋体"/>
                <w:szCs w:val="21"/>
              </w:rPr>
            </w:pPr>
            <w:r>
              <w:rPr>
                <w:rFonts w:hint="eastAsia" w:ascii="宋体" w:hAnsi="宋体"/>
                <w:szCs w:val="21"/>
              </w:rPr>
              <w:t>38.3.1</w:t>
            </w:r>
          </w:p>
        </w:tc>
        <w:tc>
          <w:tcPr>
            <w:tcW w:w="2097" w:type="dxa"/>
            <w:tcBorders>
              <w:top w:val="single" w:color="auto" w:sz="4" w:space="0"/>
              <w:left w:val="single" w:color="auto" w:sz="4" w:space="0"/>
              <w:bottom w:val="single" w:color="auto" w:sz="4" w:space="0"/>
              <w:right w:val="single" w:color="auto" w:sz="4" w:space="0"/>
            </w:tcBorders>
            <w:vAlign w:val="center"/>
          </w:tcPr>
          <w:p w14:paraId="1DE81C06">
            <w:pPr>
              <w:spacing w:line="380" w:lineRule="exact"/>
              <w:rPr>
                <w:rFonts w:hAnsi="宋体"/>
              </w:rPr>
            </w:pPr>
            <w:r>
              <w:rPr>
                <w:rFonts w:hint="eastAsia" w:hAnsi="宋体"/>
              </w:rPr>
              <w:t>投诉受理方式</w:t>
            </w:r>
          </w:p>
        </w:tc>
        <w:tc>
          <w:tcPr>
            <w:tcW w:w="6975" w:type="dxa"/>
            <w:tcBorders>
              <w:top w:val="single" w:color="auto" w:sz="4" w:space="0"/>
              <w:left w:val="single" w:color="auto" w:sz="4" w:space="0"/>
              <w:bottom w:val="single" w:color="auto" w:sz="4" w:space="0"/>
              <w:right w:val="single" w:color="auto" w:sz="4" w:space="0"/>
            </w:tcBorders>
            <w:vAlign w:val="center"/>
          </w:tcPr>
          <w:p w14:paraId="5712FF0E">
            <w:pPr>
              <w:snapToGrid w:val="0"/>
              <w:spacing w:line="360" w:lineRule="auto"/>
              <w:rPr>
                <w:rFonts w:hAnsi="宋体"/>
              </w:rPr>
            </w:pPr>
            <w:r>
              <w:rPr>
                <w:rFonts w:hAnsi="宋体"/>
              </w:rPr>
              <w:t>1</w:t>
            </w:r>
            <w:r>
              <w:rPr>
                <w:rFonts w:hint="eastAsia" w:hAnsi="宋体"/>
              </w:rPr>
              <w:t>、受理方式：纸质方式受理，投诉书正、副本（经过质疑的事项才可投诉）。</w:t>
            </w:r>
          </w:p>
          <w:p w14:paraId="3614D498">
            <w:pPr>
              <w:snapToGrid w:val="0"/>
              <w:spacing w:line="360" w:lineRule="auto"/>
              <w:rPr>
                <w:rFonts w:hAnsi="宋体"/>
              </w:rPr>
            </w:pPr>
            <w:r>
              <w:rPr>
                <w:rFonts w:hAnsi="宋体"/>
              </w:rPr>
              <w:t>2</w:t>
            </w:r>
            <w:r>
              <w:rPr>
                <w:rFonts w:hint="eastAsia" w:hAnsi="宋体"/>
              </w:rPr>
              <w:t>、邮寄地址：</w:t>
            </w:r>
          </w:p>
          <w:p w14:paraId="03FA98E3">
            <w:pPr>
              <w:snapToGrid w:val="0"/>
              <w:spacing w:line="360" w:lineRule="auto"/>
              <w:rPr>
                <w:rFonts w:hAnsi="宋体"/>
              </w:rPr>
            </w:pPr>
            <w:r>
              <w:rPr>
                <w:rFonts w:hint="eastAsia" w:hAnsi="宋体"/>
              </w:rPr>
              <w:t>名称：南宁市财政局政府采购监督管理科</w:t>
            </w:r>
          </w:p>
          <w:p w14:paraId="39E9DB60">
            <w:pPr>
              <w:snapToGrid w:val="0"/>
              <w:spacing w:line="360" w:lineRule="auto"/>
              <w:rPr>
                <w:rFonts w:hAnsi="宋体"/>
              </w:rPr>
            </w:pPr>
            <w:r>
              <w:rPr>
                <w:rFonts w:hint="eastAsia" w:hAnsi="宋体"/>
              </w:rPr>
              <w:t>地址：南宁市东葛路</w:t>
            </w:r>
            <w:r>
              <w:rPr>
                <w:rFonts w:hAnsi="宋体"/>
              </w:rPr>
              <w:t>129</w:t>
            </w:r>
            <w:r>
              <w:rPr>
                <w:rFonts w:hint="eastAsia" w:hAnsi="宋体"/>
              </w:rPr>
              <w:t>号</w:t>
            </w:r>
          </w:p>
          <w:p w14:paraId="653C6498">
            <w:pPr>
              <w:snapToGrid w:val="0"/>
              <w:spacing w:line="360" w:lineRule="auto"/>
              <w:rPr>
                <w:rFonts w:hAnsi="宋体"/>
              </w:rPr>
            </w:pPr>
            <w:r>
              <w:rPr>
                <w:rFonts w:hint="eastAsia" w:hAnsi="宋体"/>
              </w:rPr>
              <w:t>联系电话：</w:t>
            </w:r>
            <w:r>
              <w:rPr>
                <w:rFonts w:hAnsi="宋体"/>
              </w:rPr>
              <w:t>0771-2189095</w:t>
            </w:r>
          </w:p>
        </w:tc>
      </w:tr>
      <w:tr w14:paraId="6C9117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846" w:type="dxa"/>
            <w:vMerge w:val="restart"/>
            <w:tcBorders>
              <w:top w:val="single" w:color="auto" w:sz="4" w:space="0"/>
              <w:left w:val="single" w:color="auto" w:sz="4" w:space="0"/>
              <w:bottom w:val="single" w:color="auto" w:sz="4" w:space="0"/>
              <w:right w:val="single" w:color="auto" w:sz="4" w:space="0"/>
            </w:tcBorders>
            <w:vAlign w:val="center"/>
          </w:tcPr>
          <w:p w14:paraId="04A8E0D7">
            <w:pPr>
              <w:spacing w:line="380" w:lineRule="exact"/>
              <w:rPr>
                <w:rFonts w:ascii="宋体" w:hAnsi="宋体"/>
                <w:szCs w:val="21"/>
              </w:rPr>
            </w:pPr>
            <w:r>
              <w:rPr>
                <w:rFonts w:hint="eastAsia" w:ascii="宋体" w:hAnsi="宋体"/>
                <w:szCs w:val="21"/>
              </w:rPr>
              <w:t>40</w:t>
            </w:r>
          </w:p>
        </w:tc>
        <w:tc>
          <w:tcPr>
            <w:tcW w:w="2097" w:type="dxa"/>
            <w:tcBorders>
              <w:top w:val="single" w:color="auto" w:sz="4" w:space="0"/>
              <w:left w:val="single" w:color="auto" w:sz="4" w:space="0"/>
              <w:bottom w:val="single" w:color="auto" w:sz="4" w:space="0"/>
              <w:right w:val="single" w:color="auto" w:sz="4" w:space="0"/>
            </w:tcBorders>
            <w:vAlign w:val="center"/>
          </w:tcPr>
          <w:p w14:paraId="75A908E4">
            <w:pPr>
              <w:spacing w:line="380" w:lineRule="exact"/>
              <w:rPr>
                <w:rFonts w:ascii="宋体" w:hAnsi="宋体"/>
                <w:szCs w:val="21"/>
              </w:rPr>
            </w:pPr>
            <w:bookmarkStart w:id="54" w:name="_41"/>
            <w:bookmarkEnd w:id="54"/>
            <w:bookmarkStart w:id="55" w:name="_42"/>
            <w:bookmarkEnd w:id="55"/>
            <w:r>
              <w:rPr>
                <w:rFonts w:hint="eastAsia" w:hAnsi="宋体" w:cs="宋体"/>
              </w:rPr>
              <w:t>采购代理费支付方式</w:t>
            </w:r>
          </w:p>
        </w:tc>
        <w:tc>
          <w:tcPr>
            <w:tcW w:w="6975" w:type="dxa"/>
            <w:tcBorders>
              <w:top w:val="single" w:color="auto" w:sz="4" w:space="0"/>
              <w:left w:val="single" w:color="auto" w:sz="4" w:space="0"/>
              <w:bottom w:val="single" w:color="auto" w:sz="4" w:space="0"/>
              <w:right w:val="single" w:color="auto" w:sz="4" w:space="0"/>
            </w:tcBorders>
            <w:vAlign w:val="center"/>
          </w:tcPr>
          <w:p w14:paraId="03B193AC">
            <w:pPr>
              <w:pStyle w:val="18"/>
              <w:snapToGrid w:val="0"/>
              <w:spacing w:line="380" w:lineRule="exact"/>
              <w:rPr>
                <w:rFonts w:hAnsi="宋体" w:cs="宋体"/>
              </w:rPr>
            </w:pPr>
            <w:r>
              <w:rPr>
                <w:rFonts w:hint="eastAsia" w:hAnsi="宋体" w:cs="宋体"/>
              </w:rPr>
              <w:sym w:font="Wingdings 2" w:char="0052"/>
            </w:r>
            <w:r>
              <w:rPr>
                <w:rFonts w:hint="eastAsia" w:hAnsi="宋体" w:cs="宋体"/>
              </w:rPr>
              <w:t>本项目代理服务费由</w:t>
            </w:r>
            <w:r>
              <w:rPr>
                <w:rFonts w:hint="eastAsia" w:hAnsi="宋体" w:cs="宋体"/>
                <w:u w:val="single"/>
              </w:rPr>
              <w:t>中标人</w:t>
            </w:r>
            <w:r>
              <w:rPr>
                <w:rFonts w:hint="eastAsia" w:hAnsi="宋体" w:cs="宋体"/>
              </w:rPr>
              <w:t>一次性向采购代理机构支付。</w:t>
            </w:r>
          </w:p>
          <w:p w14:paraId="6E9FFF69">
            <w:pPr>
              <w:pStyle w:val="18"/>
              <w:snapToGrid w:val="0"/>
              <w:spacing w:line="380" w:lineRule="exact"/>
              <w:rPr>
                <w:rFonts w:hAnsi="宋体" w:cs="宋体"/>
              </w:rPr>
            </w:pPr>
            <w:r>
              <w:rPr>
                <w:rFonts w:hint="eastAsia" w:hAnsi="宋体" w:cs="宋体"/>
              </w:rPr>
              <w:t>□采购人支付。</w:t>
            </w:r>
          </w:p>
          <w:p w14:paraId="36653758">
            <w:pPr>
              <w:pStyle w:val="18"/>
              <w:snapToGrid w:val="0"/>
              <w:spacing w:line="380" w:lineRule="exact"/>
              <w:rPr>
                <w:rFonts w:hAnsi="宋体" w:cs="宋体"/>
              </w:rPr>
            </w:pPr>
            <w:r>
              <w:rPr>
                <w:rFonts w:hint="eastAsia" w:hAnsi="宋体" w:cs="宋体"/>
              </w:rPr>
              <w:t>□本项目不收取代理服务费。</w:t>
            </w:r>
          </w:p>
        </w:tc>
      </w:tr>
      <w:tr w14:paraId="6A228A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685BB12A">
            <w:pPr>
              <w:widowControl/>
              <w:jc w:val="left"/>
              <w:rPr>
                <w:rFonts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3F67B3B7">
            <w:pPr>
              <w:spacing w:line="380" w:lineRule="exact"/>
              <w:rPr>
                <w:rFonts w:ascii="宋体" w:hAnsi="宋体"/>
                <w:szCs w:val="21"/>
              </w:rPr>
            </w:pPr>
            <w:r>
              <w:rPr>
                <w:rFonts w:hint="eastAsia" w:hAnsi="宋体" w:cs="宋体"/>
              </w:rPr>
              <w:t>采购代理费收取标准</w:t>
            </w:r>
          </w:p>
        </w:tc>
        <w:tc>
          <w:tcPr>
            <w:tcW w:w="6975" w:type="dxa"/>
            <w:tcBorders>
              <w:top w:val="single" w:color="auto" w:sz="4" w:space="0"/>
              <w:left w:val="single" w:color="auto" w:sz="4" w:space="0"/>
              <w:bottom w:val="single" w:color="auto" w:sz="4" w:space="0"/>
              <w:right w:val="single" w:color="auto" w:sz="4" w:space="0"/>
            </w:tcBorders>
            <w:vAlign w:val="center"/>
          </w:tcPr>
          <w:p w14:paraId="53CC08D2">
            <w:pPr>
              <w:pStyle w:val="18"/>
              <w:snapToGrid w:val="0"/>
              <w:spacing w:line="380" w:lineRule="exact"/>
              <w:rPr>
                <w:rFonts w:hAnsi="宋体" w:cs="宋体"/>
                <w:b/>
                <w:u w:val="single"/>
              </w:rPr>
            </w:pPr>
            <w:r>
              <w:rPr>
                <w:rFonts w:hint="eastAsia" w:hAnsi="宋体" w:cs="宋体"/>
              </w:rPr>
              <w:sym w:font="Wingdings 2" w:char="0052"/>
            </w:r>
            <w:r>
              <w:rPr>
                <w:rFonts w:hint="eastAsia" w:hAnsi="宋体" w:cs="宋体"/>
              </w:rPr>
              <w:t>以分标（</w:t>
            </w:r>
            <w:r>
              <w:rPr>
                <w:rFonts w:hint="eastAsia" w:hAnsi="宋体" w:cs="宋体"/>
              </w:rPr>
              <w:sym w:font="Wingdings 2" w:char="0052"/>
            </w:r>
            <w:r>
              <w:rPr>
                <w:rFonts w:hint="eastAsia" w:hAnsi="宋体"/>
              </w:rPr>
              <w:t>中标</w:t>
            </w:r>
            <w:r>
              <w:rPr>
                <w:rFonts w:hint="eastAsia" w:hAnsi="宋体" w:cs="宋体"/>
              </w:rPr>
              <w:t>金额</w:t>
            </w:r>
            <w:r>
              <w:rPr>
                <w:rFonts w:hAnsi="宋体" w:cs="宋体"/>
              </w:rPr>
              <w:t>/</w:t>
            </w:r>
            <w:r>
              <w:rPr>
                <w:rFonts w:hint="eastAsia" w:hAnsi="宋体" w:cs="宋体"/>
              </w:rPr>
              <w:t>□采购预算</w:t>
            </w:r>
            <w:r>
              <w:rPr>
                <w:rFonts w:hAnsi="宋体" w:cs="宋体"/>
              </w:rPr>
              <w:t>/</w:t>
            </w:r>
            <w:r>
              <w:rPr>
                <w:rFonts w:hint="eastAsia" w:hAnsi="宋体" w:cs="宋体"/>
              </w:rPr>
              <w:t>□暂定成交金额</w:t>
            </w:r>
            <w:r>
              <w:rPr>
                <w:rFonts w:hAnsi="宋体" w:cs="宋体"/>
              </w:rPr>
              <w:t>/</w:t>
            </w:r>
            <w:r>
              <w:rPr>
                <w:rFonts w:hint="eastAsia" w:hAnsi="宋体" w:cs="宋体"/>
              </w:rPr>
              <w:t>□其他）为计费额，按照自治区住房城乡建设厅[关于颁布2018年《广西壮族自治区工程建设其他费用定额》的通知]（桂建标〔2018〕37号）以及《国家发展改革委关于降低部分建设项目收费标准规范收费行为等有关问题的通知》（发改价格〔2011〕534号）的规定下浮20%收费，采用差额定率累进法计算出收费基准价格，采购代理收费以（</w:t>
            </w:r>
            <w:r>
              <w:rPr>
                <w:rFonts w:hint="eastAsia" w:hAnsi="宋体" w:cs="宋体"/>
              </w:rPr>
              <w:sym w:font="Wingdings 2" w:char="0052"/>
            </w:r>
            <w:r>
              <w:rPr>
                <w:rFonts w:hint="eastAsia" w:hAnsi="宋体" w:cs="宋体"/>
              </w:rPr>
              <w:t>收费基准价格</w:t>
            </w:r>
            <w:r>
              <w:rPr>
                <w:rFonts w:hAnsi="宋体" w:cs="宋体"/>
              </w:rPr>
              <w:t>/</w:t>
            </w:r>
            <w:r>
              <w:rPr>
                <w:rFonts w:hint="eastAsia" w:hAnsi="宋体" w:cs="宋体"/>
              </w:rPr>
              <w:t>□收费基准价格下浮</w:t>
            </w:r>
            <w:r>
              <w:rPr>
                <w:rFonts w:hint="eastAsia" w:hAnsi="宋体" w:cs="宋体"/>
                <w:u w:val="single"/>
              </w:rPr>
              <w:t xml:space="preserve">   </w:t>
            </w:r>
            <w:r>
              <w:rPr>
                <w:rFonts w:hAnsi="宋体" w:cs="宋体"/>
              </w:rPr>
              <w:t>/</w:t>
            </w:r>
            <w:r>
              <w:rPr>
                <w:rFonts w:hint="eastAsia" w:hAnsi="宋体" w:cs="宋体"/>
              </w:rPr>
              <w:t>□收费基准价格上浮</w:t>
            </w:r>
            <w:r>
              <w:rPr>
                <w:rFonts w:hAnsi="宋体" w:cs="宋体"/>
                <w:u w:val="single"/>
              </w:rPr>
              <w:t xml:space="preserve">   %</w:t>
            </w:r>
            <w:r>
              <w:rPr>
                <w:rFonts w:hint="eastAsia" w:hAnsi="宋体" w:cs="宋体"/>
              </w:rPr>
              <w:t>）收取。</w:t>
            </w:r>
          </w:p>
        </w:tc>
      </w:tr>
      <w:tr w14:paraId="3A44DB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61" w:hRule="atLeast"/>
        </w:trPr>
        <w:tc>
          <w:tcPr>
            <w:tcW w:w="846" w:type="dxa"/>
            <w:vMerge w:val="continue"/>
            <w:tcBorders>
              <w:top w:val="single" w:color="auto" w:sz="4" w:space="0"/>
              <w:left w:val="single" w:color="auto" w:sz="4" w:space="0"/>
              <w:bottom w:val="single" w:color="auto" w:sz="4" w:space="0"/>
              <w:right w:val="single" w:color="auto" w:sz="4" w:space="0"/>
            </w:tcBorders>
            <w:vAlign w:val="center"/>
          </w:tcPr>
          <w:p w14:paraId="4D7D2640">
            <w:pPr>
              <w:widowControl/>
              <w:jc w:val="left"/>
              <w:rPr>
                <w:rFonts w:ascii="宋体" w:hAnsi="宋体"/>
                <w:szCs w:val="21"/>
              </w:rPr>
            </w:pPr>
          </w:p>
        </w:tc>
        <w:tc>
          <w:tcPr>
            <w:tcW w:w="2097" w:type="dxa"/>
            <w:tcBorders>
              <w:top w:val="single" w:color="auto" w:sz="4" w:space="0"/>
              <w:left w:val="single" w:color="auto" w:sz="4" w:space="0"/>
              <w:bottom w:val="single" w:color="auto" w:sz="4" w:space="0"/>
              <w:right w:val="single" w:color="auto" w:sz="4" w:space="0"/>
            </w:tcBorders>
            <w:vAlign w:val="center"/>
          </w:tcPr>
          <w:p w14:paraId="6DEB29C7">
            <w:pPr>
              <w:spacing w:line="380" w:lineRule="exact"/>
              <w:rPr>
                <w:rFonts w:ascii="宋体" w:hAnsi="宋体"/>
                <w:szCs w:val="21"/>
              </w:rPr>
            </w:pPr>
            <w:r>
              <w:rPr>
                <w:rFonts w:hint="eastAsia" w:hAnsi="宋体" w:cs="宋体"/>
              </w:rPr>
              <w:t>代理服务费收款账户信息</w:t>
            </w:r>
          </w:p>
        </w:tc>
        <w:tc>
          <w:tcPr>
            <w:tcW w:w="6975" w:type="dxa"/>
            <w:tcBorders>
              <w:top w:val="single" w:color="auto" w:sz="4" w:space="0"/>
              <w:left w:val="single" w:color="auto" w:sz="4" w:space="0"/>
              <w:bottom w:val="single" w:color="auto" w:sz="4" w:space="0"/>
              <w:right w:val="single" w:color="auto" w:sz="4" w:space="0"/>
            </w:tcBorders>
            <w:vAlign w:val="center"/>
          </w:tcPr>
          <w:p w14:paraId="3289BD7E">
            <w:pPr>
              <w:pStyle w:val="18"/>
              <w:snapToGrid w:val="0"/>
              <w:spacing w:line="380" w:lineRule="exact"/>
              <w:rPr>
                <w:rFonts w:hAnsi="宋体" w:cs="宋体"/>
              </w:rPr>
            </w:pPr>
            <w:r>
              <w:rPr>
                <w:rFonts w:hint="eastAsia" w:hAnsi="宋体" w:cs="宋体"/>
              </w:rPr>
              <w:t>开户名称：广西工程咨询集团有限公司</w:t>
            </w:r>
          </w:p>
          <w:p w14:paraId="68390E6B">
            <w:pPr>
              <w:pStyle w:val="18"/>
              <w:snapToGrid w:val="0"/>
              <w:spacing w:line="380" w:lineRule="exact"/>
              <w:rPr>
                <w:rFonts w:hAnsi="宋体" w:cs="宋体"/>
              </w:rPr>
            </w:pPr>
            <w:r>
              <w:rPr>
                <w:rFonts w:hint="eastAsia" w:hAnsi="宋体" w:cs="宋体"/>
              </w:rPr>
              <w:t xml:space="preserve">开户银行：中国民生银行南宁分行营业部 </w:t>
            </w:r>
          </w:p>
          <w:p w14:paraId="1552C548">
            <w:pPr>
              <w:pStyle w:val="18"/>
              <w:snapToGrid w:val="0"/>
              <w:spacing w:line="380" w:lineRule="exact"/>
              <w:rPr>
                <w:rFonts w:hAnsi="宋体" w:cs="宋体"/>
              </w:rPr>
            </w:pPr>
            <w:r>
              <w:rPr>
                <w:rFonts w:hint="eastAsia" w:hAnsi="宋体" w:cs="宋体"/>
              </w:rPr>
              <w:t xml:space="preserve">银行账号：640356390 </w:t>
            </w:r>
          </w:p>
        </w:tc>
      </w:tr>
      <w:tr w14:paraId="6E3F1B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1EE4CD75">
            <w:pPr>
              <w:snapToGrid w:val="0"/>
              <w:spacing w:line="380" w:lineRule="exact"/>
              <w:jc w:val="center"/>
              <w:rPr>
                <w:rFonts w:ascii="宋体" w:hAnsi="宋体"/>
                <w:szCs w:val="21"/>
              </w:rPr>
            </w:pPr>
            <w:r>
              <w:rPr>
                <w:rFonts w:hint="eastAsia" w:ascii="宋体" w:hAnsi="宋体"/>
                <w:szCs w:val="21"/>
              </w:rPr>
              <w:t>41.1</w:t>
            </w:r>
          </w:p>
        </w:tc>
        <w:tc>
          <w:tcPr>
            <w:tcW w:w="2097" w:type="dxa"/>
            <w:tcBorders>
              <w:top w:val="single" w:color="auto" w:sz="4" w:space="0"/>
              <w:left w:val="single" w:color="auto" w:sz="4" w:space="0"/>
              <w:bottom w:val="single" w:color="auto" w:sz="4" w:space="0"/>
              <w:right w:val="single" w:color="auto" w:sz="4" w:space="0"/>
            </w:tcBorders>
            <w:vAlign w:val="center"/>
          </w:tcPr>
          <w:p w14:paraId="7977CE00">
            <w:pPr>
              <w:snapToGrid w:val="0"/>
              <w:spacing w:line="380" w:lineRule="exact"/>
              <w:rPr>
                <w:rFonts w:ascii="宋体" w:hAnsi="宋体"/>
                <w:szCs w:val="21"/>
              </w:rPr>
            </w:pPr>
            <w:r>
              <w:rPr>
                <w:rFonts w:hint="eastAsia" w:ascii="宋体" w:hAnsi="宋体"/>
                <w:szCs w:val="21"/>
              </w:rPr>
              <w:t>解释</w:t>
            </w:r>
          </w:p>
        </w:tc>
        <w:tc>
          <w:tcPr>
            <w:tcW w:w="6975" w:type="dxa"/>
            <w:tcBorders>
              <w:top w:val="single" w:color="auto" w:sz="4" w:space="0"/>
              <w:left w:val="single" w:color="auto" w:sz="4" w:space="0"/>
              <w:bottom w:val="single" w:color="auto" w:sz="4" w:space="0"/>
              <w:right w:val="single" w:color="auto" w:sz="4" w:space="0"/>
            </w:tcBorders>
            <w:vAlign w:val="center"/>
          </w:tcPr>
          <w:p w14:paraId="034A3074">
            <w:pPr>
              <w:snapToGrid w:val="0"/>
              <w:spacing w:line="380" w:lineRule="exact"/>
              <w:rPr>
                <w:rFonts w:ascii="宋体" w:hAnsi="宋体"/>
                <w:b/>
                <w:szCs w:val="21"/>
              </w:rPr>
            </w:pPr>
            <w:r>
              <w:rPr>
                <w:rFonts w:hint="eastAsia" w:ascii="宋体" w:hAnsi="宋体"/>
                <w:b/>
                <w:szCs w:val="21"/>
              </w:rPr>
              <w:t>解释权：</w:t>
            </w:r>
            <w:r>
              <w:rPr>
                <w:rFonts w:hint="eastAsia" w:ascii="宋体" w:hAnsi="宋体"/>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szCs w:val="21"/>
              </w:rPr>
              <w:t>，由采购人或者采购代理机构负责解释。</w:t>
            </w:r>
          </w:p>
          <w:p w14:paraId="1D81730C">
            <w:pPr>
              <w:snapToGrid w:val="0"/>
              <w:spacing w:line="380" w:lineRule="exact"/>
              <w:rPr>
                <w:rFonts w:ascii="宋体" w:hAnsi="宋体"/>
                <w:b/>
                <w:szCs w:val="21"/>
              </w:rPr>
            </w:pPr>
            <w:r>
              <w:rPr>
                <w:rFonts w:hint="eastAsia" w:ascii="宋体" w:hAnsi="宋体"/>
                <w:b/>
                <w:szCs w:val="21"/>
              </w:rPr>
              <w:t>法律责任：</w:t>
            </w:r>
          </w:p>
          <w:p w14:paraId="6E5B968A">
            <w:pPr>
              <w:snapToGrid w:val="0"/>
              <w:spacing w:line="380" w:lineRule="exact"/>
              <w:rPr>
                <w:rFonts w:ascii="宋体" w:hAnsi="宋体"/>
                <w:szCs w:val="21"/>
              </w:rPr>
            </w:pPr>
            <w:r>
              <w:rPr>
                <w:rFonts w:hint="eastAsia" w:ascii="宋体" w:hAnsi="宋体"/>
                <w:szCs w:val="21"/>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03CD06B5">
            <w:pPr>
              <w:spacing w:line="380" w:lineRule="exact"/>
            </w:pPr>
            <w:r>
              <w:rPr>
                <w:rFonts w:hint="eastAsia" w:ascii="宋体" w:hAnsi="宋体"/>
                <w:b/>
                <w:szCs w:val="21"/>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7C65C5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46" w:type="dxa"/>
            <w:tcBorders>
              <w:top w:val="single" w:color="auto" w:sz="4" w:space="0"/>
              <w:left w:val="single" w:color="auto" w:sz="4" w:space="0"/>
              <w:bottom w:val="single" w:color="auto" w:sz="4" w:space="0"/>
              <w:right w:val="single" w:color="auto" w:sz="4" w:space="0"/>
            </w:tcBorders>
            <w:vAlign w:val="center"/>
          </w:tcPr>
          <w:p w14:paraId="0ED17DA0">
            <w:pPr>
              <w:snapToGrid w:val="0"/>
              <w:spacing w:line="380" w:lineRule="exact"/>
              <w:jc w:val="center"/>
              <w:rPr>
                <w:rFonts w:ascii="宋体" w:hAnsi="宋体"/>
                <w:szCs w:val="21"/>
              </w:rPr>
            </w:pPr>
            <w:r>
              <w:rPr>
                <w:rFonts w:hint="eastAsia" w:ascii="宋体" w:hAnsi="宋体"/>
                <w:szCs w:val="21"/>
              </w:rPr>
              <w:t>41.2</w:t>
            </w:r>
          </w:p>
        </w:tc>
        <w:tc>
          <w:tcPr>
            <w:tcW w:w="2097" w:type="dxa"/>
            <w:tcBorders>
              <w:top w:val="single" w:color="auto" w:sz="4" w:space="0"/>
              <w:left w:val="single" w:color="auto" w:sz="4" w:space="0"/>
              <w:bottom w:val="single" w:color="auto" w:sz="4" w:space="0"/>
              <w:right w:val="single" w:color="auto" w:sz="4" w:space="0"/>
            </w:tcBorders>
            <w:vAlign w:val="center"/>
          </w:tcPr>
          <w:p w14:paraId="7841A1DA">
            <w:pPr>
              <w:snapToGrid w:val="0"/>
              <w:spacing w:line="380" w:lineRule="exact"/>
              <w:rPr>
                <w:rFonts w:ascii="宋体" w:hAnsi="宋体"/>
                <w:szCs w:val="21"/>
              </w:rPr>
            </w:pPr>
            <w:r>
              <w:rPr>
                <w:rFonts w:hint="eastAsia" w:ascii="宋体" w:hAnsi="宋体"/>
                <w:szCs w:val="21"/>
              </w:rPr>
              <w:t>其他释义</w:t>
            </w:r>
          </w:p>
        </w:tc>
        <w:tc>
          <w:tcPr>
            <w:tcW w:w="6975" w:type="dxa"/>
            <w:tcBorders>
              <w:top w:val="single" w:color="auto" w:sz="4" w:space="0"/>
              <w:left w:val="single" w:color="auto" w:sz="4" w:space="0"/>
              <w:bottom w:val="single" w:color="auto" w:sz="4" w:space="0"/>
              <w:right w:val="single" w:color="auto" w:sz="4" w:space="0"/>
            </w:tcBorders>
            <w:vAlign w:val="center"/>
          </w:tcPr>
          <w:p w14:paraId="0A205271">
            <w:pPr>
              <w:rPr>
                <w:rFonts w:hAnsi="宋体" w:cs="宋体"/>
                <w:b/>
                <w:bCs/>
              </w:rPr>
            </w:pPr>
            <w:r>
              <w:rPr>
                <w:rFonts w:hint="eastAsia" w:hAnsi="宋体" w:cs="宋体"/>
                <w:b/>
                <w:bCs/>
              </w:rPr>
              <w:t>1.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4A44BDAA">
            <w:pPr>
              <w:pStyle w:val="18"/>
              <w:snapToGrid w:val="0"/>
              <w:spacing w:line="380" w:lineRule="exact"/>
              <w:rPr>
                <w:rFonts w:hAnsi="宋体" w:cs="宋体"/>
                <w:b/>
                <w:bCs/>
              </w:rPr>
            </w:pPr>
            <w:r>
              <w:rPr>
                <w:rFonts w:hint="eastAsia" w:hAnsi="宋体" w:cs="宋体"/>
                <w:b/>
                <w:bCs/>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55E3A28C">
            <w:pPr>
              <w:pStyle w:val="18"/>
              <w:snapToGrid w:val="0"/>
              <w:spacing w:line="380" w:lineRule="exact"/>
              <w:rPr>
                <w:rFonts w:hAnsi="宋体" w:cs="宋体"/>
                <w:b/>
                <w:bCs/>
              </w:rPr>
            </w:pPr>
            <w:r>
              <w:rPr>
                <w:rFonts w:hint="eastAsia" w:hAnsi="宋体" w:cs="宋体"/>
                <w:b/>
                <w:bCs/>
              </w:rPr>
              <w:t>3.自然人投标的，招标文件规定盖公章处由自然人摁手指指印。</w:t>
            </w:r>
          </w:p>
          <w:p w14:paraId="42017435">
            <w:pPr>
              <w:spacing w:line="380" w:lineRule="exact"/>
              <w:jc w:val="left"/>
              <w:rPr>
                <w:rFonts w:ascii="宋体" w:hAnsi="宋体"/>
                <w:szCs w:val="21"/>
              </w:rPr>
            </w:pPr>
            <w:r>
              <w:rPr>
                <w:rFonts w:hint="eastAsia" w:ascii="宋体" w:hAnsi="宋体" w:cs="宋体"/>
                <w:b/>
                <w:bCs/>
                <w:szCs w:val="21"/>
              </w:rPr>
              <w:t>4.本招标文件所称的“以上”“以下”“以内”“届满”，包括本数；所称的“不满”“超过”“以外”，不包括本数。</w:t>
            </w:r>
          </w:p>
        </w:tc>
      </w:tr>
    </w:tbl>
    <w:p w14:paraId="050D3A9F">
      <w:pPr>
        <w:widowControl/>
        <w:spacing w:line="412" w:lineRule="auto"/>
        <w:jc w:val="left"/>
        <w:rPr>
          <w:rFonts w:ascii="Arial" w:hAnsi="Arial" w:eastAsia="黑体"/>
          <w:b/>
          <w:bCs/>
          <w:sz w:val="32"/>
          <w:szCs w:val="32"/>
        </w:rPr>
        <w:sectPr>
          <w:pgSz w:w="11906" w:h="16838"/>
          <w:pgMar w:top="1134" w:right="1134" w:bottom="1134" w:left="1134" w:header="720" w:footer="720" w:gutter="0"/>
          <w:cols w:space="720" w:num="1"/>
          <w:docGrid w:type="lines" w:linePitch="331" w:charSpace="0"/>
        </w:sectPr>
      </w:pPr>
    </w:p>
    <w:p w14:paraId="062EA504"/>
    <w:p w14:paraId="74FFF184">
      <w:pPr>
        <w:pStyle w:val="4"/>
        <w:jc w:val="center"/>
      </w:pPr>
      <w:bookmarkStart w:id="56" w:name="_Toc187761553"/>
      <w:r>
        <w:rPr>
          <w:rFonts w:hint="eastAsia"/>
        </w:rPr>
        <w:t>第二节投标人须知正文</w:t>
      </w:r>
      <w:bookmarkEnd w:id="56"/>
    </w:p>
    <w:p w14:paraId="04250648">
      <w:pPr>
        <w:pStyle w:val="5"/>
        <w:keepNext w:val="0"/>
        <w:keepLines w:val="0"/>
        <w:spacing w:line="400" w:lineRule="exact"/>
        <w:jc w:val="center"/>
      </w:pPr>
      <w:bookmarkStart w:id="57" w:name="_Toc187761554"/>
      <w:r>
        <w:rPr>
          <w:rFonts w:hint="eastAsia"/>
        </w:rPr>
        <w:t>一、总则</w:t>
      </w:r>
      <w:bookmarkEnd w:id="57"/>
    </w:p>
    <w:p w14:paraId="59C2DEA6">
      <w:pPr>
        <w:spacing w:line="360" w:lineRule="auto"/>
        <w:ind w:firstLine="480" w:firstLineChars="200"/>
        <w:rPr>
          <w:rFonts w:ascii="黑体" w:hAnsi="黑体" w:eastAsia="黑体"/>
          <w:sz w:val="24"/>
        </w:rPr>
      </w:pPr>
      <w:bookmarkStart w:id="58" w:name="_Toc254970527"/>
      <w:bookmarkStart w:id="59" w:name="_Toc254970668"/>
      <w:r>
        <w:rPr>
          <w:rFonts w:hint="eastAsia" w:ascii="黑体" w:hAnsi="黑体" w:eastAsia="黑体"/>
          <w:sz w:val="24"/>
        </w:rPr>
        <w:t>1.适用范围</w:t>
      </w:r>
      <w:bookmarkEnd w:id="58"/>
      <w:bookmarkEnd w:id="59"/>
    </w:p>
    <w:p w14:paraId="6C24D045">
      <w:pPr>
        <w:spacing w:line="360" w:lineRule="auto"/>
        <w:ind w:firstLine="420" w:firstLineChars="200"/>
        <w:rPr>
          <w:rFonts w:ascii="宋体" w:hAnsi="宋体"/>
          <w:szCs w:val="21"/>
        </w:rPr>
      </w:pPr>
      <w:r>
        <w:rPr>
          <w:rFonts w:hint="eastAsia" w:ascii="宋体" w:hAnsi="宋体"/>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0AF8E3BD">
      <w:pPr>
        <w:spacing w:line="360" w:lineRule="auto"/>
        <w:ind w:firstLine="420" w:firstLineChars="200"/>
        <w:rPr>
          <w:rFonts w:ascii="宋体" w:hAnsi="宋体"/>
          <w:szCs w:val="21"/>
        </w:rPr>
      </w:pPr>
      <w:r>
        <w:rPr>
          <w:rFonts w:hint="eastAsia" w:ascii="宋体" w:hAnsi="宋体"/>
          <w:szCs w:val="21"/>
        </w:rPr>
        <w:t>1.2本招标文件</w:t>
      </w:r>
      <w:r>
        <w:rPr>
          <w:rFonts w:hint="eastAsia" w:ascii="宋体" w:hAnsi="宋体" w:cs="宋体"/>
          <w:spacing w:val="-6"/>
          <w:szCs w:val="21"/>
        </w:rPr>
        <w:t>适用于本项目的所有采购程序和环节（法律、法规另有规定的，从其规定）。</w:t>
      </w:r>
    </w:p>
    <w:p w14:paraId="4C814407">
      <w:pPr>
        <w:spacing w:line="360" w:lineRule="auto"/>
        <w:ind w:firstLine="480" w:firstLineChars="200"/>
        <w:rPr>
          <w:rFonts w:ascii="黑体" w:hAnsi="黑体" w:eastAsia="黑体"/>
          <w:sz w:val="24"/>
        </w:rPr>
      </w:pPr>
      <w:bookmarkStart w:id="60" w:name="_Toc254970669"/>
      <w:bookmarkStart w:id="61" w:name="_Toc254970528"/>
      <w:r>
        <w:rPr>
          <w:rFonts w:hint="eastAsia" w:ascii="黑体" w:hAnsi="黑体" w:eastAsia="黑体"/>
          <w:sz w:val="24"/>
        </w:rPr>
        <w:t>2.定义</w:t>
      </w:r>
      <w:bookmarkEnd w:id="60"/>
      <w:bookmarkEnd w:id="61"/>
    </w:p>
    <w:p w14:paraId="654DCFE7">
      <w:pPr>
        <w:spacing w:line="360" w:lineRule="auto"/>
        <w:ind w:firstLine="422" w:firstLineChars="200"/>
        <w:rPr>
          <w:rFonts w:ascii="宋体" w:hAnsi="宋体"/>
          <w:b/>
          <w:szCs w:val="21"/>
        </w:rPr>
      </w:pPr>
      <w:r>
        <w:rPr>
          <w:rFonts w:hint="eastAsia" w:ascii="宋体" w:hAnsi="宋体"/>
          <w:b/>
          <w:szCs w:val="21"/>
        </w:rPr>
        <w:t>2.1“采购人”是指依法进行政府采购的国家机关、事业单位、团体组织。</w:t>
      </w:r>
    </w:p>
    <w:p w14:paraId="5D53CEBA">
      <w:pPr>
        <w:spacing w:line="360" w:lineRule="auto"/>
        <w:ind w:firstLine="422" w:firstLineChars="200"/>
        <w:rPr>
          <w:rFonts w:ascii="宋体" w:hAnsi="宋体"/>
          <w:b/>
          <w:szCs w:val="21"/>
        </w:rPr>
      </w:pPr>
      <w:r>
        <w:rPr>
          <w:rFonts w:hint="eastAsia" w:ascii="宋体" w:hAnsi="宋体"/>
          <w:b/>
          <w:szCs w:val="21"/>
        </w:rPr>
        <w:t>2.2“采购代理机构” 指政府采购集中采购机构和集中采购机构以外的采购代理机构。</w:t>
      </w:r>
    </w:p>
    <w:p w14:paraId="37090DC8">
      <w:pPr>
        <w:spacing w:line="360" w:lineRule="auto"/>
        <w:ind w:firstLine="422" w:firstLineChars="200"/>
        <w:rPr>
          <w:rFonts w:ascii="宋体" w:hAnsi="宋体"/>
          <w:b/>
          <w:szCs w:val="21"/>
        </w:rPr>
      </w:pPr>
      <w:r>
        <w:rPr>
          <w:rFonts w:hint="eastAsia" w:ascii="宋体" w:hAnsi="宋体"/>
          <w:b/>
          <w:szCs w:val="21"/>
        </w:rPr>
        <w:t>2.3“供应商”是指向采购人提供货物、工程或者服务的法人、其他组织或者自然人。</w:t>
      </w:r>
    </w:p>
    <w:p w14:paraId="360D4DC3">
      <w:pPr>
        <w:spacing w:line="360" w:lineRule="auto"/>
        <w:ind w:firstLine="420" w:firstLineChars="200"/>
        <w:rPr>
          <w:rFonts w:ascii="宋体" w:hAnsi="宋体"/>
          <w:szCs w:val="21"/>
        </w:rPr>
      </w:pPr>
      <w:r>
        <w:rPr>
          <w:rFonts w:hint="eastAsia" w:ascii="宋体" w:hAnsi="宋体"/>
          <w:szCs w:val="21"/>
        </w:rPr>
        <w:t>2.4“投标人”是指响应招标、参加投标竞争的法人、非法人组织或者自然人。</w:t>
      </w:r>
    </w:p>
    <w:p w14:paraId="75DE6EDE">
      <w:pPr>
        <w:spacing w:line="360" w:lineRule="auto"/>
        <w:ind w:firstLine="422" w:firstLineChars="200"/>
        <w:rPr>
          <w:rFonts w:ascii="宋体" w:hAnsi="宋体"/>
          <w:b/>
          <w:szCs w:val="21"/>
        </w:rPr>
      </w:pPr>
      <w:r>
        <w:rPr>
          <w:rFonts w:hint="eastAsia" w:ascii="宋体" w:hAnsi="宋体"/>
          <w:b/>
          <w:szCs w:val="21"/>
        </w:rPr>
        <w:t>2.5“服务”是指除货物和工程以外的其他政府采购对象。</w:t>
      </w:r>
    </w:p>
    <w:p w14:paraId="3C87F63F">
      <w:pPr>
        <w:spacing w:line="360" w:lineRule="auto"/>
        <w:ind w:firstLine="422" w:firstLineChars="200"/>
        <w:rPr>
          <w:rFonts w:ascii="宋体" w:hAnsi="宋体"/>
          <w:b/>
          <w:szCs w:val="21"/>
        </w:rPr>
      </w:pPr>
      <w:r>
        <w:rPr>
          <w:rFonts w:hint="eastAsia" w:ascii="宋体" w:hAnsi="宋体"/>
          <w:b/>
          <w:szCs w:val="21"/>
        </w:rPr>
        <w:t>2.6“书面形式”是指合同书、信件和数据电文（包括电报、电传、传真、短信、电子数据交换和电子邮件）等可以有形地表现所载内容的形式。</w:t>
      </w:r>
    </w:p>
    <w:p w14:paraId="46944166">
      <w:pPr>
        <w:spacing w:line="360" w:lineRule="auto"/>
        <w:ind w:firstLine="422" w:firstLineChars="200"/>
        <w:rPr>
          <w:rFonts w:ascii="宋体" w:hAnsi="宋体"/>
          <w:b/>
          <w:szCs w:val="21"/>
        </w:rPr>
      </w:pPr>
      <w:r>
        <w:rPr>
          <w:rFonts w:hint="eastAsia" w:ascii="宋体" w:hAnsi="宋体"/>
          <w:b/>
          <w:szCs w:val="21"/>
        </w:rPr>
        <w:t>2.7“实质性要求”是指招标文件中已经指明不满足则投标无效的条款，或者不能负偏离的条款，或者采购需求中带“</w:t>
      </w:r>
      <w:r>
        <w:rPr>
          <w:rFonts w:hint="eastAsia" w:ascii="宋体" w:hAnsi="宋体"/>
          <w:b/>
          <w:bCs/>
          <w:szCs w:val="21"/>
        </w:rPr>
        <w:t>▲</w:t>
      </w:r>
      <w:r>
        <w:rPr>
          <w:rFonts w:hint="eastAsia" w:ascii="宋体" w:hAnsi="宋体"/>
          <w:b/>
          <w:szCs w:val="21"/>
        </w:rPr>
        <w:t>”的条款。</w:t>
      </w:r>
    </w:p>
    <w:p w14:paraId="627B86EB">
      <w:pPr>
        <w:spacing w:line="360" w:lineRule="auto"/>
        <w:ind w:firstLine="420" w:firstLineChars="200"/>
        <w:rPr>
          <w:rFonts w:ascii="宋体" w:hAnsi="宋体" w:cs="宋体"/>
          <w:szCs w:val="21"/>
        </w:rPr>
      </w:pPr>
      <w:r>
        <w:rPr>
          <w:rFonts w:hint="eastAsia" w:ascii="宋体" w:hAnsi="宋体"/>
          <w:szCs w:val="21"/>
        </w:rPr>
        <w:t>2.8</w:t>
      </w:r>
      <w:r>
        <w:rPr>
          <w:rFonts w:hint="eastAsia" w:ascii="宋体" w:hAnsi="宋体" w:cs="宋体"/>
          <w:szCs w:val="21"/>
        </w:rPr>
        <w:t>“正偏离”，是指投标文件对招标文件“采购需求”中有关条款作出的响应优于条款要求并有利于采购人的情形。</w:t>
      </w:r>
    </w:p>
    <w:p w14:paraId="46CF8CB1">
      <w:pPr>
        <w:spacing w:line="360" w:lineRule="auto"/>
        <w:ind w:firstLine="420" w:firstLineChars="200"/>
        <w:rPr>
          <w:rFonts w:ascii="宋体" w:hAnsi="宋体" w:cs="宋体"/>
          <w:szCs w:val="21"/>
        </w:rPr>
      </w:pPr>
      <w:r>
        <w:rPr>
          <w:rFonts w:hint="eastAsia" w:ascii="宋体" w:hAnsi="宋体" w:cs="宋体"/>
          <w:szCs w:val="21"/>
        </w:rPr>
        <w:t>2.9“负偏离”，是指投标文件对招标文件“采购需求”中有关条款作出的响应不满足条款要求，导致采购人要求不能得到满足的情形。</w:t>
      </w:r>
    </w:p>
    <w:p w14:paraId="023000CB">
      <w:pPr>
        <w:spacing w:line="360" w:lineRule="auto"/>
        <w:ind w:firstLine="420" w:firstLineChars="200"/>
        <w:rPr>
          <w:rFonts w:ascii="宋体" w:hAnsi="宋体"/>
          <w:szCs w:val="21"/>
        </w:rPr>
      </w:pPr>
      <w:r>
        <w:rPr>
          <w:rFonts w:hint="eastAsia" w:ascii="宋体" w:hAnsi="宋体"/>
          <w:szCs w:val="21"/>
        </w:rPr>
        <w:t>2.10</w:t>
      </w:r>
      <w:r>
        <w:rPr>
          <w:rFonts w:hint="eastAsia" w:ascii="宋体" w:hAnsi="宋体" w:cs="宋体"/>
          <w:szCs w:val="21"/>
        </w:rPr>
        <w:t>“允许负偏离的条款”是指采购需求中的不属于“实质性要求”的条款。</w:t>
      </w:r>
      <w:bookmarkStart w:id="62" w:name="_Toc254970529"/>
      <w:bookmarkStart w:id="63" w:name="_Toc254970670"/>
    </w:p>
    <w:p w14:paraId="38D6E44D">
      <w:pPr>
        <w:spacing w:line="360" w:lineRule="auto"/>
        <w:ind w:firstLine="480" w:firstLineChars="200"/>
        <w:rPr>
          <w:rFonts w:ascii="黑体" w:hAnsi="黑体" w:eastAsia="黑体"/>
          <w:sz w:val="24"/>
        </w:rPr>
      </w:pPr>
      <w:r>
        <w:rPr>
          <w:rFonts w:hint="eastAsia" w:ascii="黑体" w:hAnsi="黑体" w:eastAsia="黑体"/>
          <w:sz w:val="24"/>
        </w:rPr>
        <w:t>3.</w:t>
      </w:r>
      <w:bookmarkEnd w:id="62"/>
      <w:bookmarkEnd w:id="63"/>
      <w:r>
        <w:rPr>
          <w:rFonts w:hint="eastAsia" w:ascii="黑体" w:hAnsi="黑体" w:eastAsia="黑体"/>
          <w:sz w:val="24"/>
        </w:rPr>
        <w:t>投标人的资格要求</w:t>
      </w:r>
    </w:p>
    <w:p w14:paraId="10753390">
      <w:pPr>
        <w:spacing w:line="360" w:lineRule="auto"/>
        <w:ind w:firstLine="420" w:firstLineChars="200"/>
        <w:rPr>
          <w:rFonts w:ascii="宋体" w:hAnsi="宋体"/>
          <w:szCs w:val="21"/>
        </w:rPr>
      </w:pPr>
      <w:r>
        <w:rPr>
          <w:rFonts w:hint="eastAsia" w:ascii="宋体" w:hAnsi="宋体"/>
          <w:szCs w:val="21"/>
        </w:rPr>
        <w:t>投标人的资格要求详见“招标公告”。</w:t>
      </w:r>
    </w:p>
    <w:p w14:paraId="51B50F0F">
      <w:pPr>
        <w:spacing w:line="360" w:lineRule="auto"/>
        <w:ind w:firstLine="480" w:firstLineChars="200"/>
        <w:rPr>
          <w:rFonts w:ascii="黑体" w:hAnsi="黑体" w:eastAsia="黑体"/>
          <w:sz w:val="24"/>
        </w:rPr>
      </w:pPr>
      <w:bookmarkStart w:id="64" w:name="_Toc254970671"/>
      <w:bookmarkStart w:id="65" w:name="_Toc254970530"/>
      <w:r>
        <w:rPr>
          <w:rFonts w:hint="eastAsia" w:ascii="黑体" w:hAnsi="黑体" w:eastAsia="黑体"/>
          <w:sz w:val="24"/>
        </w:rPr>
        <w:t>4.投标委托</w:t>
      </w:r>
      <w:bookmarkEnd w:id="64"/>
      <w:bookmarkEnd w:id="65"/>
    </w:p>
    <w:p w14:paraId="412459DA">
      <w:pPr>
        <w:spacing w:line="360" w:lineRule="auto"/>
        <w:ind w:firstLine="420" w:firstLineChars="200"/>
        <w:rPr>
          <w:rFonts w:ascii="宋体" w:hAnsi="宋体"/>
          <w:szCs w:val="21"/>
        </w:rPr>
      </w:pPr>
      <w:r>
        <w:rPr>
          <w:rFonts w:hint="eastAsia" w:ascii="宋体" w:hAnsi="宋体"/>
          <w:szCs w:val="21"/>
        </w:rPr>
        <w:t>投标人代表参加投标活动过程中必须携带个人有效身份证件。如投标人代表不是法定代表人，须持有法定代表人授权委托书（正本用原件，副本用复印件，按第六章要求格式填写）。</w:t>
      </w:r>
    </w:p>
    <w:p w14:paraId="3D88CA7F">
      <w:pPr>
        <w:spacing w:line="360" w:lineRule="auto"/>
        <w:ind w:firstLine="480" w:firstLineChars="200"/>
        <w:rPr>
          <w:rFonts w:ascii="黑体" w:hAnsi="黑体" w:eastAsia="黑体"/>
          <w:sz w:val="24"/>
        </w:rPr>
      </w:pPr>
      <w:bookmarkStart w:id="66" w:name="_5.投标费用"/>
      <w:bookmarkEnd w:id="66"/>
      <w:bookmarkStart w:id="67" w:name="_Toc254970531"/>
      <w:bookmarkStart w:id="68" w:name="_Toc254970672"/>
      <w:r>
        <w:rPr>
          <w:rFonts w:hint="eastAsia" w:ascii="黑体" w:hAnsi="黑体" w:eastAsia="黑体"/>
          <w:sz w:val="24"/>
        </w:rPr>
        <w:t>5.投标费用</w:t>
      </w:r>
      <w:bookmarkEnd w:id="67"/>
      <w:bookmarkEnd w:id="68"/>
    </w:p>
    <w:p w14:paraId="6A723459">
      <w:pPr>
        <w:spacing w:line="360" w:lineRule="auto"/>
        <w:ind w:firstLine="420" w:firstLineChars="200"/>
        <w:rPr>
          <w:rFonts w:ascii="宋体" w:hAnsi="宋体"/>
          <w:szCs w:val="21"/>
        </w:rPr>
      </w:pPr>
      <w:r>
        <w:rPr>
          <w:rFonts w:hint="eastAsia" w:ascii="宋体" w:hAnsi="宋体" w:cs="宋体"/>
          <w:szCs w:val="21"/>
        </w:rPr>
        <w:t>投标费用：投标人应承担参与本次采购活动有关的所有费用，包括但不限于勘查现场、编制投标文件、参加澄清说明、签订合同等，不论投标结果如何，均应自行承担。</w:t>
      </w:r>
    </w:p>
    <w:p w14:paraId="5F2EF887">
      <w:pPr>
        <w:spacing w:line="360" w:lineRule="auto"/>
        <w:ind w:firstLine="480" w:firstLineChars="200"/>
        <w:rPr>
          <w:rFonts w:ascii="黑体" w:hAnsi="黑体" w:eastAsia="黑体"/>
          <w:sz w:val="24"/>
        </w:rPr>
      </w:pPr>
      <w:r>
        <w:rPr>
          <w:rFonts w:hint="eastAsia" w:ascii="黑体" w:hAnsi="黑体" w:eastAsia="黑体"/>
          <w:sz w:val="24"/>
        </w:rPr>
        <w:t>6.联合体投标</w:t>
      </w:r>
    </w:p>
    <w:p w14:paraId="00E3C22F">
      <w:pPr>
        <w:spacing w:line="360" w:lineRule="auto"/>
        <w:ind w:firstLine="420" w:firstLineChars="200"/>
        <w:rPr>
          <w:rFonts w:ascii="宋体" w:hAnsi="宋体"/>
          <w:szCs w:val="21"/>
        </w:rPr>
      </w:pPr>
      <w:r>
        <w:rPr>
          <w:rFonts w:hint="eastAsia" w:ascii="宋体" w:hAnsi="宋体"/>
          <w:szCs w:val="21"/>
        </w:rPr>
        <w:t>6.1本项目是否接受联合体投标，详见“投标人须知前附表”。</w:t>
      </w:r>
    </w:p>
    <w:p w14:paraId="4F763894">
      <w:pPr>
        <w:spacing w:line="360" w:lineRule="auto"/>
        <w:ind w:firstLine="420" w:firstLineChars="200"/>
        <w:rPr>
          <w:rFonts w:ascii="宋体" w:hAnsi="宋体"/>
          <w:bCs/>
          <w:szCs w:val="21"/>
        </w:rPr>
      </w:pPr>
      <w:r>
        <w:rPr>
          <w:rFonts w:hint="eastAsia" w:ascii="宋体" w:hAnsi="宋体"/>
          <w:bCs/>
          <w:szCs w:val="21"/>
        </w:rPr>
        <w:t>6.2如接受联合体投标，联合体投标要求详见“投标人须知前附表”。</w:t>
      </w:r>
    </w:p>
    <w:p w14:paraId="7984649D">
      <w:pPr>
        <w:spacing w:line="360" w:lineRule="auto"/>
        <w:ind w:firstLine="420" w:firstLineChars="200"/>
        <w:rPr>
          <w:rFonts w:ascii="宋体" w:hAnsi="宋体"/>
          <w:bCs/>
          <w:sz w:val="24"/>
          <w:szCs w:val="21"/>
          <w:shd w:val="clear" w:color="auto" w:fill="FFFFFF"/>
        </w:rPr>
      </w:pPr>
      <w:r>
        <w:rPr>
          <w:rFonts w:hint="eastAsia" w:ascii="宋体" w:hAnsi="宋体"/>
          <w:bCs/>
          <w:szCs w:val="21"/>
        </w:rPr>
        <w:t>6.3根据《政府采购促进中小企业发展管理办法》（财库[2020]46号）第九条、</w:t>
      </w:r>
      <w:r>
        <w:rPr>
          <w:rFonts w:hint="eastAsia"/>
        </w:rPr>
        <w:t>《广西壮族自治区财政厅关于持续优化政府采购营商环境推动高质量发展的通知》（桂财采〔2024〕55号）</w:t>
      </w:r>
      <w:r>
        <w:rPr>
          <w:rFonts w:hint="eastAsia" w:ascii="宋体" w:hAnsi="宋体"/>
          <w:bCs/>
          <w:szCs w:val="21"/>
        </w:rPr>
        <w:t>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52526643">
      <w:pPr>
        <w:spacing w:line="360" w:lineRule="auto"/>
        <w:ind w:firstLine="480" w:firstLineChars="200"/>
        <w:rPr>
          <w:rFonts w:ascii="黑体" w:hAnsi="黑体" w:eastAsia="黑体"/>
          <w:sz w:val="24"/>
        </w:rPr>
      </w:pPr>
      <w:r>
        <w:rPr>
          <w:rFonts w:hint="eastAsia" w:ascii="黑体" w:hAnsi="黑体" w:eastAsia="黑体"/>
          <w:sz w:val="24"/>
        </w:rPr>
        <w:t xml:space="preserve">7.转包与分包             </w:t>
      </w:r>
    </w:p>
    <w:p w14:paraId="700C7A6F">
      <w:pPr>
        <w:spacing w:line="360" w:lineRule="auto"/>
        <w:ind w:firstLine="422" w:firstLineChars="200"/>
        <w:rPr>
          <w:rFonts w:ascii="宋体" w:hAnsi="宋体"/>
          <w:b/>
          <w:szCs w:val="21"/>
        </w:rPr>
      </w:pPr>
      <w:r>
        <w:rPr>
          <w:rFonts w:hint="eastAsia" w:ascii="宋体" w:hAnsi="宋体"/>
          <w:b/>
          <w:szCs w:val="21"/>
        </w:rPr>
        <w:t>7.1本项目不允许转包，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4AFF9B29">
      <w:pPr>
        <w:spacing w:line="360" w:lineRule="auto"/>
        <w:ind w:firstLine="420" w:firstLineChars="200"/>
        <w:rPr>
          <w:rFonts w:ascii="宋体" w:hAnsi="宋体"/>
          <w:bCs/>
          <w:szCs w:val="21"/>
        </w:rPr>
      </w:pPr>
      <w:r>
        <w:rPr>
          <w:rFonts w:hint="eastAsia" w:ascii="宋体" w:hAnsi="宋体"/>
          <w:bCs/>
          <w:szCs w:val="21"/>
        </w:rPr>
        <w:t>7.2根据《政府采购促进中小企业发展管理办法》（财库[2020]46号）第九条、</w:t>
      </w:r>
      <w:r>
        <w:rPr>
          <w:rFonts w:hint="eastAsia"/>
        </w:rPr>
        <w:t>《广西壮族自治区财政厅关于持续优化政府采购营商环境推动高质量发展的通知》（桂财采〔2024〕55号）</w:t>
      </w:r>
      <w:r>
        <w:rPr>
          <w:rFonts w:hint="eastAsia" w:ascii="宋体" w:hAnsi="宋体"/>
          <w:bCs/>
          <w:szCs w:val="21"/>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7AF1F905">
      <w:pPr>
        <w:spacing w:line="360" w:lineRule="auto"/>
        <w:ind w:firstLine="480" w:firstLineChars="200"/>
        <w:rPr>
          <w:rFonts w:ascii="黑体" w:hAnsi="黑体" w:eastAsia="黑体"/>
          <w:sz w:val="24"/>
        </w:rPr>
      </w:pPr>
      <w:bookmarkStart w:id="69" w:name="_Toc254970673"/>
      <w:bookmarkStart w:id="70" w:name="_Toc254970532"/>
      <w:r>
        <w:rPr>
          <w:rFonts w:hint="eastAsia" w:ascii="黑体" w:hAnsi="黑体" w:eastAsia="黑体"/>
          <w:sz w:val="24"/>
        </w:rPr>
        <w:t>8.特别说明：</w:t>
      </w:r>
      <w:bookmarkEnd w:id="69"/>
      <w:bookmarkEnd w:id="70"/>
      <w:bookmarkStart w:id="71" w:name="_8.1提供相同品牌产品且通过资格审查、符合性审查的不同投标人参加同一合"/>
      <w:bookmarkEnd w:id="71"/>
    </w:p>
    <w:p w14:paraId="3C138D3F">
      <w:pPr>
        <w:spacing w:line="360" w:lineRule="auto"/>
        <w:ind w:firstLine="422" w:firstLineChars="200"/>
        <w:rPr>
          <w:rFonts w:ascii="宋体" w:hAnsi="宋体"/>
          <w:b/>
          <w:szCs w:val="21"/>
        </w:rPr>
      </w:pPr>
      <w:r>
        <w:rPr>
          <w:rFonts w:hint="eastAsia" w:ascii="宋体" w:hAnsi="宋体"/>
          <w:b/>
          <w:szCs w:val="21"/>
        </w:rPr>
        <w:t>8.1如果本招标文件要求投标人提供资格、信誉、荣誉、业绩与企业认证等材料的，则投标人所提供的以上材料必须为投标人所拥有。</w:t>
      </w:r>
    </w:p>
    <w:p w14:paraId="7904D3A1">
      <w:pPr>
        <w:spacing w:line="360" w:lineRule="auto"/>
        <w:ind w:firstLine="422" w:firstLineChars="200"/>
        <w:rPr>
          <w:rFonts w:ascii="宋体" w:hAnsi="宋体"/>
          <w:b/>
          <w:szCs w:val="21"/>
        </w:rPr>
      </w:pPr>
      <w:r>
        <w:rPr>
          <w:rFonts w:hint="eastAsia" w:ascii="宋体" w:hAnsi="宋体"/>
          <w:b/>
          <w:szCs w:val="21"/>
        </w:rPr>
        <w:t>8.2投标人应仔细阅读招标文件的所有内容，按照招标文件的要求提交投标文件，并对所提供的全部资料的真实性承担法律责任。</w:t>
      </w:r>
    </w:p>
    <w:p w14:paraId="1C572BCB">
      <w:pPr>
        <w:spacing w:line="360" w:lineRule="auto"/>
        <w:ind w:firstLine="422" w:firstLineChars="200"/>
        <w:rPr>
          <w:rFonts w:ascii="宋体" w:hAnsi="宋体"/>
          <w:b/>
          <w:szCs w:val="21"/>
        </w:rPr>
      </w:pPr>
      <w:r>
        <w:rPr>
          <w:rFonts w:hint="eastAsia" w:ascii="宋体" w:hAnsi="宋体"/>
          <w:b/>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0332BAF5">
      <w:pPr>
        <w:spacing w:line="360" w:lineRule="auto"/>
        <w:ind w:firstLine="480" w:firstLineChars="200"/>
        <w:rPr>
          <w:rFonts w:ascii="黑体" w:hAnsi="黑体" w:eastAsia="黑体"/>
          <w:sz w:val="24"/>
        </w:rPr>
      </w:pPr>
      <w:r>
        <w:rPr>
          <w:rFonts w:hint="eastAsia" w:ascii="黑体" w:hAnsi="黑体" w:eastAsia="黑体"/>
          <w:sz w:val="24"/>
        </w:rPr>
        <w:t>9.回避与串通投标</w:t>
      </w:r>
    </w:p>
    <w:p w14:paraId="1866CBDC">
      <w:pPr>
        <w:spacing w:line="360" w:lineRule="auto"/>
        <w:ind w:firstLine="422" w:firstLineChars="200"/>
        <w:rPr>
          <w:rFonts w:ascii="宋体" w:hAnsi="宋体"/>
          <w:b/>
          <w:szCs w:val="21"/>
        </w:rPr>
      </w:pPr>
      <w:r>
        <w:rPr>
          <w:rFonts w:hint="eastAsia" w:ascii="宋体" w:hAnsi="宋体"/>
          <w:b/>
          <w:szCs w:val="21"/>
        </w:rPr>
        <w:t>9.1在政府采购活动中，采购人员及相关人员与供应商有下列利害关系之一的，应当回避：</w:t>
      </w:r>
    </w:p>
    <w:p w14:paraId="79C7B06D">
      <w:pPr>
        <w:spacing w:line="360" w:lineRule="auto"/>
        <w:ind w:firstLine="420" w:firstLineChars="200"/>
        <w:rPr>
          <w:rFonts w:hAnsi="宋体"/>
        </w:rPr>
      </w:pPr>
      <w:r>
        <w:rPr>
          <w:rFonts w:hint="eastAsia" w:hAnsi="宋体"/>
        </w:rPr>
        <w:t>（</w:t>
      </w:r>
      <w:r>
        <w:rPr>
          <w:rFonts w:hAnsi="宋体"/>
        </w:rPr>
        <w:t>1</w:t>
      </w:r>
      <w:r>
        <w:rPr>
          <w:rFonts w:hint="eastAsia" w:hAnsi="宋体"/>
        </w:rPr>
        <w:t>）参加采购活动前</w:t>
      </w:r>
      <w:r>
        <w:rPr>
          <w:rFonts w:hAnsi="宋体"/>
        </w:rPr>
        <w:t>3</w:t>
      </w:r>
      <w:r>
        <w:rPr>
          <w:rFonts w:hint="eastAsia" w:hAnsi="宋体"/>
        </w:rPr>
        <w:t>年内与供应商存在劳动关系；</w:t>
      </w:r>
    </w:p>
    <w:p w14:paraId="5962762C">
      <w:pPr>
        <w:spacing w:line="360" w:lineRule="auto"/>
        <w:ind w:firstLine="420" w:firstLineChars="200"/>
        <w:rPr>
          <w:rFonts w:hAnsi="宋体"/>
        </w:rPr>
      </w:pPr>
      <w:r>
        <w:rPr>
          <w:rFonts w:hint="eastAsia" w:hAnsi="宋体"/>
        </w:rPr>
        <w:t>（</w:t>
      </w:r>
      <w:r>
        <w:rPr>
          <w:rFonts w:hAnsi="宋体"/>
        </w:rPr>
        <w:t>2</w:t>
      </w:r>
      <w:r>
        <w:rPr>
          <w:rFonts w:hint="eastAsia" w:hAnsi="宋体"/>
        </w:rPr>
        <w:t>）参加采购活动前</w:t>
      </w:r>
      <w:r>
        <w:rPr>
          <w:rFonts w:hAnsi="宋体"/>
        </w:rPr>
        <w:t>3</w:t>
      </w:r>
      <w:r>
        <w:rPr>
          <w:rFonts w:hint="eastAsia" w:hAnsi="宋体"/>
        </w:rPr>
        <w:t>年内担任供应商的董事、监事；</w:t>
      </w:r>
    </w:p>
    <w:p w14:paraId="038AC683">
      <w:pPr>
        <w:spacing w:line="360" w:lineRule="auto"/>
        <w:ind w:firstLine="420" w:firstLineChars="200"/>
        <w:rPr>
          <w:rFonts w:hAnsi="宋体"/>
        </w:rPr>
      </w:pPr>
      <w:r>
        <w:rPr>
          <w:rFonts w:hint="eastAsia" w:hAnsi="宋体"/>
        </w:rPr>
        <w:t>（</w:t>
      </w:r>
      <w:r>
        <w:rPr>
          <w:rFonts w:hAnsi="宋体"/>
        </w:rPr>
        <w:t>3</w:t>
      </w:r>
      <w:r>
        <w:rPr>
          <w:rFonts w:hint="eastAsia" w:hAnsi="宋体"/>
        </w:rPr>
        <w:t>）参加采购活动前</w:t>
      </w:r>
      <w:r>
        <w:rPr>
          <w:rFonts w:hAnsi="宋体"/>
        </w:rPr>
        <w:t>3</w:t>
      </w:r>
      <w:r>
        <w:rPr>
          <w:rFonts w:hint="eastAsia" w:hAnsi="宋体"/>
        </w:rPr>
        <w:t>年内是供应商的控股股东或者实际控制人；</w:t>
      </w:r>
    </w:p>
    <w:p w14:paraId="3F0F8C70">
      <w:pPr>
        <w:spacing w:line="360" w:lineRule="auto"/>
        <w:ind w:firstLine="420" w:firstLineChars="200"/>
        <w:rPr>
          <w:rFonts w:hAnsi="宋体"/>
        </w:rPr>
      </w:pPr>
      <w:r>
        <w:rPr>
          <w:rFonts w:hint="eastAsia" w:hAnsi="宋体"/>
        </w:rPr>
        <w:t>（</w:t>
      </w:r>
      <w:r>
        <w:rPr>
          <w:rFonts w:hAnsi="宋体"/>
        </w:rPr>
        <w:t>4</w:t>
      </w:r>
      <w:r>
        <w:rPr>
          <w:rFonts w:hint="eastAsia" w:hAnsi="宋体"/>
        </w:rPr>
        <w:t>）与供应商的法定代表人或者负责人有夫妻、直系血亲、三代以内旁系血亲或者近姻亲关系；</w:t>
      </w:r>
    </w:p>
    <w:p w14:paraId="6ECE58F8">
      <w:pPr>
        <w:spacing w:line="360" w:lineRule="auto"/>
        <w:ind w:firstLine="420" w:firstLineChars="200"/>
        <w:rPr>
          <w:rFonts w:hAnsi="宋体"/>
        </w:rPr>
      </w:pPr>
      <w:r>
        <w:rPr>
          <w:rFonts w:hint="eastAsia" w:hAnsi="宋体"/>
        </w:rPr>
        <w:t>（</w:t>
      </w:r>
      <w:r>
        <w:rPr>
          <w:rFonts w:hAnsi="宋体"/>
        </w:rPr>
        <w:t>5</w:t>
      </w:r>
      <w:r>
        <w:rPr>
          <w:rFonts w:hint="eastAsia" w:hAnsi="宋体"/>
        </w:rPr>
        <w:t>）与供应商有其他可能影响政府采购活动公平、公正进行的关系。</w:t>
      </w:r>
    </w:p>
    <w:p w14:paraId="5EB8F503">
      <w:pPr>
        <w:spacing w:line="360" w:lineRule="auto"/>
        <w:ind w:firstLine="420" w:firstLineChars="200"/>
        <w:rPr>
          <w:rFonts w:hAnsi="宋体"/>
        </w:rPr>
      </w:pPr>
      <w:r>
        <w:rPr>
          <w:rFonts w:hint="eastAsia" w:hAnsi="宋体"/>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E4C2F6D">
      <w:pPr>
        <w:spacing w:line="360" w:lineRule="auto"/>
        <w:ind w:firstLine="420" w:firstLineChars="200"/>
        <w:rPr>
          <w:rFonts w:ascii="宋体" w:hAnsi="宋体"/>
          <w:szCs w:val="21"/>
        </w:rPr>
      </w:pPr>
      <w:r>
        <w:rPr>
          <w:rFonts w:hint="eastAsia" w:ascii="宋体" w:hAnsi="宋体"/>
          <w:szCs w:val="21"/>
        </w:rPr>
        <w:t>9.2有下列情形之一的视为投标人相互串通投标，投标文件将被视为无效：</w:t>
      </w:r>
    </w:p>
    <w:p w14:paraId="70FE7DE4">
      <w:pPr>
        <w:spacing w:line="360" w:lineRule="auto"/>
        <w:ind w:firstLine="422" w:firstLineChars="200"/>
        <w:rPr>
          <w:rFonts w:hAnsi="宋体"/>
          <w:b/>
        </w:rPr>
      </w:pPr>
      <w:r>
        <w:rPr>
          <w:rFonts w:hint="eastAsia" w:hAnsi="宋体"/>
          <w:b/>
        </w:rPr>
        <w:t>（</w:t>
      </w:r>
      <w:r>
        <w:rPr>
          <w:rFonts w:hAnsi="宋体"/>
          <w:b/>
        </w:rPr>
        <w:t>1</w:t>
      </w:r>
      <w:r>
        <w:rPr>
          <w:rFonts w:hint="eastAsia" w:hAnsi="宋体"/>
          <w:b/>
        </w:rPr>
        <w:t>）不同投标人的投标文件由同一单位或者个人编制；或者不同投标人报名的</w:t>
      </w:r>
      <w:r>
        <w:rPr>
          <w:rFonts w:hAnsi="宋体"/>
          <w:b/>
        </w:rPr>
        <w:t>IP</w:t>
      </w:r>
      <w:r>
        <w:rPr>
          <w:rFonts w:hint="eastAsia" w:hAnsi="宋体"/>
          <w:b/>
        </w:rPr>
        <w:t>地址一致的；或者编制标书硬件设备</w:t>
      </w:r>
      <w:r>
        <w:rPr>
          <w:rFonts w:hAnsi="宋体"/>
          <w:b/>
        </w:rPr>
        <w:t>CPU</w:t>
      </w:r>
      <w:r>
        <w:rPr>
          <w:rFonts w:hint="eastAsia" w:hAnsi="宋体"/>
          <w:b/>
        </w:rPr>
        <w:t>编号、硬盘编号、网卡地址一致的情况。</w:t>
      </w:r>
    </w:p>
    <w:p w14:paraId="0AB19841">
      <w:pPr>
        <w:spacing w:line="360" w:lineRule="auto"/>
        <w:ind w:firstLine="422" w:firstLineChars="200"/>
        <w:rPr>
          <w:rFonts w:hAnsi="宋体"/>
          <w:b/>
        </w:rPr>
      </w:pPr>
      <w:r>
        <w:rPr>
          <w:rFonts w:hint="eastAsia" w:hAnsi="宋体"/>
          <w:b/>
        </w:rPr>
        <w:t>（</w:t>
      </w:r>
      <w:r>
        <w:rPr>
          <w:rFonts w:hAnsi="宋体"/>
          <w:b/>
        </w:rPr>
        <w:t>2</w:t>
      </w:r>
      <w:r>
        <w:rPr>
          <w:rFonts w:hint="eastAsia" w:hAnsi="宋体"/>
          <w:b/>
        </w:rPr>
        <w:t>）不同投标人委托同一单位或者个人办理投标事宜；</w:t>
      </w:r>
    </w:p>
    <w:p w14:paraId="55D75BF2">
      <w:pPr>
        <w:spacing w:line="360" w:lineRule="auto"/>
        <w:ind w:firstLine="422" w:firstLineChars="200"/>
        <w:rPr>
          <w:rFonts w:hAnsi="宋体"/>
          <w:b/>
        </w:rPr>
      </w:pPr>
      <w:r>
        <w:rPr>
          <w:rFonts w:hint="eastAsia" w:hAnsi="宋体"/>
          <w:b/>
        </w:rPr>
        <w:t>（</w:t>
      </w:r>
      <w:r>
        <w:rPr>
          <w:rFonts w:hAnsi="宋体"/>
          <w:b/>
        </w:rPr>
        <w:t>3</w:t>
      </w:r>
      <w:r>
        <w:rPr>
          <w:rFonts w:hint="eastAsia" w:hAnsi="宋体"/>
          <w:b/>
        </w:rPr>
        <w:t>）不同的投标人的投标文件载明的项目管理员为同一个人；</w:t>
      </w:r>
    </w:p>
    <w:p w14:paraId="687A9B70">
      <w:pPr>
        <w:spacing w:line="360" w:lineRule="auto"/>
        <w:ind w:firstLine="422" w:firstLineChars="200"/>
        <w:rPr>
          <w:rFonts w:hAnsi="宋体"/>
          <w:b/>
        </w:rPr>
      </w:pPr>
      <w:r>
        <w:rPr>
          <w:rFonts w:hint="eastAsia" w:hAnsi="宋体"/>
          <w:b/>
        </w:rPr>
        <w:t>（</w:t>
      </w:r>
      <w:r>
        <w:rPr>
          <w:rFonts w:hAnsi="宋体"/>
          <w:b/>
        </w:rPr>
        <w:t>4</w:t>
      </w:r>
      <w:r>
        <w:rPr>
          <w:rFonts w:hint="eastAsia" w:hAnsi="宋体"/>
          <w:b/>
        </w:rPr>
        <w:t>）不同投标人的电子或纸质投标文件异常一致或者投标报价呈规律性差异；</w:t>
      </w:r>
    </w:p>
    <w:p w14:paraId="5BB05E8C">
      <w:pPr>
        <w:spacing w:line="360" w:lineRule="auto"/>
        <w:ind w:firstLine="422" w:firstLineChars="200"/>
        <w:rPr>
          <w:rFonts w:hAnsi="宋体"/>
          <w:b/>
        </w:rPr>
      </w:pPr>
      <w:r>
        <w:rPr>
          <w:rFonts w:hint="eastAsia" w:hAnsi="宋体"/>
          <w:b/>
        </w:rPr>
        <w:t>（</w:t>
      </w:r>
      <w:r>
        <w:rPr>
          <w:rFonts w:hAnsi="宋体"/>
          <w:b/>
        </w:rPr>
        <w:t>5</w:t>
      </w:r>
      <w:r>
        <w:rPr>
          <w:rFonts w:hint="eastAsia" w:hAnsi="宋体"/>
          <w:b/>
        </w:rPr>
        <w:t>）不同投标人的纸质投标文件相互混装；</w:t>
      </w:r>
    </w:p>
    <w:p w14:paraId="2BCF3EB9">
      <w:pPr>
        <w:spacing w:line="360" w:lineRule="auto"/>
        <w:ind w:firstLine="420" w:firstLineChars="200"/>
        <w:rPr>
          <w:rFonts w:ascii="宋体" w:hAnsi="宋体"/>
          <w:szCs w:val="21"/>
        </w:rPr>
      </w:pPr>
      <w:r>
        <w:rPr>
          <w:rFonts w:hint="eastAsia" w:ascii="宋体" w:hAnsi="宋体"/>
          <w:szCs w:val="21"/>
        </w:rPr>
        <w:t>9.3供应商有下列情形之一的，属于恶意串通行为，将报同级监督管理部门：</w:t>
      </w:r>
    </w:p>
    <w:p w14:paraId="12E41CB6">
      <w:pPr>
        <w:spacing w:line="360" w:lineRule="auto"/>
        <w:ind w:firstLine="420" w:firstLineChars="200"/>
        <w:rPr>
          <w:rFonts w:hAnsi="宋体"/>
        </w:rPr>
      </w:pPr>
      <w:r>
        <w:rPr>
          <w:rFonts w:hint="eastAsia" w:hAnsi="宋体"/>
        </w:rPr>
        <w:t>（</w:t>
      </w:r>
      <w:r>
        <w:rPr>
          <w:rFonts w:hAnsi="宋体"/>
        </w:rPr>
        <w:t>1</w:t>
      </w:r>
      <w:r>
        <w:rPr>
          <w:rFonts w:hint="eastAsia" w:hAnsi="宋体"/>
        </w:rPr>
        <w:t>）供应商直接或者间接从采购人或者采购代理机构处获得其他供应商的相关信息并修改其投标文件或者投标文件；</w:t>
      </w:r>
    </w:p>
    <w:p w14:paraId="409CBE2B">
      <w:pPr>
        <w:spacing w:line="360" w:lineRule="auto"/>
        <w:ind w:firstLine="420" w:firstLineChars="200"/>
        <w:rPr>
          <w:rFonts w:hAnsi="宋体"/>
        </w:rPr>
      </w:pPr>
      <w:r>
        <w:rPr>
          <w:rFonts w:hint="eastAsia" w:hAnsi="宋体"/>
        </w:rPr>
        <w:t>（</w:t>
      </w:r>
      <w:r>
        <w:rPr>
          <w:rFonts w:hAnsi="宋体"/>
        </w:rPr>
        <w:t>2</w:t>
      </w:r>
      <w:r>
        <w:rPr>
          <w:rFonts w:hint="eastAsia" w:hAnsi="宋体"/>
        </w:rPr>
        <w:t>）供应商按照采购人或者采购代理机构的授意撤换、修改投标文件或者投标文件；</w:t>
      </w:r>
    </w:p>
    <w:p w14:paraId="3D201F69">
      <w:pPr>
        <w:spacing w:line="360" w:lineRule="auto"/>
        <w:ind w:firstLine="420" w:firstLineChars="200"/>
        <w:rPr>
          <w:rFonts w:hAnsi="宋体"/>
        </w:rPr>
      </w:pPr>
      <w:r>
        <w:rPr>
          <w:rFonts w:hint="eastAsia" w:hAnsi="宋体"/>
        </w:rPr>
        <w:t>（</w:t>
      </w:r>
      <w:r>
        <w:rPr>
          <w:rFonts w:hAnsi="宋体"/>
        </w:rPr>
        <w:t>3</w:t>
      </w:r>
      <w:r>
        <w:rPr>
          <w:rFonts w:hint="eastAsia" w:hAnsi="宋体"/>
        </w:rPr>
        <w:t>）供应商之间协商报价、技术方案等投标文件或者投标文件的实质性内容；</w:t>
      </w:r>
    </w:p>
    <w:p w14:paraId="5481FD28">
      <w:pPr>
        <w:spacing w:line="360" w:lineRule="auto"/>
        <w:ind w:firstLine="420" w:firstLineChars="200"/>
        <w:rPr>
          <w:rFonts w:hAnsi="宋体"/>
        </w:rPr>
      </w:pPr>
      <w:r>
        <w:rPr>
          <w:rFonts w:hint="eastAsia" w:hAnsi="宋体"/>
        </w:rPr>
        <w:t>（</w:t>
      </w:r>
      <w:r>
        <w:rPr>
          <w:rFonts w:hAnsi="宋体"/>
        </w:rPr>
        <w:t>4</w:t>
      </w:r>
      <w:r>
        <w:rPr>
          <w:rFonts w:hint="eastAsia" w:hAnsi="宋体"/>
        </w:rPr>
        <w:t>）属于同一集团、协会、商会等组织成员的供应商按照该组织要求协同参加政府采购活动；</w:t>
      </w:r>
    </w:p>
    <w:p w14:paraId="29580D0D">
      <w:pPr>
        <w:spacing w:line="360" w:lineRule="auto"/>
        <w:ind w:firstLine="420" w:firstLineChars="200"/>
        <w:rPr>
          <w:rFonts w:hAnsi="宋体"/>
        </w:rPr>
      </w:pPr>
      <w:r>
        <w:rPr>
          <w:rFonts w:hint="eastAsia" w:hAnsi="宋体"/>
        </w:rPr>
        <w:t>（</w:t>
      </w:r>
      <w:r>
        <w:rPr>
          <w:rFonts w:hAnsi="宋体"/>
        </w:rPr>
        <w:t>5</w:t>
      </w:r>
      <w:r>
        <w:rPr>
          <w:rFonts w:hint="eastAsia" w:hAnsi="宋体"/>
        </w:rPr>
        <w:t>）供应商之间事先约定一致抬高或者压低投标报价，或者在招标项目中事先约定轮流以高价位或者低价位中标，或者事先约定由某一特定供应商中标，然后再参加投标；</w:t>
      </w:r>
    </w:p>
    <w:p w14:paraId="3BD6D09E">
      <w:pPr>
        <w:spacing w:line="360" w:lineRule="auto"/>
        <w:ind w:firstLine="420" w:firstLineChars="200"/>
        <w:rPr>
          <w:rFonts w:hAnsi="宋体"/>
        </w:rPr>
      </w:pPr>
      <w:r>
        <w:rPr>
          <w:rFonts w:hint="eastAsia" w:hAnsi="宋体"/>
        </w:rPr>
        <w:t>（</w:t>
      </w:r>
      <w:r>
        <w:rPr>
          <w:rFonts w:hAnsi="宋体"/>
        </w:rPr>
        <w:t>6</w:t>
      </w:r>
      <w:r>
        <w:rPr>
          <w:rFonts w:hint="eastAsia" w:hAnsi="宋体"/>
        </w:rPr>
        <w:t>）供应商之间商定部分供应商放弃参加政府采购活动或者放弃中标；</w:t>
      </w:r>
    </w:p>
    <w:p w14:paraId="74AF6AF7">
      <w:pPr>
        <w:spacing w:line="360" w:lineRule="auto"/>
        <w:ind w:firstLine="420" w:firstLineChars="200"/>
        <w:rPr>
          <w:rFonts w:hAnsi="宋体"/>
        </w:rPr>
      </w:pPr>
      <w:r>
        <w:rPr>
          <w:rFonts w:hint="eastAsia" w:hAnsi="宋体"/>
        </w:rPr>
        <w:t>（</w:t>
      </w:r>
      <w:r>
        <w:rPr>
          <w:rFonts w:hAnsi="宋体"/>
        </w:rPr>
        <w:t>7</w:t>
      </w:r>
      <w:r>
        <w:rPr>
          <w:rFonts w:hint="eastAsia" w:hAnsi="宋体"/>
        </w:rPr>
        <w:t>）供应商与采购人或者采购代理机构之间、供应商相互之间，为谋求特定供应商中标或者排斥其他供应商的其他串通行为。</w:t>
      </w:r>
    </w:p>
    <w:p w14:paraId="57D0EA84">
      <w:pPr>
        <w:pStyle w:val="18"/>
        <w:snapToGrid w:val="0"/>
        <w:spacing w:line="360" w:lineRule="auto"/>
        <w:ind w:left="2" w:leftChars="1" w:firstLine="422" w:firstLineChars="200"/>
        <w:rPr>
          <w:rFonts w:hAnsi="宋体"/>
          <w:b/>
        </w:rPr>
      </w:pPr>
    </w:p>
    <w:p w14:paraId="593658B3">
      <w:pPr>
        <w:pStyle w:val="5"/>
        <w:keepNext w:val="0"/>
        <w:keepLines w:val="0"/>
        <w:spacing w:line="400" w:lineRule="exact"/>
        <w:jc w:val="center"/>
      </w:pPr>
      <w:bookmarkStart w:id="72" w:name="_Toc254970675"/>
      <w:bookmarkStart w:id="73" w:name="_Toc187761555"/>
      <w:bookmarkStart w:id="74" w:name="_Toc254970534"/>
      <w:r>
        <w:rPr>
          <w:rFonts w:hint="eastAsia"/>
        </w:rPr>
        <w:t>二、招标文件</w:t>
      </w:r>
      <w:bookmarkEnd w:id="72"/>
      <w:bookmarkEnd w:id="73"/>
      <w:bookmarkEnd w:id="74"/>
    </w:p>
    <w:p w14:paraId="127AAB8C">
      <w:pPr>
        <w:spacing w:line="360" w:lineRule="auto"/>
        <w:ind w:firstLine="480" w:firstLineChars="200"/>
        <w:rPr>
          <w:rFonts w:ascii="黑体" w:hAnsi="黑体" w:eastAsia="黑体"/>
          <w:sz w:val="24"/>
        </w:rPr>
      </w:pPr>
      <w:r>
        <w:rPr>
          <w:rFonts w:hint="eastAsia" w:ascii="黑体" w:hAnsi="黑体" w:eastAsia="黑体"/>
          <w:sz w:val="24"/>
        </w:rPr>
        <w:t>10.招标文件的组成</w:t>
      </w:r>
    </w:p>
    <w:p w14:paraId="61279B18">
      <w:pPr>
        <w:spacing w:line="360" w:lineRule="auto"/>
        <w:ind w:firstLine="420" w:firstLineChars="200"/>
        <w:rPr>
          <w:rFonts w:ascii="宋体" w:hAnsi="宋体"/>
          <w:szCs w:val="21"/>
        </w:rPr>
      </w:pPr>
      <w:r>
        <w:rPr>
          <w:rFonts w:hint="eastAsia" w:ascii="宋体" w:hAnsi="宋体"/>
          <w:szCs w:val="21"/>
        </w:rPr>
        <w:t>第一章 招标公告；</w:t>
      </w:r>
    </w:p>
    <w:p w14:paraId="313A6C05">
      <w:pPr>
        <w:spacing w:line="360" w:lineRule="auto"/>
        <w:ind w:firstLine="420" w:firstLineChars="200"/>
        <w:rPr>
          <w:rFonts w:ascii="宋体" w:hAnsi="宋体"/>
          <w:szCs w:val="21"/>
        </w:rPr>
      </w:pPr>
      <w:r>
        <w:rPr>
          <w:rFonts w:hint="eastAsia" w:ascii="宋体" w:hAnsi="宋体"/>
          <w:szCs w:val="21"/>
        </w:rPr>
        <w:t xml:space="preserve">第二章 采购需求； </w:t>
      </w:r>
    </w:p>
    <w:p w14:paraId="453A86F0">
      <w:pPr>
        <w:spacing w:line="360" w:lineRule="auto"/>
        <w:ind w:firstLine="420" w:firstLineChars="200"/>
        <w:rPr>
          <w:rFonts w:ascii="宋体" w:hAnsi="宋体"/>
          <w:szCs w:val="21"/>
        </w:rPr>
      </w:pPr>
      <w:r>
        <w:rPr>
          <w:rFonts w:hint="eastAsia" w:ascii="宋体" w:hAnsi="宋体"/>
          <w:szCs w:val="21"/>
        </w:rPr>
        <w:t>第三章 投标人须知；</w:t>
      </w:r>
    </w:p>
    <w:p w14:paraId="19DEA82A">
      <w:pPr>
        <w:spacing w:line="360" w:lineRule="auto"/>
        <w:ind w:firstLine="420" w:firstLineChars="200"/>
        <w:rPr>
          <w:rFonts w:ascii="宋体" w:hAnsi="宋体"/>
          <w:szCs w:val="21"/>
        </w:rPr>
      </w:pPr>
      <w:r>
        <w:rPr>
          <w:rFonts w:hint="eastAsia" w:ascii="宋体" w:hAnsi="宋体"/>
          <w:szCs w:val="21"/>
        </w:rPr>
        <w:t>第四章 评标方法及评标标准；</w:t>
      </w:r>
    </w:p>
    <w:p w14:paraId="10356D78">
      <w:pPr>
        <w:spacing w:line="360" w:lineRule="auto"/>
        <w:ind w:firstLine="420" w:firstLineChars="200"/>
        <w:rPr>
          <w:rFonts w:ascii="宋体" w:hAnsi="宋体"/>
          <w:szCs w:val="21"/>
        </w:rPr>
      </w:pPr>
      <w:r>
        <w:rPr>
          <w:rFonts w:hint="eastAsia" w:ascii="宋体" w:hAnsi="宋体"/>
          <w:szCs w:val="21"/>
        </w:rPr>
        <w:t>第五章 拟签订的合同文本；</w:t>
      </w:r>
    </w:p>
    <w:p w14:paraId="4279ADD3">
      <w:pPr>
        <w:spacing w:line="360" w:lineRule="auto"/>
        <w:ind w:firstLine="420" w:firstLineChars="200"/>
        <w:rPr>
          <w:rFonts w:ascii="宋体" w:hAnsi="宋体"/>
          <w:szCs w:val="21"/>
        </w:rPr>
      </w:pPr>
      <w:r>
        <w:rPr>
          <w:rFonts w:hint="eastAsia" w:ascii="宋体" w:hAnsi="宋体"/>
          <w:szCs w:val="21"/>
        </w:rPr>
        <w:t>第六章 投标文件格式；</w:t>
      </w:r>
    </w:p>
    <w:p w14:paraId="56156B2D">
      <w:pPr>
        <w:spacing w:line="360" w:lineRule="auto"/>
        <w:ind w:firstLine="420" w:firstLineChars="200"/>
        <w:rPr>
          <w:rFonts w:ascii="宋体" w:hAnsi="宋体"/>
          <w:szCs w:val="21"/>
        </w:rPr>
      </w:pPr>
      <w:r>
        <w:rPr>
          <w:rFonts w:hint="eastAsia" w:ascii="宋体" w:hAnsi="宋体"/>
          <w:szCs w:val="21"/>
        </w:rPr>
        <w:t>第七章 质疑、投诉材料格式</w:t>
      </w:r>
    </w:p>
    <w:p w14:paraId="1D9EBFA0">
      <w:pPr>
        <w:spacing w:line="360" w:lineRule="auto"/>
        <w:ind w:firstLine="420" w:firstLineChars="200"/>
        <w:rPr>
          <w:rFonts w:hAnsi="宋体"/>
        </w:rPr>
      </w:pPr>
      <w:r>
        <w:rPr>
          <w:rFonts w:hint="eastAsia" w:hAnsi="宋体"/>
        </w:rPr>
        <w:t>根据本章第</w:t>
      </w:r>
      <w:r>
        <w:rPr>
          <w:rFonts w:hAnsi="宋体"/>
        </w:rPr>
        <w:t>11.1</w:t>
      </w:r>
      <w:r>
        <w:rPr>
          <w:rFonts w:hint="eastAsia" w:hAnsi="宋体"/>
        </w:rPr>
        <w:t>项的规定对公开招标文件所做的澄清、修改，构成招标文件的组成部分。当公开招标文件与招标文件的澄清和修改就同一内容的表述不一致时，</w:t>
      </w:r>
      <w:r>
        <w:rPr>
          <w:rFonts w:hint="eastAsia"/>
        </w:rPr>
        <w:t>以最后澄清或修改公告为准。</w:t>
      </w:r>
    </w:p>
    <w:p w14:paraId="5E4EADA5">
      <w:pPr>
        <w:spacing w:line="360" w:lineRule="auto"/>
        <w:ind w:firstLine="480" w:firstLineChars="200"/>
        <w:rPr>
          <w:rFonts w:ascii="黑体" w:hAnsi="黑体" w:eastAsia="黑体"/>
          <w:sz w:val="24"/>
        </w:rPr>
      </w:pPr>
      <w:r>
        <w:rPr>
          <w:rFonts w:hint="eastAsia" w:ascii="黑体" w:hAnsi="黑体" w:eastAsia="黑体"/>
          <w:sz w:val="24"/>
        </w:rPr>
        <w:t>11.招标文件的澄清、修改 、现场考察和答疑会</w:t>
      </w:r>
    </w:p>
    <w:p w14:paraId="03E61F5A">
      <w:pPr>
        <w:spacing w:line="360" w:lineRule="auto"/>
        <w:ind w:firstLine="422" w:firstLineChars="200"/>
        <w:rPr>
          <w:rFonts w:ascii="宋体" w:hAnsi="宋体"/>
          <w:b/>
          <w:szCs w:val="21"/>
        </w:rPr>
      </w:pPr>
      <w:r>
        <w:rPr>
          <w:rFonts w:hint="eastAsia" w:ascii="宋体" w:hAnsi="宋体"/>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28CC78B6">
      <w:pPr>
        <w:spacing w:line="360" w:lineRule="auto"/>
        <w:ind w:firstLine="420" w:firstLineChars="200"/>
        <w:rPr>
          <w:rFonts w:hAnsi="宋体"/>
        </w:rPr>
      </w:pPr>
      <w:r>
        <w:rPr>
          <w:rFonts w:hAnsi="宋体"/>
        </w:rPr>
        <w:t xml:space="preserve">11.2 </w:t>
      </w:r>
      <w:r>
        <w:rPr>
          <w:rFonts w:hint="eastAsia" w:hAnsi="宋体"/>
        </w:rPr>
        <w:t>投标人应认真审阅本公开招标文件，如有疑问，或发现其中有误或有要求不合理的，应在投标人须知前附表规定的</w:t>
      </w:r>
      <w:r>
        <w:rPr>
          <w:rFonts w:hint="eastAsia" w:cs="宋体"/>
          <w:kern w:val="0"/>
          <w:szCs w:val="21"/>
        </w:rPr>
        <w:t>投标截止时间</w:t>
      </w:r>
      <w:r>
        <w:rPr>
          <w:rFonts w:hint="eastAsia" w:hAnsi="宋体"/>
        </w:rPr>
        <w:t>前以书面形式要求采购人或采购代理机构对招标文件予以澄清；否则，由此产生的后果由投标人自行负责。</w:t>
      </w:r>
    </w:p>
    <w:p w14:paraId="5FD39404">
      <w:pPr>
        <w:spacing w:line="360" w:lineRule="auto"/>
        <w:ind w:firstLine="420" w:firstLineChars="200"/>
      </w:pPr>
      <w:r>
        <w:rPr>
          <w:rFonts w:hAnsi="宋体"/>
        </w:rPr>
        <w:t xml:space="preserve">11.3 </w:t>
      </w:r>
      <w:r>
        <w:rPr>
          <w:rFonts w:hint="eastAsia" w:hAnsi="宋体"/>
        </w:rPr>
        <w:t>采购人或者采购代理机构可以对已发出的招标文件进行必要的澄清或者修改。澄清或者修改的内容可能影响投标文件编制的，采购人或者采购代理机构应当在投标截止时间至少</w:t>
      </w:r>
      <w:r>
        <w:rPr>
          <w:rFonts w:hAnsi="宋体"/>
        </w:rPr>
        <w:t>15</w:t>
      </w:r>
      <w:r>
        <w:rPr>
          <w:rFonts w:hint="eastAsia" w:hAnsi="宋体"/>
        </w:rPr>
        <w:t>日前，以书面形式通知</w:t>
      </w:r>
      <w:r>
        <w:rPr>
          <w:rFonts w:hAnsi="宋体"/>
        </w:rPr>
        <w:t>(</w:t>
      </w:r>
      <w:r>
        <w:rPr>
          <w:rFonts w:hint="eastAsia" w:hAnsi="宋体"/>
        </w:rPr>
        <w:t>在“</w:t>
      </w:r>
      <w:r>
        <w:rPr>
          <w:rFonts w:hint="eastAsia" w:hAnsi="宋体"/>
          <w:szCs w:val="21"/>
        </w:rPr>
        <w:t>投标人须知前附表”</w:t>
      </w:r>
      <w:r>
        <w:rPr>
          <w:rFonts w:hint="eastAsia" w:hAnsi="宋体"/>
        </w:rPr>
        <w:t>规定的政府采购信息发布媒体上发布更正公告及平台短信通知</w:t>
      </w:r>
      <w:r>
        <w:rPr>
          <w:rFonts w:hAnsi="宋体"/>
        </w:rPr>
        <w:t>)</w:t>
      </w:r>
      <w:r>
        <w:rPr>
          <w:rFonts w:hint="eastAsia" w:hAnsi="宋体"/>
        </w:rPr>
        <w:t>所有获取招标文件的潜在投标人；不足</w:t>
      </w:r>
      <w:r>
        <w:rPr>
          <w:rFonts w:hAnsi="宋体"/>
        </w:rPr>
        <w:t>15</w:t>
      </w:r>
      <w:r>
        <w:rPr>
          <w:rFonts w:hint="eastAsia" w:hAnsi="宋体"/>
        </w:rPr>
        <w:t>日的，采购人或者采购代理机构应当顺延提交投标文件的截止时间。发出的澄清或者修改不影响投标文件编制的也应在截标前</w:t>
      </w:r>
      <w:r>
        <w:rPr>
          <w:rFonts w:hAnsi="宋体"/>
        </w:rPr>
        <w:t>3</w:t>
      </w:r>
      <w:r>
        <w:rPr>
          <w:rFonts w:hint="eastAsia" w:hAnsi="宋体"/>
        </w:rPr>
        <w:t>日发出。</w:t>
      </w:r>
    </w:p>
    <w:p w14:paraId="57C10356">
      <w:pPr>
        <w:spacing w:line="360" w:lineRule="auto"/>
        <w:ind w:firstLine="420" w:firstLineChars="200"/>
      </w:pPr>
      <w:r>
        <w:rPr>
          <w:rFonts w:hAnsi="宋体"/>
        </w:rPr>
        <w:t xml:space="preserve">11.4 </w:t>
      </w:r>
      <w:r>
        <w:rPr>
          <w:rFonts w:hint="eastAsia"/>
        </w:rPr>
        <w:t>采购人和采购代理机构可以视采购具体情况，变更投标截止时间和开标时间，将变更时间将在</w:t>
      </w:r>
      <w:r>
        <w:rPr>
          <w:rFonts w:hint="eastAsia" w:hAnsi="宋体"/>
        </w:rPr>
        <w:t>“</w:t>
      </w:r>
      <w:r>
        <w:rPr>
          <w:rFonts w:hint="eastAsia" w:hAnsi="宋体"/>
          <w:szCs w:val="21"/>
        </w:rPr>
        <w:t>投标人须知前附表”</w:t>
      </w:r>
      <w:r>
        <w:rPr>
          <w:rFonts w:hint="eastAsia" w:cs="宋体"/>
          <w:kern w:val="0"/>
          <w:szCs w:val="21"/>
        </w:rPr>
        <w:t>规定的政府采购信息发布媒体上</w:t>
      </w:r>
      <w:r>
        <w:rPr>
          <w:rFonts w:hint="eastAsia"/>
        </w:rPr>
        <w:t>发布更正公告。</w:t>
      </w:r>
    </w:p>
    <w:p w14:paraId="67674E1D">
      <w:pPr>
        <w:spacing w:line="360" w:lineRule="auto"/>
        <w:ind w:firstLine="420" w:firstLineChars="200"/>
        <w:rPr>
          <w:rFonts w:hAnsi="宋体"/>
        </w:rPr>
      </w:pPr>
      <w:r>
        <w:rPr>
          <w:rFonts w:hAnsi="宋体"/>
        </w:rPr>
        <w:t>11.</w:t>
      </w:r>
      <w:bookmarkStart w:id="75" w:name="_Hlk53134511"/>
      <w:r>
        <w:rPr>
          <w:rFonts w:hAnsi="宋体"/>
        </w:rPr>
        <w:t>5</w:t>
      </w:r>
      <w:r>
        <w:rPr>
          <w:rFonts w:hint="eastAsia" w:hAnsi="宋体"/>
        </w:rPr>
        <w:t>采购人或者采购代理机构可以在招标文件提供期限截止后，组织已获取招标文件的潜在投标人现场考察或者召开开标前答疑会，具体详见“投标人须知前附表”。</w:t>
      </w:r>
    </w:p>
    <w:bookmarkEnd w:id="75"/>
    <w:p w14:paraId="50A4CBDB">
      <w:pPr>
        <w:pStyle w:val="5"/>
        <w:keepNext w:val="0"/>
        <w:keepLines w:val="0"/>
        <w:spacing w:line="400" w:lineRule="exact"/>
        <w:jc w:val="center"/>
      </w:pPr>
      <w:bookmarkStart w:id="76" w:name="_Toc254970676"/>
      <w:bookmarkStart w:id="77" w:name="_Toc254970535"/>
      <w:bookmarkStart w:id="78" w:name="_Toc187761556"/>
      <w:r>
        <w:rPr>
          <w:rFonts w:hint="eastAsia"/>
        </w:rPr>
        <w:t>三、投标文件的编制</w:t>
      </w:r>
      <w:bookmarkEnd w:id="76"/>
      <w:bookmarkEnd w:id="77"/>
      <w:bookmarkEnd w:id="78"/>
    </w:p>
    <w:p w14:paraId="3948496A">
      <w:pPr>
        <w:spacing w:line="360" w:lineRule="auto"/>
        <w:ind w:firstLine="480" w:firstLineChars="200"/>
        <w:rPr>
          <w:rFonts w:ascii="黑体" w:hAnsi="黑体" w:eastAsia="黑体"/>
          <w:sz w:val="24"/>
        </w:rPr>
      </w:pPr>
      <w:bookmarkStart w:id="79" w:name="_Toc254970536"/>
      <w:bookmarkStart w:id="80" w:name="_Toc254970677"/>
      <w:r>
        <w:rPr>
          <w:rFonts w:hint="eastAsia" w:ascii="黑体" w:hAnsi="黑体" w:eastAsia="黑体"/>
          <w:sz w:val="24"/>
        </w:rPr>
        <w:t>12.投标文件的编制原则</w:t>
      </w:r>
    </w:p>
    <w:p w14:paraId="5336DCA6">
      <w:pPr>
        <w:spacing w:line="360" w:lineRule="auto"/>
        <w:ind w:firstLine="420" w:firstLineChars="200"/>
        <w:rPr>
          <w:rFonts w:ascii="宋体" w:hAnsi="宋体"/>
          <w:szCs w:val="21"/>
        </w:rPr>
      </w:pPr>
      <w:r>
        <w:rPr>
          <w:rFonts w:hint="eastAsia" w:ascii="宋体" w:hAnsi="宋体"/>
          <w:szCs w:val="21"/>
        </w:rPr>
        <w:t>12.1投标人必须按照招标文件的要求编制投标文件。投标文件必须对招标文件提出的要求和条件作出明确响应。</w:t>
      </w:r>
    </w:p>
    <w:p w14:paraId="05F0DD1C">
      <w:pPr>
        <w:spacing w:line="360" w:lineRule="auto"/>
        <w:ind w:firstLine="420" w:firstLineChars="200"/>
        <w:rPr>
          <w:rFonts w:ascii="宋体" w:hAnsi="宋体"/>
          <w:szCs w:val="21"/>
        </w:rPr>
      </w:pPr>
      <w:r>
        <w:rPr>
          <w:rFonts w:hint="eastAsia" w:ascii="宋体" w:hAnsi="宋体"/>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71BF684F">
      <w:pPr>
        <w:spacing w:line="360" w:lineRule="auto"/>
        <w:ind w:firstLine="480" w:firstLineChars="200"/>
        <w:rPr>
          <w:rFonts w:ascii="黑体" w:hAnsi="黑体" w:eastAsia="黑体"/>
          <w:sz w:val="24"/>
        </w:rPr>
      </w:pPr>
      <w:r>
        <w:rPr>
          <w:rFonts w:hint="eastAsia" w:ascii="黑体" w:hAnsi="黑体" w:eastAsia="黑体"/>
          <w:sz w:val="24"/>
        </w:rPr>
        <w:t>13.投标文件的组成</w:t>
      </w:r>
      <w:bookmarkEnd w:id="79"/>
      <w:bookmarkEnd w:id="80"/>
    </w:p>
    <w:p w14:paraId="4E4319FA">
      <w:pPr>
        <w:spacing w:line="360" w:lineRule="auto"/>
        <w:ind w:firstLine="420" w:firstLineChars="200"/>
        <w:rPr>
          <w:rFonts w:ascii="宋体" w:hAnsi="宋体"/>
          <w:szCs w:val="21"/>
        </w:rPr>
      </w:pPr>
      <w:r>
        <w:rPr>
          <w:rFonts w:hint="eastAsia" w:ascii="宋体" w:hAnsi="宋体"/>
          <w:szCs w:val="21"/>
        </w:rPr>
        <w:t>13.1投标文件由报价文件、资格证明文件、商务文件、技术文件四部分组成。</w:t>
      </w:r>
    </w:p>
    <w:p w14:paraId="30CC9ACA">
      <w:pPr>
        <w:spacing w:line="360" w:lineRule="auto"/>
        <w:ind w:firstLine="420" w:firstLineChars="200"/>
        <w:rPr>
          <w:rFonts w:ascii="宋体" w:hAnsi="宋体"/>
          <w:bCs/>
          <w:szCs w:val="21"/>
        </w:rPr>
      </w:pPr>
      <w:bookmarkStart w:id="81" w:name="_13.2资格证明文件：具体材料见“投标人须知前附表”。"/>
      <w:bookmarkEnd w:id="81"/>
      <w:bookmarkStart w:id="82" w:name="_13.1报价文件:_具体材料见“投标人须知前附表”。"/>
      <w:bookmarkEnd w:id="82"/>
      <w:r>
        <w:rPr>
          <w:rFonts w:hint="eastAsia" w:ascii="宋体" w:hAnsi="宋体"/>
          <w:bCs/>
          <w:szCs w:val="21"/>
        </w:rPr>
        <w:t>（1）资格证明文件：具体材料见“投标人须知前附表”。</w:t>
      </w:r>
    </w:p>
    <w:p w14:paraId="47D5598E">
      <w:pPr>
        <w:spacing w:line="360" w:lineRule="auto"/>
        <w:ind w:firstLine="420" w:firstLineChars="200"/>
        <w:rPr>
          <w:rFonts w:ascii="宋体" w:hAnsi="宋体"/>
          <w:bCs/>
          <w:szCs w:val="21"/>
        </w:rPr>
      </w:pPr>
      <w:bookmarkStart w:id="83" w:name="_13.3商务文件:_具体材料见“投标人须知前附表”。"/>
      <w:bookmarkEnd w:id="83"/>
      <w:r>
        <w:rPr>
          <w:rFonts w:hint="eastAsia" w:ascii="宋体" w:hAnsi="宋体"/>
          <w:bCs/>
          <w:szCs w:val="21"/>
        </w:rPr>
        <w:t>（2）商务文件：具体材料见“投标人须知前附表”。</w:t>
      </w:r>
    </w:p>
    <w:p w14:paraId="72CF1F2F">
      <w:pPr>
        <w:spacing w:line="360" w:lineRule="auto"/>
        <w:ind w:firstLine="420" w:firstLineChars="200"/>
        <w:rPr>
          <w:rFonts w:ascii="宋体" w:hAnsi="宋体"/>
          <w:bCs/>
          <w:szCs w:val="21"/>
        </w:rPr>
      </w:pPr>
      <w:bookmarkStart w:id="84" w:name="_13.4技术文件：具体材料见“投标人须知前附表”。"/>
      <w:bookmarkEnd w:id="84"/>
      <w:r>
        <w:rPr>
          <w:rFonts w:hint="eastAsia" w:ascii="宋体" w:hAnsi="宋体"/>
          <w:bCs/>
          <w:szCs w:val="21"/>
        </w:rPr>
        <w:t xml:space="preserve">（3）技术文件：具体材料见“投标人须知前附表”。 </w:t>
      </w:r>
    </w:p>
    <w:p w14:paraId="1A515E50">
      <w:pPr>
        <w:spacing w:line="360" w:lineRule="auto"/>
        <w:ind w:firstLine="420" w:firstLineChars="200"/>
        <w:rPr>
          <w:rFonts w:ascii="宋体" w:hAnsi="宋体"/>
          <w:bCs/>
          <w:szCs w:val="21"/>
        </w:rPr>
      </w:pPr>
      <w:r>
        <w:rPr>
          <w:rFonts w:hint="eastAsia" w:ascii="宋体" w:hAnsi="宋体"/>
          <w:bCs/>
          <w:szCs w:val="21"/>
        </w:rPr>
        <w:t>（4）报价文件： 具体材料见“投标人须知前附表”。</w:t>
      </w:r>
    </w:p>
    <w:p w14:paraId="06207654">
      <w:pPr>
        <w:spacing w:line="360" w:lineRule="auto"/>
        <w:ind w:firstLine="420" w:firstLineChars="200"/>
        <w:rPr>
          <w:rFonts w:ascii="宋体" w:hAnsi="宋体"/>
          <w:bCs/>
          <w:szCs w:val="21"/>
        </w:rPr>
      </w:pPr>
      <w:bookmarkStart w:id="85" w:name="_13.5投标文件电子版：具体材料见“投标人须知前附表”。"/>
      <w:bookmarkEnd w:id="85"/>
      <w:r>
        <w:rPr>
          <w:rFonts w:hint="eastAsia" w:ascii="宋体" w:hAnsi="宋体"/>
          <w:bCs/>
          <w:szCs w:val="21"/>
        </w:rPr>
        <w:t>13.2投标文件电子版：具体要求见本节19.投标文件编制。</w:t>
      </w:r>
    </w:p>
    <w:p w14:paraId="462E30EF">
      <w:pPr>
        <w:spacing w:line="360" w:lineRule="auto"/>
        <w:ind w:firstLine="480" w:firstLineChars="200"/>
        <w:rPr>
          <w:rFonts w:ascii="黑体" w:hAnsi="黑体" w:eastAsia="黑体"/>
          <w:sz w:val="24"/>
        </w:rPr>
      </w:pPr>
      <w:bookmarkStart w:id="86" w:name="_Toc254970537"/>
      <w:bookmarkStart w:id="87" w:name="_Toc254970678"/>
      <w:r>
        <w:rPr>
          <w:rFonts w:hint="eastAsia" w:ascii="黑体" w:hAnsi="黑体" w:eastAsia="黑体"/>
          <w:sz w:val="24"/>
        </w:rPr>
        <w:t>14.投标文件的语言及计量</w:t>
      </w:r>
      <w:bookmarkEnd w:id="86"/>
      <w:bookmarkEnd w:id="87"/>
    </w:p>
    <w:p w14:paraId="0E623EAA">
      <w:pPr>
        <w:spacing w:line="360" w:lineRule="auto"/>
        <w:ind w:firstLine="420" w:firstLineChars="200"/>
        <w:rPr>
          <w:rFonts w:ascii="宋体" w:hAnsi="宋体"/>
          <w:bCs/>
          <w:szCs w:val="21"/>
        </w:rPr>
      </w:pPr>
      <w:r>
        <w:rPr>
          <w:rFonts w:hint="eastAsia" w:ascii="宋体" w:hAnsi="宋体"/>
          <w:bCs/>
          <w:szCs w:val="21"/>
        </w:rPr>
        <w:t>14.1语言文字</w:t>
      </w:r>
    </w:p>
    <w:p w14:paraId="0549F50E">
      <w:pPr>
        <w:spacing w:line="360" w:lineRule="auto"/>
        <w:ind w:firstLine="420" w:firstLineChars="200"/>
        <w:rPr>
          <w:rFonts w:ascii="宋体" w:hAnsi="宋体"/>
          <w:bCs/>
          <w:szCs w:val="21"/>
        </w:rPr>
      </w:pPr>
      <w:r>
        <w:rPr>
          <w:rFonts w:hint="eastAsia" w:ascii="宋体" w:hAnsi="宋体"/>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2A7722BA">
      <w:pPr>
        <w:spacing w:line="360" w:lineRule="auto"/>
        <w:ind w:firstLine="420" w:firstLineChars="200"/>
        <w:rPr>
          <w:rFonts w:ascii="宋体" w:hAnsi="宋体"/>
          <w:bCs/>
          <w:szCs w:val="21"/>
        </w:rPr>
      </w:pPr>
      <w:r>
        <w:rPr>
          <w:rFonts w:hint="eastAsia" w:ascii="宋体" w:hAnsi="宋体"/>
          <w:bCs/>
          <w:szCs w:val="21"/>
        </w:rPr>
        <w:t>14.2投标计量单位</w:t>
      </w:r>
    </w:p>
    <w:p w14:paraId="391C1E19">
      <w:pPr>
        <w:spacing w:line="360" w:lineRule="auto"/>
        <w:ind w:firstLine="420" w:firstLineChars="200"/>
        <w:rPr>
          <w:rFonts w:ascii="宋体" w:hAnsi="宋体"/>
          <w:bCs/>
          <w:szCs w:val="21"/>
        </w:rPr>
      </w:pPr>
      <w:r>
        <w:rPr>
          <w:rFonts w:hint="eastAsia" w:ascii="宋体" w:hAnsi="宋体"/>
          <w:bCs/>
          <w:szCs w:val="21"/>
        </w:rPr>
        <w:t>招标文件已有明确规定的，使用招标文件规定的计量单位；招标文件没有规定的，应采用中华人民共和国法定计量单位，货币种类为人民币，否则视同未响应。</w:t>
      </w:r>
    </w:p>
    <w:p w14:paraId="3D4D3FD4">
      <w:pPr>
        <w:spacing w:line="360" w:lineRule="auto"/>
        <w:ind w:firstLine="480" w:firstLineChars="200"/>
        <w:rPr>
          <w:rFonts w:ascii="黑体" w:hAnsi="黑体" w:eastAsia="黑体"/>
          <w:sz w:val="24"/>
        </w:rPr>
      </w:pPr>
      <w:r>
        <w:rPr>
          <w:rFonts w:hint="eastAsia" w:ascii="黑体" w:hAnsi="黑体" w:eastAsia="黑体"/>
          <w:sz w:val="24"/>
        </w:rPr>
        <w:t>15.投标文件提交的风险</w:t>
      </w:r>
    </w:p>
    <w:p w14:paraId="6AF7C9A1">
      <w:pPr>
        <w:spacing w:line="360" w:lineRule="auto"/>
        <w:ind w:firstLine="420" w:firstLineChars="200"/>
        <w:rPr>
          <w:rFonts w:hAnsi="宋体"/>
          <w:b/>
          <w:bCs/>
        </w:rPr>
      </w:pPr>
      <w:r>
        <w:rPr>
          <w:rFonts w:hint="eastAsia" w:hAnsi="宋体"/>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Pr>
          <w:rFonts w:hint="eastAsia" w:hAnsi="宋体"/>
          <w:b/>
          <w:bCs/>
        </w:rPr>
        <w:t>投标文件内容不齐全、未按规定的文件格式编制的、没有对招标文件作出实质性响应，投标无效；</w:t>
      </w:r>
    </w:p>
    <w:p w14:paraId="3B1EB287">
      <w:pPr>
        <w:spacing w:line="360" w:lineRule="auto"/>
        <w:ind w:firstLine="480" w:firstLineChars="200"/>
        <w:rPr>
          <w:rFonts w:ascii="黑体" w:hAnsi="黑体" w:eastAsia="黑体"/>
          <w:sz w:val="24"/>
        </w:rPr>
      </w:pPr>
      <w:bookmarkStart w:id="88" w:name="_Toc254970538"/>
      <w:bookmarkStart w:id="89" w:name="_Toc254970679"/>
      <w:r>
        <w:rPr>
          <w:rFonts w:hint="eastAsia" w:ascii="黑体" w:hAnsi="黑体" w:eastAsia="黑体"/>
          <w:sz w:val="24"/>
        </w:rPr>
        <w:t>16.投标报价</w:t>
      </w:r>
      <w:bookmarkEnd w:id="88"/>
      <w:bookmarkEnd w:id="89"/>
    </w:p>
    <w:p w14:paraId="27541E48">
      <w:pPr>
        <w:spacing w:line="360" w:lineRule="auto"/>
        <w:ind w:firstLine="420" w:firstLineChars="200"/>
        <w:rPr>
          <w:rFonts w:ascii="宋体" w:hAnsi="宋体"/>
          <w:bCs/>
          <w:szCs w:val="21"/>
        </w:rPr>
      </w:pPr>
      <w:r>
        <w:rPr>
          <w:rFonts w:hint="eastAsia" w:ascii="宋体" w:hAnsi="宋体"/>
          <w:bCs/>
          <w:szCs w:val="21"/>
        </w:rPr>
        <w:t>16.1投标报价应</w:t>
      </w:r>
      <w:r>
        <w:rPr>
          <w:rFonts w:hint="eastAsia" w:ascii="宋体" w:hAnsi="宋体"/>
          <w:bCs/>
          <w:szCs w:val="20"/>
        </w:rPr>
        <w:t>按“第六章　投标文件格式”中“开标一览表”格式填写。</w:t>
      </w:r>
    </w:p>
    <w:p w14:paraId="658B4942">
      <w:pPr>
        <w:spacing w:line="360" w:lineRule="auto"/>
        <w:ind w:firstLine="420" w:firstLineChars="200"/>
        <w:rPr>
          <w:rFonts w:ascii="宋体" w:hAnsi="宋体"/>
          <w:bCs/>
          <w:szCs w:val="21"/>
        </w:rPr>
      </w:pPr>
      <w:bookmarkStart w:id="90" w:name="_16.2投标报价具体定义见投标人须知前附表。"/>
      <w:bookmarkEnd w:id="90"/>
      <w:r>
        <w:rPr>
          <w:rFonts w:hint="eastAsia" w:ascii="宋体" w:hAnsi="宋体"/>
          <w:bCs/>
          <w:szCs w:val="21"/>
        </w:rPr>
        <w:t>16.2投标报价具体包括内容详见“投标人须知前附表”。</w:t>
      </w:r>
    </w:p>
    <w:p w14:paraId="697933BD">
      <w:pPr>
        <w:spacing w:line="360" w:lineRule="auto"/>
        <w:ind w:firstLine="420" w:firstLineChars="200"/>
        <w:rPr>
          <w:rFonts w:ascii="宋体" w:hAnsi="宋体"/>
          <w:bCs/>
          <w:szCs w:val="21"/>
        </w:rPr>
      </w:pPr>
      <w:r>
        <w:rPr>
          <w:rFonts w:hint="eastAsia" w:ascii="宋体" w:hAnsi="宋体"/>
          <w:bCs/>
          <w:szCs w:val="21"/>
        </w:rPr>
        <w:t>16.3投标人必须就所投每个分标的全部内容分别作完整唯一总价报价，不得存在漏项报价；投标人必须就所投分标的单项内容作唯一报价。</w:t>
      </w:r>
    </w:p>
    <w:p w14:paraId="64DC895A">
      <w:pPr>
        <w:spacing w:line="360" w:lineRule="auto"/>
        <w:ind w:firstLine="480" w:firstLineChars="200"/>
        <w:rPr>
          <w:rFonts w:ascii="黑体" w:hAnsi="黑体" w:eastAsia="黑体"/>
          <w:sz w:val="24"/>
        </w:rPr>
      </w:pPr>
      <w:r>
        <w:rPr>
          <w:rFonts w:hint="eastAsia" w:ascii="黑体" w:hAnsi="黑体" w:eastAsia="黑体"/>
          <w:sz w:val="24"/>
        </w:rPr>
        <w:t>17.投标有效期</w:t>
      </w:r>
    </w:p>
    <w:p w14:paraId="5BF6AB03">
      <w:pPr>
        <w:spacing w:line="360" w:lineRule="auto"/>
        <w:ind w:firstLine="420" w:firstLineChars="200"/>
        <w:rPr>
          <w:rFonts w:ascii="宋体" w:hAnsi="宋体"/>
          <w:bCs/>
          <w:szCs w:val="21"/>
        </w:rPr>
      </w:pPr>
      <w:bookmarkStart w:id="91" w:name="_17.1投标有效期应按“投标人须知中的前附表”规定的期限。"/>
      <w:bookmarkEnd w:id="91"/>
      <w:r>
        <w:rPr>
          <w:rFonts w:hint="eastAsia" w:ascii="宋体" w:hAnsi="宋体"/>
          <w:bCs/>
          <w:szCs w:val="21"/>
        </w:rPr>
        <w:t>17.1投标有效期是指为保证采购人有足够的时间在开标后完成评标、定标、合同签订等工作而要求投标人提交的投标文件在一定时间内保持有效的期限。</w:t>
      </w:r>
    </w:p>
    <w:p w14:paraId="7370D46F">
      <w:pPr>
        <w:spacing w:line="360" w:lineRule="auto"/>
        <w:ind w:firstLine="420" w:firstLineChars="200"/>
        <w:rPr>
          <w:rFonts w:ascii="宋体" w:hAnsi="宋体"/>
          <w:bCs/>
          <w:szCs w:val="21"/>
        </w:rPr>
      </w:pPr>
      <w:r>
        <w:rPr>
          <w:rFonts w:hint="eastAsia" w:ascii="宋体" w:hAnsi="宋体"/>
          <w:bCs/>
          <w:szCs w:val="21"/>
        </w:rPr>
        <w:t>17.2</w:t>
      </w:r>
      <w:bookmarkStart w:id="92" w:name="_Toc254970681"/>
      <w:bookmarkStart w:id="93" w:name="_Toc254970540"/>
      <w:r>
        <w:rPr>
          <w:rFonts w:hint="eastAsia" w:ascii="宋体" w:hAnsi="宋体"/>
          <w:bCs/>
          <w:szCs w:val="21"/>
        </w:rPr>
        <w:t xml:space="preserve"> 投标有效期应按规定的期限作出承诺，具体详见“投标人须知前附表”。</w:t>
      </w:r>
    </w:p>
    <w:p w14:paraId="4BF69331">
      <w:pPr>
        <w:spacing w:line="360" w:lineRule="auto"/>
        <w:ind w:firstLine="420" w:firstLineChars="200"/>
        <w:rPr>
          <w:rFonts w:ascii="宋体" w:hAnsi="宋体"/>
          <w:bCs/>
          <w:szCs w:val="21"/>
        </w:rPr>
      </w:pPr>
      <w:r>
        <w:rPr>
          <w:rFonts w:hint="eastAsia" w:ascii="宋体" w:hAnsi="宋体"/>
          <w:bCs/>
          <w:szCs w:val="21"/>
        </w:rPr>
        <w:t>17.3投标人的投标文件在投标有效期内均保持有效。</w:t>
      </w:r>
      <w:bookmarkEnd w:id="92"/>
      <w:bookmarkEnd w:id="93"/>
    </w:p>
    <w:p w14:paraId="2FFE991D">
      <w:pPr>
        <w:spacing w:line="360" w:lineRule="auto"/>
        <w:ind w:firstLine="480" w:firstLineChars="200"/>
        <w:rPr>
          <w:rFonts w:ascii="黑体" w:hAnsi="黑体" w:eastAsia="黑体"/>
          <w:sz w:val="24"/>
        </w:rPr>
      </w:pPr>
      <w:bookmarkStart w:id="94" w:name="_18.投标保证金"/>
      <w:bookmarkEnd w:id="94"/>
      <w:bookmarkStart w:id="95" w:name="_Toc254970541"/>
      <w:bookmarkStart w:id="96" w:name="_Toc254970682"/>
      <w:r>
        <w:rPr>
          <w:rFonts w:hint="eastAsia" w:ascii="黑体" w:hAnsi="黑体" w:eastAsia="黑体"/>
          <w:sz w:val="24"/>
        </w:rPr>
        <w:t>18.投标保证金</w:t>
      </w:r>
      <w:bookmarkEnd w:id="95"/>
      <w:bookmarkEnd w:id="96"/>
    </w:p>
    <w:p w14:paraId="39637051">
      <w:pPr>
        <w:spacing w:line="360" w:lineRule="auto"/>
        <w:ind w:firstLine="420" w:firstLineChars="200"/>
        <w:rPr>
          <w:rFonts w:hAnsi="宋体"/>
          <w:szCs w:val="21"/>
        </w:rPr>
      </w:pPr>
      <w:bookmarkStart w:id="97" w:name="_Toc254970683"/>
      <w:bookmarkStart w:id="98" w:name="_Toc254970542"/>
      <w:r>
        <w:rPr>
          <w:rFonts w:hint="eastAsia" w:hAnsi="宋体"/>
          <w:szCs w:val="21"/>
        </w:rPr>
        <w:t>见“投标人须知前附表”。</w:t>
      </w:r>
    </w:p>
    <w:p w14:paraId="077D8537">
      <w:pPr>
        <w:spacing w:line="360" w:lineRule="auto"/>
        <w:ind w:firstLine="480" w:firstLineChars="200"/>
        <w:rPr>
          <w:rFonts w:ascii="黑体" w:hAnsi="黑体" w:eastAsia="黑体"/>
          <w:sz w:val="24"/>
        </w:rPr>
      </w:pPr>
      <w:r>
        <w:rPr>
          <w:rFonts w:hint="eastAsia" w:ascii="黑体" w:hAnsi="黑体" w:eastAsia="黑体"/>
          <w:sz w:val="24"/>
        </w:rPr>
        <w:t>19.投标文件的</w:t>
      </w:r>
      <w:bookmarkEnd w:id="97"/>
      <w:bookmarkEnd w:id="98"/>
      <w:r>
        <w:rPr>
          <w:rFonts w:hint="eastAsia" w:ascii="黑体" w:hAnsi="黑体" w:eastAsia="黑体"/>
          <w:sz w:val="24"/>
        </w:rPr>
        <w:t>编制</w:t>
      </w:r>
    </w:p>
    <w:p w14:paraId="7E572034">
      <w:pPr>
        <w:spacing w:line="360" w:lineRule="auto"/>
        <w:ind w:firstLine="420" w:firstLineChars="200"/>
        <w:rPr>
          <w:rFonts w:hAnsi="宋体"/>
          <w:szCs w:val="21"/>
        </w:rPr>
      </w:pPr>
      <w:r>
        <w:rPr>
          <w:rFonts w:hAnsi="宋体"/>
          <w:szCs w:val="21"/>
        </w:rPr>
        <w:t>19.1</w:t>
      </w:r>
      <w:r>
        <w:rPr>
          <w:rFonts w:hint="eastAsia" w:hAnsi="宋体"/>
          <w:szCs w:val="21"/>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99" w:name="_19.2投标文件应按报价文件、资格证明文件、商务文件、技术文件分别编制"/>
      <w:bookmarkEnd w:id="99"/>
    </w:p>
    <w:p w14:paraId="4F6FE38B">
      <w:pPr>
        <w:pStyle w:val="70"/>
        <w:snapToGrid w:val="0"/>
        <w:spacing w:before="0"/>
        <w:ind w:firstLine="420"/>
        <w:rPr>
          <w:rFonts w:hAnsi="宋体"/>
          <w:sz w:val="21"/>
          <w:szCs w:val="21"/>
        </w:rPr>
      </w:pPr>
      <w:r>
        <w:rPr>
          <w:rFonts w:hAnsi="宋体"/>
          <w:sz w:val="21"/>
          <w:szCs w:val="21"/>
        </w:rPr>
        <w:t>19.2</w:t>
      </w:r>
      <w:r>
        <w:rPr>
          <w:rFonts w:hint="eastAsia" w:hAnsi="宋体"/>
          <w:sz w:val="21"/>
          <w:szCs w:val="21"/>
        </w:rPr>
        <w:t>投标文件按照招标文件第六章格式要求在规定位置进行签署、盖章。投标人的投标文件未按照招标文件要求签署、盖章的，</w:t>
      </w:r>
      <w:r>
        <w:rPr>
          <w:rFonts w:hint="eastAsia" w:hAnsi="宋体"/>
          <w:b/>
          <w:sz w:val="21"/>
          <w:szCs w:val="21"/>
        </w:rPr>
        <w:t>其投标无效。</w:t>
      </w:r>
      <w:r>
        <w:rPr>
          <w:rFonts w:hint="eastAsia" w:hAnsi="宋体"/>
          <w:sz w:val="21"/>
          <w:szCs w:val="21"/>
        </w:rPr>
        <w:t>骑缝盖公章不视为在规定位置盖章。</w:t>
      </w:r>
    </w:p>
    <w:p w14:paraId="41FA5BF5">
      <w:pPr>
        <w:pStyle w:val="70"/>
        <w:snapToGrid w:val="0"/>
        <w:spacing w:before="0"/>
        <w:ind w:firstLine="420"/>
        <w:rPr>
          <w:rFonts w:hAnsi="宋体"/>
          <w:sz w:val="21"/>
          <w:szCs w:val="21"/>
        </w:rPr>
      </w:pPr>
      <w:r>
        <w:rPr>
          <w:rFonts w:hAnsi="宋体"/>
          <w:sz w:val="21"/>
          <w:szCs w:val="21"/>
        </w:rPr>
        <w:t>19.3</w:t>
      </w:r>
      <w:r>
        <w:rPr>
          <w:rFonts w:hint="eastAsia" w:hAnsi="宋体"/>
          <w:sz w:val="21"/>
          <w:szCs w:val="21"/>
        </w:rPr>
        <w:t>为确保网上操作合法、有效和安全，投标人应当在投标截止时间前完成在“广西政府采购云”平台的身份认证，确保在电子投标过程中能够对相关数据电文进行加密和使用电子签名。</w:t>
      </w:r>
    </w:p>
    <w:p w14:paraId="43E68C8C">
      <w:pPr>
        <w:spacing w:line="360" w:lineRule="auto"/>
        <w:ind w:firstLine="422" w:firstLineChars="200"/>
        <w:rPr>
          <w:rFonts w:ascii="宋体" w:hAnsi="宋体"/>
          <w:b/>
          <w:szCs w:val="21"/>
        </w:rPr>
      </w:pPr>
      <w:r>
        <w:rPr>
          <w:rFonts w:hint="eastAsia" w:ascii="宋体" w:hAnsi="宋体"/>
          <w:b/>
          <w:szCs w:val="21"/>
        </w:rPr>
        <w:t>19.4投标文件中标注的投标人名称应与主体资格证明（如营业执照、事业单位法人证书、执业许可证、自然人身份证等）及公章一致，</w:t>
      </w:r>
      <w:r>
        <w:rPr>
          <w:rFonts w:hint="eastAsia" w:ascii="宋体" w:hAnsi="宋体"/>
          <w:szCs w:val="21"/>
        </w:rPr>
        <w:t>否则作无效投标处理</w:t>
      </w:r>
      <w:r>
        <w:rPr>
          <w:rFonts w:hint="eastAsia" w:ascii="宋体" w:hAnsi="宋体"/>
          <w:b/>
          <w:szCs w:val="21"/>
        </w:rPr>
        <w:t>。</w:t>
      </w:r>
    </w:p>
    <w:p w14:paraId="623670F8">
      <w:pPr>
        <w:spacing w:line="360" w:lineRule="auto"/>
        <w:ind w:firstLine="420" w:firstLineChars="200"/>
        <w:rPr>
          <w:rFonts w:ascii="宋体" w:hAnsi="宋体" w:cs="宋体"/>
          <w:szCs w:val="21"/>
        </w:rPr>
      </w:pPr>
      <w:r>
        <w:rPr>
          <w:rFonts w:hAnsi="宋体"/>
          <w:szCs w:val="21"/>
        </w:rPr>
        <w:t xml:space="preserve"> 19.5</w:t>
      </w:r>
      <w:r>
        <w:rPr>
          <w:rFonts w:hint="eastAsia" w:hAnsi="宋体"/>
          <w:szCs w:val="21"/>
        </w:rPr>
        <w:t>投标文件应避免涂改、行间插字或者删除，</w:t>
      </w:r>
      <w:r>
        <w:rPr>
          <w:rFonts w:hint="eastAsia" w:ascii="宋体" w:hAnsi="宋体" w:cs="宋体"/>
          <w:b/>
          <w:szCs w:val="21"/>
        </w:rPr>
        <w:t>否则其投标无效。</w:t>
      </w:r>
    </w:p>
    <w:p w14:paraId="1BD4C11A">
      <w:pPr>
        <w:spacing w:line="360" w:lineRule="auto"/>
        <w:ind w:firstLine="525" w:firstLineChars="250"/>
        <w:rPr>
          <w:rFonts w:hAnsi="宋体"/>
        </w:rPr>
      </w:pPr>
      <w:r>
        <w:rPr>
          <w:rFonts w:hAnsi="宋体"/>
        </w:rPr>
        <w:t xml:space="preserve">19.6 </w:t>
      </w:r>
      <w:r>
        <w:rPr>
          <w:rFonts w:hint="eastAsia" w:hAnsi="宋体"/>
        </w:rPr>
        <w:t>对招标文件的实质性要求和条件作出响应是指投标人必须对招标文件中标注为实质性要求和条件的</w:t>
      </w:r>
      <w:r>
        <w:rPr>
          <w:rFonts w:hint="eastAsia"/>
          <w:szCs w:val="21"/>
        </w:rPr>
        <w:t>服务内容及要求</w:t>
      </w:r>
      <w:r>
        <w:rPr>
          <w:rFonts w:hint="eastAsia" w:hAnsi="宋体"/>
        </w:rPr>
        <w:t>、商务条款及其它内容</w:t>
      </w:r>
      <w:r>
        <w:rPr>
          <w:rFonts w:hint="eastAsia"/>
          <w:b/>
        </w:rPr>
        <w:t>作出满足或者优于原要求和条件的承诺</w:t>
      </w:r>
      <w:r>
        <w:rPr>
          <w:rFonts w:hint="eastAsia"/>
        </w:rPr>
        <w:t>。</w:t>
      </w:r>
    </w:p>
    <w:p w14:paraId="31647D58">
      <w:pPr>
        <w:spacing w:line="360" w:lineRule="auto"/>
        <w:ind w:firstLine="422" w:firstLineChars="200"/>
        <w:rPr>
          <w:rFonts w:ascii="宋体" w:hAnsi="宋体"/>
          <w:b/>
          <w:szCs w:val="21"/>
          <w:u w:val="single"/>
        </w:rPr>
      </w:pPr>
      <w:r>
        <w:rPr>
          <w:rFonts w:hint="eastAsia" w:ascii="宋体" w:hAnsi="宋体"/>
          <w:b/>
          <w:szCs w:val="21"/>
          <w:u w:val="single"/>
        </w:rPr>
        <w:t>19.7本项目为南宁市全流程电子化项目，异常情况见“第二节 投标人须知正文”中“四、24.2开标程序。</w:t>
      </w:r>
    </w:p>
    <w:p w14:paraId="0D6CE435">
      <w:pPr>
        <w:spacing w:line="360" w:lineRule="auto"/>
        <w:ind w:firstLine="480" w:firstLineChars="200"/>
        <w:rPr>
          <w:rFonts w:ascii="黑体" w:hAnsi="黑体" w:eastAsia="黑体"/>
          <w:sz w:val="24"/>
        </w:rPr>
      </w:pPr>
      <w:r>
        <w:rPr>
          <w:rFonts w:hint="eastAsia" w:ascii="黑体" w:hAnsi="黑体" w:eastAsia="黑体"/>
          <w:sz w:val="24"/>
        </w:rPr>
        <w:t>20.备份投标文件</w:t>
      </w:r>
    </w:p>
    <w:p w14:paraId="3BA770D6">
      <w:pPr>
        <w:spacing w:line="360" w:lineRule="auto"/>
        <w:ind w:firstLine="420" w:firstLineChars="200"/>
        <w:rPr>
          <w:rFonts w:ascii="黑体" w:hAnsi="黑体" w:eastAsia="黑体"/>
          <w:sz w:val="24"/>
        </w:rPr>
      </w:pPr>
      <w:r>
        <w:rPr>
          <w:rFonts w:hint="eastAsia" w:hAnsi="宋体"/>
          <w:bCs/>
          <w:szCs w:val="21"/>
        </w:rPr>
        <w:t>详见在“投标人须知前附表”。</w:t>
      </w:r>
    </w:p>
    <w:p w14:paraId="204A9BF3">
      <w:pPr>
        <w:spacing w:line="360" w:lineRule="auto"/>
        <w:ind w:firstLine="480" w:firstLineChars="200"/>
        <w:rPr>
          <w:rFonts w:ascii="黑体" w:hAnsi="黑体" w:eastAsia="黑体"/>
          <w:sz w:val="24"/>
        </w:rPr>
      </w:pPr>
      <w:r>
        <w:rPr>
          <w:rFonts w:hint="eastAsia" w:ascii="黑体" w:hAnsi="黑体" w:eastAsia="黑体"/>
          <w:sz w:val="24"/>
        </w:rPr>
        <w:t>21.投标文件的提交</w:t>
      </w:r>
    </w:p>
    <w:p w14:paraId="0F917106">
      <w:pPr>
        <w:spacing w:line="360" w:lineRule="auto"/>
        <w:ind w:firstLine="420" w:firstLineChars="200"/>
        <w:rPr>
          <w:rFonts w:hAnsi="宋体"/>
          <w:b/>
        </w:rPr>
      </w:pPr>
      <w:bookmarkStart w:id="100" w:name="_21.1投标人必须在“投标人须知中的前附表”规定的投标文件接收时间和投"/>
      <w:bookmarkEnd w:id="100"/>
      <w:r>
        <w:rPr>
          <w:rFonts w:hAnsi="宋体"/>
          <w:bCs/>
          <w:szCs w:val="21"/>
        </w:rPr>
        <w:t>21.1</w:t>
      </w:r>
      <w:r>
        <w:rPr>
          <w:rFonts w:hint="eastAsia" w:hAnsi="宋体"/>
          <w:bCs/>
          <w:szCs w:val="21"/>
        </w:rPr>
        <w:t>投标人必须在“投标人须知前附表”规定的投标文件接收时间和投标地点提交电子版投标文件。电子投标文件应在制作完成后，在投标截止时间前通过有效数字证书（</w:t>
      </w:r>
      <w:r>
        <w:rPr>
          <w:rFonts w:hAnsi="宋体"/>
          <w:bCs/>
          <w:szCs w:val="21"/>
        </w:rPr>
        <w:t>CA</w:t>
      </w:r>
      <w:r>
        <w:rPr>
          <w:rFonts w:hint="eastAsia" w:hAnsi="宋体"/>
          <w:bCs/>
          <w:szCs w:val="21"/>
        </w:rPr>
        <w:t>认证锁）进行电子签章、加密，然后通过网络将加密的电子投标文件递交至“广西政府采购云平台”。</w:t>
      </w:r>
    </w:p>
    <w:p w14:paraId="1CF2F8CC">
      <w:pPr>
        <w:spacing w:line="360" w:lineRule="auto"/>
        <w:ind w:firstLine="422" w:firstLineChars="200"/>
        <w:rPr>
          <w:rFonts w:ascii="宋体" w:hAnsi="宋体"/>
          <w:b/>
          <w:szCs w:val="20"/>
        </w:rPr>
      </w:pPr>
      <w:r>
        <w:rPr>
          <w:rFonts w:hint="eastAsia" w:ascii="宋体" w:hAnsi="宋体"/>
          <w:b/>
          <w:szCs w:val="21"/>
        </w:rPr>
        <w:t>21.2未在规定时间内提交或者未按照招标文件要求密封或者标记的电子投标文件，“广西政府采购云”平台将拒收。</w:t>
      </w:r>
    </w:p>
    <w:p w14:paraId="1C8B6AE0">
      <w:pPr>
        <w:spacing w:line="360" w:lineRule="auto"/>
        <w:ind w:firstLine="420" w:firstLineChars="200"/>
        <w:rPr>
          <w:rFonts w:ascii="宋体" w:hAnsi="宋体"/>
          <w:szCs w:val="21"/>
        </w:rPr>
      </w:pPr>
      <w:r>
        <w:rPr>
          <w:rFonts w:hint="eastAsia" w:ascii="宋体" w:hAnsi="宋体"/>
          <w:szCs w:val="21"/>
        </w:rPr>
        <w:t>21.3电子版投标文件提交方式见“招标公告”中“四、提交投标文件截止时间、开标时间和地点”</w:t>
      </w:r>
      <w:r>
        <w:rPr>
          <w:rFonts w:hint="eastAsia" w:ascii="宋体" w:hAnsi="宋体"/>
          <w:b/>
          <w:szCs w:val="21"/>
        </w:rPr>
        <w:t xml:space="preserve"> 。</w:t>
      </w:r>
    </w:p>
    <w:p w14:paraId="08E691B8">
      <w:pPr>
        <w:spacing w:line="360" w:lineRule="auto"/>
        <w:ind w:firstLine="480" w:firstLineChars="200"/>
        <w:rPr>
          <w:rFonts w:ascii="黑体" w:hAnsi="黑体" w:eastAsia="黑体"/>
          <w:sz w:val="24"/>
        </w:rPr>
      </w:pPr>
      <w:r>
        <w:rPr>
          <w:rFonts w:hint="eastAsia" w:ascii="黑体" w:hAnsi="黑体" w:eastAsia="黑体"/>
          <w:sz w:val="24"/>
        </w:rPr>
        <w:t>22. 投标文件的补充、修改、撤回与退回</w:t>
      </w:r>
      <w:bookmarkStart w:id="101" w:name="_Toc254970543"/>
      <w:bookmarkStart w:id="102" w:name="_Toc254970684"/>
    </w:p>
    <w:p w14:paraId="3719DCCE">
      <w:pPr>
        <w:spacing w:line="360" w:lineRule="auto"/>
        <w:ind w:firstLine="420" w:firstLineChars="200"/>
        <w:rPr>
          <w:rFonts w:ascii="黑体" w:hAnsi="黑体" w:eastAsia="黑体"/>
          <w:sz w:val="24"/>
        </w:rPr>
      </w:pPr>
      <w:r>
        <w:rPr>
          <w:rFonts w:hint="eastAsia" w:ascii="宋体" w:hAnsi="宋体" w:cs="宋体"/>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765DFC79">
      <w:pPr>
        <w:pStyle w:val="70"/>
        <w:spacing w:before="0"/>
        <w:ind w:firstLine="420"/>
        <w:rPr>
          <w:rFonts w:ascii="宋体" w:hAnsi="宋体" w:cs="宋体"/>
          <w:sz w:val="21"/>
          <w:szCs w:val="21"/>
        </w:rPr>
      </w:pPr>
      <w:r>
        <w:rPr>
          <w:rFonts w:hint="eastAsia" w:ascii="宋体" w:hAnsi="宋体" w:cs="宋体"/>
          <w:sz w:val="21"/>
          <w:szCs w:val="21"/>
        </w:rPr>
        <w:t>22.2“广西政府采购云”平台收到投标文件，将妥善保存并即时向供应商发出确认回执通知。在投标截止时间前，除供应商补充、修改或者撤回投标文件外，任何单位和个人不得解密或提取投标文件。</w:t>
      </w:r>
    </w:p>
    <w:bookmarkEnd w:id="101"/>
    <w:bookmarkEnd w:id="102"/>
    <w:p w14:paraId="171D7B4A">
      <w:pPr>
        <w:spacing w:line="360" w:lineRule="auto"/>
        <w:ind w:firstLine="420" w:firstLineChars="200"/>
        <w:rPr>
          <w:rFonts w:ascii="宋体" w:hAnsi="宋体" w:cs="宋体"/>
          <w:szCs w:val="21"/>
        </w:rPr>
      </w:pPr>
      <w:r>
        <w:rPr>
          <w:rFonts w:hint="eastAsia" w:ascii="宋体" w:hAnsi="宋体" w:cs="宋体"/>
          <w:szCs w:val="21"/>
        </w:rPr>
        <w:t>22.3在投标截止时间止提交电子版投标文件的投标人不足3家时，电子版投标文件由代理机构在“广西政府采购云”平台操作退回，除此之外采购人和采购代理机构对已提交的投标文件概不退回。</w:t>
      </w:r>
    </w:p>
    <w:p w14:paraId="1D236388">
      <w:pPr>
        <w:pStyle w:val="15"/>
        <w:snapToGrid w:val="0"/>
        <w:spacing w:line="400" w:lineRule="exact"/>
        <w:ind w:firstLine="739"/>
        <w:rPr>
          <w:rFonts w:hAnsi="宋体"/>
          <w:snapToGrid w:val="0"/>
          <w:sz w:val="21"/>
          <w:szCs w:val="21"/>
        </w:rPr>
      </w:pPr>
    </w:p>
    <w:p w14:paraId="4A1F1BDB">
      <w:pPr>
        <w:pStyle w:val="5"/>
        <w:keepNext w:val="0"/>
        <w:keepLines w:val="0"/>
        <w:spacing w:line="400" w:lineRule="exact"/>
        <w:jc w:val="center"/>
      </w:pPr>
      <w:bookmarkStart w:id="103" w:name="_Toc254970544"/>
      <w:bookmarkStart w:id="104" w:name="_Toc187761557"/>
      <w:bookmarkStart w:id="105" w:name="_Toc254970685"/>
      <w:r>
        <w:rPr>
          <w:rFonts w:hint="eastAsia"/>
        </w:rPr>
        <w:t>四、开标</w:t>
      </w:r>
      <w:bookmarkEnd w:id="103"/>
      <w:bookmarkEnd w:id="104"/>
      <w:bookmarkEnd w:id="105"/>
    </w:p>
    <w:p w14:paraId="12F4FEFC">
      <w:pPr>
        <w:spacing w:line="360" w:lineRule="auto"/>
        <w:ind w:firstLine="480" w:firstLineChars="200"/>
        <w:rPr>
          <w:rFonts w:ascii="黑体" w:hAnsi="黑体" w:eastAsia="黑体"/>
          <w:sz w:val="24"/>
        </w:rPr>
      </w:pPr>
      <w:bookmarkStart w:id="106" w:name="_23.开标时间和地点"/>
      <w:bookmarkEnd w:id="106"/>
      <w:r>
        <w:rPr>
          <w:rFonts w:hint="eastAsia" w:ascii="黑体" w:hAnsi="黑体" w:eastAsia="黑体"/>
          <w:sz w:val="24"/>
        </w:rPr>
        <w:t>23.开标时间和地点</w:t>
      </w:r>
    </w:p>
    <w:p w14:paraId="18E2F2B3">
      <w:pPr>
        <w:spacing w:line="360" w:lineRule="auto"/>
        <w:ind w:firstLine="420" w:firstLineChars="200"/>
        <w:rPr>
          <w:rFonts w:hAnsi="宋体"/>
          <w:bCs/>
        </w:rPr>
      </w:pPr>
      <w:r>
        <w:rPr>
          <w:rFonts w:hAnsi="宋体"/>
          <w:bCs/>
        </w:rPr>
        <w:t>23.1</w:t>
      </w:r>
      <w:r>
        <w:rPr>
          <w:rFonts w:hint="eastAsia" w:hAnsi="宋体"/>
          <w:bCs/>
        </w:rPr>
        <w:t>开标时间及地点详见“投标人须知前附表”</w:t>
      </w:r>
    </w:p>
    <w:p w14:paraId="0013B536">
      <w:pPr>
        <w:spacing w:line="360" w:lineRule="auto"/>
        <w:ind w:firstLine="420" w:firstLineChars="200"/>
      </w:pPr>
      <w:r>
        <w:rPr>
          <w:rFonts w:hAnsi="宋体"/>
        </w:rPr>
        <w:t>23.2</w:t>
      </w:r>
      <w:r>
        <w:rPr>
          <w:rFonts w:hint="eastAsia" w:hAnsi="宋体"/>
        </w:rPr>
        <w:t>如</w:t>
      </w:r>
      <w:r>
        <w:rPr>
          <w:rFonts w:hint="eastAsia" w:hAnsi="宋体"/>
          <w:bCs/>
        </w:rPr>
        <w:t>投标人成功解密投标文件，但未在“广西政府采购云”电子开标大厅参加开标的，视同认可开标过程和结果，</w:t>
      </w:r>
      <w:r>
        <w:rPr>
          <w:rFonts w:hint="eastAsia" w:hAnsi="宋体"/>
        </w:rPr>
        <w:t>由此产生的后果由投标人自行负责。</w:t>
      </w:r>
      <w:r>
        <w:rPr>
          <w:rFonts w:hint="eastAsia"/>
        </w:rPr>
        <w:t>投标人不足</w:t>
      </w:r>
      <w:r>
        <w:t>3</w:t>
      </w:r>
      <w:r>
        <w:rPr>
          <w:rFonts w:hint="eastAsia"/>
        </w:rPr>
        <w:t>家的，不得开标。</w:t>
      </w:r>
    </w:p>
    <w:p w14:paraId="704D3969">
      <w:pPr>
        <w:spacing w:line="360" w:lineRule="auto"/>
        <w:ind w:firstLine="480" w:firstLineChars="200"/>
        <w:rPr>
          <w:rFonts w:ascii="黑体" w:hAnsi="黑体" w:eastAsia="黑体"/>
          <w:sz w:val="24"/>
        </w:rPr>
      </w:pPr>
      <w:r>
        <w:rPr>
          <w:rFonts w:hint="eastAsia" w:ascii="黑体" w:hAnsi="黑体" w:eastAsia="黑体"/>
          <w:sz w:val="24"/>
        </w:rPr>
        <w:t>24.开标程序</w:t>
      </w:r>
    </w:p>
    <w:p w14:paraId="07D7CFB4">
      <w:pPr>
        <w:autoSpaceDE w:val="0"/>
        <w:autoSpaceDN w:val="0"/>
        <w:adjustRightInd w:val="0"/>
        <w:spacing w:line="440" w:lineRule="exact"/>
        <w:ind w:firstLine="420" w:firstLineChars="200"/>
        <w:rPr>
          <w:rFonts w:ascii="宋体" w:hAnsi="宋体"/>
          <w:kern w:val="0"/>
          <w:szCs w:val="21"/>
        </w:rPr>
      </w:pPr>
      <w:r>
        <w:rPr>
          <w:rFonts w:hint="eastAsia" w:ascii="宋体" w:hAnsi="宋体"/>
          <w:bCs/>
          <w:szCs w:val="21"/>
        </w:rPr>
        <w:t>24.1</w:t>
      </w:r>
      <w:r>
        <w:rPr>
          <w:rFonts w:hint="eastAsia" w:ascii="宋体" w:hAnsi="宋体"/>
          <w:kern w:val="0"/>
          <w:szCs w:val="21"/>
        </w:rPr>
        <w:t>开标形式：</w:t>
      </w:r>
    </w:p>
    <w:p w14:paraId="4D61256C">
      <w:pPr>
        <w:autoSpaceDE w:val="0"/>
        <w:autoSpaceDN w:val="0"/>
        <w:adjustRightInd w:val="0"/>
        <w:spacing w:line="440" w:lineRule="exact"/>
        <w:ind w:firstLine="420" w:firstLineChars="200"/>
        <w:rPr>
          <w:rFonts w:ascii="宋体" w:hAnsi="宋体"/>
          <w:bCs/>
          <w:szCs w:val="21"/>
        </w:rPr>
      </w:pPr>
      <w:r>
        <w:rPr>
          <w:rFonts w:hint="eastAsia" w:ascii="宋体" w:hAnsi="宋体"/>
          <w:szCs w:val="21"/>
        </w:rPr>
        <w:t>（1）</w:t>
      </w:r>
      <w:r>
        <w:rPr>
          <w:rFonts w:hint="eastAsia" w:ascii="宋体" w:hAnsi="宋体"/>
          <w:bCs/>
          <w:szCs w:val="21"/>
        </w:rPr>
        <w:t>开标的准备工作由采购代理机构负责落实，采购代理机构必须基于“广西政府采购云”平台选取评审专家，如采购代理机构未按规定选取专家的，视为本次开评标无效，应当重新采购；</w:t>
      </w:r>
    </w:p>
    <w:p w14:paraId="54FC40DC">
      <w:pPr>
        <w:autoSpaceDE w:val="0"/>
        <w:autoSpaceDN w:val="0"/>
        <w:adjustRightInd w:val="0"/>
        <w:spacing w:line="440" w:lineRule="exact"/>
        <w:ind w:firstLine="420" w:firstLineChars="200"/>
        <w:rPr>
          <w:rFonts w:ascii="宋体" w:hAnsi="宋体"/>
          <w:bCs/>
          <w:szCs w:val="21"/>
        </w:rPr>
      </w:pPr>
      <w:r>
        <w:rPr>
          <w:rFonts w:hint="eastAsia" w:ascii="宋体" w:hAnsi="宋体"/>
          <w:bCs/>
          <w:szCs w:val="21"/>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556230FB">
      <w:pPr>
        <w:autoSpaceDE w:val="0"/>
        <w:autoSpaceDN w:val="0"/>
        <w:adjustRightInd w:val="0"/>
        <w:spacing w:line="440" w:lineRule="exact"/>
        <w:ind w:firstLine="420" w:firstLineChars="200"/>
        <w:rPr>
          <w:rFonts w:ascii="宋体" w:hAnsi="宋体"/>
          <w:bCs/>
          <w:szCs w:val="21"/>
        </w:rPr>
      </w:pPr>
      <w:r>
        <w:rPr>
          <w:rFonts w:hint="eastAsia" w:ascii="宋体" w:hAnsi="宋体"/>
          <w:bCs/>
          <w:szCs w:val="21"/>
        </w:rPr>
        <w:t>24.2开标程序：</w:t>
      </w:r>
    </w:p>
    <w:p w14:paraId="2718F0ED">
      <w:pPr>
        <w:pStyle w:val="18"/>
        <w:snapToGrid w:val="0"/>
        <w:spacing w:line="440" w:lineRule="exact"/>
        <w:ind w:firstLine="422" w:firstLineChars="200"/>
        <w:rPr>
          <w:rFonts w:hAnsi="宋体"/>
          <w:szCs w:val="21"/>
        </w:rPr>
      </w:pPr>
      <w:r>
        <w:rPr>
          <w:rFonts w:hint="eastAsia" w:hAnsi="宋体"/>
          <w:b/>
          <w:szCs w:val="21"/>
        </w:rPr>
        <w:t>（1）解密电子投标文件。</w:t>
      </w:r>
      <w:r>
        <w:rPr>
          <w:rFonts w:hint="eastAsia" w:hAnsi="宋体" w:cs="仿宋_GB2312"/>
          <w:b/>
          <w:szCs w:val="21"/>
        </w:rPr>
        <w:t>“</w:t>
      </w:r>
      <w:r>
        <w:rPr>
          <w:rFonts w:hint="eastAsia" w:hAnsi="宋体" w:cs="仿宋_GB2312"/>
          <w:szCs w:val="21"/>
        </w:rPr>
        <w:t>广西政府采购云”平台按开标时间自动提取所有投标文件。采购代理机构依托“广西政府采购云”平台</w:t>
      </w:r>
      <w:r>
        <w:rPr>
          <w:rFonts w:hint="eastAsia" w:hAnsi="宋体"/>
          <w:szCs w:val="21"/>
        </w:rPr>
        <w:t>向各投标人发出电子加密投标文件【开始解密】通知，由投标人按招标文件规定的时间内自行进行投标文件解密。投标人的法定代表人或其委托代理人</w:t>
      </w:r>
      <w:r>
        <w:rPr>
          <w:rFonts w:hint="eastAsia" w:hAnsi="宋体"/>
          <w:b/>
          <w:szCs w:val="21"/>
        </w:rPr>
        <w:t>须携带加密时所用的CA锁准时登录到“广西政府采购云”平台电子开标大厅签到并对电子投标文件解密</w:t>
      </w:r>
      <w:r>
        <w:rPr>
          <w:rFonts w:hint="eastAsia" w:hAnsi="宋体"/>
          <w:szCs w:val="21"/>
        </w:rPr>
        <w:t>。开标后5分钟投标人还未进行解密的，代理机构要通知投标人。通知后，</w:t>
      </w:r>
      <w:r>
        <w:rPr>
          <w:rFonts w:hint="eastAsia" w:hAnsi="宋体" w:cs="仿宋_GB2312"/>
          <w:szCs w:val="21"/>
        </w:rPr>
        <w:t>投标文件仍未按时解密，</w:t>
      </w:r>
      <w:r>
        <w:rPr>
          <w:rFonts w:hint="eastAsia" w:hAnsi="宋体"/>
          <w:szCs w:val="21"/>
        </w:rPr>
        <w:t>或者投标人没预留联系方式或预留联系方式无效，导致代理机构无法联系到投标人进行解密的，</w:t>
      </w:r>
      <w:r>
        <w:rPr>
          <w:rFonts w:hint="eastAsia" w:hAnsi="宋体"/>
          <w:b/>
          <w:szCs w:val="21"/>
        </w:rPr>
        <w:t>均视为无效投标。</w:t>
      </w:r>
    </w:p>
    <w:p w14:paraId="5EE97445">
      <w:pPr>
        <w:pStyle w:val="18"/>
        <w:snapToGrid w:val="0"/>
        <w:spacing w:line="440" w:lineRule="exact"/>
        <w:ind w:firstLine="420" w:firstLineChars="200"/>
        <w:rPr>
          <w:rFonts w:hAnsi="宋体"/>
          <w:szCs w:val="21"/>
        </w:rPr>
      </w:pPr>
      <w:r>
        <w:rPr>
          <w:rFonts w:hint="eastAsia" w:hAnsi="宋体"/>
          <w:szCs w:val="21"/>
        </w:rPr>
        <w:t>（解密</w:t>
      </w:r>
      <w:r>
        <w:rPr>
          <w:rFonts w:hint="eastAsia" w:hAnsi="宋体"/>
          <w:bCs/>
          <w:szCs w:val="21"/>
        </w:rPr>
        <w:t>异常情况处理：详见本章</w:t>
      </w:r>
      <w:r>
        <w:rPr>
          <w:rFonts w:hint="eastAsia" w:hAnsi="宋体"/>
        </w:rPr>
        <w:t>29.3 电子交易活动的中止。</w:t>
      </w:r>
      <w:r>
        <w:rPr>
          <w:rFonts w:hint="eastAsia" w:hAnsi="宋体"/>
          <w:szCs w:val="21"/>
        </w:rPr>
        <w:t>）</w:t>
      </w:r>
    </w:p>
    <w:p w14:paraId="406A6E56">
      <w:pPr>
        <w:spacing w:line="360" w:lineRule="auto"/>
        <w:ind w:firstLine="420" w:firstLineChars="200"/>
        <w:rPr>
          <w:rFonts w:ascii="宋体" w:hAnsi="宋体"/>
          <w:szCs w:val="21"/>
        </w:rPr>
      </w:pPr>
      <w:r>
        <w:rPr>
          <w:rFonts w:hint="eastAsia" w:ascii="宋体" w:hAnsi="宋体"/>
          <w:szCs w:val="21"/>
        </w:rPr>
        <w:t>（2）</w:t>
      </w:r>
      <w:r>
        <w:rPr>
          <w:rFonts w:hint="eastAsia" w:ascii="宋体" w:hAnsi="宋体"/>
          <w:b/>
          <w:szCs w:val="21"/>
        </w:rPr>
        <w:t>电子唱标。</w:t>
      </w:r>
      <w:r>
        <w:rPr>
          <w:rFonts w:hint="eastAsia" w:ascii="宋体" w:hAnsi="宋体"/>
          <w:szCs w:val="21"/>
        </w:rPr>
        <w:t>投标文件解密结束，各投标供应商报价均在“广西政府采购云”平台远程不见面开标大厅展示；</w:t>
      </w:r>
    </w:p>
    <w:p w14:paraId="393D7AA8">
      <w:pPr>
        <w:spacing w:line="360" w:lineRule="auto"/>
        <w:ind w:firstLine="420" w:firstLineChars="200"/>
        <w:rPr>
          <w:rFonts w:ascii="宋体" w:hAnsi="宋体"/>
          <w:szCs w:val="21"/>
        </w:rPr>
      </w:pPr>
      <w:r>
        <w:rPr>
          <w:rFonts w:hint="eastAsia" w:ascii="宋体" w:hAnsi="宋体"/>
          <w:szCs w:val="21"/>
        </w:rPr>
        <w:t>（3）</w:t>
      </w:r>
      <w:r>
        <w:rPr>
          <w:rFonts w:hint="eastAsia" w:ascii="宋体" w:hAnsi="宋体"/>
          <w:b/>
          <w:szCs w:val="21"/>
        </w:rPr>
        <w:t>签署电子《政府采购活动现场确认声明书》。</w:t>
      </w:r>
      <w:r>
        <w:rPr>
          <w:rFonts w:hint="eastAsia" w:ascii="宋体" w:hAnsi="宋体"/>
          <w:szCs w:val="21"/>
        </w:rPr>
        <w:t>通过邮件形式在远程不见面开标大厅发送各投标人签署电子《政府采购活动现场确认声明书》。</w:t>
      </w:r>
    </w:p>
    <w:p w14:paraId="5D7D2A64">
      <w:pPr>
        <w:spacing w:line="360" w:lineRule="auto"/>
        <w:ind w:firstLine="420" w:firstLineChars="200"/>
        <w:rPr>
          <w:rFonts w:ascii="宋体" w:hAnsi="宋体"/>
          <w:bCs/>
          <w:szCs w:val="21"/>
        </w:rPr>
      </w:pPr>
      <w:r>
        <w:rPr>
          <w:rFonts w:hint="eastAsia" w:ascii="宋体" w:hAnsi="宋体"/>
          <w:bCs/>
          <w:szCs w:val="21"/>
        </w:rPr>
        <w:t>（4）开标过程由采购代理机构如实记录，并电子留痕，由参加电子开标的各投标人代表对电子开标记录在开标记录公布后15分钟内进行当场校核及勘误，并线上确认，未确认的视同认可开标结果。</w:t>
      </w:r>
    </w:p>
    <w:p w14:paraId="14221E5D">
      <w:pPr>
        <w:spacing w:line="360" w:lineRule="auto"/>
        <w:ind w:firstLine="420" w:firstLineChars="200"/>
        <w:rPr>
          <w:rFonts w:ascii="宋体" w:hAnsi="宋体"/>
          <w:bCs/>
          <w:szCs w:val="21"/>
        </w:rPr>
      </w:pPr>
      <w:r>
        <w:rPr>
          <w:rFonts w:hint="eastAsia" w:ascii="宋体" w:hAnsi="宋体"/>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08E42ED4">
      <w:pPr>
        <w:spacing w:line="360" w:lineRule="auto"/>
        <w:ind w:firstLine="420" w:firstLineChars="200"/>
        <w:rPr>
          <w:rFonts w:ascii="宋体" w:hAnsi="宋体"/>
          <w:bCs/>
          <w:szCs w:val="21"/>
        </w:rPr>
      </w:pPr>
      <w:r>
        <w:rPr>
          <w:rFonts w:hint="eastAsia" w:ascii="宋体" w:hAnsi="宋体"/>
          <w:bCs/>
          <w:szCs w:val="21"/>
        </w:rPr>
        <w:t>（6）开标结束。</w:t>
      </w:r>
    </w:p>
    <w:p w14:paraId="22674EE3">
      <w:pPr>
        <w:pStyle w:val="18"/>
        <w:snapToGrid w:val="0"/>
        <w:spacing w:line="440" w:lineRule="exact"/>
        <w:ind w:firstLine="422" w:firstLineChars="200"/>
        <w:rPr>
          <w:rFonts w:hAnsi="宋体"/>
          <w:szCs w:val="21"/>
        </w:rPr>
      </w:pPr>
      <w:r>
        <w:rPr>
          <w:rFonts w:hint="eastAsia" w:hAnsi="宋体"/>
          <w:b/>
          <w:bCs/>
          <w:szCs w:val="21"/>
        </w:rPr>
        <w:t>特别说明：</w:t>
      </w:r>
      <w:r>
        <w:rPr>
          <w:rFonts w:hint="eastAsia" w:hAnsi="宋体"/>
          <w:szCs w:val="21"/>
        </w:rPr>
        <w:t>如遇“广西政府采购云”平台电子化开标或评审程序调整的，按调整后执行。</w:t>
      </w:r>
    </w:p>
    <w:p w14:paraId="4D7409D5">
      <w:pPr>
        <w:pStyle w:val="18"/>
        <w:snapToGrid w:val="0"/>
        <w:spacing w:line="400" w:lineRule="exact"/>
        <w:ind w:left="689" w:leftChars="228" w:hanging="210" w:hangingChars="100"/>
        <w:rPr>
          <w:rFonts w:hAnsi="宋体"/>
        </w:rPr>
      </w:pPr>
    </w:p>
    <w:p w14:paraId="553F57A5">
      <w:pPr>
        <w:pStyle w:val="5"/>
        <w:keepNext w:val="0"/>
        <w:keepLines w:val="0"/>
        <w:spacing w:line="400" w:lineRule="exact"/>
        <w:jc w:val="center"/>
      </w:pPr>
      <w:bookmarkStart w:id="107" w:name="_Toc187761558"/>
      <w:r>
        <w:rPr>
          <w:rFonts w:hint="eastAsia"/>
        </w:rPr>
        <w:t>五、资格审查</w:t>
      </w:r>
      <w:bookmarkEnd w:id="107"/>
    </w:p>
    <w:p w14:paraId="149A6B4E">
      <w:pPr>
        <w:pStyle w:val="7"/>
        <w:keepNext w:val="0"/>
        <w:keepLines w:val="0"/>
        <w:spacing w:before="0" w:after="0" w:line="360" w:lineRule="auto"/>
        <w:ind w:firstLine="482" w:firstLineChars="200"/>
        <w:rPr>
          <w:rFonts w:ascii="黑体" w:hAnsi="黑体" w:eastAsia="黑体"/>
          <w:sz w:val="24"/>
        </w:rPr>
      </w:pPr>
      <w:r>
        <w:rPr>
          <w:rFonts w:hint="eastAsia" w:ascii="黑体" w:hAnsi="黑体" w:eastAsia="黑体"/>
          <w:sz w:val="24"/>
        </w:rPr>
        <w:t>25.资格审查</w:t>
      </w:r>
    </w:p>
    <w:p w14:paraId="3A453964">
      <w:pPr>
        <w:spacing w:line="360" w:lineRule="auto"/>
        <w:ind w:firstLine="422" w:firstLineChars="200"/>
        <w:rPr>
          <w:rFonts w:ascii="宋体" w:hAnsi="宋体"/>
          <w:b/>
          <w:bCs/>
          <w:szCs w:val="20"/>
        </w:rPr>
      </w:pPr>
      <w:r>
        <w:rPr>
          <w:rFonts w:hint="eastAsia" w:ascii="宋体" w:hAnsi="宋体"/>
          <w:b/>
          <w:bCs/>
          <w:szCs w:val="20"/>
        </w:rPr>
        <w:t xml:space="preserve"> 25.1开标结束后，采购人或采购机构依法通过电子投标文件对投标人的资格进行线上审查。</w:t>
      </w:r>
    </w:p>
    <w:p w14:paraId="1B41F196">
      <w:pPr>
        <w:spacing w:line="360" w:lineRule="auto"/>
        <w:ind w:firstLine="422" w:firstLineChars="200"/>
        <w:rPr>
          <w:rFonts w:ascii="宋体" w:hAnsi="宋体"/>
          <w:b/>
          <w:bCs/>
          <w:szCs w:val="20"/>
        </w:rPr>
      </w:pPr>
      <w:r>
        <w:rPr>
          <w:rFonts w:hint="eastAsia" w:ascii="宋体" w:hAnsi="宋体"/>
          <w:b/>
          <w:bCs/>
          <w:szCs w:val="20"/>
        </w:rPr>
        <w:t xml:space="preserve"> 25.2采购人或采购机构依据法律法规和招标文件的规定，对投标人的基本资格条件、特定资格条件进行审查。</w:t>
      </w:r>
    </w:p>
    <w:p w14:paraId="46EBC283">
      <w:pPr>
        <w:spacing w:line="360" w:lineRule="auto"/>
        <w:ind w:firstLine="420" w:firstLineChars="200"/>
        <w:rPr>
          <w:rFonts w:ascii="宋体" w:hAnsi="宋体"/>
        </w:rPr>
      </w:pPr>
      <w:r>
        <w:rPr>
          <w:rFonts w:hint="eastAsia" w:ascii="宋体" w:hAnsi="宋体"/>
        </w:rPr>
        <w:t>25.3资格审查标准为本“招标文件”中“投标人须知前附表”13.1点载明对投标人资格要求的条件。本项目资格审查采用合格制，凡符合招标文件规定的投标人资格要求的投标人均通过资格审查。</w:t>
      </w:r>
    </w:p>
    <w:p w14:paraId="2635258C">
      <w:pPr>
        <w:spacing w:line="360" w:lineRule="auto"/>
        <w:ind w:firstLine="422" w:firstLineChars="200"/>
        <w:rPr>
          <w:rFonts w:ascii="宋体" w:hAnsi="宋体"/>
          <w:b/>
          <w:bCs/>
          <w:szCs w:val="20"/>
        </w:rPr>
      </w:pPr>
      <w:bookmarkStart w:id="108" w:name="_25.3_投标人有下列情形之一的，资格审查不通过而导致其投标无效："/>
      <w:bookmarkEnd w:id="108"/>
      <w:r>
        <w:rPr>
          <w:rFonts w:hint="eastAsia" w:ascii="宋体" w:hAnsi="宋体"/>
          <w:b/>
          <w:bCs/>
          <w:szCs w:val="20"/>
        </w:rPr>
        <w:t>25.4投标人有下列情形之一的，资格审查不通过，作无效投标处理：</w:t>
      </w:r>
    </w:p>
    <w:p w14:paraId="3355FFBA">
      <w:pPr>
        <w:spacing w:line="360" w:lineRule="auto"/>
        <w:ind w:firstLine="420" w:firstLineChars="200"/>
        <w:rPr>
          <w:rFonts w:hAnsi="宋体"/>
        </w:rPr>
      </w:pPr>
      <w:r>
        <w:rPr>
          <w:rFonts w:hint="eastAsia" w:hAnsi="宋体"/>
        </w:rPr>
        <w:t>（</w:t>
      </w:r>
      <w:r>
        <w:rPr>
          <w:rFonts w:hAnsi="宋体"/>
        </w:rPr>
        <w:t>1</w:t>
      </w:r>
      <w:r>
        <w:rPr>
          <w:rFonts w:hint="eastAsia" w:hAnsi="宋体"/>
        </w:rPr>
        <w:t>）不具备招标文件中规定的资格要求的；（注：其中信用查询规则见“投标人须知前附表”，“广西政府采购云”平台已与“信用中国”平台做接口，审查专家可直接在线查询）</w:t>
      </w:r>
    </w:p>
    <w:p w14:paraId="0C8C2357">
      <w:pPr>
        <w:spacing w:line="360" w:lineRule="auto"/>
        <w:ind w:firstLine="420" w:firstLineChars="200"/>
        <w:rPr>
          <w:rFonts w:hAnsi="宋体"/>
        </w:rPr>
      </w:pPr>
      <w:r>
        <w:rPr>
          <w:rFonts w:hint="eastAsia" w:hAnsi="宋体"/>
        </w:rPr>
        <w:t>（</w:t>
      </w:r>
      <w:r>
        <w:rPr>
          <w:rFonts w:hAnsi="宋体"/>
        </w:rPr>
        <w:t>2</w:t>
      </w:r>
      <w:r>
        <w:rPr>
          <w:rFonts w:hint="eastAsia" w:hAnsi="宋体"/>
        </w:rPr>
        <w:t>）投标文件未提供任一项“投标人须知前附表”资格证明文件规定的“必须提供”的文件资料的；</w:t>
      </w:r>
    </w:p>
    <w:p w14:paraId="51D5582E">
      <w:pPr>
        <w:spacing w:line="360" w:lineRule="auto"/>
        <w:ind w:firstLine="420" w:firstLineChars="200"/>
        <w:rPr>
          <w:rFonts w:hAnsi="宋体"/>
        </w:rPr>
      </w:pPr>
      <w:r>
        <w:rPr>
          <w:rFonts w:hint="eastAsia" w:hAnsi="宋体"/>
        </w:rPr>
        <w:t>（</w:t>
      </w:r>
      <w:r>
        <w:rPr>
          <w:rFonts w:hAnsi="宋体"/>
        </w:rPr>
        <w:t>3</w:t>
      </w:r>
      <w:r>
        <w:rPr>
          <w:rFonts w:hint="eastAsia" w:hAnsi="宋体"/>
        </w:rPr>
        <w:t>）投标文件提供的资格证明文件出现任一项不符合“投标人须知前附表”资格证明文件规定的“必须提供”的文件资料要求或者无效的。</w:t>
      </w:r>
    </w:p>
    <w:p w14:paraId="494BE343">
      <w:pPr>
        <w:pStyle w:val="7"/>
        <w:keepNext w:val="0"/>
        <w:keepLines w:val="0"/>
        <w:spacing w:before="0" w:after="0" w:line="360" w:lineRule="auto"/>
        <w:ind w:firstLine="420" w:firstLineChars="200"/>
        <w:rPr>
          <w:rFonts w:ascii="宋体" w:hAnsi="宋体"/>
          <w:b w:val="0"/>
          <w:bCs w:val="0"/>
          <w:sz w:val="21"/>
          <w:szCs w:val="20"/>
        </w:rPr>
      </w:pPr>
      <w:r>
        <w:rPr>
          <w:rFonts w:hint="eastAsia" w:ascii="宋体" w:hAnsi="宋体"/>
          <w:b w:val="0"/>
          <w:bCs w:val="0"/>
          <w:sz w:val="21"/>
          <w:szCs w:val="20"/>
        </w:rPr>
        <w:t>25.5资格审查的合格投标人不足3家的，不得评标。</w:t>
      </w:r>
    </w:p>
    <w:p w14:paraId="3B725641">
      <w:pPr>
        <w:pStyle w:val="5"/>
        <w:keepNext w:val="0"/>
        <w:keepLines w:val="0"/>
        <w:spacing w:line="360" w:lineRule="auto"/>
        <w:jc w:val="center"/>
      </w:pPr>
      <w:bookmarkStart w:id="109" w:name="_Toc187761559"/>
      <w:r>
        <w:rPr>
          <w:rFonts w:hint="eastAsia"/>
        </w:rPr>
        <w:t>六、评标</w:t>
      </w:r>
      <w:bookmarkEnd w:id="109"/>
    </w:p>
    <w:p w14:paraId="16F4DD9B">
      <w:pPr>
        <w:spacing w:line="360" w:lineRule="auto"/>
        <w:ind w:firstLine="480" w:firstLineChars="200"/>
        <w:rPr>
          <w:rFonts w:ascii="黑体" w:hAnsi="黑体" w:eastAsia="黑体"/>
          <w:sz w:val="24"/>
        </w:rPr>
      </w:pPr>
      <w:bookmarkStart w:id="110" w:name="_26.组建评标委员会"/>
      <w:bookmarkEnd w:id="110"/>
      <w:r>
        <w:rPr>
          <w:rFonts w:hint="eastAsia" w:ascii="黑体" w:hAnsi="黑体" w:eastAsia="黑体"/>
          <w:sz w:val="24"/>
        </w:rPr>
        <w:t>26.组建评标委员会</w:t>
      </w:r>
    </w:p>
    <w:p w14:paraId="4B65CF64">
      <w:pPr>
        <w:spacing w:line="360" w:lineRule="auto"/>
        <w:ind w:firstLine="420" w:firstLineChars="200"/>
        <w:rPr>
          <w:rFonts w:hAnsi="宋体"/>
        </w:rPr>
      </w:pPr>
      <w:r>
        <w:rPr>
          <w:rFonts w:hint="eastAsia" w:hAnsi="宋体"/>
        </w:rPr>
        <w:t>评标委员会由采购人代表和评审专家组成，人数为</w:t>
      </w:r>
      <w:r>
        <w:rPr>
          <w:rFonts w:hAnsi="宋体"/>
        </w:rPr>
        <w:t>5</w:t>
      </w:r>
      <w:r>
        <w:rPr>
          <w:rFonts w:hint="eastAsia" w:hAnsi="宋体"/>
        </w:rPr>
        <w:t>人以上单数，其中评审专家不得少于成员总数的三分之二。</w:t>
      </w:r>
    </w:p>
    <w:p w14:paraId="4F2BE0AB">
      <w:pPr>
        <w:spacing w:line="360" w:lineRule="auto"/>
        <w:ind w:firstLine="420" w:firstLineChars="200"/>
        <w:rPr>
          <w:rFonts w:hAnsi="宋体"/>
        </w:rPr>
      </w:pPr>
      <w:r>
        <w:rPr>
          <w:rFonts w:hint="eastAsia" w:hAnsi="宋体"/>
        </w:rPr>
        <w:t>参加过采购项目前期咨询论证的专家，不得参加该采购项目的评审活动。</w:t>
      </w:r>
    </w:p>
    <w:p w14:paraId="4FE632AC">
      <w:pPr>
        <w:spacing w:line="360" w:lineRule="auto"/>
        <w:ind w:firstLine="480" w:firstLineChars="200"/>
        <w:rPr>
          <w:rFonts w:ascii="黑体" w:hAnsi="黑体" w:eastAsia="黑体"/>
          <w:sz w:val="24"/>
        </w:rPr>
      </w:pPr>
      <w:r>
        <w:rPr>
          <w:rFonts w:hint="eastAsia" w:ascii="黑体" w:hAnsi="黑体" w:eastAsia="黑体"/>
          <w:sz w:val="24"/>
        </w:rPr>
        <w:t>27.评标的依据</w:t>
      </w:r>
    </w:p>
    <w:p w14:paraId="4C2453CF">
      <w:pPr>
        <w:spacing w:line="360" w:lineRule="auto"/>
        <w:ind w:firstLine="420" w:firstLineChars="200"/>
        <w:rPr>
          <w:rFonts w:hAnsi="宋体"/>
        </w:rPr>
      </w:pPr>
      <w:r>
        <w:rPr>
          <w:rFonts w:hint="eastAsia" w:hAnsi="宋体"/>
        </w:rPr>
        <w:t>评标委员会以招标文件为依据对投标文件进行评审，</w:t>
      </w:r>
      <w:r>
        <w:rPr>
          <w:rFonts w:hint="eastAsia" w:hAnsi="宋体" w:cs="宋体"/>
        </w:rPr>
        <w:t>“第四章评标方法和评标标准”</w:t>
      </w:r>
      <w:r>
        <w:rPr>
          <w:rFonts w:hint="eastAsia" w:hAnsi="宋体"/>
        </w:rPr>
        <w:t>没有规定的方法、评审因素和标准，不作为评标依据。</w:t>
      </w:r>
    </w:p>
    <w:p w14:paraId="184F2704">
      <w:pPr>
        <w:spacing w:line="360" w:lineRule="auto"/>
        <w:ind w:firstLine="480" w:firstLineChars="200"/>
        <w:rPr>
          <w:rFonts w:ascii="黑体" w:hAnsi="黑体" w:eastAsia="黑体"/>
          <w:sz w:val="24"/>
        </w:rPr>
      </w:pPr>
      <w:r>
        <w:rPr>
          <w:rFonts w:hint="eastAsia" w:ascii="黑体" w:hAnsi="黑体" w:eastAsia="黑体"/>
          <w:sz w:val="24"/>
        </w:rPr>
        <w:t>28.评标原则</w:t>
      </w:r>
    </w:p>
    <w:p w14:paraId="1DAD104F">
      <w:pPr>
        <w:spacing w:line="360" w:lineRule="auto"/>
        <w:ind w:firstLine="420" w:firstLineChars="200"/>
        <w:rPr>
          <w:rFonts w:hAnsi="宋体"/>
        </w:rPr>
      </w:pPr>
      <w:r>
        <w:rPr>
          <w:rFonts w:hAnsi="宋体"/>
        </w:rPr>
        <w:t>28.1</w:t>
      </w:r>
      <w:r>
        <w:rPr>
          <w:rFonts w:hint="eastAsia" w:hAnsi="宋体"/>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6819DCDB">
      <w:pPr>
        <w:spacing w:line="360" w:lineRule="auto"/>
        <w:ind w:firstLine="420" w:firstLineChars="200"/>
        <w:rPr>
          <w:rFonts w:hAnsi="宋体"/>
        </w:rPr>
      </w:pPr>
      <w:r>
        <w:rPr>
          <w:rFonts w:hAnsi="宋体"/>
        </w:rPr>
        <w:t>28.2</w:t>
      </w:r>
      <w:r>
        <w:rPr>
          <w:rFonts w:hint="eastAsia" w:hAnsi="宋体"/>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1" w:name="_28.3评标方法。本项目将按须知前附表规定的评标办法进行评标，具体评标"/>
      <w:bookmarkEnd w:id="111"/>
    </w:p>
    <w:p w14:paraId="3E04F8A8">
      <w:pPr>
        <w:spacing w:line="360" w:lineRule="auto"/>
        <w:ind w:firstLine="420" w:firstLineChars="200"/>
        <w:rPr>
          <w:rFonts w:hAnsi="宋体"/>
        </w:rPr>
      </w:pPr>
      <w:r>
        <w:rPr>
          <w:rFonts w:hAnsi="宋体"/>
        </w:rPr>
        <w:t>28.3</w:t>
      </w:r>
      <w:r>
        <w:rPr>
          <w:rFonts w:hint="eastAsia" w:hAnsi="宋体"/>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745FCF4D">
      <w:pPr>
        <w:spacing w:line="360" w:lineRule="auto"/>
        <w:ind w:firstLine="420" w:firstLineChars="200"/>
        <w:rPr>
          <w:rFonts w:hAnsi="宋体"/>
        </w:rPr>
      </w:pPr>
      <w:r>
        <w:rPr>
          <w:rFonts w:hAnsi="宋体"/>
        </w:rPr>
        <w:t>28.4</w:t>
      </w:r>
      <w:r>
        <w:rPr>
          <w:rFonts w:hint="eastAsia" w:hAnsi="宋体"/>
        </w:rPr>
        <w:t>评标过程的监控。本项目电子评标过程实行网上留痕、全程录音、录像监控，投标人在评标过程中所进行的试图影响评标结果的不公正活动，可能导致其投标按无效处理。</w:t>
      </w:r>
    </w:p>
    <w:p w14:paraId="1F8BAE97">
      <w:pPr>
        <w:widowControl/>
        <w:spacing w:line="560" w:lineRule="exact"/>
        <w:ind w:firstLine="420" w:firstLineChars="200"/>
        <w:jc w:val="left"/>
        <w:textAlignment w:val="baseline"/>
        <w:rPr>
          <w:rFonts w:hAnsi="宋体"/>
        </w:rPr>
      </w:pPr>
      <w:r>
        <w:rPr>
          <w:rFonts w:hAnsi="宋体"/>
        </w:rPr>
        <w:t>28.5</w:t>
      </w:r>
      <w:r>
        <w:rPr>
          <w:rFonts w:hint="eastAsia" w:hAnsi="宋体"/>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0BC907F2">
      <w:pPr>
        <w:spacing w:line="360" w:lineRule="auto"/>
        <w:ind w:firstLine="480" w:firstLineChars="200"/>
        <w:rPr>
          <w:rFonts w:ascii="黑体" w:hAnsi="黑体" w:eastAsia="黑体"/>
          <w:sz w:val="24"/>
        </w:rPr>
      </w:pPr>
      <w:r>
        <w:rPr>
          <w:rFonts w:hint="eastAsia" w:ascii="黑体" w:hAnsi="黑体" w:eastAsia="黑体"/>
          <w:sz w:val="24"/>
        </w:rPr>
        <w:t>29.评标方法及评标标准</w:t>
      </w:r>
    </w:p>
    <w:p w14:paraId="696E7800">
      <w:pPr>
        <w:spacing w:line="360" w:lineRule="auto"/>
        <w:ind w:firstLine="420" w:firstLineChars="200"/>
        <w:rPr>
          <w:rFonts w:hAnsi="宋体"/>
        </w:rPr>
      </w:pPr>
      <w:r>
        <w:rPr>
          <w:rFonts w:hAnsi="宋体"/>
        </w:rPr>
        <w:t>29.1</w:t>
      </w:r>
      <w:r>
        <w:rPr>
          <w:rFonts w:hint="eastAsia" w:hAnsi="宋体"/>
        </w:rPr>
        <w:t>本项目的评标方法详见“投标人须知前附表”。</w:t>
      </w:r>
    </w:p>
    <w:p w14:paraId="247A0B33">
      <w:pPr>
        <w:spacing w:line="360" w:lineRule="auto"/>
        <w:ind w:firstLine="420" w:firstLineChars="200"/>
        <w:rPr>
          <w:rFonts w:hAnsi="宋体"/>
        </w:rPr>
      </w:pPr>
      <w:r>
        <w:rPr>
          <w:rFonts w:hAnsi="宋体"/>
        </w:rPr>
        <w:t>29.2</w:t>
      </w:r>
      <w:r>
        <w:rPr>
          <w:rFonts w:hint="eastAsia" w:hAnsi="宋体"/>
        </w:rPr>
        <w:t>评标委员会按照</w:t>
      </w:r>
      <w:r>
        <w:rPr>
          <w:rFonts w:hint="eastAsia" w:hAnsi="宋体" w:cs="宋体"/>
          <w:b/>
        </w:rPr>
        <w:t>“第四章评标方法和评标标准”</w:t>
      </w:r>
      <w:r>
        <w:rPr>
          <w:rFonts w:hint="eastAsia" w:hAnsi="宋体"/>
        </w:rPr>
        <w:t>规定的方法、评审因素、标准和程序对投标文件进行评审。</w:t>
      </w:r>
    </w:p>
    <w:p w14:paraId="37E8311E">
      <w:pPr>
        <w:spacing w:line="360" w:lineRule="auto"/>
        <w:ind w:firstLine="420" w:firstLineChars="200"/>
        <w:rPr>
          <w:rFonts w:hAnsi="宋体"/>
        </w:rPr>
      </w:pPr>
      <w:r>
        <w:rPr>
          <w:rFonts w:hAnsi="宋体"/>
        </w:rPr>
        <w:t xml:space="preserve">29.3 </w:t>
      </w:r>
      <w:r>
        <w:rPr>
          <w:rFonts w:hint="eastAsia" w:hAnsi="宋体"/>
        </w:rPr>
        <w:t>电子交易活动的中止。采购过程中出现以下情形，导致电子交易平台无法正常运行，或者无法保证电子交易的公平、公正和安全时，采购机构可中止电子交易活动：</w:t>
      </w:r>
    </w:p>
    <w:p w14:paraId="6BB33577">
      <w:pPr>
        <w:spacing w:line="360" w:lineRule="auto"/>
        <w:ind w:firstLine="420" w:firstLineChars="200"/>
        <w:rPr>
          <w:rFonts w:hAnsi="宋体"/>
        </w:rPr>
      </w:pPr>
      <w:r>
        <w:rPr>
          <w:rFonts w:hint="eastAsia" w:hAnsi="宋体"/>
        </w:rPr>
        <w:t>（</w:t>
      </w:r>
      <w:r>
        <w:rPr>
          <w:rFonts w:hAnsi="宋体"/>
        </w:rPr>
        <w:t>1</w:t>
      </w:r>
      <w:r>
        <w:rPr>
          <w:rFonts w:hint="eastAsia" w:hAnsi="宋体"/>
        </w:rPr>
        <w:t>）电子交易平台发生故障而无法登录访问的；</w:t>
      </w:r>
    </w:p>
    <w:p w14:paraId="1DF5D88B">
      <w:pPr>
        <w:spacing w:line="360" w:lineRule="auto"/>
        <w:ind w:firstLine="420" w:firstLineChars="200"/>
        <w:rPr>
          <w:rFonts w:hAnsi="宋体"/>
        </w:rPr>
      </w:pPr>
      <w:r>
        <w:rPr>
          <w:rFonts w:hint="eastAsia" w:hAnsi="宋体"/>
        </w:rPr>
        <w:t>（</w:t>
      </w:r>
      <w:r>
        <w:rPr>
          <w:rFonts w:hAnsi="宋体"/>
        </w:rPr>
        <w:t>2</w:t>
      </w:r>
      <w:r>
        <w:rPr>
          <w:rFonts w:hint="eastAsia" w:hAnsi="宋体"/>
        </w:rPr>
        <w:t>）电子交易平台应用或数据库出现错误，不能进行正常操作的；</w:t>
      </w:r>
    </w:p>
    <w:p w14:paraId="47B0C187">
      <w:pPr>
        <w:spacing w:line="360" w:lineRule="auto"/>
        <w:ind w:firstLine="420" w:firstLineChars="200"/>
        <w:rPr>
          <w:rFonts w:hAnsi="宋体"/>
        </w:rPr>
      </w:pPr>
      <w:r>
        <w:rPr>
          <w:rFonts w:hint="eastAsia" w:hAnsi="宋体"/>
        </w:rPr>
        <w:t>（</w:t>
      </w:r>
      <w:r>
        <w:rPr>
          <w:rFonts w:hAnsi="宋体"/>
        </w:rPr>
        <w:t>3</w:t>
      </w:r>
      <w:r>
        <w:rPr>
          <w:rFonts w:hint="eastAsia" w:hAnsi="宋体"/>
        </w:rPr>
        <w:t>）电子交易平台发现严重安全漏洞，有潜在泄密危险的；</w:t>
      </w:r>
    </w:p>
    <w:p w14:paraId="0CAFEF42">
      <w:pPr>
        <w:spacing w:line="360" w:lineRule="auto"/>
        <w:ind w:firstLine="420" w:firstLineChars="200"/>
        <w:rPr>
          <w:rFonts w:hAnsi="宋体"/>
        </w:rPr>
      </w:pPr>
      <w:r>
        <w:rPr>
          <w:rFonts w:hint="eastAsia" w:hAnsi="宋体"/>
        </w:rPr>
        <w:t>（</w:t>
      </w:r>
      <w:r>
        <w:rPr>
          <w:rFonts w:hAnsi="宋体"/>
        </w:rPr>
        <w:t>4</w:t>
      </w:r>
      <w:r>
        <w:rPr>
          <w:rFonts w:hint="eastAsia" w:hAnsi="宋体"/>
        </w:rPr>
        <w:t>）病毒发作导致不能进行正常操作的；</w:t>
      </w:r>
    </w:p>
    <w:p w14:paraId="7B1D1B48">
      <w:pPr>
        <w:spacing w:line="360" w:lineRule="auto"/>
        <w:ind w:firstLine="420" w:firstLineChars="200"/>
        <w:rPr>
          <w:rFonts w:hAnsi="宋体"/>
        </w:rPr>
      </w:pPr>
      <w:r>
        <w:rPr>
          <w:rFonts w:hint="eastAsia" w:hAnsi="宋体"/>
        </w:rPr>
        <w:t>（</w:t>
      </w:r>
      <w:r>
        <w:rPr>
          <w:rFonts w:hAnsi="宋体"/>
        </w:rPr>
        <w:t>4</w:t>
      </w:r>
      <w:r>
        <w:rPr>
          <w:rFonts w:hint="eastAsia" w:hAnsi="宋体"/>
        </w:rPr>
        <w:t>）其他无法保证电子交易的公平、公正和安全的情况。</w:t>
      </w:r>
    </w:p>
    <w:p w14:paraId="6D01167E">
      <w:pPr>
        <w:spacing w:line="360" w:lineRule="auto"/>
        <w:ind w:firstLine="420" w:firstLineChars="200"/>
        <w:rPr>
          <w:rFonts w:hAnsi="宋体"/>
        </w:rPr>
      </w:pPr>
      <w:r>
        <w:rPr>
          <w:rFonts w:hAnsi="宋体"/>
        </w:rPr>
        <w:t>29.4</w:t>
      </w:r>
      <w:r>
        <w:rPr>
          <w:rFonts w:hint="eastAsia" w:hAnsi="宋体"/>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3B8F5C26">
      <w:pPr>
        <w:pStyle w:val="18"/>
        <w:snapToGrid w:val="0"/>
        <w:spacing w:line="400" w:lineRule="exact"/>
        <w:ind w:firstLine="420" w:firstLineChars="200"/>
        <w:rPr>
          <w:rFonts w:hAnsi="宋体"/>
        </w:rPr>
      </w:pPr>
    </w:p>
    <w:p w14:paraId="7ECD0F47">
      <w:pPr>
        <w:pStyle w:val="5"/>
        <w:keepNext w:val="0"/>
        <w:keepLines w:val="0"/>
        <w:spacing w:line="400" w:lineRule="exact"/>
        <w:jc w:val="center"/>
      </w:pPr>
      <w:bookmarkStart w:id="112" w:name="_Toc254970687"/>
      <w:bookmarkStart w:id="113" w:name="_Toc254970546"/>
      <w:bookmarkStart w:id="114" w:name="_Toc187761560"/>
      <w:r>
        <w:rPr>
          <w:rFonts w:hint="eastAsia"/>
        </w:rPr>
        <w:t>七、</w:t>
      </w:r>
      <w:bookmarkEnd w:id="112"/>
      <w:bookmarkEnd w:id="113"/>
      <w:r>
        <w:rPr>
          <w:rFonts w:hint="eastAsia"/>
        </w:rPr>
        <w:t>中标和合同</w:t>
      </w:r>
      <w:bookmarkEnd w:id="114"/>
    </w:p>
    <w:p w14:paraId="3980BD50">
      <w:pPr>
        <w:spacing w:line="360" w:lineRule="auto"/>
        <w:ind w:firstLine="480" w:firstLineChars="200"/>
        <w:rPr>
          <w:rFonts w:ascii="黑体" w:hAnsi="黑体" w:eastAsia="黑体"/>
          <w:sz w:val="24"/>
        </w:rPr>
      </w:pPr>
      <w:r>
        <w:rPr>
          <w:rFonts w:hint="eastAsia" w:ascii="黑体" w:hAnsi="黑体" w:eastAsia="黑体"/>
          <w:sz w:val="24"/>
        </w:rPr>
        <w:t>30.确定中标人</w:t>
      </w:r>
    </w:p>
    <w:p w14:paraId="199EE045">
      <w:pPr>
        <w:spacing w:line="360" w:lineRule="auto"/>
        <w:ind w:firstLine="422" w:firstLineChars="200"/>
        <w:rPr>
          <w:rFonts w:ascii="宋体" w:hAnsi="宋体" w:cs="Courier New"/>
          <w:b/>
          <w:bCs/>
          <w:szCs w:val="21"/>
        </w:rPr>
      </w:pPr>
      <w:r>
        <w:rPr>
          <w:rFonts w:hint="eastAsia" w:ascii="宋体" w:hAnsi="宋体" w:cs="Courier New"/>
          <w:b/>
          <w:bCs/>
          <w:szCs w:val="21"/>
        </w:rPr>
        <w:t>30.1本项目授权评标委员会直接按第四章“评标方法及标准”的规定排列中标候选人顺序，并依照次序确定中标人。</w:t>
      </w:r>
    </w:p>
    <w:p w14:paraId="693BCC1C">
      <w:pPr>
        <w:spacing w:line="360" w:lineRule="auto"/>
        <w:ind w:firstLine="420" w:firstLineChars="200"/>
        <w:rPr>
          <w:rFonts w:ascii="宋体" w:hAnsi="宋体" w:cs="Courier New"/>
          <w:szCs w:val="21"/>
        </w:rPr>
      </w:pPr>
      <w:r>
        <w:rPr>
          <w:rFonts w:hint="eastAsia" w:ascii="宋体" w:hAnsi="宋体" w:cs="Courier New"/>
          <w:szCs w:val="21"/>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6D22BC15">
      <w:pPr>
        <w:spacing w:line="360" w:lineRule="auto"/>
        <w:ind w:firstLine="420" w:firstLineChars="200"/>
        <w:rPr>
          <w:rFonts w:ascii="宋体" w:hAnsi="宋体" w:cs="Courier New"/>
          <w:szCs w:val="21"/>
        </w:rPr>
      </w:pPr>
      <w:r>
        <w:rPr>
          <w:rFonts w:hint="eastAsia" w:ascii="宋体" w:hAnsi="宋体" w:cs="Courier New"/>
          <w:szCs w:val="21"/>
        </w:rPr>
        <w:t>30.3中标供应商无正当理由拒签合同的，根据《中华人民共和国政府采购法》第七十七条第一款规定处理。</w:t>
      </w:r>
    </w:p>
    <w:p w14:paraId="2560E06F">
      <w:pPr>
        <w:spacing w:line="360" w:lineRule="auto"/>
        <w:ind w:firstLine="420" w:firstLineChars="200"/>
        <w:rPr>
          <w:rFonts w:ascii="宋体" w:hAnsi="宋体" w:cs="Courier New"/>
          <w:szCs w:val="21"/>
        </w:rPr>
      </w:pPr>
      <w:r>
        <w:rPr>
          <w:rFonts w:hint="eastAsia" w:ascii="宋体" w:hAnsi="宋体" w:cs="Courier New"/>
          <w:szCs w:val="21"/>
        </w:rPr>
        <w:t>30.4根据《中华人民共和国民法典》</w:t>
      </w:r>
      <w:r>
        <w:rPr>
          <w:rFonts w:hint="eastAsia"/>
          <w:szCs w:val="21"/>
        </w:rPr>
        <w:t>第五百六十三条</w:t>
      </w:r>
      <w:r>
        <w:rPr>
          <w:rFonts w:hint="eastAsia" w:ascii="宋体" w:hAnsi="宋体" w:cs="Courier New"/>
          <w:szCs w:val="21"/>
        </w:rPr>
        <w:t>，因不可抗力致使不能实现合同目的的，当事人可以解除合同。</w:t>
      </w:r>
    </w:p>
    <w:p w14:paraId="2383A47F">
      <w:pPr>
        <w:spacing w:line="360" w:lineRule="auto"/>
        <w:ind w:firstLine="480" w:firstLineChars="200"/>
        <w:rPr>
          <w:rFonts w:ascii="黑体" w:hAnsi="黑体" w:eastAsia="黑体"/>
          <w:sz w:val="24"/>
        </w:rPr>
      </w:pPr>
      <w:r>
        <w:rPr>
          <w:rFonts w:hint="eastAsia" w:ascii="黑体" w:hAnsi="黑体" w:eastAsia="黑体"/>
          <w:sz w:val="24"/>
        </w:rPr>
        <w:t>31. 结果公告</w:t>
      </w:r>
    </w:p>
    <w:p w14:paraId="4F8B4C13">
      <w:pPr>
        <w:spacing w:line="360" w:lineRule="auto"/>
        <w:ind w:firstLine="420" w:firstLineChars="200"/>
        <w:rPr>
          <w:rFonts w:hAnsi="宋体" w:cs="宋体"/>
        </w:rPr>
      </w:pPr>
      <w:r>
        <w:rPr>
          <w:rFonts w:hAnsi="宋体"/>
          <w:szCs w:val="21"/>
        </w:rPr>
        <w:t>31.1</w:t>
      </w:r>
      <w:r>
        <w:rPr>
          <w:rFonts w:hint="eastAsia" w:hAnsi="宋体" w:cs="宋体"/>
        </w:rPr>
        <w:t>在中标供应商</w:t>
      </w:r>
      <w:r>
        <w:rPr>
          <w:rFonts w:hint="eastAsia" w:hAnsi="宋体" w:cs="Arial"/>
        </w:rPr>
        <w:t>确定之日起</w:t>
      </w:r>
      <w:r>
        <w:rPr>
          <w:rFonts w:hAnsi="宋体" w:cs="宋体"/>
        </w:rPr>
        <w:t>2</w:t>
      </w:r>
      <w:r>
        <w:rPr>
          <w:rFonts w:hint="eastAsia" w:hAnsi="宋体" w:cs="宋体"/>
        </w:rPr>
        <w:t>个工作日内，由采购代理机构</w:t>
      </w:r>
      <w:r>
        <w:rPr>
          <w:rFonts w:hint="eastAsia" w:hAnsi="宋体"/>
          <w:b/>
          <w:szCs w:val="21"/>
        </w:rPr>
        <w:t>在招标公告发布媒体上</w:t>
      </w:r>
      <w:r>
        <w:rPr>
          <w:rFonts w:hint="eastAsia" w:hAnsi="宋体" w:cs="宋体"/>
        </w:rPr>
        <w:t>发布中标结果公告，中标结果公告期限为</w:t>
      </w:r>
      <w:r>
        <w:rPr>
          <w:rFonts w:hAnsi="宋体" w:cs="宋体"/>
        </w:rPr>
        <w:t>1</w:t>
      </w:r>
      <w:r>
        <w:rPr>
          <w:rFonts w:hint="eastAsia" w:hAnsi="宋体" w:cs="宋体"/>
        </w:rPr>
        <w:t>个工作日，发布中标结果公告的同时向中标供应商发出中标通知书。</w:t>
      </w:r>
      <w:r>
        <w:rPr>
          <w:rFonts w:hint="eastAsia" w:hAnsi="宋体"/>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hAnsi="宋体"/>
          <w:szCs w:val="21"/>
        </w:rPr>
        <w:t>排名第二的中标候选人因前款规定的同样原因被取消中标资格的，</w:t>
      </w:r>
      <w:r>
        <w:rPr>
          <w:rFonts w:hint="eastAsia" w:hAnsi="宋体" w:cs="Courier New"/>
          <w:szCs w:val="21"/>
        </w:rPr>
        <w:t>授权的评标委员会</w:t>
      </w:r>
      <w:r>
        <w:rPr>
          <w:rFonts w:hint="eastAsia" w:hAnsi="宋体"/>
          <w:szCs w:val="21"/>
        </w:rPr>
        <w:t>可以确定排名第三的中标候选人为中标人，以此类推。</w:t>
      </w:r>
    </w:p>
    <w:p w14:paraId="33435710">
      <w:pPr>
        <w:spacing w:line="360" w:lineRule="auto"/>
        <w:ind w:firstLine="420" w:firstLineChars="200"/>
        <w:rPr>
          <w:rFonts w:ascii="宋体" w:hAnsi="宋体"/>
          <w:szCs w:val="21"/>
        </w:rPr>
      </w:pPr>
      <w:r>
        <w:rPr>
          <w:rFonts w:hint="eastAsia" w:ascii="宋体" w:hAnsi="宋体"/>
          <w:szCs w:val="21"/>
        </w:rPr>
        <w:t>以上信息查询记录及相关证据与采购文件一并保存。</w:t>
      </w:r>
    </w:p>
    <w:p w14:paraId="06227DD4">
      <w:pPr>
        <w:spacing w:line="360" w:lineRule="auto"/>
        <w:ind w:firstLine="420" w:firstLineChars="200"/>
        <w:rPr>
          <w:rFonts w:ascii="宋体" w:hAnsi="宋体" w:cs="Courier New"/>
          <w:szCs w:val="21"/>
        </w:rPr>
      </w:pPr>
      <w:r>
        <w:rPr>
          <w:rFonts w:hint="eastAsia" w:ascii="宋体" w:hAnsi="宋体" w:cs="Courier New"/>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595BE1A5">
      <w:pPr>
        <w:spacing w:line="360" w:lineRule="auto"/>
        <w:ind w:firstLine="480" w:firstLineChars="200"/>
        <w:rPr>
          <w:rFonts w:ascii="黑体" w:hAnsi="黑体" w:eastAsia="黑体"/>
          <w:sz w:val="24"/>
        </w:rPr>
      </w:pPr>
      <w:r>
        <w:rPr>
          <w:rFonts w:hint="eastAsia" w:ascii="黑体" w:hAnsi="黑体" w:eastAsia="黑体"/>
          <w:sz w:val="24"/>
        </w:rPr>
        <w:t>32.发出中标通知书</w:t>
      </w:r>
    </w:p>
    <w:p w14:paraId="35F7EEF6">
      <w:pPr>
        <w:spacing w:line="360" w:lineRule="auto"/>
        <w:ind w:firstLine="422" w:firstLineChars="200"/>
        <w:rPr>
          <w:rFonts w:ascii="宋体" w:hAnsi="宋体"/>
          <w:b/>
          <w:szCs w:val="21"/>
        </w:rPr>
      </w:pPr>
      <w:r>
        <w:rPr>
          <w:rFonts w:hint="eastAsia" w:ascii="宋体" w:hAnsi="宋体"/>
          <w:b/>
          <w:szCs w:val="21"/>
        </w:rPr>
        <w:t>32.1在发布中标公告的同时，采购代理机构向中标人通过“广西政府采购云”平台发出电子中标通知书。</w:t>
      </w:r>
    </w:p>
    <w:p w14:paraId="543C1E43">
      <w:pPr>
        <w:spacing w:line="360" w:lineRule="auto"/>
        <w:ind w:firstLine="422" w:firstLineChars="200"/>
        <w:rPr>
          <w:rFonts w:ascii="宋体" w:hAnsi="宋体"/>
          <w:b/>
          <w:szCs w:val="21"/>
        </w:rPr>
      </w:pPr>
      <w:r>
        <w:rPr>
          <w:rFonts w:hint="eastAsia" w:ascii="宋体" w:hAnsi="宋体"/>
          <w:b/>
          <w:szCs w:val="21"/>
        </w:rPr>
        <w:t>32.2对未通过资格审查的投标人，采购人或采购机构应当告知其未通过的原因；采用综合评分办法评审的，采购人或采购机构还应当告知未中标人本人的评审得分与排序。</w:t>
      </w:r>
    </w:p>
    <w:p w14:paraId="6F2C8293">
      <w:pPr>
        <w:spacing w:line="360" w:lineRule="auto"/>
        <w:ind w:firstLine="480" w:firstLineChars="200"/>
        <w:rPr>
          <w:rFonts w:ascii="黑体" w:hAnsi="黑体" w:eastAsia="黑体"/>
          <w:sz w:val="24"/>
        </w:rPr>
      </w:pPr>
      <w:r>
        <w:rPr>
          <w:rFonts w:hint="eastAsia" w:ascii="黑体" w:hAnsi="黑体" w:eastAsia="黑体"/>
          <w:sz w:val="24"/>
        </w:rPr>
        <w:t>33. 无义务解释未中标原因</w:t>
      </w:r>
    </w:p>
    <w:p w14:paraId="238DDB3E">
      <w:pPr>
        <w:spacing w:line="360" w:lineRule="auto"/>
        <w:ind w:firstLine="422" w:firstLineChars="200"/>
        <w:rPr>
          <w:rFonts w:ascii="宋体" w:hAnsi="宋体"/>
          <w:b/>
          <w:szCs w:val="21"/>
        </w:rPr>
      </w:pPr>
      <w:r>
        <w:rPr>
          <w:rFonts w:hint="eastAsia" w:ascii="宋体" w:hAnsi="宋体"/>
          <w:b/>
          <w:szCs w:val="21"/>
        </w:rPr>
        <w:t>采购代理机构无义务向未中标的投标人解释未中标原因和退还投标文件。</w:t>
      </w:r>
    </w:p>
    <w:p w14:paraId="73A4369C">
      <w:pPr>
        <w:spacing w:line="360" w:lineRule="auto"/>
        <w:ind w:firstLine="480" w:firstLineChars="200"/>
        <w:rPr>
          <w:rFonts w:ascii="黑体" w:hAnsi="黑体" w:eastAsia="黑体"/>
          <w:sz w:val="24"/>
        </w:rPr>
      </w:pPr>
      <w:r>
        <w:rPr>
          <w:rFonts w:hint="eastAsia" w:ascii="黑体" w:hAnsi="黑体" w:eastAsia="黑体"/>
          <w:sz w:val="24"/>
        </w:rPr>
        <w:t>34.合同授予标准</w:t>
      </w:r>
    </w:p>
    <w:p w14:paraId="32071D8F">
      <w:pPr>
        <w:spacing w:line="360" w:lineRule="auto"/>
        <w:ind w:firstLine="420" w:firstLineChars="200"/>
        <w:rPr>
          <w:rFonts w:ascii="宋体" w:hAnsi="宋体"/>
          <w:szCs w:val="21"/>
        </w:rPr>
      </w:pPr>
      <w:r>
        <w:rPr>
          <w:rFonts w:hint="eastAsia" w:ascii="宋体" w:hAnsi="宋体" w:cs="Courier New"/>
          <w:szCs w:val="21"/>
        </w:rPr>
        <w:t>合同将授予被确定实质上响应招标文件要求，具备履行合同能力的中标人（招标文件另有约定多名中标人的除外）。</w:t>
      </w:r>
    </w:p>
    <w:p w14:paraId="064E2082">
      <w:pPr>
        <w:spacing w:line="360" w:lineRule="auto"/>
        <w:ind w:firstLine="480" w:firstLineChars="200"/>
        <w:rPr>
          <w:rFonts w:ascii="黑体" w:hAnsi="黑体" w:eastAsia="黑体"/>
          <w:sz w:val="24"/>
        </w:rPr>
      </w:pPr>
      <w:r>
        <w:rPr>
          <w:rFonts w:hint="eastAsia" w:ascii="黑体" w:hAnsi="黑体" w:eastAsia="黑体"/>
          <w:sz w:val="24"/>
        </w:rPr>
        <w:t>35.履约保证金</w:t>
      </w:r>
    </w:p>
    <w:p w14:paraId="3D95AC7C">
      <w:pPr>
        <w:spacing w:line="360" w:lineRule="auto"/>
        <w:ind w:firstLine="420" w:firstLineChars="200"/>
        <w:rPr>
          <w:rFonts w:ascii="宋体" w:hAnsi="宋体" w:cs="仿宋_GB2312"/>
          <w:szCs w:val="21"/>
        </w:rPr>
      </w:pPr>
      <w:bookmarkStart w:id="115" w:name="_39.1中标人须于签订合同前按本须知前附表规定的金额转账或电汇到指定账"/>
      <w:bookmarkEnd w:id="115"/>
      <w:r>
        <w:rPr>
          <w:rFonts w:hint="eastAsia" w:ascii="宋体" w:hAnsi="宋体" w:cs="仿宋_GB2312"/>
          <w:szCs w:val="21"/>
        </w:rPr>
        <w:t>见“投标人须知前附表”。</w:t>
      </w:r>
    </w:p>
    <w:p w14:paraId="390A2595">
      <w:pPr>
        <w:spacing w:line="360" w:lineRule="auto"/>
        <w:ind w:firstLine="480" w:firstLineChars="200"/>
        <w:rPr>
          <w:rFonts w:ascii="黑体" w:hAnsi="黑体" w:eastAsia="黑体"/>
          <w:sz w:val="24"/>
        </w:rPr>
      </w:pPr>
      <w:r>
        <w:rPr>
          <w:rFonts w:hint="eastAsia" w:ascii="黑体" w:hAnsi="黑体" w:eastAsia="黑体"/>
          <w:sz w:val="24"/>
        </w:rPr>
        <w:t>36.签订合同</w:t>
      </w:r>
    </w:p>
    <w:p w14:paraId="6AC5A7FC">
      <w:pPr>
        <w:pStyle w:val="70"/>
        <w:snapToGrid w:val="0"/>
        <w:spacing w:before="0"/>
        <w:ind w:firstLine="422"/>
        <w:rPr>
          <w:rFonts w:ascii="宋体" w:hAnsi="宋体"/>
          <w:kern w:val="0"/>
          <w:sz w:val="21"/>
          <w:szCs w:val="21"/>
          <w:lang w:val="zh-CN"/>
        </w:rPr>
      </w:pPr>
      <w:bookmarkStart w:id="116" w:name="_40.1投标人接到中标通知书后，按须知前附表规定向采购人出示相关资格证"/>
      <w:bookmarkEnd w:id="116"/>
      <w:r>
        <w:rPr>
          <w:rFonts w:hint="eastAsia" w:ascii="宋体" w:hAnsi="宋体"/>
          <w:b/>
          <w:sz w:val="21"/>
          <w:szCs w:val="21"/>
        </w:rPr>
        <w:t xml:space="preserve"> 36.1中标人领取电子中标通知书后，</w:t>
      </w:r>
      <w:r>
        <w:rPr>
          <w:rFonts w:hint="eastAsia" w:ascii="宋体" w:hAnsi="宋体"/>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03643BFE">
      <w:pPr>
        <w:pStyle w:val="70"/>
        <w:snapToGrid w:val="0"/>
        <w:spacing w:before="0"/>
        <w:ind w:firstLine="420"/>
        <w:rPr>
          <w:rFonts w:ascii="宋体" w:hAnsi="宋体"/>
          <w:kern w:val="0"/>
          <w:sz w:val="21"/>
          <w:szCs w:val="21"/>
          <w:lang w:val="zh-CN"/>
        </w:rPr>
      </w:pPr>
      <w:r>
        <w:rPr>
          <w:rFonts w:hint="eastAsia" w:ascii="宋体" w:hAnsi="宋体"/>
          <w:kern w:val="0"/>
          <w:sz w:val="21"/>
          <w:szCs w:val="21"/>
          <w:lang w:val="zh-CN"/>
        </w:rPr>
        <w:t>36.2</w:t>
      </w:r>
      <w:r>
        <w:rPr>
          <w:rFonts w:hint="eastAsia" w:ascii="宋体" w:hAnsi="宋体" w:cs="仿宋_GB2312"/>
          <w:sz w:val="21"/>
          <w:szCs w:val="21"/>
        </w:rPr>
        <w:t>采购合同由采购人与中标供应商根据招标文件、投标文件等内容通过政府采购电子交易平台在线签订，自动备案。</w:t>
      </w:r>
    </w:p>
    <w:p w14:paraId="4712FABE">
      <w:pPr>
        <w:pStyle w:val="70"/>
        <w:snapToGrid w:val="0"/>
        <w:spacing w:before="0"/>
        <w:ind w:firstLine="420"/>
        <w:rPr>
          <w:rFonts w:ascii="宋体" w:hAnsi="宋体" w:cs="仿宋_GB2312"/>
          <w:sz w:val="21"/>
          <w:szCs w:val="21"/>
        </w:rPr>
      </w:pPr>
      <w:r>
        <w:rPr>
          <w:rFonts w:hint="eastAsia" w:ascii="宋体" w:hAnsi="宋体"/>
          <w:sz w:val="21"/>
          <w:szCs w:val="21"/>
        </w:rPr>
        <w:t>36.3签订合同时间：按中标通知书规定的时间与采购人签订合同（最长不能超过25日）。</w:t>
      </w:r>
    </w:p>
    <w:p w14:paraId="2DC14CD9">
      <w:pPr>
        <w:spacing w:line="360" w:lineRule="auto"/>
        <w:ind w:firstLine="420" w:firstLineChars="200"/>
        <w:rPr>
          <w:rFonts w:ascii="宋体" w:hAnsi="宋体"/>
          <w:szCs w:val="21"/>
        </w:rPr>
      </w:pPr>
      <w:r>
        <w:rPr>
          <w:rFonts w:hint="eastAsia" w:ascii="宋体" w:hAnsi="宋体"/>
          <w:szCs w:val="21"/>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6D39FF56">
      <w:pPr>
        <w:spacing w:line="360" w:lineRule="auto"/>
        <w:ind w:firstLine="420" w:firstLineChars="200"/>
        <w:rPr>
          <w:rFonts w:ascii="宋体" w:hAnsi="宋体"/>
          <w:szCs w:val="21"/>
        </w:rPr>
      </w:pPr>
      <w:r>
        <w:rPr>
          <w:rFonts w:hint="eastAsia" w:ascii="宋体" w:hAnsi="宋体"/>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716879BC">
      <w:pPr>
        <w:spacing w:line="360" w:lineRule="auto"/>
        <w:ind w:firstLine="420" w:firstLineChars="200"/>
        <w:rPr>
          <w:rFonts w:ascii="宋体" w:hAnsi="宋体"/>
          <w:szCs w:val="21"/>
        </w:rPr>
      </w:pPr>
      <w:r>
        <w:rPr>
          <w:rFonts w:hint="eastAsia" w:ascii="宋体" w:hAnsi="宋体"/>
          <w:szCs w:val="21"/>
        </w:rPr>
        <w:t>36.6采购人或中标供应商不得单方面向合同另一方提出任何招标文件没有约定的条件或不合理的要求，作为签订合同的条件；也不得协商另行订立背离招标文件和合同实质性内容的协议。</w:t>
      </w:r>
    </w:p>
    <w:p w14:paraId="204D2154">
      <w:pPr>
        <w:spacing w:line="360" w:lineRule="auto"/>
        <w:ind w:firstLine="420" w:firstLineChars="200"/>
        <w:rPr>
          <w:rFonts w:ascii="宋体" w:hAnsi="宋体"/>
          <w:szCs w:val="21"/>
        </w:rPr>
      </w:pPr>
      <w:r>
        <w:rPr>
          <w:rFonts w:hint="eastAsia" w:ascii="宋体" w:hAnsi="宋体"/>
          <w:szCs w:val="21"/>
        </w:rPr>
        <w:t>36.7</w:t>
      </w:r>
      <w:r>
        <w:rPr>
          <w:rFonts w:hint="eastAsia" w:ascii="宋体" w:hAnsi="宋体" w:cs="仿宋_GB2312"/>
          <w:szCs w:val="21"/>
        </w:rPr>
        <w:t>如签订合同并生效后，供应商无故拒绝或延期，除按照合同条款处理外，将承担相应的法律责任。</w:t>
      </w:r>
    </w:p>
    <w:p w14:paraId="0DB800C9">
      <w:pPr>
        <w:spacing w:line="360" w:lineRule="auto"/>
        <w:ind w:firstLine="422" w:firstLineChars="200"/>
        <w:rPr>
          <w:rFonts w:ascii="宋体" w:hAnsi="宋体"/>
          <w:b/>
          <w:szCs w:val="21"/>
        </w:rPr>
      </w:pPr>
      <w:r>
        <w:rPr>
          <w:rFonts w:hint="eastAsia" w:ascii="宋体" w:hAnsi="宋体"/>
          <w:b/>
          <w:szCs w:val="21"/>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4329F2E8">
      <w:pPr>
        <w:spacing w:line="360" w:lineRule="auto"/>
        <w:ind w:firstLine="480" w:firstLineChars="200"/>
        <w:rPr>
          <w:rFonts w:ascii="黑体" w:hAnsi="黑体" w:eastAsia="黑体"/>
          <w:sz w:val="24"/>
        </w:rPr>
      </w:pPr>
      <w:bookmarkStart w:id="117" w:name="_41.政府采购合同公告"/>
      <w:bookmarkEnd w:id="117"/>
      <w:r>
        <w:rPr>
          <w:rFonts w:hint="eastAsia" w:ascii="黑体" w:hAnsi="黑体" w:eastAsia="黑体"/>
          <w:sz w:val="24"/>
        </w:rPr>
        <w:t>37.政府采购合同公告</w:t>
      </w:r>
    </w:p>
    <w:p w14:paraId="41292C1F">
      <w:pPr>
        <w:spacing w:line="360" w:lineRule="auto"/>
        <w:ind w:firstLine="420" w:firstLineChars="200"/>
        <w:rPr>
          <w:rFonts w:ascii="宋体" w:hAnsi="宋体"/>
        </w:rPr>
      </w:pPr>
      <w:r>
        <w:rPr>
          <w:rFonts w:hint="eastAsia" w:hAnsi="宋体"/>
        </w:rPr>
        <w:t>采购人或者受托采购代理机构应当自政府采购合同签订之日起</w:t>
      </w:r>
      <w:r>
        <w:rPr>
          <w:rFonts w:hAnsi="宋体"/>
        </w:rPr>
        <w:t>2</w:t>
      </w:r>
      <w:r>
        <w:rPr>
          <w:rFonts w:hint="eastAsia" w:hAnsi="宋体"/>
        </w:rPr>
        <w:t>个工作日内，将政府采购合同</w:t>
      </w:r>
      <w:r>
        <w:rPr>
          <w:rFonts w:hint="eastAsia" w:ascii="宋体" w:hAnsi="宋体"/>
          <w:bCs/>
        </w:rPr>
        <w:t>在以下媒体上发布</w:t>
      </w:r>
      <w:r>
        <w:rPr>
          <w:rFonts w:hint="eastAsia" w:ascii="宋体" w:hAnsi="宋体" w:cs="宋体"/>
          <w:kern w:val="0"/>
          <w:szCs w:val="21"/>
        </w:rPr>
        <w:t xml:space="preserve"> “广西政府采购网”（http://zfcg.gxzf.gov.cn）</w:t>
      </w:r>
      <w:r>
        <w:rPr>
          <w:rFonts w:hint="eastAsia" w:hAnsi="宋体"/>
        </w:rPr>
        <w:t>上公告，但政府采购合同中涉及国家秘密、商业秘密的内容除外。</w:t>
      </w:r>
    </w:p>
    <w:p w14:paraId="764AF7B0">
      <w:pPr>
        <w:spacing w:line="360" w:lineRule="auto"/>
        <w:ind w:firstLine="480" w:firstLineChars="200"/>
        <w:rPr>
          <w:rFonts w:ascii="黑体" w:hAnsi="黑体" w:eastAsia="黑体"/>
          <w:sz w:val="24"/>
        </w:rPr>
      </w:pPr>
      <w:r>
        <w:rPr>
          <w:rFonts w:hint="eastAsia" w:ascii="黑体" w:hAnsi="黑体" w:eastAsia="黑体"/>
          <w:sz w:val="24"/>
        </w:rPr>
        <w:t>38. 询问、质疑和投诉</w:t>
      </w:r>
    </w:p>
    <w:p w14:paraId="579F13B0">
      <w:pPr>
        <w:spacing w:line="360" w:lineRule="auto"/>
        <w:ind w:firstLine="422" w:firstLineChars="200"/>
        <w:rPr>
          <w:rFonts w:hAnsi="宋体"/>
          <w:b/>
          <w:szCs w:val="21"/>
        </w:rPr>
      </w:pPr>
      <w:r>
        <w:rPr>
          <w:rFonts w:hAnsi="宋体"/>
          <w:b/>
          <w:szCs w:val="21"/>
        </w:rPr>
        <w:t>38.1</w:t>
      </w:r>
      <w:r>
        <w:rPr>
          <w:rFonts w:hint="eastAsia" w:hAnsi="宋体"/>
          <w:b/>
          <w:szCs w:val="21"/>
        </w:rPr>
        <w:t>询问</w:t>
      </w:r>
    </w:p>
    <w:p w14:paraId="5B215625">
      <w:pPr>
        <w:spacing w:line="360" w:lineRule="auto"/>
        <w:ind w:firstLine="420" w:firstLineChars="200"/>
        <w:rPr>
          <w:rFonts w:hAnsi="宋体"/>
          <w:bCs/>
          <w:szCs w:val="21"/>
        </w:rPr>
      </w:pPr>
      <w:r>
        <w:rPr>
          <w:rFonts w:hAnsi="宋体"/>
          <w:bCs/>
          <w:szCs w:val="21"/>
        </w:rPr>
        <w:t>38.1.1</w:t>
      </w:r>
      <w:r>
        <w:rPr>
          <w:rFonts w:hint="eastAsia" w:hAnsi="宋体"/>
          <w:bCs/>
          <w:szCs w:val="21"/>
        </w:rPr>
        <w:t>供应商在开标前对政府采购活动事项有疑问的，可以向采购人或采购代理机构项目负责人提出询问。</w:t>
      </w:r>
    </w:p>
    <w:p w14:paraId="0CFAF03A">
      <w:pPr>
        <w:spacing w:line="360" w:lineRule="auto"/>
        <w:ind w:firstLine="420" w:firstLineChars="200"/>
        <w:rPr>
          <w:rFonts w:hAnsi="宋体"/>
          <w:bCs/>
          <w:szCs w:val="21"/>
        </w:rPr>
      </w:pPr>
      <w:r>
        <w:rPr>
          <w:rFonts w:hAnsi="宋体"/>
          <w:bCs/>
          <w:szCs w:val="21"/>
        </w:rPr>
        <w:t>38.1.2</w:t>
      </w:r>
      <w:r>
        <w:rPr>
          <w:rFonts w:hint="eastAsia" w:hAnsi="宋体"/>
          <w:bCs/>
          <w:szCs w:val="21"/>
        </w:rPr>
        <w:t>采购人或采购人委托的采购代理机构自受理询问之日起</w:t>
      </w:r>
      <w:r>
        <w:rPr>
          <w:rFonts w:hAnsi="宋体"/>
          <w:bCs/>
          <w:szCs w:val="21"/>
        </w:rPr>
        <w:t>3</w:t>
      </w:r>
      <w:r>
        <w:rPr>
          <w:rFonts w:hint="eastAsia" w:hAnsi="宋体"/>
          <w:bCs/>
          <w:szCs w:val="21"/>
        </w:rPr>
        <w:t>个工作日内对供应商依法提出的询问作出答复，</w:t>
      </w:r>
      <w:r>
        <w:rPr>
          <w:rFonts w:hint="eastAsia"/>
        </w:rPr>
        <w:t>但答复内容不得涉及商业秘密</w:t>
      </w:r>
      <w:r>
        <w:rPr>
          <w:rFonts w:hint="eastAsia" w:hAnsi="宋体"/>
          <w:bCs/>
          <w:szCs w:val="21"/>
        </w:rPr>
        <w:t>。</w:t>
      </w:r>
    </w:p>
    <w:p w14:paraId="313C19C8">
      <w:pPr>
        <w:spacing w:line="360" w:lineRule="auto"/>
        <w:ind w:firstLine="420" w:firstLineChars="200"/>
        <w:rPr>
          <w:rFonts w:hAnsi="宋体"/>
          <w:bCs/>
          <w:szCs w:val="21"/>
        </w:rPr>
      </w:pPr>
      <w:r>
        <w:rPr>
          <w:rFonts w:hAnsi="宋体"/>
          <w:bCs/>
          <w:szCs w:val="21"/>
        </w:rPr>
        <w:t xml:space="preserve">38.1.3 </w:t>
      </w:r>
      <w:r>
        <w:rPr>
          <w:rFonts w:hint="eastAsia" w:hAnsi="宋体"/>
          <w:bCs/>
          <w:szCs w:val="21"/>
        </w:rPr>
        <w:t>询问事项可能影响中标、成交结果的，采购人应当暂停签订合同，已经签订合同的，应当中止履行合同。</w:t>
      </w:r>
    </w:p>
    <w:p w14:paraId="2BFF0FDD">
      <w:pPr>
        <w:spacing w:line="360" w:lineRule="auto"/>
        <w:ind w:firstLine="420" w:firstLineChars="200"/>
        <w:rPr>
          <w:rFonts w:ascii="宋体" w:hAnsi="宋体"/>
          <w:szCs w:val="21"/>
        </w:rPr>
      </w:pPr>
      <w:r>
        <w:rPr>
          <w:rFonts w:hint="eastAsia" w:ascii="宋体" w:hAnsi="宋体"/>
          <w:szCs w:val="21"/>
        </w:rPr>
        <w:t>38.2质疑</w:t>
      </w:r>
    </w:p>
    <w:p w14:paraId="02FCEC17">
      <w:pPr>
        <w:spacing w:line="360" w:lineRule="auto"/>
        <w:ind w:firstLine="420" w:firstLineChars="200"/>
        <w:rPr>
          <w:rFonts w:ascii="宋体" w:hAnsi="宋体"/>
          <w:b/>
          <w:szCs w:val="21"/>
        </w:rPr>
      </w:pPr>
      <w:r>
        <w:rPr>
          <w:rFonts w:hint="eastAsia" w:ascii="宋体" w:hAnsi="宋体"/>
          <w:szCs w:val="21"/>
        </w:rPr>
        <w:t>38.2.1</w:t>
      </w:r>
      <w:r>
        <w:rPr>
          <w:rFonts w:hint="eastAsia" w:ascii="宋体" w:hAnsi="宋体"/>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4B4FC7D4">
      <w:pPr>
        <w:spacing w:line="360" w:lineRule="auto"/>
        <w:ind w:firstLine="420" w:firstLineChars="200"/>
        <w:rPr>
          <w:rFonts w:hAnsi="宋体"/>
          <w:bCs/>
        </w:rPr>
      </w:pPr>
      <w:r>
        <w:rPr>
          <w:rFonts w:hint="eastAsia" w:hAnsi="宋体"/>
          <w:bCs/>
        </w:rPr>
        <w:t>（</w:t>
      </w:r>
      <w:r>
        <w:rPr>
          <w:rFonts w:hAnsi="宋体"/>
          <w:bCs/>
        </w:rPr>
        <w:t>1</w:t>
      </w:r>
      <w:r>
        <w:rPr>
          <w:rFonts w:hint="eastAsia" w:hAnsi="宋体"/>
          <w:bCs/>
        </w:rPr>
        <w:t>）潜在供应商依法获取公开招标文件后，认为采购文件使自己的权益受到损害的，应当在公开招标文件公告期限届满之日起</w:t>
      </w:r>
      <w:r>
        <w:rPr>
          <w:rFonts w:hAnsi="宋体"/>
          <w:bCs/>
        </w:rPr>
        <w:t>7</w:t>
      </w:r>
      <w:r>
        <w:rPr>
          <w:rFonts w:hint="eastAsia" w:hAnsi="宋体"/>
          <w:bCs/>
        </w:rPr>
        <w:t>个工作日内提出质疑。</w:t>
      </w:r>
      <w:r>
        <w:rPr>
          <w:rFonts w:hint="eastAsia"/>
        </w:rPr>
        <w:t>委托代理协议无特殊约定的，</w:t>
      </w:r>
      <w:r>
        <w:rPr>
          <w:rFonts w:hint="eastAsia" w:hAnsi="宋体"/>
          <w:bCs/>
        </w:rPr>
        <w:t>对公开招标文件中采购需求（含资格要求、采购预算和评分办法）的质疑由采购人受理并负责答复；对公开招标文件中的采购执行程序的质疑由采购代理机构受理并负责答复。</w:t>
      </w:r>
    </w:p>
    <w:p w14:paraId="0D0983DE">
      <w:pPr>
        <w:spacing w:line="360" w:lineRule="auto"/>
        <w:ind w:firstLine="420" w:firstLineChars="200"/>
        <w:rPr>
          <w:rFonts w:hAnsi="宋体"/>
          <w:bCs/>
        </w:rPr>
      </w:pPr>
      <w:r>
        <w:rPr>
          <w:rFonts w:hint="eastAsia" w:hAnsi="宋体"/>
          <w:bCs/>
        </w:rPr>
        <w:t>（</w:t>
      </w:r>
      <w:r>
        <w:rPr>
          <w:rFonts w:hAnsi="宋体"/>
          <w:bCs/>
        </w:rPr>
        <w:t>2</w:t>
      </w:r>
      <w:r>
        <w:rPr>
          <w:rFonts w:hint="eastAsia" w:hAnsi="宋体"/>
          <w:bCs/>
        </w:rPr>
        <w:t>）供应商认为采购过程使自己的权益受到损害的，应当在各采购程序环节结束之日起</w:t>
      </w:r>
      <w:r>
        <w:rPr>
          <w:rFonts w:hAnsi="宋体"/>
          <w:bCs/>
        </w:rPr>
        <w:t>7</w:t>
      </w:r>
      <w:r>
        <w:rPr>
          <w:rFonts w:hint="eastAsia" w:hAnsi="宋体"/>
          <w:bCs/>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71154898">
      <w:pPr>
        <w:spacing w:line="360" w:lineRule="auto"/>
        <w:ind w:firstLine="420" w:firstLineChars="200"/>
        <w:rPr>
          <w:rFonts w:hAnsi="宋体"/>
          <w:bCs/>
        </w:rPr>
      </w:pPr>
      <w:r>
        <w:rPr>
          <w:rFonts w:hint="eastAsia" w:hAnsi="宋体"/>
          <w:bCs/>
        </w:rPr>
        <w:t>（</w:t>
      </w:r>
      <w:r>
        <w:rPr>
          <w:rFonts w:hAnsi="宋体"/>
          <w:bCs/>
        </w:rPr>
        <w:t>3</w:t>
      </w:r>
      <w:r>
        <w:rPr>
          <w:rFonts w:hint="eastAsia" w:hAnsi="宋体"/>
          <w:bCs/>
        </w:rPr>
        <w:t>）供应商认为中标或者成交结果使自己的权益受到损害的，应当在中标或者成交结果公告期限届满之日起</w:t>
      </w:r>
      <w:r>
        <w:rPr>
          <w:rFonts w:hAnsi="宋体"/>
          <w:bCs/>
        </w:rPr>
        <w:t>7</w:t>
      </w:r>
      <w:r>
        <w:rPr>
          <w:rFonts w:hint="eastAsia" w:hAnsi="宋体"/>
          <w:bCs/>
        </w:rPr>
        <w:t>个工作日内提出质疑，由采购人受理并负责答复。</w:t>
      </w:r>
    </w:p>
    <w:p w14:paraId="2FFF91F3">
      <w:pPr>
        <w:spacing w:line="360" w:lineRule="auto"/>
        <w:ind w:firstLine="422" w:firstLineChars="200"/>
        <w:rPr>
          <w:rFonts w:hAnsi="宋体"/>
          <w:bCs/>
          <w:szCs w:val="21"/>
        </w:rPr>
      </w:pPr>
      <w:r>
        <w:rPr>
          <w:rFonts w:hAnsi="宋体"/>
          <w:b/>
          <w:bCs/>
          <w:szCs w:val="21"/>
        </w:rPr>
        <w:t>38.2.2</w:t>
      </w:r>
      <w:r>
        <w:rPr>
          <w:rFonts w:hint="eastAsia" w:hAnsi="宋体"/>
          <w:bCs/>
          <w:szCs w:val="21"/>
        </w:rPr>
        <w:t>供应商质疑实行实名制，其质疑应当有具体的质疑事项及事实根据，质疑应当坚持依法依规、诚实信用原则，不得进行虚假、恶意质疑。</w:t>
      </w:r>
    </w:p>
    <w:p w14:paraId="378B1BCF">
      <w:pPr>
        <w:spacing w:line="360" w:lineRule="auto"/>
        <w:ind w:firstLine="422" w:firstLineChars="200"/>
        <w:rPr>
          <w:rFonts w:hAnsi="宋体"/>
          <w:bCs/>
        </w:rPr>
      </w:pPr>
      <w:r>
        <w:rPr>
          <w:rFonts w:hAnsi="宋体"/>
          <w:b/>
          <w:bCs/>
        </w:rPr>
        <w:t>38.2.3</w:t>
      </w:r>
      <w:r>
        <w:rPr>
          <w:rFonts w:hint="eastAsia" w:hAnsi="宋体"/>
          <w:bCs/>
        </w:rPr>
        <w:t>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rPr>
        <w:t>。</w:t>
      </w:r>
    </w:p>
    <w:p w14:paraId="60EE147C">
      <w:pPr>
        <w:spacing w:line="360" w:lineRule="auto"/>
        <w:ind w:firstLine="422" w:firstLineChars="200"/>
        <w:rPr>
          <w:rFonts w:hAnsi="宋体"/>
          <w:b/>
          <w:bCs/>
        </w:rPr>
      </w:pPr>
      <w:r>
        <w:rPr>
          <w:rFonts w:hAnsi="宋体"/>
          <w:b/>
          <w:bCs/>
        </w:rPr>
        <w:t xml:space="preserve">38.2.4 </w:t>
      </w:r>
      <w:r>
        <w:rPr>
          <w:rFonts w:hint="eastAsia" w:hAnsi="宋体"/>
          <w:b/>
          <w:bCs/>
        </w:rPr>
        <w:t>质疑供应商提起质疑应当符合下列条件：</w:t>
      </w:r>
    </w:p>
    <w:p w14:paraId="2C83DCD0">
      <w:pPr>
        <w:spacing w:line="360" w:lineRule="auto"/>
        <w:ind w:firstLine="420" w:firstLineChars="200"/>
        <w:rPr>
          <w:rFonts w:hAnsi="宋体"/>
          <w:bCs/>
        </w:rPr>
      </w:pPr>
      <w:r>
        <w:rPr>
          <w:rFonts w:hint="eastAsia" w:hAnsi="宋体"/>
          <w:bCs/>
        </w:rPr>
        <w:t>（</w:t>
      </w:r>
      <w:r>
        <w:rPr>
          <w:rFonts w:hAnsi="宋体"/>
          <w:bCs/>
        </w:rPr>
        <w:t>1</w:t>
      </w:r>
      <w:r>
        <w:rPr>
          <w:rFonts w:hint="eastAsia" w:hAnsi="宋体"/>
          <w:bCs/>
        </w:rPr>
        <w:t>）质疑供应商是参与所质疑</w:t>
      </w:r>
      <w:r>
        <w:rPr>
          <w:rFonts w:hint="eastAsia" w:hAnsi="宋体"/>
          <w:bCs/>
          <w:szCs w:val="21"/>
        </w:rPr>
        <w:t>项目</w:t>
      </w:r>
      <w:r>
        <w:rPr>
          <w:rFonts w:hint="eastAsia" w:hAnsi="宋体"/>
          <w:bCs/>
        </w:rPr>
        <w:t>采购活动的供应商（潜在供应商已依法获取可质疑的采购文件的，可以对该采购文件质疑）；</w:t>
      </w:r>
    </w:p>
    <w:p w14:paraId="37B637E9">
      <w:pPr>
        <w:spacing w:line="360" w:lineRule="auto"/>
        <w:ind w:firstLine="420" w:firstLineChars="200"/>
        <w:rPr>
          <w:rFonts w:hAnsi="宋体"/>
          <w:bCs/>
        </w:rPr>
      </w:pPr>
      <w:r>
        <w:rPr>
          <w:rFonts w:hint="eastAsia" w:hAnsi="宋体"/>
          <w:bCs/>
        </w:rPr>
        <w:t>（</w:t>
      </w:r>
      <w:r>
        <w:rPr>
          <w:rFonts w:hAnsi="宋体"/>
          <w:bCs/>
        </w:rPr>
        <w:t>2</w:t>
      </w:r>
      <w:r>
        <w:rPr>
          <w:rFonts w:hint="eastAsia" w:hAnsi="宋体"/>
          <w:bCs/>
        </w:rPr>
        <w:t>）质疑函内容符合本章第</w:t>
      </w:r>
      <w:r>
        <w:rPr>
          <w:rFonts w:hAnsi="宋体"/>
          <w:bCs/>
        </w:rPr>
        <w:t>38.2.5</w:t>
      </w:r>
      <w:r>
        <w:rPr>
          <w:rFonts w:hint="eastAsia" w:hAnsi="宋体"/>
          <w:bCs/>
        </w:rPr>
        <w:t>项的规定；</w:t>
      </w:r>
    </w:p>
    <w:p w14:paraId="2406F303">
      <w:pPr>
        <w:spacing w:line="360" w:lineRule="auto"/>
        <w:ind w:firstLine="420" w:firstLineChars="200"/>
        <w:rPr>
          <w:rFonts w:hAnsi="宋体"/>
          <w:bCs/>
        </w:rPr>
      </w:pPr>
      <w:r>
        <w:rPr>
          <w:rFonts w:hint="eastAsia" w:hAnsi="宋体"/>
          <w:bCs/>
        </w:rPr>
        <w:t>（</w:t>
      </w:r>
      <w:r>
        <w:rPr>
          <w:rFonts w:hAnsi="宋体"/>
          <w:bCs/>
        </w:rPr>
        <w:t>3</w:t>
      </w:r>
      <w:r>
        <w:rPr>
          <w:rFonts w:hint="eastAsia" w:hAnsi="宋体"/>
          <w:bCs/>
        </w:rPr>
        <w:t>）在质疑有效期限内提起质疑；</w:t>
      </w:r>
    </w:p>
    <w:p w14:paraId="5F9E1CE7">
      <w:pPr>
        <w:spacing w:line="360" w:lineRule="auto"/>
        <w:ind w:firstLine="420" w:firstLineChars="200"/>
        <w:rPr>
          <w:rFonts w:hAnsi="宋体"/>
          <w:bCs/>
        </w:rPr>
      </w:pPr>
      <w:r>
        <w:rPr>
          <w:rFonts w:hint="eastAsia" w:hAnsi="宋体"/>
          <w:bCs/>
        </w:rPr>
        <w:t>（</w:t>
      </w:r>
      <w:r>
        <w:rPr>
          <w:rFonts w:hAnsi="宋体"/>
          <w:bCs/>
        </w:rPr>
        <w:t>4</w:t>
      </w:r>
      <w:r>
        <w:rPr>
          <w:rFonts w:hint="eastAsia" w:hAnsi="宋体"/>
          <w:bCs/>
        </w:rPr>
        <w:t>）属于所质疑的采购人或采购人委托的采购代理机构组织的采购活动；</w:t>
      </w:r>
    </w:p>
    <w:p w14:paraId="5827F0BE">
      <w:pPr>
        <w:spacing w:line="360" w:lineRule="auto"/>
        <w:ind w:firstLine="420" w:firstLineChars="200"/>
        <w:rPr>
          <w:rFonts w:hAnsi="宋体"/>
          <w:bCs/>
        </w:rPr>
      </w:pPr>
      <w:r>
        <w:rPr>
          <w:rFonts w:hint="eastAsia" w:hAnsi="宋体"/>
          <w:bCs/>
        </w:rPr>
        <w:t>（</w:t>
      </w:r>
      <w:r>
        <w:rPr>
          <w:rFonts w:hAnsi="宋体"/>
          <w:bCs/>
        </w:rPr>
        <w:t>5</w:t>
      </w:r>
      <w:r>
        <w:rPr>
          <w:rFonts w:hint="eastAsia" w:hAnsi="宋体"/>
          <w:bCs/>
        </w:rPr>
        <w:t>）同一质疑事项未经采购人或采购人委托的采购代理机构质疑处理；</w:t>
      </w:r>
    </w:p>
    <w:p w14:paraId="433C2FB9">
      <w:pPr>
        <w:spacing w:line="360" w:lineRule="auto"/>
        <w:ind w:firstLine="420" w:firstLineChars="200"/>
        <w:rPr>
          <w:rFonts w:hAnsi="宋体"/>
          <w:bCs/>
        </w:rPr>
      </w:pPr>
      <w:r>
        <w:rPr>
          <w:rFonts w:hint="eastAsia" w:hAnsi="宋体"/>
          <w:bCs/>
        </w:rPr>
        <w:t>（</w:t>
      </w:r>
      <w:r>
        <w:rPr>
          <w:rFonts w:hAnsi="宋体"/>
          <w:bCs/>
        </w:rPr>
        <w:t>6</w:t>
      </w:r>
      <w:r>
        <w:rPr>
          <w:rFonts w:hint="eastAsia" w:hAnsi="宋体"/>
          <w:bCs/>
        </w:rPr>
        <w:t>）供应商对同一采购程序环节的质疑应当在质疑有效期内一次性提出；</w:t>
      </w:r>
    </w:p>
    <w:p w14:paraId="495EF074">
      <w:pPr>
        <w:spacing w:line="360" w:lineRule="auto"/>
        <w:ind w:firstLine="420" w:firstLineChars="200"/>
        <w:rPr>
          <w:rFonts w:hAnsi="宋体"/>
          <w:bCs/>
        </w:rPr>
      </w:pPr>
      <w:r>
        <w:rPr>
          <w:rFonts w:hint="eastAsia" w:hAnsi="宋体"/>
          <w:bCs/>
        </w:rPr>
        <w:t>（</w:t>
      </w:r>
      <w:r>
        <w:rPr>
          <w:rFonts w:hAnsi="宋体"/>
          <w:bCs/>
        </w:rPr>
        <w:t>7</w:t>
      </w:r>
      <w:r>
        <w:rPr>
          <w:rFonts w:hint="eastAsia" w:hAnsi="宋体"/>
          <w:bCs/>
        </w:rPr>
        <w:t>）供应商提交质疑应当提交必要的证明材料，证明材料应以合法手段取得；</w:t>
      </w:r>
    </w:p>
    <w:p w14:paraId="0CF18B33">
      <w:pPr>
        <w:spacing w:line="360" w:lineRule="auto"/>
        <w:ind w:firstLine="420" w:firstLineChars="200"/>
      </w:pPr>
      <w:r>
        <w:rPr>
          <w:rFonts w:hint="eastAsia" w:hAnsi="宋体"/>
          <w:bCs/>
        </w:rPr>
        <w:t>（</w:t>
      </w:r>
      <w:r>
        <w:rPr>
          <w:rFonts w:hAnsi="宋体"/>
          <w:bCs/>
        </w:rPr>
        <w:t>8</w:t>
      </w:r>
      <w:r>
        <w:rPr>
          <w:rFonts w:hint="eastAsia" w:hAnsi="宋体"/>
          <w:bCs/>
        </w:rPr>
        <w:t>）财政部门规定的其他条件。</w:t>
      </w:r>
    </w:p>
    <w:p w14:paraId="4D2CB96B">
      <w:pPr>
        <w:spacing w:line="360" w:lineRule="auto"/>
        <w:ind w:firstLine="420" w:firstLineChars="200"/>
        <w:rPr>
          <w:rFonts w:ascii="宋体" w:hAnsi="宋体"/>
          <w:b/>
          <w:szCs w:val="21"/>
        </w:rPr>
      </w:pPr>
      <w:bookmarkStart w:id="118" w:name="_9.2质疑、投诉应当采用书面形式，质疑函、投诉书均应明确阐述招标文件、"/>
      <w:bookmarkEnd w:id="118"/>
      <w:r>
        <w:rPr>
          <w:rFonts w:hint="eastAsia" w:ascii="宋体" w:hAnsi="宋体"/>
          <w:szCs w:val="21"/>
        </w:rPr>
        <w:t xml:space="preserve"> 38.2.5 </w:t>
      </w:r>
      <w:r>
        <w:rPr>
          <w:rFonts w:hint="eastAsia" w:hAnsi="宋体"/>
          <w:bCs/>
        </w:rPr>
        <w:t>供应商提出质疑应当提交质疑函和必要的证明材料，针对同一采购程序环节的质疑必须在法定质疑期内一次性提出。质疑函应当包括下列内容（质疑函格式后附）：</w:t>
      </w:r>
    </w:p>
    <w:p w14:paraId="4D31DB8B">
      <w:pPr>
        <w:spacing w:line="360" w:lineRule="auto"/>
        <w:ind w:firstLine="420" w:firstLineChars="200"/>
        <w:rPr>
          <w:rFonts w:hAnsi="宋体"/>
          <w:bCs/>
        </w:rPr>
      </w:pPr>
      <w:r>
        <w:rPr>
          <w:rFonts w:hint="eastAsia" w:hAnsi="宋体"/>
          <w:bCs/>
        </w:rPr>
        <w:t>（</w:t>
      </w:r>
      <w:r>
        <w:rPr>
          <w:rFonts w:hAnsi="宋体"/>
          <w:bCs/>
        </w:rPr>
        <w:t>1</w:t>
      </w:r>
      <w:r>
        <w:rPr>
          <w:rFonts w:hint="eastAsia" w:hAnsi="宋体"/>
          <w:bCs/>
        </w:rPr>
        <w:t>）供应商的姓名或者名称、地址、邮编、联系人及联系电话；</w:t>
      </w:r>
    </w:p>
    <w:p w14:paraId="6FCBF2A0">
      <w:pPr>
        <w:spacing w:line="360" w:lineRule="auto"/>
        <w:ind w:firstLine="420" w:firstLineChars="200"/>
        <w:rPr>
          <w:rFonts w:hAnsi="宋体"/>
          <w:bCs/>
        </w:rPr>
      </w:pPr>
      <w:r>
        <w:rPr>
          <w:rFonts w:hint="eastAsia" w:hAnsi="宋体"/>
          <w:bCs/>
        </w:rPr>
        <w:t>（</w:t>
      </w:r>
      <w:r>
        <w:rPr>
          <w:rFonts w:hAnsi="宋体"/>
          <w:bCs/>
        </w:rPr>
        <w:t>2</w:t>
      </w:r>
      <w:r>
        <w:rPr>
          <w:rFonts w:hint="eastAsia" w:hAnsi="宋体"/>
          <w:bCs/>
        </w:rPr>
        <w:t>）质疑项目的名称、编号；</w:t>
      </w:r>
    </w:p>
    <w:p w14:paraId="0D035C25">
      <w:pPr>
        <w:spacing w:line="360" w:lineRule="auto"/>
        <w:ind w:firstLine="420" w:firstLineChars="200"/>
        <w:rPr>
          <w:rFonts w:hAnsi="宋体"/>
          <w:bCs/>
        </w:rPr>
      </w:pPr>
      <w:r>
        <w:rPr>
          <w:rFonts w:hint="eastAsia" w:hAnsi="宋体"/>
          <w:bCs/>
        </w:rPr>
        <w:t>（</w:t>
      </w:r>
      <w:r>
        <w:rPr>
          <w:rFonts w:hAnsi="宋体"/>
          <w:bCs/>
        </w:rPr>
        <w:t>3</w:t>
      </w:r>
      <w:r>
        <w:rPr>
          <w:rFonts w:hint="eastAsia" w:hAnsi="宋体"/>
          <w:bCs/>
        </w:rPr>
        <w:t>）具体、明确的质疑事项和与质疑事项相关的请求；</w:t>
      </w:r>
    </w:p>
    <w:p w14:paraId="2A90A19E">
      <w:pPr>
        <w:spacing w:line="360" w:lineRule="auto"/>
        <w:ind w:firstLine="420" w:firstLineChars="200"/>
        <w:rPr>
          <w:rFonts w:hAnsi="宋体"/>
          <w:bCs/>
        </w:rPr>
      </w:pPr>
      <w:r>
        <w:rPr>
          <w:rFonts w:hint="eastAsia" w:hAnsi="宋体"/>
          <w:bCs/>
        </w:rPr>
        <w:t>（</w:t>
      </w:r>
      <w:r>
        <w:rPr>
          <w:rFonts w:hAnsi="宋体"/>
          <w:bCs/>
        </w:rPr>
        <w:t>4</w:t>
      </w:r>
      <w:r>
        <w:rPr>
          <w:rFonts w:hint="eastAsia" w:hAnsi="宋体"/>
          <w:bCs/>
        </w:rPr>
        <w:t>）事实依据（列明权益受到损害的事实和理由）；</w:t>
      </w:r>
    </w:p>
    <w:p w14:paraId="1F066379">
      <w:pPr>
        <w:spacing w:line="360" w:lineRule="auto"/>
        <w:ind w:firstLine="420" w:firstLineChars="200"/>
        <w:rPr>
          <w:rFonts w:hAnsi="宋体"/>
          <w:bCs/>
        </w:rPr>
      </w:pPr>
      <w:r>
        <w:rPr>
          <w:rFonts w:hint="eastAsia" w:hAnsi="宋体"/>
          <w:bCs/>
        </w:rPr>
        <w:t>（</w:t>
      </w:r>
      <w:r>
        <w:rPr>
          <w:rFonts w:hAnsi="宋体"/>
          <w:bCs/>
        </w:rPr>
        <w:t>5</w:t>
      </w:r>
      <w:r>
        <w:rPr>
          <w:rFonts w:hint="eastAsia" w:hAnsi="宋体"/>
          <w:bCs/>
        </w:rPr>
        <w:t>）必要的法律依据；</w:t>
      </w:r>
    </w:p>
    <w:p w14:paraId="58616107">
      <w:pPr>
        <w:spacing w:line="360" w:lineRule="auto"/>
        <w:ind w:firstLine="420" w:firstLineChars="200"/>
        <w:rPr>
          <w:rFonts w:hAnsi="宋体"/>
          <w:bCs/>
        </w:rPr>
      </w:pPr>
      <w:r>
        <w:rPr>
          <w:rFonts w:hint="eastAsia" w:hAnsi="宋体"/>
          <w:bCs/>
        </w:rPr>
        <w:t>（</w:t>
      </w:r>
      <w:r>
        <w:rPr>
          <w:rFonts w:hAnsi="宋体"/>
          <w:bCs/>
        </w:rPr>
        <w:t>6</w:t>
      </w:r>
      <w:r>
        <w:rPr>
          <w:rFonts w:hint="eastAsia" w:hAnsi="宋体"/>
          <w:bCs/>
        </w:rPr>
        <w:t>）提出质疑的日期。</w:t>
      </w:r>
    </w:p>
    <w:p w14:paraId="19BC2836">
      <w:pPr>
        <w:spacing w:line="360" w:lineRule="auto"/>
        <w:ind w:firstLine="420" w:firstLineChars="200"/>
        <w:rPr>
          <w:rFonts w:hAnsi="宋体"/>
          <w:bCs/>
        </w:rPr>
      </w:pPr>
      <w:r>
        <w:rPr>
          <w:rFonts w:hint="eastAsia" w:hAnsi="宋体"/>
          <w:bCs/>
        </w:rPr>
        <w:t>供应商为自然人的，应当由本人签字；供应商为法人或者其他组织的，应当由法定代表人、主要负责人，或者其委托代理人签字或者盖章，并加盖公章。</w:t>
      </w:r>
    </w:p>
    <w:p w14:paraId="08673D35">
      <w:pPr>
        <w:spacing w:line="360" w:lineRule="auto"/>
        <w:ind w:firstLine="422" w:firstLineChars="200"/>
        <w:rPr>
          <w:rFonts w:ascii="宋体" w:hAnsi="宋体"/>
          <w:b/>
          <w:szCs w:val="20"/>
        </w:rPr>
      </w:pPr>
      <w:r>
        <w:rPr>
          <w:rFonts w:hint="eastAsia" w:ascii="宋体" w:hAnsi="宋体"/>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4CE4B98E">
      <w:pPr>
        <w:spacing w:line="360" w:lineRule="auto"/>
        <w:ind w:firstLine="420" w:firstLineChars="200"/>
        <w:rPr>
          <w:rFonts w:ascii="宋体" w:hAnsi="宋体"/>
          <w:bCs/>
          <w:szCs w:val="21"/>
        </w:rPr>
      </w:pPr>
      <w:r>
        <w:rPr>
          <w:rFonts w:hint="eastAsia" w:ascii="宋体" w:hAnsi="宋体"/>
          <w:szCs w:val="21"/>
        </w:rPr>
        <w:t>3</w:t>
      </w:r>
      <w:r>
        <w:rPr>
          <w:rFonts w:hint="eastAsia" w:ascii="宋体" w:hAnsi="宋体"/>
          <w:bCs/>
          <w:szCs w:val="21"/>
        </w:rPr>
        <w:t>8.2.7采购人、采购代理机构认为供应商质疑不成立，或者成立但未对中标结果构成影响的，继续开展采购活动；认为供应商质疑成立且影响或者可能影响中标结果的，按照下列情况处理：</w:t>
      </w:r>
    </w:p>
    <w:p w14:paraId="71B4F2BE">
      <w:pPr>
        <w:spacing w:line="360" w:lineRule="auto"/>
        <w:ind w:firstLine="420" w:firstLineChars="200"/>
        <w:rPr>
          <w:rFonts w:hAnsi="宋体"/>
          <w:bCs/>
        </w:rPr>
      </w:pPr>
      <w:r>
        <w:rPr>
          <w:rFonts w:hint="eastAsia" w:hAnsi="宋体"/>
          <w:bCs/>
        </w:rPr>
        <w:t>　　（一）对招标文件提出的质疑，依法通过澄清或者修改可以继续开展采购活动的，澄清或者修改招标文件后继续开展采购活动；否则应当修改招标文件后重新开展采购活动。</w:t>
      </w:r>
    </w:p>
    <w:p w14:paraId="663A59D9">
      <w:pPr>
        <w:spacing w:line="360" w:lineRule="auto"/>
        <w:ind w:firstLine="420" w:firstLineChars="200"/>
        <w:rPr>
          <w:rFonts w:hAnsi="宋体"/>
          <w:bCs/>
        </w:rPr>
      </w:pPr>
      <w:r>
        <w:rPr>
          <w:rFonts w:hint="eastAsia" w:hAnsi="宋体"/>
          <w:bCs/>
        </w:rPr>
        <w:t>　　（二）对采购过程、中标结果提出的质疑，合格供应商符合法定数量时，可以从合格的中标候选人中另行确定中标供应商的，应当依法另行确定中标供应商；否则应当重新开展采购活动。</w:t>
      </w:r>
    </w:p>
    <w:p w14:paraId="4504B930">
      <w:pPr>
        <w:spacing w:line="360" w:lineRule="auto"/>
        <w:ind w:firstLine="420" w:firstLineChars="200"/>
        <w:rPr>
          <w:rFonts w:hAnsi="宋体"/>
          <w:bCs/>
        </w:rPr>
      </w:pPr>
      <w:r>
        <w:rPr>
          <w:rFonts w:hint="eastAsia" w:hAnsi="宋体"/>
          <w:bCs/>
        </w:rPr>
        <w:t>质疑答复导致中标结果改变的，采购人或者采购代理机构应当将有关情况书面报告本级财政部门。</w:t>
      </w:r>
    </w:p>
    <w:p w14:paraId="443E7358">
      <w:pPr>
        <w:spacing w:line="360" w:lineRule="auto"/>
        <w:ind w:firstLine="422" w:firstLineChars="200"/>
        <w:rPr>
          <w:rFonts w:hAnsi="宋体"/>
          <w:b/>
        </w:rPr>
      </w:pPr>
      <w:r>
        <w:rPr>
          <w:rFonts w:hAnsi="宋体"/>
          <w:b/>
        </w:rPr>
        <w:t>38.3</w:t>
      </w:r>
      <w:r>
        <w:rPr>
          <w:rFonts w:hint="eastAsia" w:hAnsi="宋体"/>
          <w:b/>
        </w:rPr>
        <w:t>投诉</w:t>
      </w:r>
    </w:p>
    <w:p w14:paraId="01A58986">
      <w:pPr>
        <w:spacing w:line="360" w:lineRule="auto"/>
        <w:ind w:firstLine="422" w:firstLineChars="200"/>
        <w:rPr>
          <w:rFonts w:hAnsi="宋体"/>
          <w:bCs/>
        </w:rPr>
      </w:pPr>
      <w:r>
        <w:rPr>
          <w:rFonts w:hAnsi="宋体"/>
          <w:b/>
        </w:rPr>
        <w:t>38.3</w:t>
      </w:r>
      <w:r>
        <w:rPr>
          <w:rFonts w:hAnsi="宋体"/>
          <w:bCs/>
        </w:rPr>
        <w:t>.</w:t>
      </w:r>
      <w:r>
        <w:rPr>
          <w:rFonts w:hAnsi="宋体"/>
          <w:b/>
          <w:bCs/>
        </w:rPr>
        <w:t xml:space="preserve">1 </w:t>
      </w:r>
      <w:r>
        <w:rPr>
          <w:rFonts w:hint="eastAsia" w:hAnsi="宋体"/>
          <w:bCs/>
        </w:rPr>
        <w:t>供应商认为采购文件、采购过程、中标和成交结果使自己的合法权益受到损害的，应当首先依法向采购人或采购人委托的</w:t>
      </w:r>
      <w:r>
        <w:rPr>
          <w:rFonts w:hint="eastAsia" w:hAnsi="宋体"/>
        </w:rPr>
        <w:t>采购代理机构</w:t>
      </w:r>
      <w:r>
        <w:rPr>
          <w:rFonts w:hint="eastAsia" w:hAnsi="宋体"/>
          <w:bCs/>
        </w:rPr>
        <w:t>提出质疑。对采购人、</w:t>
      </w:r>
      <w:r>
        <w:rPr>
          <w:rFonts w:hint="eastAsia" w:hAnsi="宋体"/>
        </w:rPr>
        <w:t>采购代理机构</w:t>
      </w:r>
      <w:r>
        <w:rPr>
          <w:rFonts w:hint="eastAsia" w:hAnsi="宋体"/>
          <w:bCs/>
        </w:rPr>
        <w:t>的答复不满意，或者采购人、</w:t>
      </w:r>
      <w:r>
        <w:rPr>
          <w:rFonts w:hint="eastAsia" w:hAnsi="宋体"/>
        </w:rPr>
        <w:t>采购代理机构</w:t>
      </w:r>
      <w:r>
        <w:rPr>
          <w:rFonts w:hint="eastAsia" w:hAnsi="宋体"/>
          <w:bCs/>
        </w:rPr>
        <w:t>未在规定期限内做出答复的，供应商可以在答复期满后</w:t>
      </w:r>
      <w:r>
        <w:rPr>
          <w:rFonts w:hAnsi="宋体"/>
          <w:bCs/>
        </w:rPr>
        <w:t>15</w:t>
      </w:r>
      <w:r>
        <w:rPr>
          <w:rFonts w:hint="eastAsia" w:hAnsi="宋体"/>
          <w:bCs/>
        </w:rPr>
        <w:t>个工作日内向南宁市政府采购监督管理部门提起投诉，投诉方式见“投标人须知前附表”。</w:t>
      </w:r>
    </w:p>
    <w:p w14:paraId="745645B9">
      <w:pPr>
        <w:spacing w:line="360" w:lineRule="auto"/>
        <w:ind w:firstLine="422" w:firstLineChars="200"/>
        <w:rPr>
          <w:rFonts w:hAnsi="宋体"/>
          <w:bCs/>
        </w:rPr>
      </w:pPr>
      <w:r>
        <w:rPr>
          <w:rFonts w:hAnsi="宋体"/>
          <w:b/>
        </w:rPr>
        <w:t>38.3</w:t>
      </w:r>
      <w:r>
        <w:rPr>
          <w:b/>
        </w:rPr>
        <w:t xml:space="preserve">.2 </w:t>
      </w:r>
      <w:r>
        <w:rPr>
          <w:rFonts w:hint="eastAsia"/>
        </w:rPr>
        <w:t>投诉人投诉时，应当提交投诉书，并按照被投诉采购人、</w:t>
      </w:r>
      <w:r>
        <w:rPr>
          <w:rFonts w:hint="eastAsia" w:hAnsi="宋体"/>
        </w:rPr>
        <w:t>采购代理机构</w:t>
      </w:r>
      <w:r>
        <w:rPr>
          <w:rFonts w:hint="eastAsia"/>
        </w:rPr>
        <w:t>和与投诉事项有关的供应商数量提供投诉书的副本。投诉书</w:t>
      </w:r>
      <w:r>
        <w:rPr>
          <w:rFonts w:hint="eastAsia"/>
          <w:szCs w:val="21"/>
        </w:rPr>
        <w:t>应当包括下列主要内容</w:t>
      </w:r>
      <w:r>
        <w:rPr>
          <w:rFonts w:hint="eastAsia"/>
        </w:rPr>
        <w:t>（如材料中有外文资料应同时附上对应的中文译本）</w:t>
      </w:r>
      <w:r>
        <w:rPr>
          <w:rFonts w:hint="eastAsia" w:hAnsi="宋体"/>
          <w:bCs/>
        </w:rPr>
        <w:t>（投诉书格式后附）</w:t>
      </w:r>
      <w:r>
        <w:rPr>
          <w:rFonts w:hint="eastAsia"/>
          <w:szCs w:val="21"/>
        </w:rPr>
        <w:t>：</w:t>
      </w:r>
    </w:p>
    <w:p w14:paraId="0D0242D7">
      <w:pPr>
        <w:spacing w:line="360" w:lineRule="auto"/>
        <w:ind w:firstLine="420" w:firstLineChars="200"/>
      </w:pPr>
      <w:r>
        <w:rPr>
          <w:rFonts w:hint="eastAsia" w:hAnsi="宋体"/>
        </w:rPr>
        <w:t>（</w:t>
      </w:r>
      <w:r>
        <w:rPr>
          <w:rFonts w:hAnsi="宋体"/>
        </w:rPr>
        <w:t>1</w:t>
      </w:r>
      <w:r>
        <w:rPr>
          <w:rFonts w:hint="eastAsia" w:hAnsi="宋体"/>
        </w:rPr>
        <w:t>）投诉人和被投诉人的名称、地址、邮编、联系人及联系电话等；</w:t>
      </w:r>
    </w:p>
    <w:p w14:paraId="13CBBFFB">
      <w:pPr>
        <w:spacing w:line="360" w:lineRule="auto"/>
        <w:ind w:firstLine="420" w:firstLineChars="200"/>
      </w:pPr>
      <w:r>
        <w:rPr>
          <w:rFonts w:hint="eastAsia" w:hAnsi="宋体"/>
        </w:rPr>
        <w:t>（</w:t>
      </w:r>
      <w:r>
        <w:rPr>
          <w:rFonts w:hAnsi="宋体"/>
        </w:rPr>
        <w:t>2</w:t>
      </w:r>
      <w:r>
        <w:rPr>
          <w:rFonts w:hint="eastAsia" w:hAnsi="宋体"/>
        </w:rPr>
        <w:t>）质疑和质疑答复情况及相关证明材料；</w:t>
      </w:r>
    </w:p>
    <w:p w14:paraId="02AE0611">
      <w:pPr>
        <w:spacing w:line="360" w:lineRule="auto"/>
        <w:ind w:firstLine="420" w:firstLineChars="200"/>
        <w:rPr>
          <w:rFonts w:hAnsi="宋体"/>
        </w:rPr>
      </w:pPr>
      <w:r>
        <w:rPr>
          <w:rFonts w:hint="eastAsia" w:hAnsi="宋体"/>
        </w:rPr>
        <w:t>（</w:t>
      </w:r>
      <w:r>
        <w:rPr>
          <w:rFonts w:hAnsi="宋体"/>
        </w:rPr>
        <w:t>3</w:t>
      </w:r>
      <w:r>
        <w:rPr>
          <w:rFonts w:hint="eastAsia" w:hAnsi="宋体"/>
        </w:rPr>
        <w:t>）具体、明确的投诉事项和与投诉事项相关的投诉请求；</w:t>
      </w:r>
    </w:p>
    <w:p w14:paraId="313B12C1">
      <w:pPr>
        <w:spacing w:line="360" w:lineRule="auto"/>
        <w:ind w:firstLine="420" w:firstLineChars="200"/>
        <w:rPr>
          <w:rFonts w:hAnsi="宋体"/>
        </w:rPr>
      </w:pPr>
      <w:r>
        <w:rPr>
          <w:rFonts w:hint="eastAsia" w:hAnsi="宋体"/>
        </w:rPr>
        <w:t>（</w:t>
      </w:r>
      <w:r>
        <w:rPr>
          <w:rFonts w:hAnsi="宋体"/>
        </w:rPr>
        <w:t>4</w:t>
      </w:r>
      <w:r>
        <w:rPr>
          <w:rFonts w:hint="eastAsia" w:hAnsi="宋体"/>
        </w:rPr>
        <w:t>）事实依据；</w:t>
      </w:r>
    </w:p>
    <w:p w14:paraId="3975A5BD">
      <w:pPr>
        <w:spacing w:line="360" w:lineRule="auto"/>
        <w:ind w:firstLine="420" w:firstLineChars="200"/>
      </w:pPr>
      <w:r>
        <w:rPr>
          <w:rFonts w:hint="eastAsia" w:hAnsi="宋体"/>
        </w:rPr>
        <w:t>（</w:t>
      </w:r>
      <w:r>
        <w:rPr>
          <w:rFonts w:hAnsi="宋体"/>
        </w:rPr>
        <w:t>5</w:t>
      </w:r>
      <w:r>
        <w:rPr>
          <w:rFonts w:hint="eastAsia" w:hAnsi="宋体"/>
        </w:rPr>
        <w:t>）法律依据；</w:t>
      </w:r>
    </w:p>
    <w:p w14:paraId="77D30B8B">
      <w:pPr>
        <w:spacing w:line="360" w:lineRule="auto"/>
        <w:ind w:firstLine="420" w:firstLineChars="200"/>
        <w:rPr>
          <w:rFonts w:hAnsi="宋体"/>
        </w:rPr>
      </w:pPr>
      <w:r>
        <w:rPr>
          <w:rFonts w:hint="eastAsia" w:hAnsi="宋体"/>
        </w:rPr>
        <w:t>（</w:t>
      </w:r>
      <w:r>
        <w:rPr>
          <w:rFonts w:hAnsi="宋体"/>
        </w:rPr>
        <w:t>6</w:t>
      </w:r>
      <w:r>
        <w:rPr>
          <w:rFonts w:hint="eastAsia" w:hAnsi="宋体"/>
        </w:rPr>
        <w:t>）提起投诉的日期。</w:t>
      </w:r>
    </w:p>
    <w:p w14:paraId="5FB95AF6">
      <w:pPr>
        <w:spacing w:line="360" w:lineRule="auto"/>
        <w:ind w:firstLine="420" w:firstLineChars="200"/>
        <w:rPr>
          <w:rFonts w:hAnsi="宋体"/>
        </w:rPr>
      </w:pPr>
      <w:r>
        <w:rPr>
          <w:rFonts w:hint="eastAsia" w:hAnsi="宋体"/>
        </w:rPr>
        <w:t>（</w:t>
      </w:r>
      <w:r>
        <w:rPr>
          <w:rFonts w:hAnsi="宋体"/>
        </w:rPr>
        <w:t>7</w:t>
      </w:r>
      <w:r>
        <w:rPr>
          <w:rFonts w:hint="eastAsia" w:hAnsi="宋体"/>
        </w:rPr>
        <w:t>）附件材料：营业执照副本内页复印件（要求证件有效并清晰反映企业法人经营范围；近期连续三个月依法缴纳税收和在职职工社会保障资金证明材料（复印件）。</w:t>
      </w:r>
      <w:r>
        <w:rPr>
          <w:rFonts w:hAnsi="宋体"/>
        </w:rPr>
        <w:tab/>
      </w:r>
    </w:p>
    <w:p w14:paraId="46ED9D9D">
      <w:pPr>
        <w:spacing w:line="360" w:lineRule="auto"/>
        <w:ind w:firstLine="422" w:firstLineChars="200"/>
        <w:rPr>
          <w:rFonts w:hAnsi="宋体"/>
          <w:bCs/>
        </w:rPr>
      </w:pPr>
      <w:r>
        <w:rPr>
          <w:rFonts w:hAnsi="宋体"/>
          <w:b/>
        </w:rPr>
        <w:t>38.3</w:t>
      </w:r>
      <w:r>
        <w:rPr>
          <w:b/>
        </w:rPr>
        <w:t xml:space="preserve">.3  </w:t>
      </w:r>
      <w:r>
        <w:rPr>
          <w:rFonts w:hint="eastAsia"/>
        </w:rPr>
        <w:t>投诉人可以委托代理人办理投诉事务。</w:t>
      </w:r>
      <w:r>
        <w:rPr>
          <w:rFonts w:hint="eastAsia" w:hAnsi="宋体"/>
          <w:bCs/>
        </w:rPr>
        <w:t>委托代理人应熟悉相关业务情况。</w:t>
      </w:r>
      <w:r>
        <w:rPr>
          <w:rFonts w:hint="eastAsia"/>
        </w:rPr>
        <w:t>代理人办理投诉事务时，除提交投诉书外，还应当提交投诉人的授权委托书和</w:t>
      </w:r>
      <w:r>
        <w:rPr>
          <w:rFonts w:hint="eastAsia" w:hAnsi="宋体"/>
        </w:rPr>
        <w:t>委托代理人身份证明复印件。</w:t>
      </w:r>
    </w:p>
    <w:p w14:paraId="298740D7">
      <w:pPr>
        <w:spacing w:line="360" w:lineRule="auto"/>
        <w:ind w:firstLine="422" w:firstLineChars="200"/>
        <w:rPr>
          <w:rFonts w:hAnsi="宋体"/>
        </w:rPr>
      </w:pPr>
      <w:r>
        <w:rPr>
          <w:rFonts w:hAnsi="宋体"/>
          <w:b/>
        </w:rPr>
        <w:t>38.3</w:t>
      </w:r>
      <w:r>
        <w:rPr>
          <w:b/>
        </w:rPr>
        <w:t>.4</w:t>
      </w:r>
      <w:r>
        <w:rPr>
          <w:rFonts w:hint="eastAsia"/>
        </w:rPr>
        <w:t>投诉人提起投诉应当符合下列条件：</w:t>
      </w:r>
    </w:p>
    <w:p w14:paraId="14A9E775">
      <w:pPr>
        <w:spacing w:line="360" w:lineRule="auto"/>
        <w:ind w:firstLine="420" w:firstLineChars="200"/>
        <w:rPr>
          <w:rFonts w:ascii="宋体" w:hAnsi="宋体"/>
        </w:rPr>
      </w:pPr>
      <w:r>
        <w:rPr>
          <w:rFonts w:hint="eastAsia" w:ascii="宋体" w:hAnsi="宋体"/>
        </w:rPr>
        <w:t>（1）投诉人是参与所投诉政府采购活动的供应商；</w:t>
      </w:r>
    </w:p>
    <w:p w14:paraId="55F8F69A">
      <w:pPr>
        <w:spacing w:line="360" w:lineRule="auto"/>
        <w:ind w:firstLine="420" w:firstLineChars="200"/>
        <w:rPr>
          <w:rFonts w:ascii="宋体" w:hAnsi="宋体"/>
        </w:rPr>
      </w:pPr>
      <w:r>
        <w:rPr>
          <w:rFonts w:hint="eastAsia" w:ascii="宋体" w:hAnsi="宋体"/>
        </w:rPr>
        <w:t>（2）提起投诉前已依法进行质疑；</w:t>
      </w:r>
    </w:p>
    <w:p w14:paraId="4D661526">
      <w:pPr>
        <w:spacing w:line="360" w:lineRule="auto"/>
        <w:ind w:firstLine="420" w:firstLineChars="200"/>
        <w:rPr>
          <w:rFonts w:ascii="宋体" w:hAnsi="宋体"/>
        </w:rPr>
      </w:pPr>
      <w:r>
        <w:rPr>
          <w:rFonts w:hint="eastAsia" w:ascii="宋体" w:hAnsi="宋体"/>
        </w:rPr>
        <w:t>（3）投诉书内容符合本章第38.3.2项的规定；</w:t>
      </w:r>
    </w:p>
    <w:p w14:paraId="3FA6EAD8">
      <w:pPr>
        <w:spacing w:line="360" w:lineRule="auto"/>
        <w:ind w:firstLine="420" w:firstLineChars="200"/>
        <w:rPr>
          <w:rFonts w:ascii="宋体" w:hAnsi="宋体"/>
        </w:rPr>
      </w:pPr>
      <w:r>
        <w:rPr>
          <w:rFonts w:hint="eastAsia" w:ascii="宋体" w:hAnsi="宋体"/>
        </w:rPr>
        <w:t>（4）在投诉有效期限内提起投诉；</w:t>
      </w:r>
    </w:p>
    <w:p w14:paraId="766F6D64">
      <w:pPr>
        <w:spacing w:line="360" w:lineRule="auto"/>
        <w:ind w:firstLine="420" w:firstLineChars="200"/>
        <w:rPr>
          <w:rFonts w:ascii="宋体" w:hAnsi="宋体"/>
        </w:rPr>
      </w:pPr>
      <w:r>
        <w:rPr>
          <w:rFonts w:hint="eastAsia" w:ascii="宋体" w:hAnsi="宋体"/>
        </w:rPr>
        <w:t>（5）属于南宁市政府采购监督管理部门管辖；</w:t>
      </w:r>
    </w:p>
    <w:p w14:paraId="26A49E77">
      <w:pPr>
        <w:spacing w:line="360" w:lineRule="auto"/>
        <w:ind w:firstLine="420" w:firstLineChars="200"/>
        <w:rPr>
          <w:rFonts w:ascii="宋体" w:hAnsi="宋体"/>
        </w:rPr>
      </w:pPr>
      <w:r>
        <w:rPr>
          <w:rFonts w:hint="eastAsia" w:ascii="宋体" w:hAnsi="宋体"/>
        </w:rPr>
        <w:t>（6）同一投诉事项未经</w:t>
      </w:r>
      <w:r>
        <w:rPr>
          <w:rFonts w:hint="eastAsia" w:ascii="宋体" w:hAnsi="宋体"/>
          <w:bCs/>
        </w:rPr>
        <w:t>南宁市政府采购监督管理部门</w:t>
      </w:r>
      <w:r>
        <w:rPr>
          <w:rFonts w:hint="eastAsia" w:ascii="宋体" w:hAnsi="宋体"/>
        </w:rPr>
        <w:t>投诉处理；</w:t>
      </w:r>
    </w:p>
    <w:p w14:paraId="5FAC787F">
      <w:pPr>
        <w:spacing w:line="360" w:lineRule="auto"/>
        <w:ind w:firstLine="420" w:firstLineChars="200"/>
        <w:rPr>
          <w:rFonts w:ascii="宋体"/>
        </w:rPr>
      </w:pPr>
      <w:r>
        <w:rPr>
          <w:rFonts w:hint="eastAsia" w:ascii="宋体"/>
        </w:rPr>
        <w:t>（7）国务院财政部门规定的其他条件。</w:t>
      </w:r>
    </w:p>
    <w:p w14:paraId="7732C4CD">
      <w:pPr>
        <w:spacing w:line="360" w:lineRule="auto"/>
        <w:ind w:firstLine="422" w:firstLineChars="200"/>
      </w:pPr>
      <w:r>
        <w:rPr>
          <w:rFonts w:hAnsi="宋体"/>
          <w:b/>
        </w:rPr>
        <w:t>38.3</w:t>
      </w:r>
      <w:r>
        <w:rPr>
          <w:rFonts w:hint="eastAsia" w:ascii="宋体"/>
          <w:b/>
        </w:rPr>
        <w:t>.5</w:t>
      </w:r>
      <w:r>
        <w:rPr>
          <w:rFonts w:hint="eastAsia" w:ascii="宋体"/>
        </w:rPr>
        <w:t xml:space="preserve">  南宁市政府采购监督管理部门</w:t>
      </w:r>
      <w:r>
        <w:rPr>
          <w:rFonts w:hint="eastAsia"/>
        </w:rPr>
        <w:t>自受理投诉之日起</w:t>
      </w:r>
      <w:r>
        <w:t>30</w:t>
      </w:r>
      <w:r>
        <w:rPr>
          <w:rFonts w:hint="eastAsia"/>
        </w:rPr>
        <w:t>个工作日内，对投诉事项作出处理决定，并以书面形式通知投诉人、被投诉人及其他与投诉处理结果有利害关系的政府采购当</w:t>
      </w:r>
      <w:r>
        <w:rPr>
          <w:rFonts w:hint="eastAsia" w:ascii="宋体"/>
        </w:rPr>
        <w:t>事人</w:t>
      </w:r>
      <w:r>
        <w:rPr>
          <w:rFonts w:hint="eastAsia"/>
        </w:rPr>
        <w:t>。并将投诉结果在</w:t>
      </w:r>
      <w:r>
        <w:rPr>
          <w:rFonts w:hint="eastAsia" w:ascii="宋体" w:hAnsi="宋体" w:cs="宋体"/>
          <w:kern w:val="0"/>
          <w:szCs w:val="21"/>
        </w:rPr>
        <w:t>“广西政府采购网”（http://zfcg.gxzf.gov.cn）</w:t>
      </w:r>
      <w:r>
        <w:rPr>
          <w:rFonts w:hint="eastAsia"/>
        </w:rPr>
        <w:t>发布。</w:t>
      </w:r>
    </w:p>
    <w:p w14:paraId="18E61C36">
      <w:pPr>
        <w:spacing w:line="360" w:lineRule="auto"/>
        <w:ind w:firstLine="422" w:firstLineChars="200"/>
        <w:rPr>
          <w:rFonts w:ascii="宋体"/>
        </w:rPr>
      </w:pPr>
      <w:r>
        <w:rPr>
          <w:rFonts w:hAnsi="宋体"/>
          <w:b/>
        </w:rPr>
        <w:t>38.3</w:t>
      </w:r>
      <w:r>
        <w:rPr>
          <w:rFonts w:hint="eastAsia" w:ascii="宋体"/>
          <w:b/>
        </w:rPr>
        <w:t>.6</w:t>
      </w:r>
      <w:r>
        <w:rPr>
          <w:rFonts w:hint="eastAsia" w:ascii="宋体"/>
        </w:rPr>
        <w:t xml:space="preserve">  南宁市政府采购监督管理部门在处理投诉事项期间，可以视具体情况暂停采购活动。</w:t>
      </w:r>
    </w:p>
    <w:p w14:paraId="3225EABF">
      <w:pPr>
        <w:snapToGrid w:val="0"/>
        <w:spacing w:line="360" w:lineRule="auto"/>
        <w:ind w:left="120" w:leftChars="57" w:firstLine="482" w:firstLineChars="150"/>
        <w:jc w:val="center"/>
        <w:outlineLvl w:val="2"/>
        <w:rPr>
          <w:b/>
          <w:bCs/>
          <w:sz w:val="32"/>
          <w:szCs w:val="32"/>
        </w:rPr>
      </w:pPr>
      <w:bookmarkStart w:id="119" w:name="_Toc187761561"/>
      <w:r>
        <w:rPr>
          <w:rFonts w:hint="eastAsia"/>
          <w:b/>
          <w:bCs/>
          <w:sz w:val="32"/>
          <w:szCs w:val="32"/>
        </w:rPr>
        <w:t>八、验收</w:t>
      </w:r>
      <w:bookmarkEnd w:id="119"/>
    </w:p>
    <w:p w14:paraId="693546F1">
      <w:pPr>
        <w:spacing w:line="360" w:lineRule="auto"/>
        <w:ind w:firstLine="422" w:firstLineChars="200"/>
        <w:rPr>
          <w:rFonts w:hAnsi="宋体"/>
          <w:b/>
        </w:rPr>
      </w:pPr>
      <w:r>
        <w:rPr>
          <w:rFonts w:hAnsi="宋体"/>
          <w:b/>
        </w:rPr>
        <w:t>39.</w:t>
      </w:r>
      <w:r>
        <w:rPr>
          <w:rFonts w:hint="eastAsia" w:hAnsi="宋体"/>
          <w:b/>
        </w:rPr>
        <w:t>验收</w:t>
      </w:r>
    </w:p>
    <w:p w14:paraId="314F4D30">
      <w:pPr>
        <w:tabs>
          <w:tab w:val="left" w:pos="0"/>
        </w:tabs>
        <w:spacing w:line="360" w:lineRule="auto"/>
        <w:ind w:firstLine="480"/>
        <w:rPr>
          <w:rFonts w:hAnsi="宋体"/>
        </w:rPr>
      </w:pPr>
      <w:r>
        <w:rPr>
          <w:rFonts w:hAnsi="宋体"/>
        </w:rPr>
        <w:t>39.1</w:t>
      </w:r>
      <w:r>
        <w:rPr>
          <w:rFonts w:hint="eastAsia" w:hAnsi="宋体"/>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52313E1">
      <w:pPr>
        <w:tabs>
          <w:tab w:val="left" w:pos="0"/>
        </w:tabs>
        <w:spacing w:line="360" w:lineRule="auto"/>
        <w:ind w:firstLine="480"/>
        <w:rPr>
          <w:rFonts w:hAnsi="宋体"/>
        </w:rPr>
      </w:pPr>
      <w:r>
        <w:rPr>
          <w:rFonts w:hAnsi="宋体"/>
        </w:rPr>
        <w:t>39.2</w:t>
      </w:r>
      <w:r>
        <w:rPr>
          <w:rFonts w:hint="eastAsia" w:hAnsi="宋体"/>
        </w:rPr>
        <w:t>采购人可以邀请参加本项目的其他投标人或者第三方机构参与验收。参与验收的投标人或者第三方机构的意见作为验收书的参考资料一并存档。</w:t>
      </w:r>
    </w:p>
    <w:p w14:paraId="349205C2">
      <w:pPr>
        <w:tabs>
          <w:tab w:val="left" w:pos="0"/>
        </w:tabs>
        <w:spacing w:line="360" w:lineRule="auto"/>
        <w:ind w:firstLine="480"/>
        <w:rPr>
          <w:rFonts w:hAnsi="宋体"/>
        </w:rPr>
      </w:pPr>
      <w:r>
        <w:rPr>
          <w:rFonts w:hAnsi="宋体"/>
        </w:rPr>
        <w:t>39.3</w:t>
      </w:r>
      <w:r>
        <w:rPr>
          <w:rFonts w:hint="eastAsia" w:hAnsi="宋体"/>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27820A8">
      <w:pPr>
        <w:tabs>
          <w:tab w:val="left" w:pos="0"/>
        </w:tabs>
        <w:spacing w:line="360" w:lineRule="auto"/>
        <w:ind w:firstLine="480"/>
        <w:rPr>
          <w:rFonts w:hAnsi="宋体"/>
        </w:rPr>
      </w:pPr>
      <w:r>
        <w:rPr>
          <w:rFonts w:hAnsi="宋体"/>
        </w:rPr>
        <w:t>39.4</w:t>
      </w:r>
      <w:r>
        <w:rPr>
          <w:rFonts w:hint="eastAsia" w:hAnsi="宋体"/>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77F644F">
      <w:pPr>
        <w:pStyle w:val="18"/>
        <w:snapToGrid w:val="0"/>
        <w:spacing w:line="400" w:lineRule="exact"/>
        <w:rPr>
          <w:rFonts w:hAnsi="宋体"/>
        </w:rPr>
      </w:pPr>
    </w:p>
    <w:p w14:paraId="1F5E6B4D">
      <w:pPr>
        <w:pStyle w:val="5"/>
        <w:keepNext w:val="0"/>
        <w:keepLines w:val="0"/>
        <w:spacing w:line="360" w:lineRule="auto"/>
        <w:jc w:val="center"/>
      </w:pPr>
      <w:bookmarkStart w:id="120" w:name="_八、其他事项"/>
      <w:bookmarkEnd w:id="120"/>
      <w:bookmarkStart w:id="121" w:name="_Toc187761562"/>
      <w:r>
        <w:rPr>
          <w:rFonts w:hint="eastAsia"/>
        </w:rPr>
        <w:t>九、其他事项</w:t>
      </w:r>
      <w:bookmarkEnd w:id="121"/>
    </w:p>
    <w:p w14:paraId="3D4D3AB3">
      <w:pPr>
        <w:spacing w:line="360" w:lineRule="auto"/>
        <w:ind w:firstLine="480" w:firstLineChars="200"/>
        <w:rPr>
          <w:rFonts w:ascii="黑体" w:hAnsi="黑体" w:eastAsia="黑体"/>
          <w:sz w:val="24"/>
        </w:rPr>
      </w:pPr>
      <w:bookmarkStart w:id="122" w:name="_42.代理服务费"/>
      <w:bookmarkEnd w:id="122"/>
      <w:r>
        <w:rPr>
          <w:rFonts w:hint="eastAsia" w:ascii="黑体" w:hAnsi="黑体" w:eastAsia="黑体"/>
          <w:sz w:val="24"/>
        </w:rPr>
        <w:t>40.代理服务费</w:t>
      </w:r>
    </w:p>
    <w:p w14:paraId="7C4542DD">
      <w:pPr>
        <w:spacing w:line="360" w:lineRule="auto"/>
        <w:ind w:firstLine="422" w:firstLineChars="200"/>
        <w:rPr>
          <w:rFonts w:ascii="宋体" w:hAnsi="宋体"/>
          <w:b/>
          <w:szCs w:val="21"/>
        </w:rPr>
      </w:pPr>
      <w:r>
        <w:rPr>
          <w:rFonts w:hint="eastAsia" w:ascii="宋体" w:hAnsi="宋体"/>
          <w:b/>
          <w:szCs w:val="21"/>
        </w:rPr>
        <w:t>代理服务收费标准及缴费账户详见“投标人须知前附表”，投标人为联合体的，可以由联合体中的一方或者多方共同交纳代理服务费。</w:t>
      </w:r>
    </w:p>
    <w:p w14:paraId="1FCF1C2D">
      <w:pPr>
        <w:spacing w:line="360" w:lineRule="auto"/>
        <w:ind w:firstLine="480" w:firstLineChars="200"/>
        <w:rPr>
          <w:rFonts w:ascii="黑体" w:hAnsi="黑体" w:eastAsia="黑体"/>
          <w:sz w:val="24"/>
        </w:rPr>
      </w:pPr>
      <w:r>
        <w:rPr>
          <w:rFonts w:hint="eastAsia" w:ascii="黑体" w:hAnsi="黑体" w:eastAsia="黑体"/>
          <w:sz w:val="24"/>
        </w:rPr>
        <w:t>41. 需要补充的其他内容</w:t>
      </w:r>
    </w:p>
    <w:p w14:paraId="475049D7">
      <w:pPr>
        <w:spacing w:line="360" w:lineRule="auto"/>
        <w:ind w:firstLine="420" w:firstLineChars="200"/>
        <w:rPr>
          <w:rFonts w:hAnsi="宋体"/>
        </w:rPr>
      </w:pPr>
      <w:r>
        <w:rPr>
          <w:rFonts w:hAnsi="宋体"/>
        </w:rPr>
        <w:t>41.1</w:t>
      </w:r>
      <w:r>
        <w:rPr>
          <w:rFonts w:hint="eastAsia" w:hAnsi="宋体" w:cs="宋体"/>
        </w:rPr>
        <w:t>本招标文件解释规则详见</w:t>
      </w:r>
      <w:r>
        <w:rPr>
          <w:rFonts w:hint="eastAsia" w:hAnsi="宋体"/>
        </w:rPr>
        <w:t>“投标人须知前附表”。</w:t>
      </w:r>
    </w:p>
    <w:p w14:paraId="0F9F1D48">
      <w:pPr>
        <w:spacing w:line="360" w:lineRule="auto"/>
        <w:ind w:firstLine="420" w:firstLineChars="200"/>
        <w:rPr>
          <w:rFonts w:hAnsi="宋体"/>
        </w:rPr>
      </w:pPr>
      <w:r>
        <w:rPr>
          <w:rFonts w:hAnsi="宋体" w:cs="宋体"/>
        </w:rPr>
        <w:t xml:space="preserve">41.2 </w:t>
      </w:r>
      <w:r>
        <w:rPr>
          <w:rFonts w:hint="eastAsia" w:hAnsi="宋体"/>
        </w:rPr>
        <w:t>其他事项详见“投标人须知前附表”。</w:t>
      </w:r>
    </w:p>
    <w:p w14:paraId="0DD26C09">
      <w:pPr>
        <w:spacing w:line="360" w:lineRule="auto"/>
        <w:ind w:firstLine="420" w:firstLineChars="200"/>
        <w:rPr>
          <w:rFonts w:hAnsi="宋体"/>
        </w:rPr>
      </w:pPr>
      <w:r>
        <w:rPr>
          <w:rFonts w:hAnsi="宋体"/>
        </w:rPr>
        <w:t>41.3</w:t>
      </w:r>
      <w:r>
        <w:rPr>
          <w:rFonts w:hint="eastAsia" w:hAnsi="宋体"/>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Pr>
          <w:rFonts w:hint="eastAsia"/>
        </w:rPr>
        <w:t>不对其中涉及的货物的制造商和工程承建商作出要求的，</w:t>
      </w:r>
      <w:r>
        <w:rPr>
          <w:rFonts w:hint="eastAsia" w:hAnsi="宋体"/>
        </w:rPr>
        <w:t>享受本文件规定的中小企业扶持政策。</w:t>
      </w:r>
    </w:p>
    <w:p w14:paraId="42E92ED7">
      <w:pPr>
        <w:spacing w:line="360" w:lineRule="auto"/>
        <w:ind w:firstLine="420" w:firstLineChars="200"/>
        <w:rPr>
          <w:rFonts w:hAnsi="宋体"/>
        </w:rPr>
      </w:pPr>
      <w:r>
        <w:rPr>
          <w:rFonts w:hint="eastAsia" w:hAnsi="宋体"/>
        </w:rPr>
        <w:t>以联合体形式参加政府采购活动，联合体各方均为中小企业的，联合体视同中小企业。其中，联合体各方均为小微企业的，联合体视同小微企业。</w:t>
      </w:r>
    </w:p>
    <w:p w14:paraId="2149F89B">
      <w:pPr>
        <w:spacing w:line="360" w:lineRule="auto"/>
        <w:ind w:firstLine="420" w:firstLineChars="200"/>
        <w:rPr>
          <w:rFonts w:hAnsi="宋体"/>
        </w:rPr>
      </w:pPr>
      <w:r>
        <w:rPr>
          <w:rFonts w:hint="eastAsia" w:hAnsi="宋体"/>
        </w:rPr>
        <w:t>依据本文件规定享受扶持政策获得政府采购合同的，小微企业不得将合同分包给大中型企业，中型企业不得将合同分包给大型企业。</w:t>
      </w:r>
    </w:p>
    <w:p w14:paraId="2EF028A7">
      <w:pPr>
        <w:spacing w:line="360" w:lineRule="auto"/>
        <w:ind w:firstLine="480" w:firstLineChars="200"/>
        <w:rPr>
          <w:rFonts w:ascii="黑体" w:hAnsi="黑体" w:eastAsia="黑体"/>
          <w:sz w:val="24"/>
        </w:rPr>
      </w:pPr>
      <w:r>
        <w:rPr>
          <w:rFonts w:hint="eastAsia" w:ascii="黑体" w:hAnsi="黑体" w:eastAsia="黑体"/>
          <w:sz w:val="24"/>
        </w:rPr>
        <w:t>42. 政采贷相关说明</w:t>
      </w:r>
    </w:p>
    <w:p w14:paraId="5F4A293B">
      <w:pPr>
        <w:spacing w:line="360" w:lineRule="auto"/>
        <w:ind w:firstLine="420" w:firstLineChars="200"/>
        <w:jc w:val="left"/>
        <w:rPr>
          <w:rFonts w:hAnsi="宋体"/>
        </w:rPr>
      </w:pPr>
      <w:r>
        <w:rPr>
          <w:rFonts w:hint="eastAsia" w:hAnsi="宋体"/>
        </w:rPr>
        <w:t>为优化政府采购营商环境，缓解供应商资金难题，南宁市政府采购试行政府采购信用融资制度，中标供应商如有融资需求，可凭政府采购合同通过以下方式申请政府采购信用融资贷款：</w:t>
      </w:r>
    </w:p>
    <w:p w14:paraId="17135FB3">
      <w:pPr>
        <w:numPr>
          <w:ilvl w:val="0"/>
          <w:numId w:val="2"/>
        </w:numPr>
        <w:spacing w:line="360" w:lineRule="auto"/>
        <w:ind w:firstLine="420" w:firstLineChars="200"/>
        <w:jc w:val="left"/>
        <w:rPr>
          <w:rFonts w:hAnsi="宋体"/>
        </w:rPr>
      </w:pPr>
      <w:r>
        <w:rPr>
          <w:rFonts w:hint="eastAsia" w:hAnsi="宋体"/>
        </w:rPr>
        <w:t>线下渠道：在“南宁市公共资源交易中心”官网（网址：</w:t>
      </w:r>
      <w:r>
        <w:rPr>
          <w:rFonts w:hAnsi="宋体"/>
        </w:rPr>
        <w:t>http://www.nnggzy.org.cn</w:t>
      </w:r>
      <w:r>
        <w:rPr>
          <w:rFonts w:hint="eastAsia" w:hAnsi="宋体"/>
        </w:rPr>
        <w:t>）“交易信息</w:t>
      </w:r>
      <w:r>
        <w:rPr>
          <w:rFonts w:hAnsi="宋体"/>
        </w:rPr>
        <w:t>-</w:t>
      </w:r>
      <w:r>
        <w:rPr>
          <w:rFonts w:hint="eastAsia" w:hAnsi="宋体"/>
        </w:rPr>
        <w:t>政府采购</w:t>
      </w:r>
      <w:r>
        <w:rPr>
          <w:rFonts w:hAnsi="宋体"/>
        </w:rPr>
        <w:t>-</w:t>
      </w:r>
      <w:r>
        <w:rPr>
          <w:rFonts w:hint="eastAsia" w:hAnsi="宋体"/>
        </w:rPr>
        <w:t>政府采购信用融资”中融资银行和南宁市企业融资服务中心专栏信息申请政府采购信用融资。</w:t>
      </w:r>
    </w:p>
    <w:p w14:paraId="34819A11">
      <w:pPr>
        <w:numPr>
          <w:ilvl w:val="0"/>
          <w:numId w:val="2"/>
        </w:numPr>
        <w:spacing w:line="360" w:lineRule="auto"/>
        <w:ind w:firstLine="420" w:firstLineChars="200"/>
        <w:jc w:val="left"/>
        <w:rPr>
          <w:rFonts w:hAnsi="宋体"/>
        </w:rPr>
      </w:pPr>
      <w:r>
        <w:rPr>
          <w:rFonts w:hint="eastAsia" w:hAnsi="宋体"/>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Ansi="宋体"/>
        </w:rPr>
        <w:br w:type="page"/>
      </w:r>
      <w:bookmarkStart w:id="123" w:name="_Toc532545043"/>
    </w:p>
    <w:p w14:paraId="67F84A58">
      <w:pPr>
        <w:pStyle w:val="18"/>
        <w:jc w:val="center"/>
        <w:outlineLvl w:val="0"/>
        <w:rPr>
          <w:rFonts w:ascii="Times New Roman" w:hAnsi="Times New Roman"/>
          <w:b/>
          <w:sz w:val="36"/>
        </w:rPr>
      </w:pPr>
      <w:bookmarkStart w:id="124" w:name="_Toc187761563"/>
      <w:r>
        <w:rPr>
          <w:rFonts w:hint="eastAsia" w:ascii="Times New Roman" w:hAnsi="Times New Roman"/>
          <w:b/>
          <w:sz w:val="36"/>
        </w:rPr>
        <w:t>第四章评标方法</w:t>
      </w:r>
      <w:bookmarkEnd w:id="123"/>
      <w:r>
        <w:rPr>
          <w:rFonts w:hint="eastAsia" w:ascii="Times New Roman" w:hAnsi="Times New Roman"/>
          <w:b/>
          <w:sz w:val="36"/>
        </w:rPr>
        <w:t>及评分标准</w:t>
      </w:r>
      <w:bookmarkEnd w:id="124"/>
    </w:p>
    <w:p w14:paraId="32655EB3">
      <w:pPr>
        <w:pStyle w:val="18"/>
        <w:jc w:val="center"/>
        <w:outlineLvl w:val="1"/>
        <w:rPr>
          <w:rFonts w:ascii="Times New Roman" w:hAnsi="Times New Roman"/>
          <w:b/>
          <w:bCs/>
          <w:sz w:val="32"/>
          <w:szCs w:val="32"/>
        </w:rPr>
      </w:pPr>
      <w:bookmarkStart w:id="125" w:name="_Toc187761564"/>
      <w:r>
        <w:rPr>
          <w:rFonts w:hint="eastAsia" w:ascii="Times New Roman" w:hAnsi="Times New Roman"/>
          <w:b/>
          <w:bCs/>
          <w:sz w:val="32"/>
          <w:szCs w:val="32"/>
        </w:rPr>
        <w:t>第一节评标方法</w:t>
      </w:r>
      <w:bookmarkEnd w:id="125"/>
    </w:p>
    <w:p w14:paraId="7572E966">
      <w:pPr>
        <w:pStyle w:val="18"/>
        <w:tabs>
          <w:tab w:val="left" w:pos="2472"/>
        </w:tabs>
        <w:spacing w:line="460" w:lineRule="exact"/>
        <w:ind w:firstLine="420" w:firstLineChars="200"/>
        <w:rPr>
          <w:szCs w:val="21"/>
        </w:rPr>
      </w:pPr>
      <w:r>
        <w:rPr>
          <w:rFonts w:hint="eastAsia" w:hAnsi="宋体" w:cs="宋体"/>
          <w:szCs w:val="21"/>
        </w:rPr>
        <w:t>本项目采用</w:t>
      </w:r>
      <w:r>
        <w:rPr>
          <w:rFonts w:hint="eastAsia" w:hAnsi="宋体" w:cs="宋体"/>
          <w:szCs w:val="21"/>
          <w:u w:val="single"/>
        </w:rPr>
        <w:t xml:space="preserve"> 以下勾选的方式</w:t>
      </w:r>
      <w:r>
        <w:rPr>
          <w:rFonts w:hint="eastAsia" w:hAnsi="宋体" w:cs="宋体"/>
          <w:szCs w:val="21"/>
        </w:rPr>
        <w:t>进行评审。</w:t>
      </w:r>
    </w:p>
    <w:p w14:paraId="3FB253AC">
      <w:pPr>
        <w:pStyle w:val="18"/>
        <w:spacing w:line="360" w:lineRule="auto"/>
        <w:ind w:firstLine="420"/>
        <w:rPr>
          <w:rFonts w:hAnsi="宋体"/>
        </w:rPr>
      </w:pPr>
      <w:r>
        <w:rPr>
          <w:rFonts w:hint="eastAsia" w:hAnsi="宋体"/>
          <w:szCs w:val="21"/>
        </w:rPr>
        <w:t>□最低评标价法，是指投标文件满足招标文件</w:t>
      </w:r>
      <w:r>
        <w:rPr>
          <w:rFonts w:hint="eastAsia" w:hAnsi="宋体"/>
        </w:rPr>
        <w:t>全部实质性要求，且投标报价最低的投标人为中标候选人的评标方法。</w:t>
      </w:r>
    </w:p>
    <w:p w14:paraId="623144D5">
      <w:pPr>
        <w:autoSpaceDE w:val="0"/>
        <w:autoSpaceDN w:val="0"/>
        <w:adjustRightInd w:val="0"/>
        <w:spacing w:line="440" w:lineRule="exact"/>
        <w:ind w:firstLine="420" w:firstLineChars="200"/>
        <w:rPr>
          <w:rFonts w:ascii="宋体" w:hAnsi="宋体"/>
          <w:sz w:val="24"/>
        </w:rPr>
      </w:pPr>
      <w:r>
        <w:rPr>
          <w:rFonts w:hint="eastAsia" w:ascii="宋体" w:hAnsi="宋体"/>
        </w:rPr>
        <w:t>√</w:t>
      </w:r>
      <w:r>
        <w:rPr>
          <w:rFonts w:hint="eastAsia" w:hAnsi="宋体"/>
        </w:rPr>
        <w:t>综合评分法，</w:t>
      </w:r>
      <w:r>
        <w:rPr>
          <w:rFonts w:hint="eastAsia" w:ascii="宋体" w:hAnsi="宋体"/>
          <w:szCs w:val="20"/>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47C97DE9">
      <w:pPr>
        <w:pStyle w:val="18"/>
        <w:spacing w:line="360" w:lineRule="auto"/>
        <w:ind w:firstLine="420"/>
        <w:rPr>
          <w:rFonts w:hAnsi="宋体"/>
        </w:rPr>
      </w:pPr>
    </w:p>
    <w:p w14:paraId="254A43D7">
      <w:pPr>
        <w:pStyle w:val="18"/>
        <w:tabs>
          <w:tab w:val="left" w:pos="2472"/>
        </w:tabs>
        <w:spacing w:line="460" w:lineRule="exact"/>
        <w:jc w:val="center"/>
        <w:outlineLvl w:val="1"/>
        <w:rPr>
          <w:rFonts w:ascii="Times New Roman" w:hAnsi="Times New Roman"/>
          <w:b/>
          <w:bCs/>
          <w:sz w:val="32"/>
          <w:szCs w:val="32"/>
        </w:rPr>
      </w:pPr>
      <w:bookmarkStart w:id="126" w:name="_Toc187761565"/>
      <w:r>
        <w:rPr>
          <w:rFonts w:hint="eastAsia" w:ascii="Times New Roman" w:hAnsi="Times New Roman"/>
          <w:b/>
          <w:bCs/>
          <w:sz w:val="32"/>
          <w:szCs w:val="32"/>
        </w:rPr>
        <w:t>第二节评标程序</w:t>
      </w:r>
      <w:bookmarkEnd w:id="126"/>
    </w:p>
    <w:p w14:paraId="16003194">
      <w:pPr>
        <w:spacing w:line="360" w:lineRule="auto"/>
        <w:ind w:firstLine="422" w:firstLineChars="200"/>
        <w:rPr>
          <w:rFonts w:ascii="宋体" w:hAnsi="宋体"/>
          <w:b/>
          <w:szCs w:val="21"/>
        </w:rPr>
      </w:pPr>
      <w:r>
        <w:rPr>
          <w:rFonts w:hint="eastAsia" w:ascii="宋体" w:hAnsi="宋体"/>
          <w:b/>
          <w:szCs w:val="21"/>
        </w:rPr>
        <w:t>1.符合性审查</w:t>
      </w:r>
    </w:p>
    <w:p w14:paraId="7EAFB525">
      <w:pPr>
        <w:spacing w:line="360" w:lineRule="auto"/>
        <w:ind w:firstLine="420" w:firstLineChars="200"/>
        <w:rPr>
          <w:rFonts w:hAnsi="宋体"/>
        </w:rPr>
      </w:pPr>
      <w:r>
        <w:rPr>
          <w:rFonts w:hint="eastAsia" w:hAnsi="宋体"/>
        </w:rPr>
        <w:t>评标委员会应当对符合资格的投标人的投标文件进行投标报价、商务、技术等实质性内容符合性审查，以确定其是否满足招标文件的实质性要求。</w:t>
      </w:r>
    </w:p>
    <w:p w14:paraId="584F6129">
      <w:pPr>
        <w:spacing w:line="360" w:lineRule="auto"/>
        <w:ind w:firstLine="422" w:firstLineChars="200"/>
        <w:rPr>
          <w:rFonts w:ascii="宋体" w:hAnsi="宋体"/>
          <w:b/>
          <w:szCs w:val="21"/>
        </w:rPr>
      </w:pPr>
      <w:r>
        <w:rPr>
          <w:rFonts w:hint="eastAsia" w:ascii="宋体" w:hAnsi="宋体"/>
          <w:b/>
          <w:szCs w:val="21"/>
        </w:rPr>
        <w:t>2.符合性审查不通过而导致投标无效的情形</w:t>
      </w:r>
    </w:p>
    <w:p w14:paraId="6F033BF7">
      <w:pPr>
        <w:spacing w:line="360" w:lineRule="auto"/>
        <w:ind w:firstLine="420" w:firstLineChars="200"/>
        <w:rPr>
          <w:rFonts w:ascii="宋体" w:hAnsi="宋体"/>
          <w:szCs w:val="21"/>
        </w:rPr>
      </w:pPr>
      <w:r>
        <w:rPr>
          <w:rFonts w:hint="eastAsia" w:ascii="宋体" w:hAnsi="宋体"/>
          <w:szCs w:val="21"/>
        </w:rPr>
        <w:t>投标人的投标文件中存在对招标文件的任何实质性要求和条件的负偏离，将被视为投标无效。</w:t>
      </w:r>
    </w:p>
    <w:p w14:paraId="2F37DD42">
      <w:pPr>
        <w:spacing w:line="360" w:lineRule="auto"/>
        <w:ind w:firstLine="420" w:firstLineChars="200"/>
        <w:rPr>
          <w:rFonts w:ascii="宋体" w:hAnsi="宋体"/>
          <w:szCs w:val="21"/>
        </w:rPr>
      </w:pPr>
      <w:r>
        <w:rPr>
          <w:rFonts w:hint="eastAsia" w:ascii="宋体" w:hAnsi="宋体"/>
          <w:szCs w:val="21"/>
        </w:rPr>
        <w:t>2.1在报价评审时，如发现下列情形之一的，将被视为投标无效：</w:t>
      </w:r>
    </w:p>
    <w:p w14:paraId="6013EB19">
      <w:pPr>
        <w:spacing w:line="360" w:lineRule="auto"/>
        <w:ind w:firstLine="420" w:firstLineChars="200"/>
        <w:rPr>
          <w:rFonts w:ascii="宋体" w:hAnsi="宋体"/>
          <w:szCs w:val="21"/>
        </w:rPr>
      </w:pPr>
      <w:r>
        <w:rPr>
          <w:rFonts w:hint="eastAsia" w:ascii="宋体" w:hAnsi="宋体"/>
          <w:szCs w:val="21"/>
        </w:rPr>
        <w:t>（1）投标文件未提供“投标人须知前附表”第13.1条规定中“必须提供”的文件资料的;</w:t>
      </w:r>
    </w:p>
    <w:p w14:paraId="54A19543">
      <w:pPr>
        <w:spacing w:line="360" w:lineRule="auto"/>
        <w:ind w:firstLine="420" w:firstLineChars="200"/>
        <w:rPr>
          <w:rFonts w:ascii="宋体" w:hAnsi="宋体"/>
          <w:szCs w:val="21"/>
        </w:rPr>
      </w:pPr>
      <w:r>
        <w:rPr>
          <w:rFonts w:hint="eastAsia" w:ascii="宋体" w:hAnsi="宋体"/>
          <w:szCs w:val="21"/>
        </w:rPr>
        <w:t>（2）未采用人民币报价或者未按照招标文件标明的币种报价的；</w:t>
      </w:r>
    </w:p>
    <w:p w14:paraId="5837F996">
      <w:pPr>
        <w:spacing w:line="360" w:lineRule="auto"/>
        <w:ind w:firstLine="420" w:firstLineChars="200"/>
        <w:rPr>
          <w:rFonts w:ascii="宋体" w:hAnsi="宋体"/>
          <w:szCs w:val="21"/>
        </w:rPr>
      </w:pPr>
      <w:r>
        <w:rPr>
          <w:rFonts w:hint="eastAsia" w:ascii="宋体" w:hAnsi="宋体"/>
          <w:szCs w:val="21"/>
        </w:rPr>
        <w:t>（3）报价超出招标文件规定最高限价，或者超出采购预算金额（包括分项预算）的；</w:t>
      </w:r>
    </w:p>
    <w:p w14:paraId="1DA54BF2">
      <w:pPr>
        <w:spacing w:line="360" w:lineRule="auto"/>
        <w:ind w:firstLine="420" w:firstLineChars="200"/>
        <w:rPr>
          <w:rFonts w:ascii="宋体" w:hAnsi="宋体"/>
          <w:szCs w:val="21"/>
        </w:rPr>
      </w:pPr>
      <w:r>
        <w:rPr>
          <w:rFonts w:hint="eastAsia" w:ascii="宋体" w:hAnsi="宋体"/>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38CC866F">
      <w:pPr>
        <w:spacing w:line="360" w:lineRule="auto"/>
        <w:ind w:firstLine="420" w:firstLineChars="200"/>
        <w:rPr>
          <w:rFonts w:ascii="宋体" w:hAnsi="宋体"/>
          <w:szCs w:val="21"/>
        </w:rPr>
      </w:pPr>
      <w:r>
        <w:rPr>
          <w:rFonts w:hint="eastAsia" w:ascii="宋体" w:hAnsi="宋体"/>
          <w:szCs w:val="21"/>
        </w:rPr>
        <w:t>（5）修正后的报价，投标人不确认的；</w:t>
      </w:r>
    </w:p>
    <w:p w14:paraId="05E0E0FA">
      <w:pPr>
        <w:spacing w:line="360" w:lineRule="auto"/>
        <w:ind w:firstLine="420" w:firstLineChars="200"/>
        <w:rPr>
          <w:rFonts w:ascii="宋体" w:hAnsi="宋体"/>
          <w:szCs w:val="21"/>
        </w:rPr>
      </w:pPr>
      <w:r>
        <w:rPr>
          <w:rFonts w:hint="eastAsia" w:ascii="宋体" w:hAnsi="宋体"/>
          <w:szCs w:val="21"/>
        </w:rPr>
        <w:t>（6）投标人属于本章第5条第（2）项情形的。</w:t>
      </w:r>
    </w:p>
    <w:p w14:paraId="20955526">
      <w:pPr>
        <w:spacing w:line="360" w:lineRule="auto"/>
        <w:ind w:firstLine="420" w:firstLineChars="200"/>
        <w:rPr>
          <w:rFonts w:ascii="宋体" w:hAnsi="宋体"/>
          <w:szCs w:val="21"/>
        </w:rPr>
      </w:pPr>
      <w:r>
        <w:rPr>
          <w:rFonts w:hint="eastAsia" w:ascii="宋体" w:hAnsi="宋体"/>
          <w:szCs w:val="21"/>
        </w:rPr>
        <w:t>2.2在商务评审时，如发现下列情形之一的，将被视为投标无效：</w:t>
      </w:r>
    </w:p>
    <w:p w14:paraId="2A78600E">
      <w:pPr>
        <w:spacing w:line="360" w:lineRule="auto"/>
        <w:ind w:firstLine="420" w:firstLineChars="200"/>
        <w:rPr>
          <w:rFonts w:ascii="宋体" w:hAnsi="宋体"/>
          <w:szCs w:val="21"/>
        </w:rPr>
      </w:pPr>
      <w:r>
        <w:rPr>
          <w:rFonts w:hint="eastAsia" w:ascii="宋体" w:hAnsi="宋体"/>
          <w:szCs w:val="21"/>
        </w:rPr>
        <w:t>（1）投标文件未按招标文件要求签署、盖章的；</w:t>
      </w:r>
    </w:p>
    <w:p w14:paraId="14A0D8C5">
      <w:pPr>
        <w:spacing w:line="360" w:lineRule="auto"/>
        <w:ind w:firstLine="420" w:firstLineChars="200"/>
        <w:rPr>
          <w:rFonts w:ascii="宋体" w:hAnsi="宋体"/>
          <w:szCs w:val="21"/>
        </w:rPr>
      </w:pPr>
      <w:r>
        <w:rPr>
          <w:rFonts w:hint="eastAsia" w:ascii="宋体" w:hAnsi="宋体"/>
          <w:szCs w:val="21"/>
        </w:rPr>
        <w:t xml:space="preserve">（2）委托代理人未能出具有效身份证明或者出具的身份证明与授权委托书中的信息不符的； </w:t>
      </w:r>
    </w:p>
    <w:p w14:paraId="4ACEDEBF">
      <w:pPr>
        <w:spacing w:line="360" w:lineRule="auto"/>
        <w:ind w:firstLine="420" w:firstLineChars="200"/>
        <w:rPr>
          <w:rFonts w:ascii="宋体" w:hAnsi="宋体"/>
          <w:szCs w:val="21"/>
        </w:rPr>
      </w:pPr>
      <w:r>
        <w:rPr>
          <w:rFonts w:hint="eastAsia" w:ascii="宋体" w:hAnsi="宋体"/>
          <w:szCs w:val="21"/>
        </w:rPr>
        <w:t>（3）投标文件未提供“投标人须知前附表”第13.1条规定中“必须提供”或者“委托时必须提供”的文件资料的;</w:t>
      </w:r>
    </w:p>
    <w:p w14:paraId="48F48ACD">
      <w:pPr>
        <w:spacing w:line="360" w:lineRule="auto"/>
        <w:ind w:firstLine="420" w:firstLineChars="200"/>
        <w:rPr>
          <w:rFonts w:ascii="宋体" w:hAnsi="宋体"/>
          <w:szCs w:val="21"/>
        </w:rPr>
      </w:pPr>
      <w:r>
        <w:rPr>
          <w:rFonts w:hint="eastAsia" w:ascii="宋体" w:hAnsi="宋体"/>
          <w:szCs w:val="21"/>
        </w:rPr>
        <w:t>（4）投标有效期、项目完成时间（交货时间、服务完成时间或者服务期等）、质保期、售后服务等招标文件中标“▲”的商务条款发生负偏离的；</w:t>
      </w:r>
    </w:p>
    <w:p w14:paraId="09D35E58">
      <w:pPr>
        <w:spacing w:line="360" w:lineRule="auto"/>
        <w:ind w:firstLine="420" w:firstLineChars="200"/>
        <w:rPr>
          <w:rFonts w:ascii="宋体" w:hAnsi="宋体"/>
          <w:szCs w:val="21"/>
        </w:rPr>
      </w:pPr>
      <w:r>
        <w:rPr>
          <w:rFonts w:hint="eastAsia" w:ascii="宋体" w:hAnsi="宋体"/>
          <w:szCs w:val="21"/>
        </w:rPr>
        <w:t>（5）商务条款评审允许负偏离的条款数超过“投标人须知前附表”规定项数的。</w:t>
      </w:r>
    </w:p>
    <w:p w14:paraId="3DB5DBD1">
      <w:pPr>
        <w:spacing w:line="360" w:lineRule="auto"/>
        <w:ind w:firstLine="420" w:firstLineChars="200"/>
        <w:rPr>
          <w:rFonts w:ascii="宋体" w:hAnsi="宋体"/>
          <w:szCs w:val="21"/>
        </w:rPr>
      </w:pPr>
      <w:r>
        <w:rPr>
          <w:rFonts w:hint="eastAsia" w:ascii="宋体" w:hAnsi="宋体"/>
          <w:szCs w:val="21"/>
        </w:rPr>
        <w:t>（6）投标文件的实质性内容未使用中文表述、使用计量单位不符合招标文件要求的；</w:t>
      </w:r>
    </w:p>
    <w:p w14:paraId="65414FC8">
      <w:pPr>
        <w:spacing w:line="360" w:lineRule="auto"/>
        <w:ind w:firstLine="420" w:firstLineChars="200"/>
        <w:rPr>
          <w:rFonts w:ascii="宋体" w:hAnsi="宋体"/>
          <w:szCs w:val="21"/>
        </w:rPr>
      </w:pPr>
      <w:r>
        <w:rPr>
          <w:rFonts w:hint="eastAsia" w:ascii="宋体" w:hAnsi="宋体"/>
          <w:szCs w:val="21"/>
        </w:rPr>
        <w:t>（7）投标文件中的文件资料因填写不齐全或者内容虚假或者出现其他情形而导致被评标委员会认定无效的；</w:t>
      </w:r>
    </w:p>
    <w:p w14:paraId="12FCCEB9">
      <w:pPr>
        <w:spacing w:line="360" w:lineRule="auto"/>
        <w:ind w:firstLine="420" w:firstLineChars="200"/>
        <w:rPr>
          <w:rFonts w:ascii="宋体" w:hAnsi="宋体"/>
          <w:szCs w:val="21"/>
        </w:rPr>
      </w:pPr>
      <w:r>
        <w:rPr>
          <w:rFonts w:hint="eastAsia" w:ascii="宋体" w:hAnsi="宋体"/>
          <w:szCs w:val="21"/>
        </w:rPr>
        <w:t>（8）投标文件含有采购人不能接受的附加条件的；</w:t>
      </w:r>
    </w:p>
    <w:p w14:paraId="473439EF">
      <w:pPr>
        <w:spacing w:line="360" w:lineRule="auto"/>
        <w:ind w:firstLine="420" w:firstLineChars="200"/>
        <w:rPr>
          <w:rFonts w:ascii="宋体" w:hAnsi="宋体"/>
          <w:szCs w:val="21"/>
        </w:rPr>
      </w:pPr>
      <w:r>
        <w:rPr>
          <w:rFonts w:hint="eastAsia" w:ascii="宋体" w:hAnsi="宋体"/>
          <w:szCs w:val="21"/>
        </w:rPr>
        <w:t>（9）未响应招标文件实质性要求的；</w:t>
      </w:r>
    </w:p>
    <w:p w14:paraId="1EDEFBAF">
      <w:pPr>
        <w:spacing w:line="360" w:lineRule="auto"/>
        <w:ind w:firstLine="420" w:firstLineChars="200"/>
        <w:rPr>
          <w:rFonts w:ascii="宋体" w:hAnsi="宋体"/>
          <w:szCs w:val="21"/>
        </w:rPr>
      </w:pPr>
      <w:r>
        <w:rPr>
          <w:rFonts w:hint="eastAsia" w:ascii="宋体" w:hAnsi="宋体"/>
          <w:szCs w:val="21"/>
        </w:rPr>
        <w:t>（10）属于投标人须知正文第9.2条情形的；</w:t>
      </w:r>
    </w:p>
    <w:p w14:paraId="5B70966E">
      <w:pPr>
        <w:spacing w:line="360" w:lineRule="auto"/>
        <w:ind w:firstLine="420" w:firstLineChars="200"/>
        <w:rPr>
          <w:rFonts w:ascii="宋体" w:hAnsi="宋体"/>
          <w:szCs w:val="21"/>
        </w:rPr>
      </w:pPr>
      <w:r>
        <w:rPr>
          <w:rFonts w:hint="eastAsia" w:ascii="宋体" w:hAnsi="宋体"/>
          <w:szCs w:val="21"/>
        </w:rPr>
        <w:t>（11）法律、法规和招标文件规定的其他无效情形。</w:t>
      </w:r>
    </w:p>
    <w:p w14:paraId="6F83FD19">
      <w:pPr>
        <w:spacing w:line="360" w:lineRule="auto"/>
        <w:ind w:firstLine="420" w:firstLineChars="200"/>
        <w:rPr>
          <w:rFonts w:ascii="宋体" w:hAnsi="宋体"/>
          <w:szCs w:val="21"/>
        </w:rPr>
      </w:pPr>
      <w:r>
        <w:rPr>
          <w:rFonts w:hint="eastAsia" w:ascii="宋体" w:hAnsi="宋体"/>
          <w:szCs w:val="21"/>
        </w:rPr>
        <w:t>2.3在技术评审时，如发现下列情形之一的，将被视为投标无效：</w:t>
      </w:r>
    </w:p>
    <w:p w14:paraId="13CDD5C9">
      <w:pPr>
        <w:spacing w:line="360" w:lineRule="auto"/>
        <w:ind w:firstLine="420" w:firstLineChars="200"/>
        <w:rPr>
          <w:rFonts w:hAnsi="宋体"/>
          <w:szCs w:val="21"/>
        </w:rPr>
      </w:pPr>
      <w:r>
        <w:rPr>
          <w:rFonts w:hint="eastAsia" w:hAnsi="宋体"/>
          <w:szCs w:val="21"/>
        </w:rPr>
        <w:t>（</w:t>
      </w:r>
      <w:r>
        <w:rPr>
          <w:rFonts w:hAnsi="宋体"/>
          <w:szCs w:val="21"/>
        </w:rPr>
        <w:t>1</w:t>
      </w:r>
      <w:r>
        <w:rPr>
          <w:rFonts w:hint="eastAsia" w:hAnsi="宋体"/>
          <w:szCs w:val="21"/>
        </w:rPr>
        <w:t>）不满足招标文件要求的服务内容、技术要求、安全、质量标准，或者与招标文件中标“▲”的技术需求发生负偏离的；</w:t>
      </w:r>
    </w:p>
    <w:p w14:paraId="0C76CBF7">
      <w:pPr>
        <w:spacing w:line="360" w:lineRule="auto"/>
        <w:ind w:firstLine="420" w:firstLineChars="200"/>
        <w:rPr>
          <w:rFonts w:hAnsi="宋体"/>
          <w:szCs w:val="21"/>
        </w:rPr>
      </w:pPr>
      <w:r>
        <w:rPr>
          <w:rFonts w:hint="eastAsia" w:hAnsi="宋体"/>
          <w:szCs w:val="21"/>
        </w:rPr>
        <w:t>（</w:t>
      </w:r>
      <w:r>
        <w:rPr>
          <w:rFonts w:hAnsi="宋体"/>
          <w:szCs w:val="21"/>
        </w:rPr>
        <w:t>2</w:t>
      </w:r>
      <w:r>
        <w:rPr>
          <w:rFonts w:hint="eastAsia" w:hAnsi="宋体"/>
          <w:szCs w:val="21"/>
        </w:rPr>
        <w:t>）技术需求评审允许负偏离的条款数超过“投标人须知前附表”规定项数的；</w:t>
      </w:r>
    </w:p>
    <w:p w14:paraId="428ADF5B">
      <w:pPr>
        <w:spacing w:line="360" w:lineRule="auto"/>
        <w:ind w:firstLine="420" w:firstLineChars="200"/>
        <w:rPr>
          <w:rFonts w:hAnsi="宋体"/>
          <w:szCs w:val="21"/>
        </w:rPr>
      </w:pPr>
      <w:r>
        <w:rPr>
          <w:rFonts w:hint="eastAsia" w:hAnsi="宋体"/>
          <w:szCs w:val="21"/>
        </w:rPr>
        <w:t>（</w:t>
      </w:r>
      <w:r>
        <w:rPr>
          <w:rFonts w:hAnsi="宋体"/>
          <w:szCs w:val="21"/>
        </w:rPr>
        <w:t>3</w:t>
      </w:r>
      <w:r>
        <w:rPr>
          <w:rFonts w:hint="eastAsia" w:hAnsi="宋体"/>
          <w:szCs w:val="21"/>
        </w:rPr>
        <w:t>）投标文件未提供“投标人须知前附表”第</w:t>
      </w:r>
      <w:r>
        <w:rPr>
          <w:rFonts w:hAnsi="宋体"/>
          <w:szCs w:val="21"/>
        </w:rPr>
        <w:t>13.1</w:t>
      </w:r>
      <w:r>
        <w:rPr>
          <w:rFonts w:hint="eastAsia" w:hAnsi="宋体"/>
          <w:szCs w:val="21"/>
        </w:rPr>
        <w:t>条规定中“必须提供”的文件资料的</w:t>
      </w:r>
      <w:r>
        <w:rPr>
          <w:rFonts w:hAnsi="宋体"/>
          <w:szCs w:val="21"/>
        </w:rPr>
        <w:t>;</w:t>
      </w:r>
    </w:p>
    <w:p w14:paraId="5F5B0422">
      <w:pPr>
        <w:spacing w:line="360" w:lineRule="auto"/>
        <w:ind w:firstLine="420" w:firstLineChars="200"/>
        <w:rPr>
          <w:rFonts w:hAnsi="宋体"/>
          <w:szCs w:val="21"/>
        </w:rPr>
      </w:pPr>
      <w:r>
        <w:rPr>
          <w:rFonts w:hint="eastAsia" w:hAnsi="宋体"/>
          <w:szCs w:val="21"/>
        </w:rPr>
        <w:t>（</w:t>
      </w:r>
      <w:r>
        <w:rPr>
          <w:rFonts w:hAnsi="宋体"/>
          <w:szCs w:val="21"/>
        </w:rPr>
        <w:t>4</w:t>
      </w:r>
      <w:r>
        <w:rPr>
          <w:rFonts w:hint="eastAsia" w:hAnsi="宋体"/>
          <w:szCs w:val="21"/>
        </w:rPr>
        <w:t>）虚假投标，或者出现其他情形而导致被评标委员会认定无效的；</w:t>
      </w:r>
    </w:p>
    <w:p w14:paraId="6D8B479D">
      <w:pPr>
        <w:spacing w:line="360" w:lineRule="auto"/>
        <w:ind w:firstLine="420" w:firstLineChars="200"/>
        <w:rPr>
          <w:rFonts w:hAnsi="宋体"/>
          <w:szCs w:val="21"/>
        </w:rPr>
      </w:pPr>
      <w:r>
        <w:rPr>
          <w:rFonts w:hint="eastAsia" w:hAnsi="宋体"/>
          <w:szCs w:val="21"/>
        </w:rPr>
        <w:t>（</w:t>
      </w:r>
      <w:r>
        <w:rPr>
          <w:rFonts w:hAnsi="宋体"/>
          <w:szCs w:val="21"/>
        </w:rPr>
        <w:t>5</w:t>
      </w:r>
      <w:r>
        <w:rPr>
          <w:rFonts w:hint="eastAsia" w:hAnsi="宋体"/>
          <w:szCs w:val="21"/>
        </w:rPr>
        <w:t>）如招标文件需要提供技术方案的，投标技术方案不明确，招标文件未允许但存在一个或者一个以上备选（替代）投标方案的。</w:t>
      </w:r>
    </w:p>
    <w:p w14:paraId="3E033631">
      <w:pPr>
        <w:spacing w:line="360" w:lineRule="auto"/>
        <w:ind w:firstLine="422" w:firstLineChars="200"/>
        <w:rPr>
          <w:rFonts w:ascii="宋体" w:hAnsi="宋体"/>
          <w:b/>
          <w:szCs w:val="21"/>
        </w:rPr>
      </w:pPr>
      <w:r>
        <w:rPr>
          <w:rFonts w:hint="eastAsia" w:ascii="宋体" w:hAnsi="宋体"/>
          <w:b/>
          <w:szCs w:val="21"/>
        </w:rPr>
        <w:t>3.澄清补正、说明或者补正</w:t>
      </w:r>
    </w:p>
    <w:p w14:paraId="3E60FC8E">
      <w:pPr>
        <w:spacing w:line="360" w:lineRule="auto"/>
        <w:ind w:firstLine="420" w:firstLineChars="200"/>
        <w:rPr>
          <w:rFonts w:ascii="宋体" w:hAnsi="宋体" w:cs="Courier New"/>
          <w:szCs w:val="21"/>
        </w:rPr>
      </w:pPr>
      <w:r>
        <w:rPr>
          <w:rFonts w:hint="eastAsia" w:ascii="宋体" w:hAnsi="宋体" w:cs="Courier New"/>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4F5E9734">
      <w:pPr>
        <w:spacing w:line="360" w:lineRule="auto"/>
        <w:ind w:firstLine="420" w:firstLineChars="200"/>
        <w:rPr>
          <w:rFonts w:ascii="宋体" w:hAnsi="宋体" w:cs="Courier New"/>
          <w:szCs w:val="21"/>
        </w:rPr>
      </w:pPr>
      <w:r>
        <w:rPr>
          <w:rFonts w:hint="eastAsia" w:ascii="宋体" w:hAnsi="宋体" w:cs="Courier New"/>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4B3B687D">
      <w:pPr>
        <w:spacing w:line="360" w:lineRule="auto"/>
        <w:ind w:firstLine="422" w:firstLineChars="200"/>
        <w:rPr>
          <w:rFonts w:ascii="宋体" w:hAnsi="宋体"/>
          <w:b/>
          <w:szCs w:val="21"/>
        </w:rPr>
      </w:pPr>
      <w:r>
        <w:rPr>
          <w:rFonts w:hint="eastAsia" w:ascii="宋体" w:hAnsi="宋体"/>
          <w:b/>
          <w:szCs w:val="21"/>
        </w:rPr>
        <w:t>4.投标文件修正</w:t>
      </w:r>
    </w:p>
    <w:p w14:paraId="31D6BA36">
      <w:pPr>
        <w:spacing w:line="360" w:lineRule="auto"/>
        <w:ind w:firstLine="420" w:firstLineChars="200"/>
        <w:rPr>
          <w:rFonts w:ascii="宋体" w:hAnsi="宋体"/>
          <w:szCs w:val="21"/>
        </w:rPr>
      </w:pPr>
      <w:r>
        <w:rPr>
          <w:rFonts w:hint="eastAsia" w:ascii="宋体" w:hAnsi="宋体"/>
          <w:szCs w:val="21"/>
        </w:rPr>
        <w:t xml:space="preserve">4.1投标文件报价出现前后不一致的，按照下列规定修正： </w:t>
      </w:r>
    </w:p>
    <w:p w14:paraId="18C10299">
      <w:pPr>
        <w:spacing w:line="360" w:lineRule="auto"/>
        <w:ind w:firstLine="420" w:firstLineChars="200"/>
        <w:rPr>
          <w:rFonts w:hAnsi="宋体"/>
        </w:rPr>
      </w:pPr>
      <w:r>
        <w:rPr>
          <w:rFonts w:hint="eastAsia" w:hAnsi="宋体"/>
        </w:rPr>
        <w:t>（</w:t>
      </w:r>
      <w:r>
        <w:rPr>
          <w:rFonts w:hAnsi="宋体"/>
        </w:rPr>
        <w:t>1</w:t>
      </w:r>
      <w:r>
        <w:rPr>
          <w:rFonts w:hint="eastAsia" w:hAnsi="宋体"/>
        </w:rPr>
        <w:t>）报价文件中“开标一览表”内容与投标文件中相应内容不一致的，以“开标一览表”为准；</w:t>
      </w:r>
    </w:p>
    <w:p w14:paraId="14A3AA4A">
      <w:pPr>
        <w:spacing w:line="360" w:lineRule="auto"/>
        <w:ind w:firstLine="420" w:firstLineChars="200"/>
        <w:rPr>
          <w:rFonts w:hAnsi="宋体"/>
        </w:rPr>
      </w:pPr>
      <w:r>
        <w:rPr>
          <w:rFonts w:hint="eastAsia" w:hAnsi="宋体"/>
        </w:rPr>
        <w:t>（</w:t>
      </w:r>
      <w:r>
        <w:rPr>
          <w:rFonts w:hAnsi="宋体"/>
        </w:rPr>
        <w:t>2</w:t>
      </w:r>
      <w:r>
        <w:rPr>
          <w:rFonts w:hint="eastAsia" w:hAnsi="宋体"/>
        </w:rPr>
        <w:t>）大写金额和小写金额不一致的，以大写金额为准；</w:t>
      </w:r>
    </w:p>
    <w:p w14:paraId="6C7289DB">
      <w:pPr>
        <w:spacing w:line="360" w:lineRule="auto"/>
        <w:ind w:firstLine="420" w:firstLineChars="200"/>
        <w:rPr>
          <w:rFonts w:hAnsi="宋体"/>
        </w:rPr>
      </w:pPr>
      <w:r>
        <w:rPr>
          <w:rFonts w:hint="eastAsia" w:hAnsi="宋体"/>
        </w:rPr>
        <w:t>（</w:t>
      </w:r>
      <w:r>
        <w:rPr>
          <w:rFonts w:hAnsi="宋体"/>
        </w:rPr>
        <w:t>3</w:t>
      </w:r>
      <w:r>
        <w:rPr>
          <w:rFonts w:hint="eastAsia" w:hAnsi="宋体"/>
        </w:rPr>
        <w:t>）单价金额小数点或者百分比有明显错位的，以开标一览表的总价为准，并修改单价；</w:t>
      </w:r>
    </w:p>
    <w:p w14:paraId="31380DF6">
      <w:pPr>
        <w:spacing w:line="360" w:lineRule="auto"/>
        <w:ind w:firstLine="420" w:firstLineChars="200"/>
        <w:rPr>
          <w:rFonts w:hAnsi="宋体"/>
        </w:rPr>
      </w:pPr>
      <w:r>
        <w:rPr>
          <w:rFonts w:hint="eastAsia" w:hAnsi="宋体"/>
        </w:rPr>
        <w:t>（</w:t>
      </w:r>
      <w:r>
        <w:rPr>
          <w:rFonts w:hAnsi="宋体"/>
        </w:rPr>
        <w:t>4</w:t>
      </w:r>
      <w:r>
        <w:rPr>
          <w:rFonts w:hint="eastAsia" w:hAnsi="宋体"/>
        </w:rPr>
        <w:t>）总价金额与按单价汇总金额不一致的，以单价金额计算结果为准。</w:t>
      </w:r>
    </w:p>
    <w:p w14:paraId="1F15E00C">
      <w:pPr>
        <w:spacing w:line="360" w:lineRule="auto"/>
        <w:ind w:firstLine="420" w:firstLineChars="200"/>
        <w:rPr>
          <w:rFonts w:hAnsi="宋体"/>
        </w:rPr>
      </w:pPr>
      <w:r>
        <w:rPr>
          <w:rFonts w:hint="eastAsia" w:hAnsi="宋体"/>
        </w:rPr>
        <w:t>同时出现两种以上不一致的，按照以上（</w:t>
      </w:r>
      <w:r>
        <w:rPr>
          <w:rFonts w:hAnsi="宋体"/>
        </w:rPr>
        <w:t>1</w:t>
      </w:r>
      <w:r>
        <w:rPr>
          <w:rFonts w:hint="eastAsia" w:hAnsi="宋体"/>
        </w:rPr>
        <w:t>）</w:t>
      </w:r>
      <w:r>
        <w:rPr>
          <w:rFonts w:hAnsi="宋体"/>
        </w:rPr>
        <w:t>-</w:t>
      </w:r>
      <w:r>
        <w:rPr>
          <w:rFonts w:hint="eastAsia" w:hAnsi="宋体"/>
        </w:rPr>
        <w:t>（</w:t>
      </w:r>
      <w:r>
        <w:rPr>
          <w:rFonts w:hAnsi="宋体"/>
        </w:rPr>
        <w:t>4</w:t>
      </w:r>
      <w:r>
        <w:rPr>
          <w:rFonts w:hint="eastAsia" w:hAnsi="宋体"/>
        </w:rPr>
        <w:t>）规定的顺序修正。修正后的报价经投标人确认后产生约束力，投标人不确认的，其投标无效。</w:t>
      </w:r>
    </w:p>
    <w:p w14:paraId="153B8CA8">
      <w:pPr>
        <w:spacing w:line="360" w:lineRule="auto"/>
        <w:ind w:firstLine="420" w:firstLineChars="200"/>
        <w:rPr>
          <w:rFonts w:ascii="宋体" w:hAnsi="宋体"/>
          <w:szCs w:val="21"/>
        </w:rPr>
      </w:pPr>
      <w:r>
        <w:rPr>
          <w:rFonts w:hint="eastAsia" w:ascii="宋体" w:hAnsi="宋体"/>
          <w:szCs w:val="21"/>
        </w:rPr>
        <w:t>4.2经投标人确认修正后的报价若超过采购预算金额或者最高限价，投标人的投标文件作无效投标处理。</w:t>
      </w:r>
    </w:p>
    <w:p w14:paraId="12CDF469">
      <w:pPr>
        <w:spacing w:line="360" w:lineRule="auto"/>
        <w:ind w:firstLine="420" w:firstLineChars="200"/>
        <w:rPr>
          <w:rFonts w:ascii="宋体" w:hAnsi="宋体"/>
          <w:szCs w:val="21"/>
        </w:rPr>
      </w:pPr>
      <w:r>
        <w:rPr>
          <w:rFonts w:hint="eastAsia" w:ascii="宋体" w:hAnsi="宋体"/>
          <w:szCs w:val="21"/>
        </w:rPr>
        <w:t>4.3经投标人确认修正后的报价作为签订合同的依据，并以此报价计算价格分。</w:t>
      </w:r>
    </w:p>
    <w:p w14:paraId="7F116710">
      <w:pPr>
        <w:spacing w:line="360" w:lineRule="auto"/>
        <w:ind w:firstLine="420" w:firstLineChars="200"/>
        <w:rPr>
          <w:rFonts w:ascii="宋体" w:hAnsi="宋体"/>
          <w:szCs w:val="21"/>
        </w:rPr>
      </w:pPr>
      <w:r>
        <w:rPr>
          <w:rFonts w:hint="eastAsia" w:ascii="宋体" w:hAnsi="宋体"/>
          <w:szCs w:val="21"/>
        </w:rPr>
        <w:t>5.比较与评价</w:t>
      </w:r>
    </w:p>
    <w:p w14:paraId="55367D9D">
      <w:pPr>
        <w:spacing w:line="360" w:lineRule="auto"/>
        <w:ind w:firstLine="420" w:firstLineChars="200"/>
        <w:rPr>
          <w:rFonts w:hAnsi="宋体"/>
        </w:rPr>
      </w:pPr>
      <w:r>
        <w:rPr>
          <w:rFonts w:hAnsi="宋体"/>
        </w:rPr>
        <w:t>5.1</w:t>
      </w:r>
      <w:r>
        <w:rPr>
          <w:rFonts w:hint="eastAsia" w:hAnsi="宋体"/>
        </w:rPr>
        <w:t>评标委员会按照招标文件中规定的评标方法和评标标准，对符合性审查合格的投标文件进行商务和技术评估，综合比较与评价。</w:t>
      </w:r>
    </w:p>
    <w:p w14:paraId="46F062F6">
      <w:pPr>
        <w:spacing w:line="360" w:lineRule="auto"/>
        <w:ind w:firstLine="420" w:firstLineChars="200"/>
        <w:rPr>
          <w:rFonts w:hAnsi="宋体"/>
        </w:rPr>
      </w:pPr>
      <w:r>
        <w:rPr>
          <w:rFonts w:hAnsi="宋体"/>
        </w:rPr>
        <w:t>5.2</w:t>
      </w:r>
      <w:r>
        <w:rPr>
          <w:rFonts w:hint="eastAsia" w:hAnsi="宋体"/>
        </w:rPr>
        <w:t>评标委员会独立对每个投标人的投标文件进行评价，并汇总每个投标人的得分。</w:t>
      </w:r>
    </w:p>
    <w:p w14:paraId="467A1D55">
      <w:pPr>
        <w:widowControl/>
        <w:numPr>
          <w:ilvl w:val="0"/>
          <w:numId w:val="3"/>
        </w:numPr>
        <w:spacing w:after="150" w:line="480" w:lineRule="auto"/>
        <w:ind w:firstLine="420" w:firstLineChars="200"/>
        <w:jc w:val="left"/>
        <w:rPr>
          <w:rFonts w:hAnsi="宋体"/>
        </w:rPr>
      </w:pPr>
      <w:r>
        <w:rPr>
          <w:rFonts w:hint="eastAsia" w:hAnsi="宋体"/>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07F8FE6B">
      <w:pPr>
        <w:widowControl/>
        <w:numPr>
          <w:ilvl w:val="0"/>
          <w:numId w:val="3"/>
        </w:numPr>
        <w:spacing w:after="150" w:line="480" w:lineRule="auto"/>
        <w:ind w:firstLine="420" w:firstLineChars="200"/>
        <w:jc w:val="left"/>
        <w:rPr>
          <w:rFonts w:hAnsi="宋体"/>
        </w:rPr>
      </w:pPr>
      <w:r>
        <w:rPr>
          <w:rFonts w:hint="eastAsia" w:hAnsi="宋体"/>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26A74491">
      <w:pPr>
        <w:spacing w:line="360" w:lineRule="auto"/>
        <w:ind w:firstLine="420" w:firstLineChars="200"/>
        <w:rPr>
          <w:rFonts w:hAnsi="宋体"/>
        </w:rPr>
      </w:pPr>
      <w:r>
        <w:rPr>
          <w:rFonts w:hAnsi="宋体"/>
        </w:rPr>
        <w:t>5.3</w:t>
      </w:r>
      <w:r>
        <w:rPr>
          <w:rFonts w:hint="eastAsia" w:hAnsi="宋体"/>
        </w:rPr>
        <w:t>评标委员会按照招标文件中规定的评标方法和标准计算各投标人的报价得分。在计算过程中，不得去掉最高报价或者最低报价。</w:t>
      </w:r>
    </w:p>
    <w:p w14:paraId="140332D3">
      <w:pPr>
        <w:spacing w:line="360" w:lineRule="auto"/>
        <w:ind w:firstLine="420" w:firstLineChars="200"/>
        <w:rPr>
          <w:rFonts w:hAnsi="宋体"/>
        </w:rPr>
      </w:pPr>
      <w:r>
        <w:rPr>
          <w:rFonts w:hAnsi="宋体"/>
        </w:rPr>
        <w:t>5.4</w:t>
      </w:r>
      <w:r>
        <w:rPr>
          <w:rFonts w:hint="eastAsia" w:hAnsi="宋体"/>
        </w:rPr>
        <w:t>各投标人的得分为所有评委的有效评分的算术平均数。</w:t>
      </w:r>
    </w:p>
    <w:p w14:paraId="2FECF19B">
      <w:pPr>
        <w:spacing w:line="360" w:lineRule="auto"/>
        <w:ind w:firstLine="420" w:firstLineChars="200"/>
        <w:rPr>
          <w:rFonts w:hAnsi="宋体"/>
        </w:rPr>
      </w:pPr>
      <w:r>
        <w:rPr>
          <w:rFonts w:hAnsi="宋体"/>
        </w:rPr>
        <w:t>5.5</w:t>
      </w:r>
      <w:r>
        <w:rPr>
          <w:rFonts w:hint="eastAsia" w:hAnsi="宋体"/>
        </w:rPr>
        <w:t>评标委员会按照招标文件中的规定推荐中标候选人。</w:t>
      </w:r>
    </w:p>
    <w:p w14:paraId="1295B9C5">
      <w:pPr>
        <w:spacing w:line="360" w:lineRule="auto"/>
        <w:ind w:firstLine="420" w:firstLineChars="200"/>
        <w:rPr>
          <w:rFonts w:hAnsi="宋体"/>
        </w:rPr>
      </w:pPr>
      <w:r>
        <w:rPr>
          <w:rFonts w:hAnsi="宋体"/>
        </w:rPr>
        <w:t>5.6</w:t>
      </w:r>
      <w:r>
        <w:rPr>
          <w:rFonts w:hint="eastAsia" w:hAnsi="宋体"/>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541B285F">
      <w:pPr>
        <w:spacing w:line="360" w:lineRule="auto"/>
        <w:ind w:firstLine="422" w:firstLineChars="200"/>
        <w:rPr>
          <w:rFonts w:ascii="宋体" w:hAnsi="宋体"/>
          <w:b/>
          <w:szCs w:val="21"/>
        </w:rPr>
      </w:pPr>
      <w:r>
        <w:rPr>
          <w:rFonts w:hint="eastAsia" w:ascii="宋体" w:hAnsi="宋体"/>
          <w:b/>
          <w:szCs w:val="21"/>
        </w:rPr>
        <w:t>6.评审复核</w:t>
      </w:r>
    </w:p>
    <w:p w14:paraId="3F07BFD2">
      <w:pPr>
        <w:spacing w:line="360" w:lineRule="auto"/>
        <w:ind w:firstLine="420" w:firstLineChars="200"/>
        <w:rPr>
          <w:rFonts w:ascii="宋体" w:hAnsi="宋体"/>
          <w:szCs w:val="21"/>
        </w:rPr>
      </w:pPr>
      <w:r>
        <w:rPr>
          <w:rFonts w:hint="eastAsia" w:ascii="宋体" w:hAnsi="宋体"/>
          <w:szCs w:val="21"/>
        </w:rPr>
        <w:t>6.1评标报告签署前，评标委员会要对评审结果进行复核，复核意见要体现在评标报告中。</w:t>
      </w:r>
    </w:p>
    <w:p w14:paraId="355B21C5">
      <w:pPr>
        <w:widowControl/>
        <w:spacing w:line="560" w:lineRule="exact"/>
        <w:ind w:firstLine="420" w:firstLineChars="200"/>
        <w:jc w:val="left"/>
        <w:textAlignment w:val="baseline"/>
        <w:rPr>
          <w:rFonts w:hAnsi="宋体"/>
        </w:rPr>
      </w:pPr>
      <w:r>
        <w:rPr>
          <w:rFonts w:hAnsi="宋体"/>
        </w:rPr>
        <w:t>6.2</w:t>
      </w:r>
      <w:r>
        <w:rPr>
          <w:rFonts w:hint="eastAsia" w:hAnsi="宋体"/>
        </w:rPr>
        <w:t>评标结果汇总完成后，除下列情形外，任何人不得修改评标结果：</w:t>
      </w:r>
    </w:p>
    <w:p w14:paraId="45617506">
      <w:pPr>
        <w:widowControl/>
        <w:spacing w:line="560" w:lineRule="exact"/>
        <w:jc w:val="left"/>
        <w:textAlignment w:val="baseline"/>
        <w:rPr>
          <w:rFonts w:hAnsi="宋体"/>
        </w:rPr>
      </w:pPr>
      <w:r>
        <w:rPr>
          <w:rFonts w:hint="eastAsia" w:hAnsi="宋体"/>
        </w:rPr>
        <w:t>　　（一）分值汇总计算错误的；</w:t>
      </w:r>
    </w:p>
    <w:p w14:paraId="62F40ECD">
      <w:pPr>
        <w:widowControl/>
        <w:spacing w:line="560" w:lineRule="exact"/>
        <w:jc w:val="left"/>
        <w:textAlignment w:val="baseline"/>
        <w:rPr>
          <w:rFonts w:hAnsi="宋体"/>
        </w:rPr>
      </w:pPr>
      <w:r>
        <w:rPr>
          <w:rFonts w:hint="eastAsia" w:hAnsi="宋体"/>
        </w:rPr>
        <w:t>　　（二）分项评分超出评分标准范围的；</w:t>
      </w:r>
    </w:p>
    <w:p w14:paraId="085BA96E">
      <w:pPr>
        <w:widowControl/>
        <w:spacing w:line="560" w:lineRule="exact"/>
        <w:jc w:val="left"/>
        <w:textAlignment w:val="baseline"/>
        <w:rPr>
          <w:rFonts w:hAnsi="宋体"/>
        </w:rPr>
      </w:pPr>
      <w:r>
        <w:rPr>
          <w:rFonts w:hint="eastAsia" w:hAnsi="宋体"/>
        </w:rPr>
        <w:t>　　（三）评标委员会成员对客观评审因素评分不一致的；</w:t>
      </w:r>
    </w:p>
    <w:p w14:paraId="48260C91">
      <w:pPr>
        <w:widowControl/>
        <w:spacing w:line="560" w:lineRule="exact"/>
        <w:jc w:val="left"/>
        <w:textAlignment w:val="baseline"/>
        <w:rPr>
          <w:rFonts w:hAnsi="宋体"/>
        </w:rPr>
      </w:pPr>
      <w:r>
        <w:rPr>
          <w:rFonts w:hint="eastAsia" w:hAnsi="宋体"/>
        </w:rPr>
        <w:t>　　（四）经评标委员会认定评分畸高、畸低的。</w:t>
      </w:r>
    </w:p>
    <w:p w14:paraId="6AC19242">
      <w:pPr>
        <w:spacing w:line="360" w:lineRule="auto"/>
        <w:ind w:firstLine="420" w:firstLineChars="200"/>
        <w:rPr>
          <w:rFonts w:hAnsi="宋体"/>
        </w:rPr>
      </w:pPr>
      <w:r>
        <w:rPr>
          <w:rFonts w:hint="eastAsia" w:hAnsi="宋体"/>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50250456">
      <w:pPr>
        <w:pStyle w:val="4"/>
        <w:jc w:val="center"/>
        <w:rPr>
          <w:b w:val="0"/>
          <w:sz w:val="30"/>
          <w:szCs w:val="30"/>
        </w:rPr>
      </w:pPr>
      <w:bookmarkStart w:id="127" w:name="_Toc187761566"/>
      <w:r>
        <w:rPr>
          <w:rFonts w:hint="eastAsia"/>
          <w:b w:val="0"/>
          <w:sz w:val="30"/>
          <w:szCs w:val="30"/>
        </w:rPr>
        <w:t>第三节评分标准</w:t>
      </w:r>
      <w:bookmarkEnd w:id="127"/>
    </w:p>
    <w:p w14:paraId="45602B42">
      <w:pPr>
        <w:pStyle w:val="18"/>
        <w:ind w:firstLine="602" w:firstLineChars="200"/>
        <w:jc w:val="center"/>
        <w:rPr>
          <w:rFonts w:ascii="Times New Roman" w:hAnsi="Times New Roman"/>
          <w:b/>
          <w:sz w:val="30"/>
          <w:szCs w:val="30"/>
        </w:rPr>
      </w:pPr>
      <w:r>
        <w:rPr>
          <w:rFonts w:hint="eastAsia" w:ascii="Times New Roman" w:hAnsi="Times New Roman"/>
          <w:b/>
          <w:sz w:val="30"/>
          <w:szCs w:val="30"/>
        </w:rPr>
        <w:t>综合评分法</w:t>
      </w:r>
    </w:p>
    <w:p w14:paraId="20099B2B">
      <w:pPr>
        <w:pStyle w:val="18"/>
        <w:spacing w:line="360" w:lineRule="auto"/>
        <w:ind w:firstLine="420"/>
        <w:rPr>
          <w:rFonts w:hAnsi="宋体"/>
          <w:bCs/>
        </w:rPr>
      </w:pPr>
      <w:bookmarkStart w:id="128" w:name="PO_3000001866_PM051"/>
      <w:r>
        <w:rPr>
          <w:rFonts w:hint="eastAsia" w:hAnsi="宋体"/>
          <w:bCs/>
        </w:rPr>
        <w:t>注：</w:t>
      </w:r>
    </w:p>
    <w:p w14:paraId="2CAA3D47">
      <w:pPr>
        <w:pStyle w:val="18"/>
        <w:spacing w:line="360" w:lineRule="auto"/>
        <w:ind w:firstLine="420"/>
        <w:rPr>
          <w:rFonts w:hAnsi="宋体"/>
          <w:bCs/>
        </w:rPr>
      </w:pPr>
      <w:r>
        <w:rPr>
          <w:rFonts w:hint="eastAsia" w:hAnsi="宋体"/>
          <w:bCs/>
        </w:rPr>
        <w:t>1、计分方法按四舍五入取至百分位。</w:t>
      </w:r>
    </w:p>
    <w:p w14:paraId="105F4E29">
      <w:pPr>
        <w:pStyle w:val="18"/>
        <w:spacing w:line="360" w:lineRule="auto"/>
        <w:ind w:firstLine="420"/>
        <w:rPr>
          <w:rFonts w:hAnsi="宋体"/>
          <w:bCs/>
        </w:rPr>
      </w:pPr>
      <w:r>
        <w:rPr>
          <w:rFonts w:hint="eastAsia" w:hAnsi="宋体"/>
          <w:bCs/>
        </w:rPr>
        <w:t>2、商务技术评审因素为客观评分项的，应在评分项目或评分标准中予以标注为“客观分”。对投标人的客观评分项目，各评标专家评分应当一致。</w:t>
      </w:r>
    </w:p>
    <w:p w14:paraId="6785C8F9">
      <w:pPr>
        <w:pStyle w:val="18"/>
        <w:spacing w:line="360" w:lineRule="auto"/>
        <w:ind w:firstLine="420"/>
        <w:rPr>
          <w:rFonts w:hAnsi="宋体"/>
          <w:bCs/>
        </w:rPr>
      </w:pPr>
    </w:p>
    <w:p w14:paraId="6904A3EC">
      <w:pPr>
        <w:pStyle w:val="18"/>
        <w:spacing w:line="360" w:lineRule="auto"/>
        <w:ind w:firstLine="420"/>
        <w:rPr>
          <w:rFonts w:hAnsi="宋体"/>
          <w:bCs/>
        </w:rPr>
      </w:pPr>
    </w:p>
    <w:p w14:paraId="534082E0">
      <w:pPr>
        <w:pStyle w:val="18"/>
        <w:spacing w:line="360" w:lineRule="auto"/>
        <w:ind w:firstLine="420"/>
        <w:rPr>
          <w:rFonts w:hAnsi="宋体"/>
          <w:bCs/>
        </w:rPr>
      </w:pPr>
    </w:p>
    <w:p w14:paraId="0AF2C6D4">
      <w:pPr>
        <w:pStyle w:val="18"/>
        <w:spacing w:line="360" w:lineRule="auto"/>
        <w:ind w:firstLine="420"/>
        <w:rPr>
          <w:rFonts w:hAnsi="宋体"/>
          <w:bCs/>
        </w:rPr>
      </w:pPr>
    </w:p>
    <w:p w14:paraId="5F767182">
      <w:pPr>
        <w:pStyle w:val="18"/>
        <w:spacing w:line="360" w:lineRule="auto"/>
        <w:ind w:firstLine="420"/>
        <w:rPr>
          <w:rFonts w:hAnsi="宋体"/>
          <w:bCs/>
        </w:rPr>
      </w:pP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1460"/>
        <w:gridCol w:w="1315"/>
        <w:gridCol w:w="1019"/>
        <w:gridCol w:w="5501"/>
      </w:tblGrid>
      <w:tr w14:paraId="4E11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025" w:type="pct"/>
            <w:gridSpan w:val="2"/>
            <w:tcBorders>
              <w:top w:val="single" w:color="auto" w:sz="4" w:space="0"/>
              <w:left w:val="single" w:color="auto" w:sz="4" w:space="0"/>
              <w:bottom w:val="single" w:color="auto" w:sz="4" w:space="0"/>
              <w:right w:val="single" w:color="auto" w:sz="4" w:space="0"/>
            </w:tcBorders>
            <w:vAlign w:val="center"/>
          </w:tcPr>
          <w:p w14:paraId="71829E18">
            <w:pPr>
              <w:adjustRightInd w:val="0"/>
              <w:spacing w:line="360" w:lineRule="auto"/>
              <w:jc w:val="center"/>
              <w:textAlignment w:val="baseline"/>
              <w:rPr>
                <w:rFonts w:ascii="宋体" w:hAnsi="宋体" w:cs="宋体"/>
                <w:b/>
                <w:szCs w:val="21"/>
              </w:rPr>
            </w:pPr>
            <w:r>
              <w:rPr>
                <w:rFonts w:hint="eastAsia" w:ascii="宋体" w:hAnsi="宋体" w:cs="宋体"/>
                <w:b/>
                <w:szCs w:val="21"/>
              </w:rPr>
              <w:t>序号</w:t>
            </w:r>
          </w:p>
        </w:tc>
        <w:tc>
          <w:tcPr>
            <w:tcW w:w="667" w:type="pct"/>
            <w:tcBorders>
              <w:top w:val="single" w:color="auto" w:sz="4" w:space="0"/>
              <w:left w:val="single" w:color="auto" w:sz="4" w:space="0"/>
              <w:bottom w:val="single" w:color="auto" w:sz="4" w:space="0"/>
              <w:right w:val="single" w:color="auto" w:sz="4" w:space="0"/>
            </w:tcBorders>
            <w:vAlign w:val="center"/>
          </w:tcPr>
          <w:p w14:paraId="6DD14D35">
            <w:pPr>
              <w:adjustRightInd w:val="0"/>
              <w:spacing w:line="360" w:lineRule="auto"/>
              <w:jc w:val="center"/>
              <w:textAlignment w:val="baseline"/>
              <w:rPr>
                <w:rFonts w:ascii="宋体" w:hAnsi="宋体" w:cs="宋体"/>
                <w:b/>
                <w:szCs w:val="21"/>
              </w:rPr>
            </w:pPr>
            <w:r>
              <w:rPr>
                <w:rFonts w:hint="eastAsia" w:ascii="宋体" w:hAnsi="宋体" w:cs="宋体"/>
                <w:b/>
                <w:szCs w:val="21"/>
              </w:rPr>
              <w:t>评审因素</w:t>
            </w:r>
          </w:p>
        </w:tc>
        <w:tc>
          <w:tcPr>
            <w:tcW w:w="3307" w:type="pct"/>
            <w:gridSpan w:val="2"/>
            <w:tcBorders>
              <w:top w:val="single" w:color="auto" w:sz="4" w:space="0"/>
              <w:left w:val="single" w:color="auto" w:sz="4" w:space="0"/>
              <w:bottom w:val="single" w:color="auto" w:sz="4" w:space="0"/>
              <w:right w:val="single" w:color="auto" w:sz="4" w:space="0"/>
            </w:tcBorders>
            <w:vAlign w:val="center"/>
          </w:tcPr>
          <w:p w14:paraId="4E54F359">
            <w:pPr>
              <w:adjustRightInd w:val="0"/>
              <w:spacing w:line="360" w:lineRule="auto"/>
              <w:jc w:val="center"/>
              <w:textAlignment w:val="baseline"/>
              <w:rPr>
                <w:rFonts w:ascii="宋体" w:hAnsi="宋体" w:cs="宋体"/>
                <w:b/>
                <w:szCs w:val="21"/>
              </w:rPr>
            </w:pPr>
            <w:r>
              <w:rPr>
                <w:rFonts w:hint="eastAsia" w:ascii="宋体" w:hAnsi="宋体" w:cs="宋体"/>
                <w:b/>
                <w:szCs w:val="21"/>
              </w:rPr>
              <w:t>评标标准</w:t>
            </w:r>
          </w:p>
        </w:tc>
      </w:tr>
      <w:tr w14:paraId="006AA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tcBorders>
              <w:top w:val="single" w:color="auto" w:sz="4" w:space="0"/>
              <w:left w:val="single" w:color="auto" w:sz="4" w:space="0"/>
              <w:bottom w:val="single" w:color="auto" w:sz="4" w:space="0"/>
              <w:right w:val="single" w:color="auto" w:sz="4" w:space="0"/>
            </w:tcBorders>
            <w:vAlign w:val="center"/>
          </w:tcPr>
          <w:p w14:paraId="4209A7CA">
            <w:pPr>
              <w:adjustRightInd w:val="0"/>
              <w:spacing w:line="360" w:lineRule="auto"/>
              <w:jc w:val="center"/>
              <w:textAlignment w:val="baseline"/>
              <w:rPr>
                <w:rFonts w:ascii="宋体" w:hAnsi="宋体" w:cs="宋体"/>
                <w:szCs w:val="21"/>
              </w:rPr>
            </w:pPr>
            <w:r>
              <w:rPr>
                <w:rFonts w:hint="eastAsia" w:ascii="宋体" w:hAnsi="宋体" w:cs="宋体"/>
                <w:szCs w:val="21"/>
              </w:rPr>
              <w:t>1</w:t>
            </w:r>
          </w:p>
        </w:tc>
        <w:tc>
          <w:tcPr>
            <w:tcW w:w="740" w:type="pct"/>
            <w:tcBorders>
              <w:top w:val="single" w:color="auto" w:sz="4" w:space="0"/>
              <w:left w:val="single" w:color="auto" w:sz="4" w:space="0"/>
              <w:bottom w:val="single" w:color="auto" w:sz="4" w:space="0"/>
              <w:right w:val="single" w:color="auto" w:sz="4" w:space="0"/>
            </w:tcBorders>
            <w:vAlign w:val="center"/>
          </w:tcPr>
          <w:p w14:paraId="6CA254C6">
            <w:pPr>
              <w:adjustRightInd w:val="0"/>
              <w:spacing w:line="360" w:lineRule="auto"/>
              <w:jc w:val="center"/>
              <w:textAlignment w:val="baseline"/>
              <w:rPr>
                <w:rFonts w:ascii="宋体" w:hAnsi="宋体" w:cs="宋体"/>
                <w:b/>
                <w:bCs/>
                <w:szCs w:val="21"/>
              </w:rPr>
            </w:pPr>
            <w:r>
              <w:rPr>
                <w:rFonts w:hint="eastAsia" w:ascii="宋体" w:hAnsi="宋体" w:cs="宋体"/>
                <w:b/>
                <w:bCs/>
                <w:szCs w:val="21"/>
              </w:rPr>
              <w:t>价格分</w:t>
            </w:r>
          </w:p>
          <w:p w14:paraId="54A1E32E">
            <w:pPr>
              <w:adjustRightInd w:val="0"/>
              <w:spacing w:line="360" w:lineRule="auto"/>
              <w:jc w:val="center"/>
              <w:textAlignment w:val="baseline"/>
              <w:rPr>
                <w:rFonts w:ascii="宋体" w:hAnsi="宋体" w:cs="宋体"/>
                <w:b/>
                <w:bCs/>
                <w:szCs w:val="21"/>
              </w:rPr>
            </w:pPr>
            <w:r>
              <w:rPr>
                <w:rFonts w:hint="eastAsia" w:ascii="宋体" w:hAnsi="宋体" w:cs="宋体"/>
                <w:b/>
                <w:bCs/>
                <w:szCs w:val="21"/>
              </w:rPr>
              <w:t>（满分</w:t>
            </w:r>
            <w:r>
              <w:rPr>
                <w:rFonts w:hint="eastAsia" w:ascii="宋体" w:hAnsi="宋体" w:cs="宋体"/>
                <w:b/>
                <w:bCs/>
                <w:szCs w:val="21"/>
                <w:u w:val="single"/>
              </w:rPr>
              <w:t>10</w:t>
            </w:r>
            <w:r>
              <w:rPr>
                <w:rFonts w:hint="eastAsia" w:ascii="宋体" w:hAnsi="宋体" w:cs="宋体"/>
                <w:b/>
                <w:bCs/>
                <w:szCs w:val="21"/>
              </w:rPr>
              <w:t>分）</w:t>
            </w:r>
          </w:p>
        </w:tc>
        <w:tc>
          <w:tcPr>
            <w:tcW w:w="667" w:type="pct"/>
            <w:tcBorders>
              <w:top w:val="single" w:color="auto" w:sz="4" w:space="0"/>
              <w:left w:val="single" w:color="auto" w:sz="4" w:space="0"/>
              <w:bottom w:val="single" w:color="auto" w:sz="4" w:space="0"/>
              <w:right w:val="single" w:color="auto" w:sz="4" w:space="0"/>
            </w:tcBorders>
            <w:vAlign w:val="center"/>
          </w:tcPr>
          <w:p w14:paraId="46F458E8">
            <w:pPr>
              <w:adjustRightInd w:val="0"/>
              <w:spacing w:line="360" w:lineRule="auto"/>
              <w:jc w:val="center"/>
              <w:textAlignment w:val="baseline"/>
              <w:rPr>
                <w:rFonts w:ascii="宋体" w:hAnsi="宋体" w:cs="宋体"/>
                <w:bCs/>
                <w:szCs w:val="21"/>
              </w:rPr>
            </w:pPr>
            <w:r>
              <w:rPr>
                <w:rFonts w:hint="eastAsia" w:ascii="宋体" w:hAnsi="宋体" w:cs="宋体"/>
                <w:bCs/>
                <w:szCs w:val="21"/>
              </w:rPr>
              <w:t>投标报价（满分</w:t>
            </w:r>
            <w:r>
              <w:rPr>
                <w:rFonts w:hint="eastAsia" w:ascii="宋体" w:hAnsi="宋体" w:cs="宋体"/>
                <w:bCs/>
                <w:szCs w:val="21"/>
                <w:u w:val="single"/>
              </w:rPr>
              <w:t>10</w:t>
            </w:r>
            <w:r>
              <w:rPr>
                <w:rFonts w:hint="eastAsia" w:ascii="宋体" w:hAnsi="宋体" w:cs="宋体"/>
                <w:bCs/>
                <w:szCs w:val="21"/>
              </w:rPr>
              <w:t>分）</w:t>
            </w:r>
          </w:p>
        </w:tc>
        <w:tc>
          <w:tcPr>
            <w:tcW w:w="3307" w:type="pct"/>
            <w:gridSpan w:val="2"/>
            <w:tcBorders>
              <w:top w:val="single" w:color="auto" w:sz="4" w:space="0"/>
              <w:left w:val="single" w:color="auto" w:sz="4" w:space="0"/>
              <w:bottom w:val="single" w:color="auto" w:sz="4" w:space="0"/>
              <w:right w:val="single" w:color="auto" w:sz="4" w:space="0"/>
            </w:tcBorders>
            <w:vAlign w:val="center"/>
          </w:tcPr>
          <w:p w14:paraId="69A2CD0F">
            <w:pPr>
              <w:spacing w:line="360" w:lineRule="auto"/>
              <w:ind w:firstLine="233" w:firstLineChars="111"/>
              <w:rPr>
                <w:rFonts w:ascii="宋体" w:hAnsi="宋体" w:cs="宋体"/>
                <w:bCs/>
                <w:szCs w:val="21"/>
              </w:rPr>
            </w:pPr>
            <w:r>
              <w:rPr>
                <w:rFonts w:hint="eastAsia" w:ascii="宋体" w:hAnsi="宋体" w:cs="宋体"/>
                <w:bCs/>
                <w:szCs w:val="21"/>
              </w:rPr>
              <w:t>（1）根据《政府采购促进中小企业发展管理办法》（财库〔2020〕46号）及《广西壮族自治区财政厅关于持续优化政府采购营商环境推动高质量发展的通知》（桂财采〔2024〕55号）的规定，投标人在其投标文件中提供《中小企业声明函》，且服务全部由小微企业承接对其投标报价给予20%扣除，扣除后的价格为评标报价，即评标报价=投标报价×（1-20%）。接受大中型企业与小微企业组成联合体或者允许大中型企业向一家或者多家小微企业分包的采购项目，联合协议或者分包意向协议约定小微企业的合同份额占到合同总金额40%以上的，采购人、采购代理机构应当对联合体或者大中型企业的报价给予6%的扣除，用扣除后的价格参加评审，扣除后的价格为评标报价，即评标报价=投标报价×（1-6%）。除上述情况外，评标报价=投标报价。</w:t>
            </w:r>
          </w:p>
          <w:p w14:paraId="07BC13C9">
            <w:pPr>
              <w:spacing w:line="360" w:lineRule="auto"/>
              <w:ind w:firstLine="233" w:firstLineChars="111"/>
              <w:rPr>
                <w:rFonts w:ascii="宋体" w:hAnsi="宋体" w:cs="宋体"/>
                <w:bCs/>
                <w:szCs w:val="21"/>
              </w:rPr>
            </w:pPr>
            <w:r>
              <w:rPr>
                <w:rFonts w:hint="eastAsia" w:ascii="宋体" w:hAnsi="宋体" w:cs="宋体"/>
                <w:bCs/>
                <w:szCs w:val="21"/>
              </w:rPr>
              <w:t>（2）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158FCD30">
            <w:pPr>
              <w:spacing w:line="360" w:lineRule="auto"/>
              <w:ind w:firstLine="233" w:firstLineChars="111"/>
              <w:rPr>
                <w:rFonts w:ascii="宋体" w:hAnsi="宋体" w:cs="宋体"/>
                <w:bCs/>
                <w:szCs w:val="21"/>
              </w:rPr>
            </w:pPr>
            <w:r>
              <w:rPr>
                <w:rFonts w:hint="eastAsia" w:ascii="宋体" w:hAnsi="宋体" w:cs="宋体"/>
                <w:bCs/>
                <w:szCs w:val="21"/>
              </w:rPr>
              <w:t>（3）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6F2E52BA">
            <w:pPr>
              <w:spacing w:line="360" w:lineRule="auto"/>
              <w:ind w:firstLine="233" w:firstLineChars="111"/>
              <w:rPr>
                <w:rFonts w:ascii="宋体" w:hAnsi="宋体" w:cs="宋体"/>
                <w:bCs/>
                <w:szCs w:val="21"/>
              </w:rPr>
            </w:pPr>
            <w:r>
              <w:rPr>
                <w:rFonts w:hint="eastAsia" w:ascii="宋体" w:hAnsi="宋体" w:cs="宋体"/>
                <w:bCs/>
                <w:szCs w:val="21"/>
              </w:rPr>
              <w:t>（4）除上述情况外，评标价＝投标报价。</w:t>
            </w:r>
          </w:p>
          <w:p w14:paraId="1C8A68CA">
            <w:pPr>
              <w:spacing w:line="360" w:lineRule="auto"/>
              <w:ind w:firstLine="233" w:firstLineChars="111"/>
              <w:rPr>
                <w:rFonts w:ascii="宋体" w:hAnsi="宋体" w:cs="宋体"/>
                <w:bCs/>
                <w:szCs w:val="21"/>
              </w:rPr>
            </w:pPr>
            <w:r>
              <w:rPr>
                <w:rFonts w:hint="eastAsia" w:ascii="宋体" w:hAnsi="宋体" w:cs="宋体"/>
                <w:bCs/>
                <w:szCs w:val="21"/>
              </w:rPr>
              <w:t>（5）价格分计算公式：</w:t>
            </w:r>
          </w:p>
          <w:p w14:paraId="39448BB3">
            <w:pPr>
              <w:spacing w:line="360" w:lineRule="auto"/>
              <w:ind w:firstLine="233" w:firstLineChars="111"/>
              <w:rPr>
                <w:rFonts w:ascii="宋体" w:hAnsi="宋体" w:cs="宋体"/>
                <w:bCs/>
                <w:szCs w:val="21"/>
              </w:rPr>
            </w:pPr>
            <w:r>
              <w:rPr>
                <w:rFonts w:hint="eastAsia" w:ascii="宋体" w:hAnsi="宋体" w:cs="宋体"/>
                <w:bCs/>
                <w:szCs w:val="21"/>
              </w:rPr>
              <w:t>某投标人价格分 ＝ （投标人最低评标价金额/某投标人评标价金额）*10分</w:t>
            </w:r>
          </w:p>
        </w:tc>
      </w:tr>
      <w:tr w14:paraId="0B56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vMerge w:val="restart"/>
            <w:tcBorders>
              <w:top w:val="single" w:color="auto" w:sz="4" w:space="0"/>
              <w:left w:val="single" w:color="auto" w:sz="4" w:space="0"/>
              <w:right w:val="single" w:color="auto" w:sz="4" w:space="0"/>
            </w:tcBorders>
            <w:vAlign w:val="center"/>
          </w:tcPr>
          <w:p w14:paraId="4D06C22F">
            <w:pPr>
              <w:adjustRightInd w:val="0"/>
              <w:snapToGrid w:val="0"/>
              <w:spacing w:line="360" w:lineRule="auto"/>
              <w:jc w:val="center"/>
              <w:textAlignment w:val="baseline"/>
              <w:rPr>
                <w:rFonts w:ascii="宋体" w:hAnsi="宋体" w:cs="宋体"/>
                <w:szCs w:val="21"/>
              </w:rPr>
            </w:pPr>
            <w:r>
              <w:rPr>
                <w:rFonts w:hint="eastAsia" w:ascii="宋体" w:hAnsi="宋体" w:cs="宋体"/>
                <w:szCs w:val="21"/>
              </w:rPr>
              <w:t>2</w:t>
            </w:r>
          </w:p>
        </w:tc>
        <w:tc>
          <w:tcPr>
            <w:tcW w:w="740" w:type="pct"/>
            <w:vMerge w:val="restart"/>
            <w:tcBorders>
              <w:top w:val="single" w:color="auto" w:sz="4" w:space="0"/>
              <w:left w:val="single" w:color="auto" w:sz="4" w:space="0"/>
              <w:right w:val="single" w:color="auto" w:sz="4" w:space="0"/>
            </w:tcBorders>
            <w:vAlign w:val="center"/>
          </w:tcPr>
          <w:p w14:paraId="0D8BCC1B">
            <w:pPr>
              <w:adjustRightInd w:val="0"/>
              <w:snapToGrid w:val="0"/>
              <w:spacing w:line="360" w:lineRule="auto"/>
              <w:ind w:left="-105" w:leftChars="-50" w:right="-105" w:rightChars="-50"/>
              <w:jc w:val="center"/>
              <w:textAlignment w:val="baseline"/>
              <w:rPr>
                <w:rFonts w:ascii="宋体" w:hAnsi="宋体" w:cs="宋体"/>
                <w:b/>
                <w:bCs/>
                <w:szCs w:val="21"/>
              </w:rPr>
            </w:pPr>
            <w:r>
              <w:rPr>
                <w:rFonts w:hint="eastAsia" w:ascii="宋体" w:hAnsi="宋体" w:cs="宋体"/>
                <w:b/>
                <w:bCs/>
                <w:szCs w:val="21"/>
              </w:rPr>
              <w:t>技术分</w:t>
            </w:r>
          </w:p>
          <w:p w14:paraId="42D08B6B">
            <w:pPr>
              <w:adjustRightInd w:val="0"/>
              <w:snapToGrid w:val="0"/>
              <w:spacing w:line="360" w:lineRule="auto"/>
              <w:ind w:left="-105" w:leftChars="-50" w:right="-105" w:rightChars="-50"/>
              <w:jc w:val="center"/>
              <w:textAlignment w:val="baseline"/>
              <w:rPr>
                <w:rFonts w:ascii="宋体" w:hAnsi="宋体" w:cs="宋体"/>
                <w:b/>
                <w:spacing w:val="-18"/>
                <w:szCs w:val="21"/>
              </w:rPr>
            </w:pPr>
            <w:r>
              <w:rPr>
                <w:rFonts w:hint="eastAsia" w:ascii="宋体" w:hAnsi="宋体" w:cs="宋体"/>
                <w:b/>
                <w:bCs/>
                <w:szCs w:val="21"/>
              </w:rPr>
              <w:t>（满分66分）</w:t>
            </w:r>
          </w:p>
        </w:tc>
        <w:tc>
          <w:tcPr>
            <w:tcW w:w="667" w:type="pct"/>
            <w:vMerge w:val="restart"/>
            <w:tcBorders>
              <w:top w:val="single" w:color="auto" w:sz="4" w:space="0"/>
              <w:left w:val="single" w:color="auto" w:sz="4" w:space="0"/>
              <w:right w:val="single" w:color="auto" w:sz="4" w:space="0"/>
            </w:tcBorders>
            <w:vAlign w:val="center"/>
          </w:tcPr>
          <w:p w14:paraId="768CA78E">
            <w:pPr>
              <w:spacing w:line="360" w:lineRule="auto"/>
              <w:jc w:val="center"/>
              <w:rPr>
                <w:rFonts w:ascii="宋体" w:hAnsi="宋体" w:cs="宋体"/>
                <w:bCs/>
                <w:szCs w:val="21"/>
              </w:rPr>
            </w:pPr>
            <w:r>
              <w:rPr>
                <w:rFonts w:hint="eastAsia" w:ascii="宋体" w:hAnsi="宋体" w:cs="宋体"/>
                <w:bCs/>
                <w:szCs w:val="21"/>
              </w:rPr>
              <w:t>项目检测总体工作方案</w:t>
            </w:r>
          </w:p>
          <w:p w14:paraId="5DF71F5B">
            <w:pPr>
              <w:spacing w:line="360" w:lineRule="auto"/>
              <w:jc w:val="center"/>
              <w:rPr>
                <w:rFonts w:ascii="宋体" w:hAnsi="宋体" w:cs="宋体"/>
                <w:bCs/>
                <w:szCs w:val="21"/>
              </w:rPr>
            </w:pPr>
            <w:r>
              <w:rPr>
                <w:rFonts w:hint="eastAsia" w:ascii="宋体" w:hAnsi="宋体" w:cs="宋体"/>
                <w:bCs/>
                <w:szCs w:val="21"/>
              </w:rPr>
              <w:t>（满分20分）</w:t>
            </w:r>
          </w:p>
        </w:tc>
        <w:tc>
          <w:tcPr>
            <w:tcW w:w="517" w:type="pct"/>
            <w:tcBorders>
              <w:top w:val="single" w:color="auto" w:sz="4" w:space="0"/>
              <w:left w:val="single" w:color="auto" w:sz="4" w:space="0"/>
              <w:bottom w:val="single" w:color="auto" w:sz="4" w:space="0"/>
              <w:right w:val="single" w:color="auto" w:sz="4" w:space="0"/>
            </w:tcBorders>
          </w:tcPr>
          <w:p w14:paraId="4F11457A">
            <w:pPr>
              <w:spacing w:line="360" w:lineRule="auto"/>
              <w:rPr>
                <w:rFonts w:ascii="宋体" w:hAnsi="宋体" w:cs="宋体"/>
                <w:kern w:val="0"/>
                <w:szCs w:val="21"/>
              </w:rPr>
            </w:pPr>
            <w:r>
              <w:rPr>
                <w:rFonts w:ascii="宋体" w:hAnsi="宋体" w:cs="宋体"/>
                <w:kern w:val="0"/>
                <w:szCs w:val="21"/>
              </w:rPr>
              <w:t>检测措施（满分10分）</w:t>
            </w:r>
          </w:p>
        </w:tc>
        <w:tc>
          <w:tcPr>
            <w:tcW w:w="2790" w:type="pct"/>
            <w:tcBorders>
              <w:top w:val="single" w:color="auto" w:sz="4" w:space="0"/>
              <w:left w:val="single" w:color="auto" w:sz="4" w:space="0"/>
              <w:bottom w:val="single" w:color="auto" w:sz="4" w:space="0"/>
              <w:right w:val="single" w:color="auto" w:sz="4" w:space="0"/>
            </w:tcBorders>
          </w:tcPr>
          <w:p w14:paraId="342767E2">
            <w:pPr>
              <w:spacing w:line="360" w:lineRule="auto"/>
              <w:rPr>
                <w:rFonts w:ascii="宋体" w:hAnsi="宋体" w:cs="宋体"/>
                <w:kern w:val="0"/>
                <w:szCs w:val="21"/>
              </w:rPr>
            </w:pPr>
            <w:r>
              <w:rPr>
                <w:rFonts w:ascii="宋体" w:hAnsi="宋体" w:cs="宋体"/>
                <w:kern w:val="0"/>
                <w:szCs w:val="21"/>
              </w:rPr>
              <w:t>一档（2分）：检测措施满足服务需求，有隧道概况、总体检测、人员及设备安排，依据检测方法采取目视检查和设备检查相结合，对包括结构变形检查、裂缝检查、材质检查等内容，应配置使用符合检测规范标准和实际检测工作要求的专业检测仪器设备及车辆开展工作。</w:t>
            </w:r>
          </w:p>
          <w:p w14:paraId="179AF647">
            <w:pPr>
              <w:spacing w:line="360" w:lineRule="auto"/>
              <w:rPr>
                <w:rFonts w:ascii="宋体" w:hAnsi="宋体" w:cs="宋体"/>
                <w:kern w:val="0"/>
                <w:szCs w:val="21"/>
              </w:rPr>
            </w:pPr>
            <w:r>
              <w:rPr>
                <w:rFonts w:ascii="宋体" w:hAnsi="宋体" w:cs="宋体"/>
                <w:kern w:val="0"/>
                <w:szCs w:val="21"/>
              </w:rPr>
              <w:t>二档（6分）： 满足一档要求基础上，根据隧道结构类型进行分类采用不同检测措施或根据隧道功能特点采取针对性的检测措施。</w:t>
            </w:r>
          </w:p>
          <w:p w14:paraId="090C64A0">
            <w:pPr>
              <w:spacing w:line="360" w:lineRule="auto"/>
              <w:rPr>
                <w:rFonts w:ascii="宋体" w:hAnsi="宋体" w:cs="宋体"/>
                <w:kern w:val="0"/>
                <w:szCs w:val="21"/>
              </w:rPr>
            </w:pPr>
            <w:r>
              <w:rPr>
                <w:rFonts w:ascii="宋体" w:hAnsi="宋体" w:cs="宋体"/>
                <w:kern w:val="0"/>
                <w:szCs w:val="21"/>
              </w:rPr>
              <w:t>三档（10分）： 满足一档要求基础上，根据隧道结构类型进行分类采用不同检测措施且能同时根据隧道功能特点采取针对性的检测措施。</w:t>
            </w:r>
          </w:p>
          <w:p w14:paraId="79854F67">
            <w:pPr>
              <w:spacing w:line="360" w:lineRule="auto"/>
              <w:rPr>
                <w:rFonts w:ascii="宋体" w:hAnsi="宋体" w:cs="宋体"/>
                <w:kern w:val="0"/>
                <w:szCs w:val="21"/>
              </w:rPr>
            </w:pPr>
            <w:r>
              <w:rPr>
                <w:rFonts w:ascii="宋体" w:hAnsi="宋体" w:cs="宋体"/>
                <w:kern w:val="0"/>
                <w:szCs w:val="21"/>
              </w:rPr>
              <w:t>不满足一档要求的不得分。</w:t>
            </w:r>
          </w:p>
        </w:tc>
      </w:tr>
      <w:tr w14:paraId="7957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right w:val="single" w:color="auto" w:sz="4" w:space="0"/>
            </w:tcBorders>
            <w:vAlign w:val="center"/>
          </w:tcPr>
          <w:p w14:paraId="56119999">
            <w:pPr>
              <w:widowControl/>
              <w:spacing w:line="360" w:lineRule="auto"/>
              <w:jc w:val="left"/>
              <w:rPr>
                <w:rFonts w:ascii="宋体" w:hAnsi="宋体" w:cs="宋体"/>
                <w:szCs w:val="21"/>
              </w:rPr>
            </w:pPr>
          </w:p>
        </w:tc>
        <w:tc>
          <w:tcPr>
            <w:tcW w:w="0" w:type="auto"/>
            <w:vMerge w:val="continue"/>
            <w:tcBorders>
              <w:left w:val="single" w:color="auto" w:sz="4" w:space="0"/>
              <w:right w:val="single" w:color="auto" w:sz="4" w:space="0"/>
            </w:tcBorders>
            <w:vAlign w:val="center"/>
          </w:tcPr>
          <w:p w14:paraId="4144AEAE">
            <w:pPr>
              <w:widowControl/>
              <w:spacing w:line="360" w:lineRule="auto"/>
              <w:jc w:val="left"/>
              <w:rPr>
                <w:rFonts w:ascii="宋体" w:hAnsi="宋体" w:cs="宋体"/>
                <w:b/>
                <w:spacing w:val="-18"/>
                <w:szCs w:val="21"/>
              </w:rPr>
            </w:pPr>
          </w:p>
        </w:tc>
        <w:tc>
          <w:tcPr>
            <w:tcW w:w="667" w:type="pct"/>
            <w:vMerge w:val="continue"/>
            <w:tcBorders>
              <w:left w:val="single" w:color="auto" w:sz="4" w:space="0"/>
              <w:bottom w:val="single" w:color="auto" w:sz="4" w:space="0"/>
              <w:right w:val="single" w:color="auto" w:sz="4" w:space="0"/>
            </w:tcBorders>
            <w:vAlign w:val="center"/>
          </w:tcPr>
          <w:p w14:paraId="1E4CE56B">
            <w:pPr>
              <w:spacing w:line="360" w:lineRule="auto"/>
              <w:jc w:val="center"/>
              <w:rPr>
                <w:rFonts w:ascii="宋体" w:hAnsi="宋体" w:cs="宋体"/>
                <w:szCs w:val="21"/>
              </w:rPr>
            </w:pPr>
          </w:p>
        </w:tc>
        <w:tc>
          <w:tcPr>
            <w:tcW w:w="517" w:type="pct"/>
            <w:tcBorders>
              <w:top w:val="single" w:color="auto" w:sz="4" w:space="0"/>
              <w:left w:val="single" w:color="auto" w:sz="4" w:space="0"/>
              <w:bottom w:val="single" w:color="auto" w:sz="4" w:space="0"/>
              <w:right w:val="single" w:color="auto" w:sz="4" w:space="0"/>
            </w:tcBorders>
            <w:vAlign w:val="center"/>
          </w:tcPr>
          <w:p w14:paraId="218237B8">
            <w:pPr>
              <w:spacing w:line="360" w:lineRule="auto"/>
              <w:rPr>
                <w:rFonts w:ascii="宋体" w:hAnsi="宋体" w:cs="宋体"/>
                <w:kern w:val="0"/>
                <w:szCs w:val="21"/>
              </w:rPr>
            </w:pPr>
            <w:r>
              <w:rPr>
                <w:rFonts w:hint="eastAsia" w:ascii="宋体" w:hAnsi="宋体" w:cs="宋体"/>
                <w:kern w:val="0"/>
                <w:szCs w:val="21"/>
              </w:rPr>
              <w:t>拟制定的总进度计划，投入人员、仪器和设备（满分10分）</w:t>
            </w:r>
          </w:p>
        </w:tc>
        <w:tc>
          <w:tcPr>
            <w:tcW w:w="2790" w:type="pct"/>
            <w:tcBorders>
              <w:top w:val="single" w:color="auto" w:sz="4" w:space="0"/>
              <w:left w:val="single" w:color="auto" w:sz="4" w:space="0"/>
              <w:bottom w:val="single" w:color="auto" w:sz="4" w:space="0"/>
              <w:right w:val="single" w:color="auto" w:sz="4" w:space="0"/>
            </w:tcBorders>
            <w:vAlign w:val="center"/>
          </w:tcPr>
          <w:p w14:paraId="6C1012D4">
            <w:pPr>
              <w:spacing w:line="360" w:lineRule="auto"/>
              <w:rPr>
                <w:rFonts w:ascii="宋体" w:hAnsi="宋体" w:cs="宋体"/>
                <w:kern w:val="0"/>
                <w:szCs w:val="21"/>
              </w:rPr>
            </w:pPr>
            <w:r>
              <w:rPr>
                <w:rFonts w:hint="eastAsia" w:ascii="宋体" w:hAnsi="宋体" w:cs="宋体"/>
                <w:kern w:val="0"/>
                <w:szCs w:val="21"/>
              </w:rPr>
              <w:t>一档（2分）：总进度计划满足工期要求，有倒排工期表，人员及仪器配备满足服务需求。</w:t>
            </w:r>
          </w:p>
          <w:p w14:paraId="365C1150">
            <w:pPr>
              <w:spacing w:line="360" w:lineRule="auto"/>
              <w:rPr>
                <w:rFonts w:ascii="宋体" w:hAnsi="宋体" w:cs="宋体"/>
                <w:kern w:val="0"/>
                <w:szCs w:val="21"/>
              </w:rPr>
            </w:pPr>
            <w:r>
              <w:rPr>
                <w:rFonts w:hint="eastAsia" w:ascii="宋体" w:hAnsi="宋体" w:cs="宋体"/>
                <w:kern w:val="0"/>
                <w:szCs w:val="21"/>
              </w:rPr>
              <w:t>二档（6分）：在满足一档要求基础上，根据隧道结构类型特点或隧道功能特点制定倒排工期表，每日有具体人员及设备安排。</w:t>
            </w:r>
          </w:p>
          <w:p w14:paraId="16DBA923">
            <w:pPr>
              <w:spacing w:line="360" w:lineRule="auto"/>
              <w:rPr>
                <w:rFonts w:ascii="宋体" w:hAnsi="宋体" w:cs="宋体"/>
                <w:kern w:val="0"/>
                <w:szCs w:val="21"/>
              </w:rPr>
            </w:pPr>
            <w:r>
              <w:rPr>
                <w:rFonts w:hint="eastAsia" w:ascii="宋体" w:hAnsi="宋体" w:cs="宋体"/>
                <w:kern w:val="0"/>
                <w:szCs w:val="21"/>
              </w:rPr>
              <w:t>三档（10分）：在满足一档要求基础上，根据隧道结构类型特点及隧道功能特点编制倒排工期表，每日有具体人员及设备安排。</w:t>
            </w:r>
          </w:p>
          <w:p w14:paraId="704DFDB5">
            <w:pPr>
              <w:spacing w:line="360" w:lineRule="auto"/>
              <w:rPr>
                <w:rFonts w:ascii="宋体" w:hAnsi="宋体" w:cs="宋体"/>
                <w:kern w:val="0"/>
                <w:szCs w:val="21"/>
              </w:rPr>
            </w:pPr>
            <w:r>
              <w:rPr>
                <w:rFonts w:hint="eastAsia" w:ascii="宋体" w:hAnsi="宋体" w:cs="宋体"/>
                <w:kern w:val="0"/>
                <w:szCs w:val="21"/>
              </w:rPr>
              <w:t>（需提供专业人员花名册包括姓名、性别、学历</w:t>
            </w:r>
            <w:r>
              <w:rPr>
                <w:rFonts w:hint="eastAsia" w:ascii="宋体" w:hAnsi="宋体" w:cs="宋体"/>
                <w:kern w:val="0"/>
                <w:szCs w:val="21"/>
                <w:lang w:eastAsia="zh-CN"/>
              </w:rPr>
              <w:t>、</w:t>
            </w:r>
            <w:r>
              <w:rPr>
                <w:rFonts w:hint="eastAsia" w:ascii="宋体" w:hAnsi="宋体" w:cs="宋体"/>
                <w:kern w:val="0"/>
                <w:szCs w:val="21"/>
              </w:rPr>
              <w:t>职称证及上述要求的职业资格证件扫描件；所有投入的检测测量设备应在检定有效期内（提供相关检定证明）并承诺“若所投入的检测测量设备在服务期内超出检定有效期，则须对超出检定有效期的投入设备再次进行检定，检定合格且有效期必须满足服务期”）</w:t>
            </w:r>
          </w:p>
          <w:p w14:paraId="266A3DAE">
            <w:pPr>
              <w:spacing w:line="360" w:lineRule="auto"/>
              <w:rPr>
                <w:rFonts w:ascii="宋体" w:hAnsi="宋体" w:cs="宋体"/>
                <w:kern w:val="0"/>
                <w:szCs w:val="21"/>
              </w:rPr>
            </w:pPr>
            <w:r>
              <w:rPr>
                <w:rFonts w:hint="eastAsia" w:ascii="宋体" w:hAnsi="宋体" w:cs="宋体"/>
                <w:kern w:val="0"/>
                <w:szCs w:val="21"/>
              </w:rPr>
              <w:t>不满足一档要求的不得分。</w:t>
            </w:r>
          </w:p>
        </w:tc>
      </w:tr>
      <w:tr w14:paraId="65E1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right w:val="single" w:color="auto" w:sz="4" w:space="0"/>
            </w:tcBorders>
            <w:vAlign w:val="center"/>
          </w:tcPr>
          <w:p w14:paraId="05D86FA0">
            <w:pPr>
              <w:widowControl/>
              <w:spacing w:line="360" w:lineRule="auto"/>
              <w:jc w:val="left"/>
              <w:rPr>
                <w:rFonts w:ascii="宋体" w:hAnsi="宋体" w:cs="宋体"/>
                <w:szCs w:val="21"/>
              </w:rPr>
            </w:pPr>
          </w:p>
        </w:tc>
        <w:tc>
          <w:tcPr>
            <w:tcW w:w="0" w:type="auto"/>
            <w:vMerge w:val="continue"/>
            <w:tcBorders>
              <w:left w:val="single" w:color="auto" w:sz="4" w:space="0"/>
              <w:right w:val="single" w:color="auto" w:sz="4" w:space="0"/>
            </w:tcBorders>
            <w:vAlign w:val="center"/>
          </w:tcPr>
          <w:p w14:paraId="1C4F72FA">
            <w:pPr>
              <w:widowControl/>
              <w:spacing w:line="360" w:lineRule="auto"/>
              <w:jc w:val="left"/>
              <w:rPr>
                <w:rFonts w:ascii="宋体" w:hAnsi="宋体" w:cs="宋体"/>
                <w:b/>
                <w:spacing w:val="-18"/>
                <w:szCs w:val="21"/>
              </w:rPr>
            </w:pPr>
          </w:p>
        </w:tc>
        <w:tc>
          <w:tcPr>
            <w:tcW w:w="667" w:type="pct"/>
            <w:vMerge w:val="restart"/>
            <w:tcBorders>
              <w:left w:val="single" w:color="auto" w:sz="4" w:space="0"/>
              <w:right w:val="single" w:color="auto" w:sz="4" w:space="0"/>
            </w:tcBorders>
            <w:vAlign w:val="center"/>
          </w:tcPr>
          <w:p w14:paraId="7550AA17">
            <w:pPr>
              <w:spacing w:line="360" w:lineRule="auto"/>
              <w:jc w:val="center"/>
              <w:rPr>
                <w:rFonts w:ascii="宋体" w:hAnsi="宋体" w:cs="宋体"/>
                <w:szCs w:val="21"/>
              </w:rPr>
            </w:pPr>
            <w:r>
              <w:rPr>
                <w:rFonts w:hint="eastAsia" w:ascii="宋体" w:hAnsi="宋体" w:cs="宋体"/>
                <w:szCs w:val="21"/>
              </w:rPr>
              <w:t>项目检测总体工作保障措施</w:t>
            </w:r>
          </w:p>
          <w:p w14:paraId="3E9DA1D3">
            <w:pPr>
              <w:spacing w:line="360" w:lineRule="auto"/>
              <w:jc w:val="center"/>
              <w:rPr>
                <w:rFonts w:ascii="宋体" w:hAnsi="宋体" w:cs="宋体"/>
                <w:szCs w:val="21"/>
              </w:rPr>
            </w:pPr>
            <w:r>
              <w:rPr>
                <w:rFonts w:hint="eastAsia" w:ascii="宋体" w:hAnsi="宋体" w:cs="宋体"/>
                <w:szCs w:val="21"/>
              </w:rPr>
              <w:t>（满分30分）</w:t>
            </w:r>
          </w:p>
        </w:tc>
        <w:tc>
          <w:tcPr>
            <w:tcW w:w="517" w:type="pct"/>
            <w:tcBorders>
              <w:top w:val="single" w:color="auto" w:sz="4" w:space="0"/>
              <w:left w:val="single" w:color="auto" w:sz="4" w:space="0"/>
              <w:bottom w:val="single" w:color="auto" w:sz="4" w:space="0"/>
              <w:right w:val="single" w:color="auto" w:sz="4" w:space="0"/>
            </w:tcBorders>
            <w:vAlign w:val="center"/>
          </w:tcPr>
          <w:p w14:paraId="3311FFF0">
            <w:pPr>
              <w:spacing w:line="400" w:lineRule="exact"/>
              <w:jc w:val="center"/>
              <w:rPr>
                <w:rFonts w:ascii="宋体" w:hAnsi="宋体" w:cs="宋体"/>
                <w:kern w:val="0"/>
                <w:szCs w:val="21"/>
              </w:rPr>
            </w:pPr>
            <w:r>
              <w:rPr>
                <w:rFonts w:hint="eastAsia" w:ascii="宋体" w:hAnsi="宋体"/>
                <w:bCs/>
                <w:kern w:val="0"/>
                <w:szCs w:val="20"/>
              </w:rPr>
              <w:t>质量保障（满分8分）</w:t>
            </w:r>
          </w:p>
        </w:tc>
        <w:tc>
          <w:tcPr>
            <w:tcW w:w="2790" w:type="pct"/>
            <w:tcBorders>
              <w:top w:val="single" w:color="auto" w:sz="4" w:space="0"/>
              <w:left w:val="single" w:color="auto" w:sz="4" w:space="0"/>
              <w:bottom w:val="single" w:color="auto" w:sz="4" w:space="0"/>
              <w:right w:val="single" w:color="auto" w:sz="4" w:space="0"/>
            </w:tcBorders>
            <w:vAlign w:val="center"/>
          </w:tcPr>
          <w:p w14:paraId="080DC740">
            <w:pPr>
              <w:spacing w:line="400" w:lineRule="exact"/>
              <w:rPr>
                <w:rFonts w:ascii="宋体" w:hAnsi="宋体" w:cs="宋体"/>
                <w:szCs w:val="21"/>
              </w:rPr>
            </w:pPr>
            <w:r>
              <w:rPr>
                <w:rFonts w:hint="eastAsia" w:ascii="宋体" w:hAnsi="宋体" w:cs="宋体"/>
                <w:szCs w:val="21"/>
              </w:rPr>
              <w:t>一档（2分）：保障措施有基本的管理体系、工作制度、质量目标、控制措施，并制定质量标准。</w:t>
            </w:r>
          </w:p>
          <w:p w14:paraId="71DB9507">
            <w:pPr>
              <w:spacing w:line="400" w:lineRule="exact"/>
              <w:rPr>
                <w:rFonts w:ascii="宋体" w:hAnsi="宋体" w:cs="宋体"/>
                <w:szCs w:val="21"/>
              </w:rPr>
            </w:pPr>
            <w:r>
              <w:rPr>
                <w:rFonts w:hint="eastAsia" w:ascii="宋体" w:hAnsi="宋体" w:cs="宋体"/>
                <w:szCs w:val="21"/>
              </w:rPr>
              <w:t>二档（5分）：在满足一档要求基础上，根据不同隧道的结构类型制定和功能特点具有针对性的有关键环节控制指标、质量控制程序及采取的方法，操作标准等，提出质量责任承诺。</w:t>
            </w:r>
          </w:p>
          <w:p w14:paraId="67E97292">
            <w:pPr>
              <w:spacing w:line="400" w:lineRule="exact"/>
              <w:rPr>
                <w:rFonts w:ascii="宋体" w:hAnsi="宋体" w:cs="宋体"/>
                <w:szCs w:val="21"/>
              </w:rPr>
            </w:pPr>
            <w:r>
              <w:rPr>
                <w:rFonts w:hint="eastAsia" w:ascii="宋体" w:hAnsi="宋体" w:cs="宋体"/>
                <w:szCs w:val="21"/>
              </w:rPr>
              <w:t>三档（8分）：在满足二档要求基础上，能根据本项目隧道的地理环境、交通量、城市隧道文化等特点制定针对性的质量保障措施。</w:t>
            </w:r>
          </w:p>
          <w:p w14:paraId="1E1D113E">
            <w:pPr>
              <w:spacing w:line="400" w:lineRule="exact"/>
              <w:rPr>
                <w:rFonts w:ascii="宋体" w:hAnsi="宋体" w:cs="宋体"/>
                <w:kern w:val="0"/>
                <w:szCs w:val="21"/>
              </w:rPr>
            </w:pPr>
            <w:r>
              <w:rPr>
                <w:rFonts w:hint="eastAsia" w:ascii="宋体" w:hAnsi="宋体" w:cs="宋体"/>
                <w:szCs w:val="21"/>
              </w:rPr>
              <w:t>不满足一档要求的不得分。</w:t>
            </w:r>
          </w:p>
        </w:tc>
      </w:tr>
      <w:tr w14:paraId="2323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right w:val="single" w:color="auto" w:sz="4" w:space="0"/>
            </w:tcBorders>
            <w:vAlign w:val="center"/>
          </w:tcPr>
          <w:p w14:paraId="2A05F716">
            <w:pPr>
              <w:widowControl/>
              <w:spacing w:line="360" w:lineRule="auto"/>
              <w:jc w:val="left"/>
              <w:rPr>
                <w:rFonts w:ascii="宋体" w:hAnsi="宋体" w:cs="宋体"/>
                <w:szCs w:val="21"/>
              </w:rPr>
            </w:pPr>
          </w:p>
        </w:tc>
        <w:tc>
          <w:tcPr>
            <w:tcW w:w="0" w:type="auto"/>
            <w:vMerge w:val="continue"/>
            <w:tcBorders>
              <w:left w:val="single" w:color="auto" w:sz="4" w:space="0"/>
              <w:right w:val="single" w:color="auto" w:sz="4" w:space="0"/>
            </w:tcBorders>
            <w:vAlign w:val="center"/>
          </w:tcPr>
          <w:p w14:paraId="4CFC265D">
            <w:pPr>
              <w:widowControl/>
              <w:spacing w:line="360" w:lineRule="auto"/>
              <w:jc w:val="left"/>
              <w:rPr>
                <w:rFonts w:ascii="宋体" w:hAnsi="宋体" w:cs="宋体"/>
                <w:b/>
                <w:spacing w:val="-18"/>
                <w:szCs w:val="21"/>
              </w:rPr>
            </w:pPr>
          </w:p>
        </w:tc>
        <w:tc>
          <w:tcPr>
            <w:tcW w:w="667" w:type="pct"/>
            <w:vMerge w:val="continue"/>
            <w:tcBorders>
              <w:left w:val="single" w:color="auto" w:sz="4" w:space="0"/>
              <w:right w:val="single" w:color="auto" w:sz="4" w:space="0"/>
            </w:tcBorders>
            <w:vAlign w:val="center"/>
          </w:tcPr>
          <w:p w14:paraId="655F293A">
            <w:pPr>
              <w:spacing w:line="360" w:lineRule="auto"/>
              <w:jc w:val="center"/>
              <w:rPr>
                <w:rFonts w:ascii="宋体" w:hAnsi="宋体" w:cs="宋体"/>
                <w:szCs w:val="21"/>
              </w:rPr>
            </w:pPr>
          </w:p>
        </w:tc>
        <w:tc>
          <w:tcPr>
            <w:tcW w:w="517" w:type="pct"/>
            <w:tcBorders>
              <w:top w:val="single" w:color="auto" w:sz="4" w:space="0"/>
              <w:left w:val="single" w:color="auto" w:sz="4" w:space="0"/>
              <w:bottom w:val="single" w:color="auto" w:sz="4" w:space="0"/>
              <w:right w:val="single" w:color="auto" w:sz="4" w:space="0"/>
            </w:tcBorders>
            <w:vAlign w:val="center"/>
          </w:tcPr>
          <w:p w14:paraId="7B9CD55E">
            <w:pPr>
              <w:spacing w:line="400" w:lineRule="exact"/>
              <w:jc w:val="center"/>
              <w:rPr>
                <w:rFonts w:ascii="宋体" w:hAnsi="宋体" w:cs="宋体"/>
                <w:kern w:val="0"/>
                <w:szCs w:val="21"/>
              </w:rPr>
            </w:pPr>
            <w:r>
              <w:rPr>
                <w:rFonts w:hint="eastAsia" w:ascii="宋体" w:hAnsi="宋体"/>
                <w:bCs/>
                <w:kern w:val="0"/>
                <w:szCs w:val="20"/>
              </w:rPr>
              <w:t>工期进度保障（满分8分）</w:t>
            </w:r>
          </w:p>
        </w:tc>
        <w:tc>
          <w:tcPr>
            <w:tcW w:w="2790" w:type="pct"/>
            <w:tcBorders>
              <w:top w:val="single" w:color="auto" w:sz="4" w:space="0"/>
              <w:left w:val="single" w:color="auto" w:sz="4" w:space="0"/>
              <w:bottom w:val="single" w:color="auto" w:sz="4" w:space="0"/>
              <w:right w:val="single" w:color="auto" w:sz="4" w:space="0"/>
            </w:tcBorders>
            <w:vAlign w:val="center"/>
          </w:tcPr>
          <w:p w14:paraId="4917F9C7">
            <w:pPr>
              <w:spacing w:line="400" w:lineRule="exact"/>
              <w:rPr>
                <w:rFonts w:ascii="宋体" w:hAnsi="宋体" w:cs="宋体"/>
                <w:szCs w:val="21"/>
              </w:rPr>
            </w:pPr>
            <w:r>
              <w:rPr>
                <w:rFonts w:hint="eastAsia" w:ascii="宋体" w:hAnsi="宋体" w:cs="宋体"/>
                <w:szCs w:val="21"/>
              </w:rPr>
              <w:t>一档（2分）工期进度保障措施安排合理、工期满足服务要求。</w:t>
            </w:r>
          </w:p>
          <w:p w14:paraId="63F27842">
            <w:pPr>
              <w:spacing w:line="400" w:lineRule="exact"/>
              <w:rPr>
                <w:rFonts w:ascii="宋体" w:hAnsi="宋体" w:cs="宋体"/>
                <w:szCs w:val="21"/>
              </w:rPr>
            </w:pPr>
            <w:r>
              <w:rPr>
                <w:rFonts w:hint="eastAsia" w:ascii="宋体" w:hAnsi="宋体" w:cs="宋体"/>
                <w:szCs w:val="21"/>
              </w:rPr>
              <w:t>二档（5分）在满足一档要求的基础上，有本项目进度管理体系，配备专职进度管理人员。</w:t>
            </w:r>
          </w:p>
          <w:p w14:paraId="6FA80F2C">
            <w:pPr>
              <w:spacing w:line="400" w:lineRule="exact"/>
              <w:rPr>
                <w:rFonts w:ascii="宋体" w:hAnsi="宋体" w:cs="宋体"/>
                <w:szCs w:val="21"/>
              </w:rPr>
            </w:pPr>
            <w:r>
              <w:rPr>
                <w:rFonts w:hint="eastAsia" w:ascii="宋体" w:hAnsi="宋体" w:cs="宋体"/>
                <w:szCs w:val="21"/>
              </w:rPr>
              <w:t>三档（8分）在满足二档要求的基础上，有应急计划和受外因影响导致工期延误的补救、应对措施。</w:t>
            </w:r>
          </w:p>
          <w:p w14:paraId="54800D6A">
            <w:pPr>
              <w:spacing w:line="400" w:lineRule="exact"/>
              <w:rPr>
                <w:rFonts w:ascii="宋体" w:hAnsi="宋体" w:cs="宋体"/>
                <w:kern w:val="0"/>
                <w:szCs w:val="21"/>
              </w:rPr>
            </w:pPr>
            <w:r>
              <w:rPr>
                <w:rFonts w:hint="eastAsia" w:ascii="宋体" w:hAnsi="宋体" w:cs="宋体"/>
                <w:szCs w:val="21"/>
              </w:rPr>
              <w:t>不满足一档要求的不得分。</w:t>
            </w:r>
          </w:p>
        </w:tc>
      </w:tr>
      <w:tr w14:paraId="68BB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right w:val="single" w:color="auto" w:sz="4" w:space="0"/>
            </w:tcBorders>
            <w:vAlign w:val="center"/>
          </w:tcPr>
          <w:p w14:paraId="256E7E01">
            <w:pPr>
              <w:widowControl/>
              <w:spacing w:line="360" w:lineRule="auto"/>
              <w:jc w:val="left"/>
              <w:rPr>
                <w:rFonts w:ascii="宋体" w:hAnsi="宋体" w:cs="宋体"/>
                <w:szCs w:val="21"/>
              </w:rPr>
            </w:pPr>
          </w:p>
        </w:tc>
        <w:tc>
          <w:tcPr>
            <w:tcW w:w="0" w:type="auto"/>
            <w:vMerge w:val="continue"/>
            <w:tcBorders>
              <w:left w:val="single" w:color="auto" w:sz="4" w:space="0"/>
              <w:right w:val="single" w:color="auto" w:sz="4" w:space="0"/>
            </w:tcBorders>
            <w:vAlign w:val="center"/>
          </w:tcPr>
          <w:p w14:paraId="57D135C7">
            <w:pPr>
              <w:widowControl/>
              <w:spacing w:line="360" w:lineRule="auto"/>
              <w:jc w:val="left"/>
              <w:rPr>
                <w:rFonts w:ascii="宋体" w:hAnsi="宋体" w:cs="宋体"/>
                <w:b/>
                <w:spacing w:val="-18"/>
                <w:szCs w:val="21"/>
              </w:rPr>
            </w:pPr>
          </w:p>
        </w:tc>
        <w:tc>
          <w:tcPr>
            <w:tcW w:w="667" w:type="pct"/>
            <w:vMerge w:val="continue"/>
            <w:tcBorders>
              <w:left w:val="single" w:color="auto" w:sz="4" w:space="0"/>
              <w:right w:val="single" w:color="auto" w:sz="4" w:space="0"/>
            </w:tcBorders>
            <w:vAlign w:val="center"/>
          </w:tcPr>
          <w:p w14:paraId="5DA65EF5">
            <w:pPr>
              <w:spacing w:line="360" w:lineRule="auto"/>
              <w:jc w:val="center"/>
              <w:rPr>
                <w:rFonts w:ascii="宋体" w:hAnsi="宋体" w:cs="宋体"/>
                <w:szCs w:val="21"/>
              </w:rPr>
            </w:pPr>
          </w:p>
        </w:tc>
        <w:tc>
          <w:tcPr>
            <w:tcW w:w="517" w:type="pct"/>
            <w:tcBorders>
              <w:top w:val="single" w:color="auto" w:sz="4" w:space="0"/>
              <w:left w:val="single" w:color="auto" w:sz="4" w:space="0"/>
              <w:bottom w:val="single" w:color="auto" w:sz="4" w:space="0"/>
              <w:right w:val="single" w:color="auto" w:sz="4" w:space="0"/>
            </w:tcBorders>
            <w:vAlign w:val="center"/>
          </w:tcPr>
          <w:p w14:paraId="7F373A2E">
            <w:pPr>
              <w:spacing w:line="400" w:lineRule="exact"/>
              <w:jc w:val="center"/>
              <w:rPr>
                <w:rFonts w:ascii="宋体" w:hAnsi="宋体" w:cs="宋体"/>
                <w:kern w:val="0"/>
                <w:szCs w:val="21"/>
              </w:rPr>
            </w:pPr>
            <w:r>
              <w:rPr>
                <w:rFonts w:hint="eastAsia" w:ascii="宋体" w:hAnsi="宋体"/>
                <w:bCs/>
                <w:kern w:val="0"/>
                <w:szCs w:val="20"/>
              </w:rPr>
              <w:t>交通组织保障（满分8分）</w:t>
            </w:r>
          </w:p>
        </w:tc>
        <w:tc>
          <w:tcPr>
            <w:tcW w:w="2790" w:type="pct"/>
            <w:tcBorders>
              <w:top w:val="single" w:color="auto" w:sz="4" w:space="0"/>
              <w:left w:val="single" w:color="auto" w:sz="4" w:space="0"/>
              <w:bottom w:val="single" w:color="auto" w:sz="4" w:space="0"/>
              <w:right w:val="single" w:color="auto" w:sz="4" w:space="0"/>
            </w:tcBorders>
            <w:vAlign w:val="center"/>
          </w:tcPr>
          <w:p w14:paraId="4673A92A">
            <w:pPr>
              <w:spacing w:line="380" w:lineRule="exact"/>
              <w:rPr>
                <w:rFonts w:ascii="宋体" w:hAnsi="宋体"/>
                <w:bCs/>
                <w:szCs w:val="20"/>
              </w:rPr>
            </w:pPr>
            <w:r>
              <w:rPr>
                <w:rFonts w:hint="eastAsia" w:ascii="宋体" w:hAnsi="宋体"/>
                <w:bCs/>
                <w:szCs w:val="20"/>
              </w:rPr>
              <w:t>一档（2分）：措施齐全，编制有详细的交通组织计划和人员安排情况以及交通设施投入。</w:t>
            </w:r>
          </w:p>
          <w:p w14:paraId="1F4CE0B6">
            <w:pPr>
              <w:spacing w:line="380" w:lineRule="exact"/>
              <w:rPr>
                <w:rFonts w:ascii="宋体" w:hAnsi="宋体"/>
                <w:bCs/>
                <w:szCs w:val="20"/>
              </w:rPr>
            </w:pPr>
            <w:r>
              <w:rPr>
                <w:rFonts w:hint="eastAsia" w:ascii="宋体" w:hAnsi="宋体"/>
                <w:bCs/>
                <w:szCs w:val="20"/>
              </w:rPr>
              <w:t xml:space="preserve">二档（5分）：在满足一档要求基础上，能根据隧道车道宽度和交通流量设置检测作业管制区，有警示提示标识。 </w:t>
            </w:r>
          </w:p>
          <w:p w14:paraId="0D0E23C0">
            <w:pPr>
              <w:spacing w:line="400" w:lineRule="exact"/>
              <w:rPr>
                <w:rFonts w:ascii="等线" w:hAnsi="宋体"/>
                <w:bCs/>
                <w:szCs w:val="22"/>
              </w:rPr>
            </w:pPr>
            <w:r>
              <w:rPr>
                <w:rFonts w:hint="eastAsia" w:ascii="等线" w:hAnsi="宋体"/>
                <w:bCs/>
                <w:szCs w:val="22"/>
              </w:rPr>
              <w:t>三档（8分）：在满足二档要求基础上，交通组织图内绘制有各类交通设施布置位置图，制定有昼间和夜间交通组织计划，有应急交通组织计划及疏导措施。</w:t>
            </w:r>
          </w:p>
          <w:p w14:paraId="1FC62866">
            <w:pPr>
              <w:spacing w:line="400" w:lineRule="exact"/>
              <w:rPr>
                <w:rFonts w:ascii="宋体" w:hAnsi="宋体" w:cs="宋体"/>
                <w:kern w:val="0"/>
                <w:szCs w:val="21"/>
              </w:rPr>
            </w:pPr>
            <w:r>
              <w:rPr>
                <w:rFonts w:hint="eastAsia" w:ascii="宋体" w:hAnsi="宋体" w:cs="宋体"/>
                <w:szCs w:val="21"/>
              </w:rPr>
              <w:t>不满足一档要求的不得分。</w:t>
            </w:r>
          </w:p>
        </w:tc>
      </w:tr>
      <w:tr w14:paraId="4605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right w:val="single" w:color="auto" w:sz="4" w:space="0"/>
            </w:tcBorders>
            <w:vAlign w:val="center"/>
          </w:tcPr>
          <w:p w14:paraId="39AA379F">
            <w:pPr>
              <w:widowControl/>
              <w:spacing w:line="360" w:lineRule="auto"/>
              <w:jc w:val="left"/>
              <w:rPr>
                <w:rFonts w:ascii="宋体" w:hAnsi="宋体" w:cs="宋体"/>
                <w:szCs w:val="21"/>
              </w:rPr>
            </w:pPr>
          </w:p>
        </w:tc>
        <w:tc>
          <w:tcPr>
            <w:tcW w:w="0" w:type="auto"/>
            <w:vMerge w:val="continue"/>
            <w:tcBorders>
              <w:left w:val="single" w:color="auto" w:sz="4" w:space="0"/>
              <w:right w:val="single" w:color="auto" w:sz="4" w:space="0"/>
            </w:tcBorders>
            <w:vAlign w:val="center"/>
          </w:tcPr>
          <w:p w14:paraId="06E04EF3">
            <w:pPr>
              <w:widowControl/>
              <w:spacing w:line="360" w:lineRule="auto"/>
              <w:jc w:val="left"/>
              <w:rPr>
                <w:rFonts w:ascii="宋体" w:hAnsi="宋体" w:cs="宋体"/>
                <w:b/>
                <w:spacing w:val="-18"/>
                <w:szCs w:val="21"/>
              </w:rPr>
            </w:pPr>
          </w:p>
        </w:tc>
        <w:tc>
          <w:tcPr>
            <w:tcW w:w="667" w:type="pct"/>
            <w:vMerge w:val="continue"/>
            <w:tcBorders>
              <w:left w:val="single" w:color="auto" w:sz="4" w:space="0"/>
              <w:bottom w:val="single" w:color="auto" w:sz="4" w:space="0"/>
              <w:right w:val="single" w:color="auto" w:sz="4" w:space="0"/>
            </w:tcBorders>
            <w:vAlign w:val="center"/>
          </w:tcPr>
          <w:p w14:paraId="46FE0D0D">
            <w:pPr>
              <w:spacing w:line="360" w:lineRule="auto"/>
              <w:jc w:val="center"/>
              <w:rPr>
                <w:rFonts w:ascii="宋体" w:hAnsi="宋体" w:cs="宋体"/>
                <w:szCs w:val="21"/>
              </w:rPr>
            </w:pPr>
          </w:p>
        </w:tc>
        <w:tc>
          <w:tcPr>
            <w:tcW w:w="517" w:type="pct"/>
            <w:tcBorders>
              <w:top w:val="single" w:color="auto" w:sz="4" w:space="0"/>
              <w:left w:val="single" w:color="auto" w:sz="4" w:space="0"/>
              <w:bottom w:val="single" w:color="auto" w:sz="4" w:space="0"/>
              <w:right w:val="single" w:color="auto" w:sz="4" w:space="0"/>
            </w:tcBorders>
            <w:vAlign w:val="center"/>
          </w:tcPr>
          <w:p w14:paraId="243491E5">
            <w:pPr>
              <w:spacing w:line="400" w:lineRule="exact"/>
              <w:jc w:val="center"/>
              <w:rPr>
                <w:rFonts w:ascii="宋体" w:hAnsi="宋体" w:cs="宋体"/>
                <w:kern w:val="0"/>
                <w:szCs w:val="21"/>
              </w:rPr>
            </w:pPr>
            <w:r>
              <w:rPr>
                <w:rFonts w:hint="eastAsia" w:ascii="宋体" w:hAnsi="宋体"/>
                <w:bCs/>
                <w:kern w:val="0"/>
                <w:szCs w:val="20"/>
              </w:rPr>
              <w:t>安全生产保障（满分6分）</w:t>
            </w:r>
          </w:p>
        </w:tc>
        <w:tc>
          <w:tcPr>
            <w:tcW w:w="2790" w:type="pct"/>
            <w:tcBorders>
              <w:top w:val="single" w:color="auto" w:sz="4" w:space="0"/>
              <w:left w:val="single" w:color="auto" w:sz="4" w:space="0"/>
              <w:bottom w:val="single" w:color="auto" w:sz="4" w:space="0"/>
              <w:right w:val="single" w:color="auto" w:sz="4" w:space="0"/>
            </w:tcBorders>
            <w:vAlign w:val="center"/>
          </w:tcPr>
          <w:p w14:paraId="7F9E844D">
            <w:pPr>
              <w:spacing w:line="400" w:lineRule="exact"/>
              <w:rPr>
                <w:rFonts w:ascii="等线" w:hAnsi="宋体"/>
                <w:bCs/>
                <w:szCs w:val="22"/>
              </w:rPr>
            </w:pPr>
            <w:r>
              <w:rPr>
                <w:rFonts w:hint="eastAsia" w:ascii="等线" w:hAnsi="宋体"/>
                <w:bCs/>
                <w:szCs w:val="22"/>
              </w:rPr>
              <w:t>一档（2分）：安全作业区域设置合理，安全管理人员和防护设施投入满足服务要求。</w:t>
            </w:r>
          </w:p>
          <w:p w14:paraId="37016A05">
            <w:pPr>
              <w:spacing w:line="400" w:lineRule="exact"/>
              <w:rPr>
                <w:rFonts w:ascii="等线" w:hAnsi="宋体"/>
                <w:bCs/>
                <w:szCs w:val="22"/>
              </w:rPr>
            </w:pPr>
            <w:r>
              <w:rPr>
                <w:rFonts w:hint="eastAsia" w:ascii="等线" w:hAnsi="宋体"/>
                <w:bCs/>
                <w:szCs w:val="22"/>
              </w:rPr>
              <w:t xml:space="preserve">二档（4分）：在满足一档要求基础上，针对高空作业安全有相应安全保障措施。 </w:t>
            </w:r>
          </w:p>
          <w:p w14:paraId="5E8A20C0">
            <w:pPr>
              <w:spacing w:line="400" w:lineRule="exact"/>
              <w:rPr>
                <w:rFonts w:ascii="等线" w:hAnsi="宋体"/>
                <w:bCs/>
                <w:szCs w:val="22"/>
              </w:rPr>
            </w:pPr>
            <w:r>
              <w:rPr>
                <w:rFonts w:hint="eastAsia" w:ascii="等线" w:hAnsi="宋体"/>
                <w:bCs/>
                <w:szCs w:val="22"/>
              </w:rPr>
              <w:t xml:space="preserve">三档（6分）：在满足二档要求基础上，针对不同环境（夜间、高温、封闭环境等）条件下作业均有相应安全保障措施，有应急安全保障预案。 </w:t>
            </w:r>
          </w:p>
          <w:p w14:paraId="53F852CE">
            <w:pPr>
              <w:spacing w:line="400" w:lineRule="exact"/>
              <w:rPr>
                <w:rFonts w:ascii="宋体" w:hAnsi="宋体" w:cs="宋体"/>
                <w:kern w:val="0"/>
                <w:szCs w:val="21"/>
              </w:rPr>
            </w:pPr>
            <w:r>
              <w:rPr>
                <w:rFonts w:hint="eastAsia" w:ascii="宋体" w:hAnsi="宋体" w:cs="宋体"/>
                <w:szCs w:val="21"/>
              </w:rPr>
              <w:t>不满足一档要求的不得分。</w:t>
            </w:r>
          </w:p>
        </w:tc>
      </w:tr>
      <w:tr w14:paraId="15C1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right w:val="single" w:color="auto" w:sz="4" w:space="0"/>
            </w:tcBorders>
            <w:vAlign w:val="center"/>
          </w:tcPr>
          <w:p w14:paraId="4A4F2AAE">
            <w:pPr>
              <w:widowControl/>
              <w:spacing w:line="360" w:lineRule="auto"/>
              <w:jc w:val="left"/>
              <w:rPr>
                <w:rFonts w:ascii="宋体" w:hAnsi="宋体" w:cs="宋体"/>
                <w:szCs w:val="21"/>
              </w:rPr>
            </w:pPr>
          </w:p>
        </w:tc>
        <w:tc>
          <w:tcPr>
            <w:tcW w:w="0" w:type="auto"/>
            <w:vMerge w:val="continue"/>
            <w:tcBorders>
              <w:left w:val="single" w:color="auto" w:sz="4" w:space="0"/>
              <w:right w:val="single" w:color="auto" w:sz="4" w:space="0"/>
            </w:tcBorders>
            <w:vAlign w:val="center"/>
          </w:tcPr>
          <w:p w14:paraId="54DE2433">
            <w:pPr>
              <w:widowControl/>
              <w:spacing w:line="360" w:lineRule="auto"/>
              <w:jc w:val="left"/>
              <w:rPr>
                <w:rFonts w:ascii="宋体" w:hAnsi="宋体" w:cs="宋体"/>
                <w:b/>
                <w:spacing w:val="-18"/>
                <w:szCs w:val="21"/>
              </w:rPr>
            </w:pPr>
          </w:p>
        </w:tc>
        <w:tc>
          <w:tcPr>
            <w:tcW w:w="667" w:type="pct"/>
            <w:vMerge w:val="restart"/>
            <w:tcBorders>
              <w:left w:val="single" w:color="auto" w:sz="4" w:space="0"/>
              <w:right w:val="single" w:color="auto" w:sz="4" w:space="0"/>
            </w:tcBorders>
            <w:vAlign w:val="center"/>
          </w:tcPr>
          <w:p w14:paraId="471A9BA9">
            <w:pPr>
              <w:spacing w:line="360" w:lineRule="auto"/>
              <w:jc w:val="center"/>
              <w:rPr>
                <w:rFonts w:ascii="宋体" w:hAnsi="宋体" w:cs="宋体"/>
                <w:szCs w:val="21"/>
              </w:rPr>
            </w:pPr>
            <w:r>
              <w:rPr>
                <w:rFonts w:hint="eastAsia" w:ascii="宋体" w:hAnsi="宋体" w:cs="宋体"/>
                <w:szCs w:val="21"/>
              </w:rPr>
              <w:t>投标时需提供的具体检测方案。</w:t>
            </w:r>
          </w:p>
          <w:p w14:paraId="1F22F087">
            <w:pPr>
              <w:spacing w:line="360" w:lineRule="auto"/>
              <w:jc w:val="center"/>
              <w:rPr>
                <w:rFonts w:ascii="宋体" w:hAnsi="宋体" w:cs="宋体"/>
                <w:szCs w:val="21"/>
              </w:rPr>
            </w:pPr>
            <w:r>
              <w:rPr>
                <w:rFonts w:hint="eastAsia" w:ascii="宋体" w:hAnsi="宋体" w:cs="宋体"/>
                <w:szCs w:val="21"/>
              </w:rPr>
              <w:t>（满分10分）</w:t>
            </w:r>
          </w:p>
        </w:tc>
        <w:tc>
          <w:tcPr>
            <w:tcW w:w="517" w:type="pct"/>
            <w:tcBorders>
              <w:top w:val="single" w:color="auto" w:sz="4" w:space="0"/>
              <w:left w:val="single" w:color="auto" w:sz="4" w:space="0"/>
              <w:bottom w:val="single" w:color="auto" w:sz="4" w:space="0"/>
              <w:right w:val="single" w:color="auto" w:sz="4" w:space="0"/>
            </w:tcBorders>
            <w:vAlign w:val="center"/>
          </w:tcPr>
          <w:p w14:paraId="6D544DBD">
            <w:pPr>
              <w:spacing w:line="400" w:lineRule="exact"/>
              <w:jc w:val="center"/>
              <w:rPr>
                <w:rFonts w:ascii="宋体" w:hAnsi="宋体" w:cs="宋体"/>
                <w:kern w:val="0"/>
                <w:szCs w:val="21"/>
              </w:rPr>
            </w:pPr>
            <w:r>
              <w:rPr>
                <w:rFonts w:hint="eastAsia" w:ascii="宋体" w:hAnsi="宋体"/>
                <w:bCs/>
                <w:kern w:val="0"/>
                <w:szCs w:val="20"/>
              </w:rPr>
              <w:t>常规定期检测（隧道及人行地下通道基本情况明细表中任一座</w:t>
            </w:r>
            <w:r>
              <w:rPr>
                <w:rFonts w:hint="eastAsia" w:ascii="宋体" w:hAnsi="宋体"/>
                <w:b/>
                <w:kern w:val="0"/>
                <w:szCs w:val="20"/>
              </w:rPr>
              <w:t>长度300米以上的隧道，</w:t>
            </w:r>
            <w:r>
              <w:rPr>
                <w:rFonts w:hint="eastAsia" w:ascii="宋体" w:hAnsi="宋体"/>
                <w:bCs/>
                <w:kern w:val="0"/>
                <w:szCs w:val="20"/>
              </w:rPr>
              <w:t>满分5分）</w:t>
            </w:r>
          </w:p>
        </w:tc>
        <w:tc>
          <w:tcPr>
            <w:tcW w:w="2790" w:type="pct"/>
            <w:tcBorders>
              <w:top w:val="single" w:color="auto" w:sz="4" w:space="0"/>
              <w:left w:val="single" w:color="auto" w:sz="4" w:space="0"/>
              <w:bottom w:val="single" w:color="auto" w:sz="4" w:space="0"/>
              <w:right w:val="single" w:color="auto" w:sz="4" w:space="0"/>
            </w:tcBorders>
            <w:vAlign w:val="center"/>
          </w:tcPr>
          <w:p w14:paraId="5D7C6E01">
            <w:pPr>
              <w:spacing w:line="400" w:lineRule="exact"/>
              <w:rPr>
                <w:rFonts w:ascii="宋体" w:hAnsi="宋体" w:cs="宋体"/>
                <w:szCs w:val="21"/>
              </w:rPr>
            </w:pPr>
            <w:r>
              <w:rPr>
                <w:rFonts w:hint="eastAsia" w:ascii="宋体" w:hAnsi="宋体" w:cs="宋体"/>
                <w:szCs w:val="21"/>
              </w:rPr>
              <w:t>一档（1分）：方案满足服务需求，内容包含隧道概况、检测依据、判定依据、检测内容、调查内容、拟投入检测人员及设备、检测方法及进度计划。</w:t>
            </w:r>
          </w:p>
          <w:p w14:paraId="76DF3A1C">
            <w:pPr>
              <w:spacing w:line="400" w:lineRule="exact"/>
              <w:rPr>
                <w:rFonts w:ascii="宋体" w:hAnsi="宋体" w:cs="宋体"/>
                <w:szCs w:val="21"/>
                <w:u w:val="single"/>
              </w:rPr>
            </w:pPr>
            <w:r>
              <w:rPr>
                <w:rFonts w:hint="eastAsia" w:ascii="宋体" w:hAnsi="宋体" w:cs="宋体"/>
                <w:szCs w:val="21"/>
              </w:rPr>
              <w:t>二档（3分）：在满足一档的基础上，能结合具体的人员、设备及检测措施制定更合理的进度计划。</w:t>
            </w:r>
          </w:p>
          <w:p w14:paraId="1380AB57">
            <w:pPr>
              <w:spacing w:line="400" w:lineRule="exact"/>
              <w:rPr>
                <w:rFonts w:ascii="宋体" w:hAnsi="宋体" w:cs="宋体"/>
                <w:szCs w:val="21"/>
              </w:rPr>
            </w:pPr>
            <w:r>
              <w:rPr>
                <w:rFonts w:hint="eastAsia" w:ascii="宋体" w:hAnsi="宋体" w:cs="宋体"/>
                <w:szCs w:val="21"/>
              </w:rPr>
              <w:t>三档（5分）：在满足二档的基础上，根据隧道结构类型特点针对性提出重点检测部位及检测方法。</w:t>
            </w:r>
          </w:p>
          <w:p w14:paraId="52E422C7">
            <w:pPr>
              <w:spacing w:line="400" w:lineRule="exact"/>
              <w:rPr>
                <w:rFonts w:ascii="宋体" w:hAnsi="宋体" w:cs="宋体"/>
                <w:kern w:val="0"/>
                <w:szCs w:val="21"/>
              </w:rPr>
            </w:pPr>
            <w:r>
              <w:rPr>
                <w:rFonts w:hint="eastAsia" w:ascii="宋体" w:hAnsi="宋体" w:cs="宋体"/>
                <w:szCs w:val="21"/>
              </w:rPr>
              <w:t>不满足一档要求的不得分。</w:t>
            </w:r>
          </w:p>
        </w:tc>
      </w:tr>
      <w:tr w14:paraId="465B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right w:val="single" w:color="auto" w:sz="4" w:space="0"/>
            </w:tcBorders>
            <w:vAlign w:val="center"/>
          </w:tcPr>
          <w:p w14:paraId="68E000E3">
            <w:pPr>
              <w:widowControl/>
              <w:spacing w:line="360" w:lineRule="auto"/>
              <w:jc w:val="left"/>
              <w:rPr>
                <w:rFonts w:ascii="宋体" w:hAnsi="宋体" w:cs="宋体"/>
                <w:szCs w:val="21"/>
              </w:rPr>
            </w:pPr>
          </w:p>
        </w:tc>
        <w:tc>
          <w:tcPr>
            <w:tcW w:w="0" w:type="auto"/>
            <w:vMerge w:val="continue"/>
            <w:tcBorders>
              <w:left w:val="single" w:color="auto" w:sz="4" w:space="0"/>
              <w:right w:val="single" w:color="auto" w:sz="4" w:space="0"/>
            </w:tcBorders>
            <w:vAlign w:val="center"/>
          </w:tcPr>
          <w:p w14:paraId="69D82209">
            <w:pPr>
              <w:widowControl/>
              <w:spacing w:line="360" w:lineRule="auto"/>
              <w:jc w:val="left"/>
              <w:rPr>
                <w:rFonts w:ascii="宋体" w:hAnsi="宋体" w:cs="宋体"/>
                <w:b/>
                <w:spacing w:val="-18"/>
                <w:szCs w:val="21"/>
              </w:rPr>
            </w:pPr>
          </w:p>
        </w:tc>
        <w:tc>
          <w:tcPr>
            <w:tcW w:w="667" w:type="pct"/>
            <w:vMerge w:val="continue"/>
            <w:tcBorders>
              <w:left w:val="single" w:color="auto" w:sz="4" w:space="0"/>
              <w:bottom w:val="single" w:color="auto" w:sz="4" w:space="0"/>
              <w:right w:val="single" w:color="auto" w:sz="4" w:space="0"/>
            </w:tcBorders>
            <w:vAlign w:val="center"/>
          </w:tcPr>
          <w:p w14:paraId="4EC4CCA6">
            <w:pPr>
              <w:spacing w:line="360" w:lineRule="auto"/>
              <w:jc w:val="center"/>
              <w:rPr>
                <w:rFonts w:ascii="宋体" w:hAnsi="宋体" w:cs="宋体"/>
                <w:szCs w:val="21"/>
              </w:rPr>
            </w:pPr>
          </w:p>
        </w:tc>
        <w:tc>
          <w:tcPr>
            <w:tcW w:w="517" w:type="pct"/>
            <w:tcBorders>
              <w:top w:val="single" w:color="auto" w:sz="4" w:space="0"/>
              <w:left w:val="single" w:color="auto" w:sz="4" w:space="0"/>
              <w:bottom w:val="single" w:color="auto" w:sz="4" w:space="0"/>
              <w:right w:val="single" w:color="auto" w:sz="4" w:space="0"/>
            </w:tcBorders>
            <w:vAlign w:val="center"/>
          </w:tcPr>
          <w:p w14:paraId="78084E84">
            <w:pPr>
              <w:spacing w:line="400" w:lineRule="exact"/>
              <w:jc w:val="center"/>
              <w:rPr>
                <w:rFonts w:ascii="宋体" w:hAnsi="宋体" w:cs="宋体"/>
                <w:kern w:val="0"/>
                <w:szCs w:val="21"/>
              </w:rPr>
            </w:pPr>
            <w:r>
              <w:rPr>
                <w:rFonts w:hint="eastAsia" w:ascii="宋体" w:hAnsi="宋体"/>
                <w:bCs/>
                <w:kern w:val="0"/>
                <w:szCs w:val="20"/>
              </w:rPr>
              <w:t>常规定期检测（隧道及人行地下通道基本情况明细表中任一座</w:t>
            </w:r>
            <w:r>
              <w:rPr>
                <w:rFonts w:hint="eastAsia" w:ascii="宋体" w:hAnsi="宋体"/>
                <w:b/>
                <w:kern w:val="0"/>
                <w:szCs w:val="20"/>
              </w:rPr>
              <w:t>人行地下通道，</w:t>
            </w:r>
            <w:r>
              <w:rPr>
                <w:rFonts w:hint="eastAsia" w:ascii="宋体" w:hAnsi="宋体"/>
                <w:bCs/>
                <w:kern w:val="0"/>
                <w:szCs w:val="20"/>
              </w:rPr>
              <w:t>满分5分）</w:t>
            </w:r>
          </w:p>
        </w:tc>
        <w:tc>
          <w:tcPr>
            <w:tcW w:w="2790" w:type="pct"/>
            <w:tcBorders>
              <w:top w:val="single" w:color="auto" w:sz="4" w:space="0"/>
              <w:left w:val="single" w:color="auto" w:sz="4" w:space="0"/>
              <w:bottom w:val="single" w:color="auto" w:sz="4" w:space="0"/>
              <w:right w:val="single" w:color="auto" w:sz="4" w:space="0"/>
            </w:tcBorders>
            <w:vAlign w:val="center"/>
          </w:tcPr>
          <w:p w14:paraId="054976CA">
            <w:pPr>
              <w:spacing w:line="400" w:lineRule="exact"/>
              <w:rPr>
                <w:rFonts w:ascii="宋体" w:hAnsi="宋体" w:cs="宋体"/>
                <w:szCs w:val="21"/>
              </w:rPr>
            </w:pPr>
            <w:r>
              <w:rPr>
                <w:rFonts w:hint="eastAsia" w:ascii="宋体" w:hAnsi="宋体" w:cs="宋体"/>
                <w:szCs w:val="21"/>
              </w:rPr>
              <w:t>一档（1分）：方案满足服务需求，内容包含通道概况、检测依据、判定依据、检测内容、调查内容、拟投入检测人员及设备、检测方法及进度计划。</w:t>
            </w:r>
          </w:p>
          <w:p w14:paraId="4B55789E">
            <w:pPr>
              <w:spacing w:line="400" w:lineRule="exact"/>
              <w:rPr>
                <w:rFonts w:ascii="宋体" w:hAnsi="宋体" w:cs="宋体"/>
                <w:szCs w:val="21"/>
                <w:u w:val="single"/>
              </w:rPr>
            </w:pPr>
            <w:r>
              <w:rPr>
                <w:rFonts w:hint="eastAsia" w:ascii="宋体" w:hAnsi="宋体" w:cs="宋体"/>
                <w:szCs w:val="21"/>
              </w:rPr>
              <w:t>二档（3分）：在满足一档的基础上，能结合具体的人员、设备及检测措施制定更合理的进度计划。</w:t>
            </w:r>
          </w:p>
          <w:p w14:paraId="0DC0DF29">
            <w:pPr>
              <w:spacing w:line="400" w:lineRule="exact"/>
              <w:rPr>
                <w:rFonts w:ascii="宋体" w:hAnsi="宋体" w:cs="宋体"/>
                <w:szCs w:val="21"/>
              </w:rPr>
            </w:pPr>
            <w:r>
              <w:rPr>
                <w:rFonts w:hint="eastAsia" w:ascii="宋体" w:hAnsi="宋体" w:cs="宋体"/>
                <w:szCs w:val="21"/>
              </w:rPr>
              <w:t>三档（5分）：在满足二档的基础上，根据通道结构类型特点针对性提出重点检测部位及检测方法。</w:t>
            </w:r>
          </w:p>
          <w:p w14:paraId="03646B0C">
            <w:pPr>
              <w:spacing w:line="400" w:lineRule="exact"/>
              <w:rPr>
                <w:rFonts w:ascii="宋体" w:hAnsi="宋体" w:cs="宋体"/>
                <w:kern w:val="0"/>
                <w:szCs w:val="21"/>
              </w:rPr>
            </w:pPr>
            <w:r>
              <w:rPr>
                <w:rFonts w:hint="eastAsia" w:ascii="宋体" w:hAnsi="宋体" w:cs="宋体"/>
                <w:szCs w:val="21"/>
              </w:rPr>
              <w:t>不满足一档要求的不得分。</w:t>
            </w:r>
          </w:p>
        </w:tc>
      </w:tr>
      <w:tr w14:paraId="3678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right w:val="single" w:color="auto" w:sz="4" w:space="0"/>
            </w:tcBorders>
            <w:vAlign w:val="center"/>
          </w:tcPr>
          <w:p w14:paraId="31549EC4">
            <w:pPr>
              <w:widowControl/>
              <w:spacing w:line="360" w:lineRule="auto"/>
              <w:jc w:val="left"/>
              <w:rPr>
                <w:rFonts w:ascii="宋体" w:hAnsi="宋体" w:cs="宋体"/>
                <w:szCs w:val="21"/>
              </w:rPr>
            </w:pPr>
          </w:p>
        </w:tc>
        <w:tc>
          <w:tcPr>
            <w:tcW w:w="0" w:type="auto"/>
            <w:vMerge w:val="continue"/>
            <w:tcBorders>
              <w:left w:val="single" w:color="auto" w:sz="4" w:space="0"/>
              <w:right w:val="single" w:color="auto" w:sz="4" w:space="0"/>
            </w:tcBorders>
            <w:vAlign w:val="center"/>
          </w:tcPr>
          <w:p w14:paraId="53B01324">
            <w:pPr>
              <w:widowControl/>
              <w:spacing w:line="360" w:lineRule="auto"/>
              <w:jc w:val="left"/>
              <w:rPr>
                <w:rFonts w:ascii="宋体" w:hAnsi="宋体" w:cs="宋体"/>
                <w:b/>
                <w:spacing w:val="-18"/>
                <w:szCs w:val="21"/>
              </w:rPr>
            </w:pPr>
          </w:p>
        </w:tc>
        <w:tc>
          <w:tcPr>
            <w:tcW w:w="667" w:type="pct"/>
            <w:tcBorders>
              <w:top w:val="single" w:color="auto" w:sz="4" w:space="0"/>
              <w:left w:val="single" w:color="auto" w:sz="4" w:space="0"/>
              <w:bottom w:val="single" w:color="auto" w:sz="4" w:space="0"/>
              <w:right w:val="single" w:color="auto" w:sz="4" w:space="0"/>
            </w:tcBorders>
            <w:vAlign w:val="center"/>
          </w:tcPr>
          <w:p w14:paraId="2238CEE2">
            <w:pPr>
              <w:spacing w:line="400" w:lineRule="exact"/>
              <w:jc w:val="center"/>
              <w:rPr>
                <w:rFonts w:ascii="宋体" w:hAnsi="宋体" w:cs="宋体"/>
                <w:szCs w:val="21"/>
              </w:rPr>
            </w:pPr>
            <w:r>
              <w:rPr>
                <w:rFonts w:hint="eastAsia" w:ascii="宋体" w:hAnsi="宋体"/>
                <w:bCs/>
                <w:kern w:val="0"/>
                <w:szCs w:val="20"/>
              </w:rPr>
              <w:t>项目</w:t>
            </w:r>
            <w:r>
              <w:rPr>
                <w:rFonts w:ascii="宋体" w:hAnsi="宋体"/>
                <w:bCs/>
                <w:kern w:val="0"/>
                <w:szCs w:val="20"/>
              </w:rPr>
              <w:t>负责人资历（</w:t>
            </w:r>
            <w:r>
              <w:rPr>
                <w:rFonts w:hint="eastAsia" w:ascii="宋体" w:hAnsi="宋体"/>
                <w:bCs/>
                <w:kern w:val="0"/>
                <w:szCs w:val="20"/>
              </w:rPr>
              <w:t>满分3分</w:t>
            </w:r>
            <w:r>
              <w:rPr>
                <w:rFonts w:ascii="宋体" w:hAnsi="宋体"/>
                <w:bCs/>
                <w:kern w:val="0"/>
                <w:szCs w:val="20"/>
              </w:rPr>
              <w:t>）</w:t>
            </w:r>
          </w:p>
        </w:tc>
        <w:tc>
          <w:tcPr>
            <w:tcW w:w="3307" w:type="pct"/>
            <w:gridSpan w:val="2"/>
            <w:tcBorders>
              <w:top w:val="single" w:color="auto" w:sz="4" w:space="0"/>
              <w:left w:val="single" w:color="auto" w:sz="4" w:space="0"/>
              <w:bottom w:val="single" w:color="auto" w:sz="4" w:space="0"/>
              <w:right w:val="single" w:color="auto" w:sz="4" w:space="0"/>
            </w:tcBorders>
            <w:vAlign w:val="center"/>
          </w:tcPr>
          <w:p w14:paraId="34A21DE2">
            <w:pPr>
              <w:spacing w:line="400" w:lineRule="exact"/>
              <w:rPr>
                <w:rFonts w:hint="eastAsia" w:ascii="宋体" w:hAnsi="宋体" w:cs="宋体"/>
                <w:szCs w:val="21"/>
              </w:rPr>
            </w:pPr>
            <w:r>
              <w:rPr>
                <w:rFonts w:hint="eastAsia" w:ascii="宋体" w:hAnsi="宋体" w:cs="宋体"/>
                <w:szCs w:val="21"/>
              </w:rPr>
              <w:t>自2022年1月以来同类服务的业绩（隧道检测类），每项得1分，本项满分3分。</w:t>
            </w:r>
          </w:p>
          <w:p w14:paraId="3E16BE60">
            <w:pPr>
              <w:spacing w:line="360" w:lineRule="exact"/>
              <w:rPr>
                <w:rFonts w:hint="eastAsia"/>
                <w:b/>
                <w:bCs/>
                <w:lang w:eastAsia="zh-CN"/>
              </w:rPr>
            </w:pPr>
            <w:r>
              <w:rPr>
                <w:rFonts w:hint="eastAsia"/>
                <w:b/>
                <w:bCs/>
                <w:lang w:val="en-US" w:eastAsia="zh-CN"/>
              </w:rPr>
              <w:t>注：1、</w:t>
            </w:r>
            <w:r>
              <w:rPr>
                <w:rFonts w:hint="eastAsia"/>
                <w:b/>
                <w:bCs/>
                <w:lang w:eastAsia="zh-CN"/>
              </w:rPr>
              <w:t>提供项目负责人花名册包括姓名、性别、学历、职称证及项目负责人业绩证明材料扫描件（</w:t>
            </w:r>
            <w:r>
              <w:rPr>
                <w:rFonts w:hint="eastAsia" w:ascii="宋体" w:hAnsi="宋体" w:cs="宋体"/>
                <w:b/>
                <w:bCs/>
                <w:szCs w:val="21"/>
              </w:rPr>
              <w:t>项目合同关键页或中标通知书等能体现项目负责人信息的证明材料</w:t>
            </w:r>
            <w:r>
              <w:rPr>
                <w:rFonts w:hint="eastAsia"/>
                <w:b/>
                <w:bCs/>
                <w:lang w:eastAsia="zh-CN"/>
              </w:rPr>
              <w:t>）。</w:t>
            </w:r>
          </w:p>
          <w:p w14:paraId="687D443B">
            <w:pPr>
              <w:spacing w:line="400" w:lineRule="exact"/>
              <w:rPr>
                <w:rFonts w:ascii="宋体" w:hAnsi="宋体" w:cs="宋体"/>
                <w:szCs w:val="21"/>
              </w:rPr>
            </w:pPr>
            <w:r>
              <w:rPr>
                <w:rFonts w:hint="eastAsia"/>
                <w:b/>
                <w:bCs/>
                <w:lang w:val="en-US" w:eastAsia="zh-CN"/>
              </w:rPr>
              <w:t>2、须提供2024年10月以来任意一个月投标人为其缴纳的社保证明材料，否则，不予以计分。</w:t>
            </w:r>
          </w:p>
        </w:tc>
      </w:tr>
      <w:tr w14:paraId="3FFF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4" w:space="0"/>
              <w:right w:val="single" w:color="auto" w:sz="4" w:space="0"/>
            </w:tcBorders>
            <w:vAlign w:val="center"/>
          </w:tcPr>
          <w:p w14:paraId="74D3DA29">
            <w:pPr>
              <w:widowControl/>
              <w:spacing w:line="360" w:lineRule="auto"/>
              <w:jc w:val="left"/>
              <w:rPr>
                <w:rFonts w:ascii="宋体" w:hAnsi="宋体" w:cs="宋体"/>
                <w:szCs w:val="21"/>
              </w:rPr>
            </w:pPr>
          </w:p>
        </w:tc>
        <w:tc>
          <w:tcPr>
            <w:tcW w:w="0" w:type="auto"/>
            <w:vMerge w:val="continue"/>
            <w:tcBorders>
              <w:left w:val="single" w:color="auto" w:sz="4" w:space="0"/>
              <w:right w:val="single" w:color="auto" w:sz="4" w:space="0"/>
            </w:tcBorders>
            <w:vAlign w:val="center"/>
          </w:tcPr>
          <w:p w14:paraId="439795FF">
            <w:pPr>
              <w:widowControl/>
              <w:spacing w:line="360" w:lineRule="auto"/>
              <w:jc w:val="left"/>
              <w:rPr>
                <w:rFonts w:ascii="宋体" w:hAnsi="宋体" w:cs="宋体"/>
                <w:b/>
                <w:spacing w:val="-18"/>
                <w:szCs w:val="21"/>
              </w:rPr>
            </w:pPr>
          </w:p>
        </w:tc>
        <w:tc>
          <w:tcPr>
            <w:tcW w:w="667" w:type="pct"/>
            <w:tcBorders>
              <w:top w:val="single" w:color="auto" w:sz="4" w:space="0"/>
              <w:left w:val="single" w:color="auto" w:sz="4" w:space="0"/>
              <w:bottom w:val="single" w:color="auto" w:sz="4" w:space="0"/>
              <w:right w:val="single" w:color="auto" w:sz="4" w:space="0"/>
            </w:tcBorders>
            <w:vAlign w:val="center"/>
          </w:tcPr>
          <w:p w14:paraId="3FB21D08">
            <w:pPr>
              <w:spacing w:line="400" w:lineRule="exact"/>
              <w:jc w:val="center"/>
              <w:rPr>
                <w:rFonts w:ascii="宋体" w:hAnsi="宋体" w:cs="宋体"/>
                <w:szCs w:val="21"/>
              </w:rPr>
            </w:pPr>
            <w:r>
              <w:rPr>
                <w:rFonts w:hint="eastAsia" w:ascii="宋体" w:hAnsi="宋体"/>
                <w:bCs/>
                <w:kern w:val="0"/>
                <w:szCs w:val="20"/>
              </w:rPr>
              <w:t>技术</w:t>
            </w:r>
            <w:r>
              <w:rPr>
                <w:rFonts w:ascii="宋体" w:hAnsi="宋体"/>
                <w:bCs/>
                <w:kern w:val="0"/>
                <w:szCs w:val="20"/>
              </w:rPr>
              <w:t>负责人资历（</w:t>
            </w:r>
            <w:r>
              <w:rPr>
                <w:rFonts w:hint="eastAsia" w:ascii="宋体" w:hAnsi="宋体"/>
                <w:bCs/>
                <w:kern w:val="0"/>
                <w:szCs w:val="20"/>
              </w:rPr>
              <w:t>满分3分</w:t>
            </w:r>
            <w:r>
              <w:rPr>
                <w:rFonts w:ascii="宋体" w:hAnsi="宋体"/>
                <w:bCs/>
                <w:kern w:val="0"/>
                <w:szCs w:val="20"/>
              </w:rPr>
              <w:t>）</w:t>
            </w:r>
          </w:p>
        </w:tc>
        <w:tc>
          <w:tcPr>
            <w:tcW w:w="3307" w:type="pct"/>
            <w:gridSpan w:val="2"/>
            <w:tcBorders>
              <w:top w:val="single" w:color="auto" w:sz="4" w:space="0"/>
              <w:left w:val="single" w:color="auto" w:sz="4" w:space="0"/>
              <w:bottom w:val="single" w:color="auto" w:sz="4" w:space="0"/>
              <w:right w:val="single" w:color="auto" w:sz="4" w:space="0"/>
            </w:tcBorders>
            <w:vAlign w:val="center"/>
          </w:tcPr>
          <w:p w14:paraId="1DC35190">
            <w:pPr>
              <w:spacing w:line="360" w:lineRule="exact"/>
              <w:rPr>
                <w:rFonts w:hint="eastAsia" w:ascii="宋体" w:hAnsi="宋体" w:cs="宋体"/>
                <w:szCs w:val="21"/>
              </w:rPr>
            </w:pPr>
            <w:r>
              <w:rPr>
                <w:rFonts w:hint="eastAsia" w:ascii="宋体" w:hAnsi="宋体" w:cs="宋体"/>
                <w:szCs w:val="21"/>
              </w:rPr>
              <w:t>自2022年1月以来同类服务的业绩（隧道检测类），每项得1分，本项满分3分。</w:t>
            </w:r>
          </w:p>
          <w:p w14:paraId="6315134F">
            <w:pPr>
              <w:spacing w:line="360" w:lineRule="exact"/>
              <w:rPr>
                <w:rFonts w:hint="eastAsia"/>
                <w:b/>
                <w:bCs/>
                <w:lang w:eastAsia="zh-CN"/>
              </w:rPr>
            </w:pPr>
            <w:r>
              <w:rPr>
                <w:rFonts w:hint="eastAsia"/>
                <w:b/>
                <w:bCs/>
                <w:lang w:val="en-US" w:eastAsia="zh-CN"/>
              </w:rPr>
              <w:t>注：1、</w:t>
            </w:r>
            <w:r>
              <w:rPr>
                <w:rFonts w:hint="eastAsia"/>
                <w:b/>
                <w:bCs/>
                <w:lang w:eastAsia="zh-CN"/>
              </w:rPr>
              <w:t>提供项目负责人花名册包括姓名、性别、学历、职称证及项目负责人业绩证明材料扫描件（</w:t>
            </w:r>
            <w:r>
              <w:rPr>
                <w:rFonts w:hint="eastAsia" w:ascii="宋体" w:hAnsi="宋体" w:cs="宋体"/>
                <w:b/>
                <w:bCs/>
                <w:szCs w:val="21"/>
              </w:rPr>
              <w:t>项目合同关键页或中标通知书等能体现</w:t>
            </w:r>
            <w:r>
              <w:rPr>
                <w:rFonts w:hint="eastAsia" w:ascii="宋体" w:hAnsi="宋体" w:cs="宋体"/>
                <w:b/>
                <w:bCs/>
                <w:szCs w:val="21"/>
                <w:lang w:val="en-US" w:eastAsia="zh-CN"/>
              </w:rPr>
              <w:t>技术</w:t>
            </w:r>
            <w:r>
              <w:rPr>
                <w:rFonts w:hint="eastAsia" w:ascii="宋体" w:hAnsi="宋体" w:cs="宋体"/>
                <w:b/>
                <w:bCs/>
                <w:szCs w:val="21"/>
              </w:rPr>
              <w:t>负责人信息的证明材料</w:t>
            </w:r>
            <w:r>
              <w:rPr>
                <w:rFonts w:hint="eastAsia"/>
                <w:b/>
                <w:bCs/>
                <w:lang w:eastAsia="zh-CN"/>
              </w:rPr>
              <w:t>）。</w:t>
            </w:r>
          </w:p>
          <w:p w14:paraId="40A58649">
            <w:pPr>
              <w:spacing w:line="400" w:lineRule="exact"/>
              <w:rPr>
                <w:rFonts w:ascii="宋体" w:hAnsi="宋体" w:cs="宋体"/>
                <w:szCs w:val="21"/>
              </w:rPr>
            </w:pPr>
            <w:r>
              <w:rPr>
                <w:rFonts w:hint="eastAsia"/>
                <w:b/>
                <w:bCs/>
                <w:lang w:val="en-US" w:eastAsia="zh-CN"/>
              </w:rPr>
              <w:t>2、须提供2024年10月以来任意一个月投标人为其缴纳的社保证明材料，否则，不予以计分。</w:t>
            </w:r>
          </w:p>
        </w:tc>
      </w:tr>
      <w:tr w14:paraId="6CA6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vMerge w:val="restart"/>
            <w:tcBorders>
              <w:top w:val="single" w:color="auto" w:sz="4" w:space="0"/>
              <w:left w:val="single" w:color="auto" w:sz="4" w:space="0"/>
              <w:right w:val="single" w:color="auto" w:sz="4" w:space="0"/>
            </w:tcBorders>
            <w:vAlign w:val="center"/>
          </w:tcPr>
          <w:p w14:paraId="564B9254">
            <w:pPr>
              <w:snapToGrid w:val="0"/>
              <w:spacing w:line="360" w:lineRule="auto"/>
              <w:jc w:val="center"/>
              <w:rPr>
                <w:rFonts w:ascii="宋体" w:hAnsi="宋体" w:cs="宋体"/>
                <w:szCs w:val="21"/>
              </w:rPr>
            </w:pPr>
            <w:r>
              <w:rPr>
                <w:rFonts w:hint="eastAsia" w:ascii="宋体" w:hAnsi="宋体" w:cs="宋体"/>
                <w:szCs w:val="21"/>
              </w:rPr>
              <w:t>3</w:t>
            </w:r>
          </w:p>
        </w:tc>
        <w:tc>
          <w:tcPr>
            <w:tcW w:w="740" w:type="pct"/>
            <w:vMerge w:val="restart"/>
            <w:tcBorders>
              <w:top w:val="single" w:color="auto" w:sz="4" w:space="0"/>
              <w:left w:val="single" w:color="auto" w:sz="4" w:space="0"/>
              <w:right w:val="single" w:color="auto" w:sz="4" w:space="0"/>
            </w:tcBorders>
            <w:vAlign w:val="center"/>
          </w:tcPr>
          <w:p w14:paraId="167D977E">
            <w:pPr>
              <w:snapToGrid w:val="0"/>
              <w:spacing w:line="360" w:lineRule="auto"/>
              <w:jc w:val="center"/>
              <w:rPr>
                <w:rFonts w:ascii="宋体" w:hAnsi="宋体" w:cs="宋体"/>
                <w:b/>
                <w:szCs w:val="21"/>
              </w:rPr>
            </w:pPr>
            <w:r>
              <w:rPr>
                <w:rFonts w:hint="eastAsia" w:ascii="宋体" w:hAnsi="宋体" w:cs="宋体"/>
                <w:b/>
                <w:szCs w:val="21"/>
              </w:rPr>
              <w:t>商务分</w:t>
            </w:r>
            <w:r>
              <w:rPr>
                <w:rFonts w:hint="eastAsia" w:ascii="宋体" w:hAnsi="宋体" w:cs="宋体"/>
                <w:b/>
                <w:bCs/>
                <w:szCs w:val="21"/>
              </w:rPr>
              <w:t>（</w:t>
            </w:r>
            <w:r>
              <w:rPr>
                <w:rFonts w:hint="eastAsia" w:ascii="宋体" w:hAnsi="宋体" w:cs="宋体"/>
                <w:b/>
                <w:szCs w:val="21"/>
              </w:rPr>
              <w:t>满分</w:t>
            </w:r>
            <w:r>
              <w:rPr>
                <w:rFonts w:hint="eastAsia" w:ascii="宋体" w:hAnsi="宋体" w:cs="宋体"/>
                <w:b/>
                <w:szCs w:val="21"/>
                <w:u w:val="single"/>
              </w:rPr>
              <w:t>24</w:t>
            </w:r>
            <w:r>
              <w:rPr>
                <w:rFonts w:hint="eastAsia" w:ascii="宋体" w:hAnsi="宋体" w:cs="宋体"/>
                <w:b/>
                <w:szCs w:val="21"/>
              </w:rPr>
              <w:t>分</w:t>
            </w:r>
            <w:r>
              <w:rPr>
                <w:rFonts w:hint="eastAsia" w:ascii="宋体" w:hAnsi="宋体" w:cs="宋体"/>
                <w:b/>
                <w:bCs/>
                <w:szCs w:val="21"/>
              </w:rPr>
              <w:t>）</w:t>
            </w:r>
          </w:p>
        </w:tc>
        <w:tc>
          <w:tcPr>
            <w:tcW w:w="667" w:type="pct"/>
            <w:tcBorders>
              <w:top w:val="single" w:color="auto" w:sz="4" w:space="0"/>
              <w:left w:val="single" w:color="auto" w:sz="4" w:space="0"/>
              <w:bottom w:val="single" w:color="auto" w:sz="4" w:space="0"/>
              <w:right w:val="single" w:color="auto" w:sz="4" w:space="0"/>
            </w:tcBorders>
            <w:vAlign w:val="center"/>
          </w:tcPr>
          <w:p w14:paraId="19D43095">
            <w:pPr>
              <w:spacing w:line="400" w:lineRule="exact"/>
              <w:jc w:val="center"/>
              <w:rPr>
                <w:rFonts w:ascii="宋体" w:hAnsi="宋体" w:cs="宋体"/>
                <w:kern w:val="0"/>
                <w:szCs w:val="21"/>
              </w:rPr>
            </w:pPr>
            <w:r>
              <w:rPr>
                <w:rFonts w:hint="eastAsia" w:ascii="宋体" w:hAnsi="宋体"/>
                <w:bCs/>
                <w:kern w:val="0"/>
                <w:szCs w:val="20"/>
              </w:rPr>
              <w:t>实力信誉及业绩</w:t>
            </w:r>
            <w:r>
              <w:rPr>
                <w:rFonts w:ascii="宋体" w:hAnsi="宋体"/>
                <w:bCs/>
                <w:kern w:val="0"/>
                <w:szCs w:val="20"/>
              </w:rPr>
              <w:t>（</w:t>
            </w:r>
            <w:r>
              <w:rPr>
                <w:rFonts w:hint="eastAsia" w:ascii="宋体" w:hAnsi="宋体"/>
                <w:bCs/>
                <w:kern w:val="0"/>
                <w:szCs w:val="20"/>
              </w:rPr>
              <w:t>满分6分</w:t>
            </w:r>
            <w:r>
              <w:rPr>
                <w:rFonts w:ascii="宋体" w:hAnsi="宋体"/>
                <w:bCs/>
                <w:kern w:val="0"/>
                <w:szCs w:val="20"/>
              </w:rPr>
              <w:t>）</w:t>
            </w:r>
          </w:p>
        </w:tc>
        <w:tc>
          <w:tcPr>
            <w:tcW w:w="3307" w:type="pct"/>
            <w:gridSpan w:val="2"/>
            <w:tcBorders>
              <w:top w:val="single" w:color="auto" w:sz="4" w:space="0"/>
              <w:left w:val="single" w:color="auto" w:sz="4" w:space="0"/>
              <w:bottom w:val="single" w:color="auto" w:sz="4" w:space="0"/>
              <w:right w:val="single" w:color="auto" w:sz="4" w:space="0"/>
            </w:tcBorders>
            <w:vAlign w:val="center"/>
          </w:tcPr>
          <w:p w14:paraId="15EB5871">
            <w:pPr>
              <w:spacing w:line="400" w:lineRule="exact"/>
              <w:rPr>
                <w:rFonts w:ascii="宋体" w:hAnsi="宋体" w:cs="宋体"/>
                <w:szCs w:val="21"/>
              </w:rPr>
            </w:pPr>
            <w:r>
              <w:rPr>
                <w:rFonts w:hint="eastAsia" w:ascii="宋体" w:hAnsi="宋体" w:cs="宋体"/>
                <w:szCs w:val="21"/>
              </w:rPr>
              <w:t>（1）投标人通过ISO9001质量管理体系认证</w:t>
            </w:r>
            <w:r>
              <w:rPr>
                <w:rFonts w:hint="eastAsia" w:ascii="宋体" w:hAnsi="宋体" w:cs="宋体"/>
                <w:szCs w:val="21"/>
                <w:lang w:eastAsia="zh-CN"/>
              </w:rPr>
              <w:t>的</w:t>
            </w:r>
            <w:r>
              <w:rPr>
                <w:rFonts w:hint="eastAsia" w:ascii="宋体" w:hAnsi="宋体" w:cs="宋体"/>
                <w:szCs w:val="21"/>
              </w:rPr>
              <w:t>得</w:t>
            </w:r>
            <w:r>
              <w:rPr>
                <w:rFonts w:hint="eastAsia" w:ascii="宋体" w:hAnsi="宋体" w:cs="宋体"/>
                <w:szCs w:val="21"/>
                <w:lang w:val="en-US" w:eastAsia="zh-CN"/>
              </w:rPr>
              <w:t>3</w:t>
            </w:r>
            <w:r>
              <w:rPr>
                <w:rFonts w:hint="eastAsia" w:ascii="宋体" w:hAnsi="宋体" w:cs="宋体"/>
                <w:szCs w:val="21"/>
              </w:rPr>
              <w:t>分。（提供有效期内的证书扫描件）</w:t>
            </w:r>
          </w:p>
          <w:p w14:paraId="5D88430C">
            <w:pPr>
              <w:spacing w:line="400" w:lineRule="exact"/>
              <w:rPr>
                <w:rFonts w:ascii="宋体" w:hAnsi="宋体" w:cs="宋体"/>
                <w:bCs/>
                <w:szCs w:val="21"/>
              </w:rPr>
            </w:pPr>
            <w:r>
              <w:rPr>
                <w:rFonts w:hint="eastAsia" w:ascii="宋体" w:hAnsi="宋体" w:cs="宋体"/>
                <w:szCs w:val="21"/>
              </w:rPr>
              <w:t>（2）投标人</w:t>
            </w:r>
            <w:r>
              <w:rPr>
                <w:rFonts w:hint="eastAsia" w:ascii="宋体" w:hAnsi="宋体" w:cs="宋体"/>
                <w:color w:val="auto"/>
                <w:szCs w:val="21"/>
                <w:highlight w:val="none"/>
              </w:rPr>
              <w:t>2022</w:t>
            </w:r>
            <w:r>
              <w:rPr>
                <w:rFonts w:hint="eastAsia" w:ascii="宋体" w:hAnsi="宋体" w:cs="宋体"/>
                <w:szCs w:val="21"/>
              </w:rPr>
              <w:t>年</w:t>
            </w:r>
            <w:r>
              <w:rPr>
                <w:rFonts w:hint="eastAsia" w:ascii="宋体" w:hAnsi="宋体" w:cs="宋体"/>
                <w:szCs w:val="21"/>
                <w:lang w:val="en-US" w:eastAsia="zh-CN"/>
              </w:rPr>
              <w:t>1月</w:t>
            </w:r>
            <w:r>
              <w:rPr>
                <w:rFonts w:hint="eastAsia" w:ascii="宋体" w:hAnsi="宋体" w:cs="宋体"/>
                <w:szCs w:val="21"/>
              </w:rPr>
              <w:t>以来同类服务（隧道检测类）的业绩分，每个业绩（项目）得1分（以中标通知书或合同扫描件为准，并提供相关佐证材料），本项满分3分。</w:t>
            </w:r>
          </w:p>
        </w:tc>
      </w:tr>
      <w:tr w14:paraId="711D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vMerge w:val="continue"/>
            <w:tcBorders>
              <w:left w:val="single" w:color="auto" w:sz="4" w:space="0"/>
              <w:right w:val="single" w:color="auto" w:sz="4" w:space="0"/>
            </w:tcBorders>
            <w:vAlign w:val="center"/>
          </w:tcPr>
          <w:p w14:paraId="0D553BE3">
            <w:pPr>
              <w:snapToGrid w:val="0"/>
              <w:spacing w:line="360" w:lineRule="auto"/>
              <w:jc w:val="center"/>
              <w:rPr>
                <w:rFonts w:ascii="宋体" w:hAnsi="宋体" w:cs="宋体"/>
                <w:szCs w:val="21"/>
              </w:rPr>
            </w:pPr>
          </w:p>
        </w:tc>
        <w:tc>
          <w:tcPr>
            <w:tcW w:w="740" w:type="pct"/>
            <w:vMerge w:val="continue"/>
            <w:tcBorders>
              <w:left w:val="single" w:color="auto" w:sz="4" w:space="0"/>
              <w:right w:val="single" w:color="auto" w:sz="4" w:space="0"/>
            </w:tcBorders>
            <w:vAlign w:val="center"/>
          </w:tcPr>
          <w:p w14:paraId="0CD69C76">
            <w:pPr>
              <w:snapToGrid w:val="0"/>
              <w:spacing w:line="360" w:lineRule="auto"/>
              <w:jc w:val="center"/>
              <w:rPr>
                <w:rFonts w:ascii="宋体" w:hAnsi="宋体" w:cs="宋体"/>
                <w:b/>
                <w:szCs w:val="21"/>
              </w:rPr>
            </w:pPr>
          </w:p>
        </w:tc>
        <w:tc>
          <w:tcPr>
            <w:tcW w:w="667" w:type="pct"/>
            <w:tcBorders>
              <w:top w:val="single" w:color="auto" w:sz="4" w:space="0"/>
              <w:left w:val="single" w:color="auto" w:sz="4" w:space="0"/>
              <w:bottom w:val="single" w:color="auto" w:sz="4" w:space="0"/>
              <w:right w:val="single" w:color="auto" w:sz="4" w:space="0"/>
            </w:tcBorders>
            <w:vAlign w:val="center"/>
          </w:tcPr>
          <w:p w14:paraId="0475C9E3">
            <w:pPr>
              <w:spacing w:line="400" w:lineRule="exact"/>
              <w:jc w:val="center"/>
              <w:rPr>
                <w:rFonts w:ascii="宋体" w:hAnsi="宋体" w:cs="宋体"/>
                <w:bCs/>
                <w:szCs w:val="21"/>
              </w:rPr>
            </w:pPr>
            <w:r>
              <w:rPr>
                <w:rFonts w:hint="eastAsia" w:ascii="宋体" w:hAnsi="宋体"/>
                <w:bCs/>
                <w:kern w:val="0"/>
                <w:szCs w:val="20"/>
              </w:rPr>
              <w:t>售后服务</w:t>
            </w:r>
            <w:r>
              <w:rPr>
                <w:rFonts w:ascii="宋体" w:hAnsi="宋体"/>
                <w:bCs/>
                <w:kern w:val="0"/>
                <w:szCs w:val="20"/>
              </w:rPr>
              <w:t>（</w:t>
            </w:r>
            <w:r>
              <w:rPr>
                <w:rFonts w:hint="eastAsia" w:ascii="宋体" w:hAnsi="宋体"/>
                <w:bCs/>
                <w:kern w:val="0"/>
                <w:szCs w:val="20"/>
              </w:rPr>
              <w:t>满分8分</w:t>
            </w:r>
            <w:r>
              <w:rPr>
                <w:rFonts w:ascii="宋体" w:hAnsi="宋体"/>
                <w:bCs/>
                <w:kern w:val="0"/>
                <w:szCs w:val="20"/>
              </w:rPr>
              <w:t>）</w:t>
            </w:r>
          </w:p>
        </w:tc>
        <w:tc>
          <w:tcPr>
            <w:tcW w:w="3307" w:type="pct"/>
            <w:gridSpan w:val="2"/>
            <w:tcBorders>
              <w:top w:val="single" w:color="auto" w:sz="4" w:space="0"/>
              <w:left w:val="single" w:color="auto" w:sz="4" w:space="0"/>
              <w:bottom w:val="single" w:color="auto" w:sz="4" w:space="0"/>
              <w:right w:val="single" w:color="auto" w:sz="4" w:space="0"/>
            </w:tcBorders>
            <w:vAlign w:val="center"/>
          </w:tcPr>
          <w:p w14:paraId="7065C611">
            <w:pPr>
              <w:spacing w:line="400" w:lineRule="exact"/>
              <w:rPr>
                <w:rFonts w:ascii="宋体" w:hAnsi="宋体" w:cs="宋体"/>
                <w:szCs w:val="21"/>
              </w:rPr>
            </w:pPr>
            <w:r>
              <w:rPr>
                <w:rFonts w:hint="eastAsia" w:ascii="宋体" w:hAnsi="宋体" w:cs="宋体"/>
                <w:szCs w:val="21"/>
              </w:rPr>
              <w:t>（1）满足招标文件质保期及售后服务要求，承诺接到采购人处理问题通知5小时内派相应专业技术人员到达采购人指定现场，得1分。</w:t>
            </w:r>
          </w:p>
          <w:p w14:paraId="3A325E33">
            <w:pPr>
              <w:spacing w:line="400" w:lineRule="exact"/>
              <w:rPr>
                <w:rFonts w:ascii="宋体" w:hAnsi="宋体" w:cs="宋体"/>
                <w:szCs w:val="21"/>
              </w:rPr>
            </w:pPr>
            <w:r>
              <w:rPr>
                <w:rFonts w:hint="eastAsia" w:ascii="宋体" w:hAnsi="宋体" w:cs="宋体"/>
                <w:szCs w:val="21"/>
              </w:rPr>
              <w:t>（2）满足招标文件质保期及售后服务要求，有售后服务体系，承诺接到采购人处理问题通知4小时内派相应专业技术人员到达采购人指定现场，得3分。</w:t>
            </w:r>
          </w:p>
          <w:p w14:paraId="15BA12E3">
            <w:pPr>
              <w:spacing w:line="400" w:lineRule="exact"/>
              <w:rPr>
                <w:rFonts w:ascii="宋体" w:hAnsi="宋体" w:cs="宋体"/>
                <w:szCs w:val="21"/>
              </w:rPr>
            </w:pPr>
            <w:r>
              <w:rPr>
                <w:rFonts w:hint="eastAsia" w:ascii="宋体" w:hAnsi="宋体" w:cs="宋体"/>
                <w:szCs w:val="21"/>
              </w:rPr>
              <w:t>（3）售后服务方案优于招标文件质保期及售后服务要求，有完善的售后服务体系及定期检查安排，承诺接到采购人处理问题通知3小时内派相应专业技术人员到达采购人指定现场，定期回访，得5分。</w:t>
            </w:r>
          </w:p>
          <w:p w14:paraId="0C36741B">
            <w:pPr>
              <w:spacing w:line="400" w:lineRule="exact"/>
              <w:rPr>
                <w:rFonts w:ascii="宋体" w:hAnsi="宋体" w:cs="宋体"/>
                <w:bCs/>
                <w:kern w:val="0"/>
                <w:szCs w:val="21"/>
                <w:lang w:val="zh-CN"/>
              </w:rPr>
            </w:pPr>
            <w:r>
              <w:rPr>
                <w:rFonts w:hint="eastAsia" w:ascii="宋体" w:hAnsi="宋体" w:cs="宋体"/>
                <w:szCs w:val="21"/>
              </w:rPr>
              <w:t>（4）售后服务方案优于招标文件质保期及售后服务要求，有完善的售后服务体系及定期检查安排，承诺接到采购人处理问题通知2小时内派相应专业技术人员到达采购人指定现场，定期回访，得8分。</w:t>
            </w:r>
          </w:p>
        </w:tc>
      </w:tr>
      <w:tr w14:paraId="795B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 w:type="pct"/>
            <w:vMerge w:val="continue"/>
            <w:tcBorders>
              <w:left w:val="single" w:color="auto" w:sz="4" w:space="0"/>
              <w:right w:val="single" w:color="auto" w:sz="4" w:space="0"/>
            </w:tcBorders>
            <w:vAlign w:val="center"/>
          </w:tcPr>
          <w:p w14:paraId="6C2D0C72">
            <w:pPr>
              <w:snapToGrid w:val="0"/>
              <w:spacing w:line="360" w:lineRule="auto"/>
              <w:jc w:val="center"/>
              <w:rPr>
                <w:rFonts w:ascii="宋体" w:hAnsi="宋体" w:cs="宋体"/>
                <w:szCs w:val="21"/>
              </w:rPr>
            </w:pPr>
          </w:p>
        </w:tc>
        <w:tc>
          <w:tcPr>
            <w:tcW w:w="740" w:type="pct"/>
            <w:vMerge w:val="continue"/>
            <w:tcBorders>
              <w:left w:val="single" w:color="auto" w:sz="4" w:space="0"/>
              <w:right w:val="single" w:color="auto" w:sz="4" w:space="0"/>
            </w:tcBorders>
            <w:vAlign w:val="center"/>
          </w:tcPr>
          <w:p w14:paraId="643B4C44">
            <w:pPr>
              <w:snapToGrid w:val="0"/>
              <w:spacing w:line="360" w:lineRule="auto"/>
              <w:jc w:val="center"/>
              <w:rPr>
                <w:rFonts w:ascii="宋体" w:hAnsi="宋体" w:cs="宋体"/>
                <w:b/>
                <w:szCs w:val="21"/>
              </w:rPr>
            </w:pPr>
          </w:p>
        </w:tc>
        <w:tc>
          <w:tcPr>
            <w:tcW w:w="667" w:type="pct"/>
            <w:tcBorders>
              <w:top w:val="single" w:color="auto" w:sz="4" w:space="0"/>
              <w:left w:val="single" w:color="auto" w:sz="4" w:space="0"/>
              <w:bottom w:val="single" w:color="auto" w:sz="4" w:space="0"/>
              <w:right w:val="single" w:color="auto" w:sz="4" w:space="0"/>
            </w:tcBorders>
            <w:vAlign w:val="center"/>
          </w:tcPr>
          <w:p w14:paraId="1E0E5E05">
            <w:pPr>
              <w:rPr>
                <w:rFonts w:ascii="宋体" w:hAnsi="宋体"/>
                <w:bCs/>
                <w:kern w:val="0"/>
                <w:szCs w:val="20"/>
              </w:rPr>
            </w:pPr>
            <w:r>
              <w:rPr>
                <w:rFonts w:hint="eastAsia" w:ascii="宋体" w:hAnsi="宋体"/>
                <w:bCs/>
                <w:kern w:val="0"/>
                <w:szCs w:val="20"/>
              </w:rPr>
              <w:t>专业服务及服务时限（满分10 分）</w:t>
            </w:r>
          </w:p>
          <w:p w14:paraId="0E4B0B57">
            <w:pPr>
              <w:spacing w:line="400" w:lineRule="exact"/>
              <w:jc w:val="center"/>
              <w:rPr>
                <w:rFonts w:ascii="宋体" w:hAnsi="宋体" w:cs="宋体"/>
                <w:bCs/>
                <w:szCs w:val="21"/>
              </w:rPr>
            </w:pPr>
          </w:p>
        </w:tc>
        <w:tc>
          <w:tcPr>
            <w:tcW w:w="3307" w:type="pct"/>
            <w:gridSpan w:val="2"/>
            <w:tcBorders>
              <w:top w:val="single" w:color="auto" w:sz="4" w:space="0"/>
              <w:left w:val="single" w:color="auto" w:sz="4" w:space="0"/>
              <w:bottom w:val="single" w:color="auto" w:sz="4" w:space="0"/>
              <w:right w:val="single" w:color="auto" w:sz="4" w:space="0"/>
            </w:tcBorders>
            <w:vAlign w:val="center"/>
          </w:tcPr>
          <w:p w14:paraId="3F5E7813">
            <w:pPr>
              <w:spacing w:line="400" w:lineRule="exact"/>
              <w:rPr>
                <w:rFonts w:ascii="宋体" w:hAnsi="宋体" w:cs="宋体"/>
                <w:szCs w:val="21"/>
              </w:rPr>
            </w:pPr>
            <w:r>
              <w:rPr>
                <w:rFonts w:hint="eastAsia" w:ascii="宋体" w:hAnsi="宋体" w:cs="宋体"/>
                <w:szCs w:val="21"/>
              </w:rPr>
              <w:t>（1）满足招标文件服务要求，接到采购人处理问题通知后，按时到达采购人指定现场，并在5日（日历天）内提供合理可行的解决意见和方案，得1分。</w:t>
            </w:r>
          </w:p>
          <w:p w14:paraId="030CFC3A">
            <w:pPr>
              <w:spacing w:line="400" w:lineRule="exact"/>
              <w:rPr>
                <w:rFonts w:ascii="宋体" w:hAnsi="宋体" w:cs="宋体"/>
                <w:szCs w:val="21"/>
              </w:rPr>
            </w:pPr>
            <w:r>
              <w:rPr>
                <w:rFonts w:hint="eastAsia" w:ascii="宋体" w:hAnsi="宋体" w:cs="宋体"/>
                <w:szCs w:val="21"/>
              </w:rPr>
              <w:t>（2）满足招标文件服务要求，有专业服务体系，接到采购人处理问题通知后，在采购人要求时限内到达采购人指定现场，并在4日（日历天）内提供合理可行的解决意见和方案，得3分。</w:t>
            </w:r>
          </w:p>
          <w:p w14:paraId="2EF4229E">
            <w:pPr>
              <w:spacing w:line="400" w:lineRule="exact"/>
              <w:rPr>
                <w:rFonts w:ascii="宋体" w:hAnsi="宋体" w:cs="宋体"/>
                <w:szCs w:val="21"/>
              </w:rPr>
            </w:pPr>
            <w:r>
              <w:rPr>
                <w:rFonts w:hint="eastAsia" w:ascii="宋体" w:hAnsi="宋体" w:cs="宋体"/>
                <w:szCs w:val="21"/>
              </w:rPr>
              <w:t>（3）专业服务方案优于招标文件要求，有完善的专业服务体系，接到采购人处理问题通知后，在采购人要求时限内到达采购人指定现场，并在3日（日历天）内提供合理可行的解决意见和方案，得5分。</w:t>
            </w:r>
          </w:p>
          <w:p w14:paraId="45D055EE">
            <w:pPr>
              <w:spacing w:line="400" w:lineRule="exact"/>
              <w:rPr>
                <w:rFonts w:ascii="宋体" w:hAnsi="宋体" w:cs="宋体"/>
                <w:szCs w:val="21"/>
              </w:rPr>
            </w:pPr>
            <w:r>
              <w:rPr>
                <w:rFonts w:hint="eastAsia" w:ascii="宋体" w:hAnsi="宋体" w:cs="宋体"/>
                <w:szCs w:val="21"/>
              </w:rPr>
              <w:t>（4）专业服务方案优于招标文件要求，有完善的专业服务体系，接到采购人处理问题通知后，在采购人要求时限内到达采购人指定现场，并在2日（日历天）内提供合理可行的解决意见和方案，得7分。</w:t>
            </w:r>
          </w:p>
          <w:p w14:paraId="40D94788">
            <w:pPr>
              <w:spacing w:line="400" w:lineRule="exact"/>
              <w:rPr>
                <w:rFonts w:ascii="宋体" w:hAnsi="宋体" w:cs="宋体"/>
                <w:bCs/>
                <w:kern w:val="0"/>
                <w:szCs w:val="21"/>
                <w:lang w:val="zh-CN"/>
              </w:rPr>
            </w:pPr>
            <w:r>
              <w:rPr>
                <w:rFonts w:hint="eastAsia" w:ascii="宋体" w:hAnsi="宋体" w:cs="宋体"/>
                <w:szCs w:val="21"/>
              </w:rPr>
              <w:t>（5）专业服务方案优于招标文件要求，有完善的专业服务体系及定期回访体系，接到采购人处理问题通知后，在采购人要求时限内到达采购人指定现场，并在1日（日历天）内提供合理可行的解决意见和方案，得10分。</w:t>
            </w:r>
          </w:p>
        </w:tc>
      </w:tr>
      <w:tr w14:paraId="230C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7D85D76B">
            <w:pPr>
              <w:pStyle w:val="18"/>
              <w:snapToGrid w:val="0"/>
              <w:spacing w:line="360" w:lineRule="auto"/>
              <w:rPr>
                <w:rFonts w:hAnsi="宋体" w:cs="宋体"/>
                <w:b/>
                <w:bCs/>
              </w:rPr>
            </w:pPr>
            <w:r>
              <w:rPr>
                <w:rFonts w:hint="eastAsia" w:hAnsi="宋体" w:cs="宋体"/>
                <w:b/>
                <w:bCs/>
              </w:rPr>
              <w:t>总得分=1+2+3</w:t>
            </w:r>
          </w:p>
        </w:tc>
      </w:tr>
    </w:tbl>
    <w:p w14:paraId="14EBFF9A">
      <w:pPr>
        <w:pStyle w:val="5"/>
        <w:keepNext w:val="0"/>
        <w:keepLines w:val="0"/>
        <w:spacing w:line="360" w:lineRule="auto"/>
        <w:ind w:firstLine="420"/>
        <w:rPr>
          <w:rFonts w:asciiTheme="minorEastAsia" w:hAnsiTheme="minorEastAsia" w:eastAsiaTheme="minorEastAsia"/>
          <w:b w:val="0"/>
          <w:sz w:val="21"/>
          <w:szCs w:val="21"/>
        </w:rPr>
      </w:pPr>
      <w:bookmarkStart w:id="129" w:name="_Toc187761567"/>
      <w:r>
        <w:rPr>
          <w:rFonts w:hint="eastAsia" w:asciiTheme="minorEastAsia" w:hAnsiTheme="minorEastAsia" w:eastAsiaTheme="minorEastAsia"/>
          <w:b w:val="0"/>
          <w:sz w:val="21"/>
          <w:szCs w:val="21"/>
        </w:rPr>
        <w:t>注：1.计分方法按四舍五入取至百分位。</w:t>
      </w:r>
      <w:bookmarkEnd w:id="129"/>
    </w:p>
    <w:p w14:paraId="7D55D1CB">
      <w:pPr>
        <w:pStyle w:val="18"/>
        <w:spacing w:line="360" w:lineRule="auto"/>
        <w:ind w:firstLine="420"/>
        <w:rPr>
          <w:rFonts w:hAnsi="宋体"/>
          <w:bCs/>
        </w:rPr>
      </w:pPr>
      <w:r>
        <w:rPr>
          <w:rFonts w:hint="eastAsia" w:hAnsi="宋体"/>
          <w:b/>
          <w:bCs/>
        </w:rPr>
        <w:t>2.本项目为服务采购项目，不属于财政部规定的节能产品和环境标志产品范畴，不适用财库〔2019〕9号及财库〔2019〕19号文件规定。</w:t>
      </w:r>
    </w:p>
    <w:p w14:paraId="38AA32B7">
      <w:pPr>
        <w:pStyle w:val="18"/>
        <w:spacing w:line="360" w:lineRule="auto"/>
        <w:ind w:firstLine="420"/>
        <w:rPr>
          <w:rFonts w:hAnsi="宋体"/>
          <w:bCs/>
        </w:rPr>
      </w:pPr>
      <w:r>
        <w:rPr>
          <w:rFonts w:hint="eastAsia" w:hAnsi="宋体"/>
          <w:bCs/>
        </w:rPr>
        <w:br w:type="page"/>
      </w:r>
    </w:p>
    <w:bookmarkEnd w:id="128"/>
    <w:p w14:paraId="5D2ACF81">
      <w:pPr>
        <w:pStyle w:val="4"/>
        <w:jc w:val="center"/>
        <w:rPr>
          <w:b w:val="0"/>
          <w:sz w:val="30"/>
          <w:szCs w:val="30"/>
        </w:rPr>
      </w:pPr>
      <w:bookmarkStart w:id="130" w:name="_Toc187761568"/>
      <w:r>
        <w:rPr>
          <w:rFonts w:hint="eastAsia"/>
          <w:b w:val="0"/>
          <w:sz w:val="30"/>
          <w:szCs w:val="30"/>
        </w:rPr>
        <w:t>第四节中标候选人推荐原则</w:t>
      </w:r>
      <w:bookmarkEnd w:id="130"/>
    </w:p>
    <w:p w14:paraId="79FA0952">
      <w:pPr>
        <w:pStyle w:val="18"/>
        <w:numPr>
          <w:ilvl w:val="0"/>
          <w:numId w:val="4"/>
        </w:numPr>
        <w:spacing w:line="360" w:lineRule="auto"/>
        <w:contextualSpacing/>
        <w:rPr>
          <w:rFonts w:hAnsi="宋体"/>
          <w:b/>
          <w:bCs/>
          <w:sz w:val="24"/>
          <w:szCs w:val="24"/>
        </w:rPr>
      </w:pPr>
      <w:r>
        <w:rPr>
          <w:rFonts w:hint="eastAsia" w:hAnsi="宋体"/>
          <w:b/>
          <w:bCs/>
          <w:sz w:val="24"/>
          <w:szCs w:val="24"/>
        </w:rPr>
        <w:t>综合评分法</w:t>
      </w:r>
    </w:p>
    <w:p w14:paraId="75C716D9">
      <w:pPr>
        <w:pStyle w:val="18"/>
        <w:spacing w:line="360" w:lineRule="auto"/>
        <w:ind w:firstLine="420" w:firstLineChars="200"/>
        <w:rPr>
          <w:rFonts w:hAnsi="宋体"/>
        </w:rPr>
      </w:pPr>
      <w:r>
        <w:rPr>
          <w:rFonts w:hint="eastAsia" w:hAnsi="宋体"/>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3B34832C">
      <w:pPr>
        <w:pStyle w:val="18"/>
        <w:spacing w:line="360" w:lineRule="auto"/>
        <w:ind w:firstLine="482" w:firstLineChars="200"/>
        <w:rPr>
          <w:rFonts w:hAnsi="宋体"/>
        </w:rPr>
      </w:pPr>
      <w:r>
        <w:rPr>
          <w:rFonts w:hint="eastAsia" w:hAnsi="宋体"/>
          <w:b/>
          <w:bCs/>
          <w:sz w:val="24"/>
          <w:szCs w:val="24"/>
        </w:rPr>
        <w:t>（二）最低评标报价法</w:t>
      </w:r>
    </w:p>
    <w:p w14:paraId="633962EF">
      <w:pPr>
        <w:pStyle w:val="18"/>
        <w:tabs>
          <w:tab w:val="left" w:pos="2472"/>
        </w:tabs>
        <w:spacing w:line="480" w:lineRule="exact"/>
        <w:ind w:firstLine="420" w:firstLineChars="200"/>
      </w:pPr>
      <w:r>
        <w:rPr>
          <w:rFonts w:hint="eastAsia" w:hAnsi="宋体"/>
        </w:rPr>
        <w:t>评标委员会将按照有效报价从低到高排序并推荐中标候选人。</w:t>
      </w:r>
      <w:r>
        <w:rPr>
          <w:rFonts w:hint="eastAsia"/>
        </w:rPr>
        <w:t>投标报价相同的并列，投标文件满足招标文件全部实质性要求且投标报价最低的投标人为排名第一的中标候选人；评标价相同且前述指标均相同时，由评标委员会各成员对评标价相同的供应商，当场投票表决，得票多者优先，并依照次序确定1家中标供应商。</w:t>
      </w:r>
    </w:p>
    <w:p w14:paraId="5BE79B49">
      <w:pPr>
        <w:pStyle w:val="4"/>
        <w:spacing w:before="0" w:after="0" w:line="360" w:lineRule="auto"/>
        <w:ind w:firstLine="600" w:firstLineChars="200"/>
        <w:jc w:val="center"/>
        <w:rPr>
          <w:b w:val="0"/>
          <w:sz w:val="30"/>
          <w:szCs w:val="30"/>
        </w:rPr>
      </w:pPr>
      <w:bookmarkStart w:id="131" w:name="_Toc187761569"/>
      <w:r>
        <w:rPr>
          <w:rFonts w:hint="eastAsia"/>
          <w:b w:val="0"/>
          <w:sz w:val="30"/>
          <w:szCs w:val="30"/>
        </w:rPr>
        <w:t>第五节评标报告</w:t>
      </w:r>
      <w:bookmarkEnd w:id="131"/>
    </w:p>
    <w:p w14:paraId="5EFBB329">
      <w:pPr>
        <w:pStyle w:val="70"/>
        <w:spacing w:before="0"/>
        <w:ind w:firstLine="482"/>
        <w:rPr>
          <w:rFonts w:ascii="宋体" w:hAnsi="宋体"/>
          <w:b/>
          <w:bCs/>
          <w:szCs w:val="24"/>
        </w:rPr>
      </w:pPr>
      <w:r>
        <w:rPr>
          <w:rFonts w:hint="eastAsia" w:ascii="宋体" w:hAnsi="宋体"/>
          <w:b/>
          <w:bCs/>
          <w:szCs w:val="24"/>
        </w:rPr>
        <w:t>（一）评标报告与推荐中标候选人</w:t>
      </w:r>
    </w:p>
    <w:p w14:paraId="553620BF">
      <w:pPr>
        <w:pStyle w:val="18"/>
        <w:tabs>
          <w:tab w:val="left" w:pos="2472"/>
        </w:tabs>
        <w:spacing w:line="360" w:lineRule="auto"/>
        <w:ind w:firstLine="420" w:firstLineChars="200"/>
        <w:rPr>
          <w:rFonts w:hAnsi="宋体"/>
        </w:rPr>
      </w:pPr>
      <w:r>
        <w:rPr>
          <w:rFonts w:hint="eastAsia" w:hAnsi="宋体"/>
        </w:rPr>
        <w:t>评标委员会根据原始评标记录和评标结果编写评标报告，并通过电子交易平台向采购人、采购代理机构提交。</w:t>
      </w:r>
    </w:p>
    <w:p w14:paraId="5DCDC226">
      <w:pPr>
        <w:widowControl/>
        <w:spacing w:line="360" w:lineRule="auto"/>
        <w:ind w:firstLine="482" w:firstLineChars="200"/>
        <w:jc w:val="left"/>
        <w:rPr>
          <w:rFonts w:ascii="宋体" w:hAnsi="宋体"/>
          <w:b/>
          <w:bCs/>
          <w:sz w:val="24"/>
        </w:rPr>
      </w:pPr>
      <w:r>
        <w:rPr>
          <w:rFonts w:hint="eastAsia" w:ascii="宋体" w:hAnsi="宋体"/>
          <w:b/>
          <w:bCs/>
          <w:sz w:val="24"/>
        </w:rPr>
        <w:t>（二）评标争议事项处理</w:t>
      </w:r>
    </w:p>
    <w:p w14:paraId="4D3FE664">
      <w:pPr>
        <w:pStyle w:val="18"/>
        <w:tabs>
          <w:tab w:val="left" w:pos="2472"/>
        </w:tabs>
        <w:spacing w:line="360" w:lineRule="auto"/>
        <w:ind w:firstLine="420" w:firstLineChars="200"/>
        <w:rPr>
          <w:rFonts w:hAnsi="宋体"/>
        </w:rPr>
      </w:pPr>
      <w:r>
        <w:rPr>
          <w:rFonts w:hint="eastAsia" w:hAnsi="宋体"/>
        </w:rPr>
        <w:t>评标委员会成员对需要共同认定的事项存在争议的，应当按照少数服从多数的原则作出结论。持不同意见的评标委员会成员应当在评标报告上签署不同意见及理由，否则视为同意评标报告。</w:t>
      </w:r>
    </w:p>
    <w:p w14:paraId="2C658B2B">
      <w:pPr>
        <w:widowControl/>
        <w:jc w:val="left"/>
        <w:rPr>
          <w:b/>
          <w:sz w:val="36"/>
          <w:szCs w:val="20"/>
        </w:rPr>
        <w:sectPr>
          <w:pgSz w:w="11906" w:h="16838"/>
          <w:pgMar w:top="1134" w:right="1134" w:bottom="1134" w:left="1134" w:header="720" w:footer="720" w:gutter="0"/>
          <w:cols w:space="720" w:num="1"/>
          <w:docGrid w:type="lines" w:linePitch="331" w:charSpace="0"/>
        </w:sectPr>
      </w:pPr>
    </w:p>
    <w:p w14:paraId="1CEC46DD">
      <w:pPr>
        <w:pStyle w:val="18"/>
        <w:tabs>
          <w:tab w:val="left" w:pos="2472"/>
        </w:tabs>
        <w:spacing w:line="460" w:lineRule="exact"/>
        <w:jc w:val="center"/>
        <w:rPr>
          <w:rFonts w:ascii="Times New Roman" w:hAnsi="Times New Roman"/>
          <w:b/>
          <w:sz w:val="36"/>
        </w:rPr>
      </w:pPr>
    </w:p>
    <w:p w14:paraId="601AE3A1">
      <w:pPr>
        <w:pStyle w:val="18"/>
        <w:tabs>
          <w:tab w:val="left" w:pos="2472"/>
        </w:tabs>
        <w:spacing w:line="460" w:lineRule="exact"/>
        <w:jc w:val="center"/>
        <w:rPr>
          <w:rFonts w:ascii="Times New Roman" w:hAnsi="Times New Roman"/>
          <w:b/>
          <w:sz w:val="36"/>
        </w:rPr>
      </w:pPr>
    </w:p>
    <w:p w14:paraId="54F52ED0">
      <w:pPr>
        <w:pStyle w:val="18"/>
        <w:tabs>
          <w:tab w:val="left" w:pos="2472"/>
        </w:tabs>
        <w:spacing w:line="460" w:lineRule="exact"/>
        <w:jc w:val="center"/>
        <w:rPr>
          <w:rFonts w:ascii="Times New Roman" w:hAnsi="Times New Roman"/>
          <w:b/>
          <w:sz w:val="36"/>
        </w:rPr>
      </w:pPr>
    </w:p>
    <w:p w14:paraId="625A671F">
      <w:pPr>
        <w:pStyle w:val="18"/>
        <w:tabs>
          <w:tab w:val="left" w:pos="2472"/>
        </w:tabs>
        <w:spacing w:line="460" w:lineRule="exact"/>
        <w:jc w:val="center"/>
        <w:rPr>
          <w:rFonts w:ascii="Times New Roman" w:hAnsi="Times New Roman"/>
          <w:b/>
          <w:sz w:val="36"/>
        </w:rPr>
      </w:pPr>
    </w:p>
    <w:p w14:paraId="3416BAE1">
      <w:pPr>
        <w:pStyle w:val="18"/>
        <w:tabs>
          <w:tab w:val="left" w:pos="2472"/>
        </w:tabs>
        <w:spacing w:line="460" w:lineRule="exact"/>
        <w:jc w:val="center"/>
        <w:rPr>
          <w:rFonts w:ascii="Times New Roman" w:hAnsi="Times New Roman"/>
          <w:b/>
          <w:sz w:val="36"/>
        </w:rPr>
      </w:pPr>
    </w:p>
    <w:p w14:paraId="0C75AB77">
      <w:pPr>
        <w:pStyle w:val="18"/>
        <w:tabs>
          <w:tab w:val="left" w:pos="2472"/>
        </w:tabs>
        <w:spacing w:line="460" w:lineRule="exact"/>
        <w:jc w:val="center"/>
        <w:rPr>
          <w:rFonts w:ascii="Times New Roman" w:hAnsi="Times New Roman"/>
          <w:b/>
          <w:sz w:val="36"/>
        </w:rPr>
      </w:pPr>
    </w:p>
    <w:p w14:paraId="7FA0DCFE">
      <w:pPr>
        <w:pStyle w:val="18"/>
        <w:tabs>
          <w:tab w:val="left" w:pos="2472"/>
        </w:tabs>
        <w:spacing w:line="460" w:lineRule="exact"/>
        <w:jc w:val="center"/>
        <w:rPr>
          <w:rFonts w:ascii="Times New Roman" w:hAnsi="Times New Roman"/>
          <w:b/>
          <w:sz w:val="36"/>
        </w:rPr>
      </w:pPr>
    </w:p>
    <w:p w14:paraId="07D5C844">
      <w:pPr>
        <w:pStyle w:val="18"/>
        <w:tabs>
          <w:tab w:val="left" w:pos="2472"/>
        </w:tabs>
        <w:spacing w:line="460" w:lineRule="exact"/>
        <w:jc w:val="center"/>
        <w:rPr>
          <w:rFonts w:ascii="Times New Roman" w:hAnsi="Times New Roman"/>
          <w:b/>
          <w:sz w:val="36"/>
        </w:rPr>
      </w:pPr>
    </w:p>
    <w:p w14:paraId="100C252C">
      <w:pPr>
        <w:pStyle w:val="18"/>
        <w:tabs>
          <w:tab w:val="left" w:pos="2472"/>
        </w:tabs>
        <w:spacing w:line="460" w:lineRule="exact"/>
        <w:jc w:val="center"/>
        <w:rPr>
          <w:rFonts w:ascii="Times New Roman" w:hAnsi="Times New Roman"/>
          <w:b/>
          <w:sz w:val="36"/>
        </w:rPr>
      </w:pPr>
    </w:p>
    <w:p w14:paraId="05B03F08">
      <w:pPr>
        <w:pStyle w:val="18"/>
        <w:tabs>
          <w:tab w:val="left" w:pos="2472"/>
        </w:tabs>
        <w:spacing w:line="460" w:lineRule="exact"/>
        <w:jc w:val="center"/>
        <w:rPr>
          <w:rFonts w:ascii="Times New Roman" w:hAnsi="Times New Roman"/>
          <w:b/>
          <w:sz w:val="36"/>
        </w:rPr>
      </w:pPr>
    </w:p>
    <w:p w14:paraId="42CDB005">
      <w:pPr>
        <w:pStyle w:val="18"/>
        <w:tabs>
          <w:tab w:val="left" w:pos="2472"/>
        </w:tabs>
        <w:spacing w:line="460" w:lineRule="exact"/>
        <w:jc w:val="center"/>
        <w:rPr>
          <w:rFonts w:ascii="Times New Roman" w:hAnsi="Times New Roman"/>
          <w:b/>
          <w:sz w:val="36"/>
        </w:rPr>
      </w:pPr>
    </w:p>
    <w:p w14:paraId="599ED61E">
      <w:pPr>
        <w:pStyle w:val="18"/>
        <w:tabs>
          <w:tab w:val="left" w:pos="2472"/>
        </w:tabs>
        <w:spacing w:line="460" w:lineRule="exact"/>
        <w:jc w:val="center"/>
        <w:rPr>
          <w:rFonts w:ascii="Times New Roman" w:hAnsi="Times New Roman"/>
          <w:b/>
          <w:sz w:val="36"/>
        </w:rPr>
      </w:pPr>
    </w:p>
    <w:p w14:paraId="21EBEDBF">
      <w:pPr>
        <w:pStyle w:val="18"/>
        <w:tabs>
          <w:tab w:val="left" w:pos="2472"/>
        </w:tabs>
        <w:spacing w:line="460" w:lineRule="exact"/>
        <w:jc w:val="center"/>
        <w:rPr>
          <w:rFonts w:ascii="Times New Roman" w:hAnsi="Times New Roman"/>
          <w:b/>
          <w:sz w:val="36"/>
        </w:rPr>
      </w:pPr>
    </w:p>
    <w:p w14:paraId="077102D9">
      <w:pPr>
        <w:pStyle w:val="18"/>
        <w:tabs>
          <w:tab w:val="left" w:pos="2472"/>
        </w:tabs>
        <w:spacing w:line="460" w:lineRule="exact"/>
        <w:jc w:val="center"/>
        <w:outlineLvl w:val="0"/>
        <w:rPr>
          <w:rFonts w:ascii="Times New Roman" w:hAnsi="Times New Roman"/>
          <w:b/>
          <w:sz w:val="36"/>
        </w:rPr>
      </w:pPr>
      <w:bookmarkStart w:id="132" w:name="_Toc187761570"/>
      <w:r>
        <w:rPr>
          <w:rFonts w:hint="eastAsia" w:ascii="Times New Roman" w:hAnsi="Times New Roman"/>
          <w:b/>
          <w:sz w:val="36"/>
        </w:rPr>
        <w:t>第五章拟签订的合同文本</w:t>
      </w:r>
      <w:bookmarkEnd w:id="132"/>
    </w:p>
    <w:p w14:paraId="4339A9EC">
      <w:pPr>
        <w:widowControl/>
        <w:jc w:val="left"/>
        <w:rPr>
          <w:rFonts w:ascii="宋体" w:hAnsi="Courier New"/>
          <w:bCs/>
          <w:szCs w:val="20"/>
        </w:rPr>
        <w:sectPr>
          <w:pgSz w:w="11906" w:h="16838"/>
          <w:pgMar w:top="1134" w:right="1134" w:bottom="1134" w:left="1134" w:header="720" w:footer="720" w:gutter="0"/>
          <w:cols w:space="720" w:num="1"/>
          <w:docGrid w:type="lines" w:linePitch="331" w:charSpace="0"/>
        </w:sectPr>
      </w:pPr>
    </w:p>
    <w:p w14:paraId="6A4BD00A">
      <w:pPr>
        <w:spacing w:line="360" w:lineRule="auto"/>
        <w:rPr>
          <w:rFonts w:ascii="仿宋_GB2312" w:hAnsi="楷体" w:eastAsia="仿宋_GB2312"/>
          <w:sz w:val="24"/>
        </w:rPr>
      </w:pPr>
    </w:p>
    <w:p w14:paraId="5B00E840">
      <w:pPr>
        <w:spacing w:line="360" w:lineRule="auto"/>
        <w:rPr>
          <w:rFonts w:ascii="仿宋_GB2312" w:hAnsi="楷体" w:eastAsia="仿宋_GB2312"/>
          <w:sz w:val="24"/>
          <w:u w:val="single"/>
        </w:rPr>
      </w:pPr>
      <w:r>
        <w:rPr>
          <w:rFonts w:hint="eastAsia" w:ascii="仿宋_GB2312" w:hAnsi="楷体" w:eastAsia="仿宋_GB2312"/>
          <w:sz w:val="24"/>
        </w:rPr>
        <w:t>“广西政府采购云”平台合同编号：</w:t>
      </w:r>
    </w:p>
    <w:p w14:paraId="76CF8E68">
      <w:pPr>
        <w:spacing w:line="360" w:lineRule="auto"/>
        <w:jc w:val="center"/>
        <w:rPr>
          <w:rFonts w:ascii="宋体"/>
          <w:b/>
          <w:bCs/>
          <w:sz w:val="52"/>
        </w:rPr>
      </w:pPr>
    </w:p>
    <w:p w14:paraId="3D462265">
      <w:pPr>
        <w:spacing w:line="360" w:lineRule="auto"/>
        <w:jc w:val="center"/>
        <w:rPr>
          <w:rFonts w:ascii="宋体"/>
          <w:b/>
          <w:bCs/>
          <w:sz w:val="52"/>
        </w:rPr>
      </w:pPr>
    </w:p>
    <w:p w14:paraId="0D0E3ED5">
      <w:pPr>
        <w:spacing w:line="360" w:lineRule="auto"/>
        <w:jc w:val="center"/>
        <w:rPr>
          <w:rFonts w:ascii="宋体"/>
          <w:b/>
          <w:bCs/>
          <w:sz w:val="52"/>
        </w:rPr>
      </w:pPr>
      <w:r>
        <w:rPr>
          <w:rFonts w:hint="eastAsia" w:ascii="宋体"/>
          <w:b/>
          <w:bCs/>
          <w:sz w:val="52"/>
        </w:rPr>
        <w:t>南 宁 市 政 府 采 购</w:t>
      </w:r>
    </w:p>
    <w:p w14:paraId="6365F374">
      <w:pPr>
        <w:spacing w:line="360" w:lineRule="auto"/>
        <w:ind w:firstLine="420" w:firstLineChars="200"/>
        <w:rPr>
          <w:rFonts w:ascii="宋体"/>
        </w:rPr>
      </w:pPr>
    </w:p>
    <w:p w14:paraId="0715F155">
      <w:pPr>
        <w:spacing w:line="360" w:lineRule="auto"/>
        <w:ind w:firstLine="420" w:firstLineChars="200"/>
        <w:rPr>
          <w:rFonts w:ascii="宋体"/>
        </w:rPr>
      </w:pPr>
    </w:p>
    <w:p w14:paraId="2C5759F7">
      <w:pPr>
        <w:spacing w:line="360" w:lineRule="auto"/>
        <w:jc w:val="center"/>
        <w:rPr>
          <w:rFonts w:ascii="宋体"/>
          <w:b/>
          <w:bCs/>
          <w:sz w:val="44"/>
        </w:rPr>
      </w:pPr>
      <w:r>
        <w:rPr>
          <w:rFonts w:hint="eastAsia" w:ascii="宋体"/>
          <w:b/>
          <w:bCs/>
          <w:sz w:val="44"/>
          <w:u w:val="single"/>
        </w:rPr>
        <w:t>南宁市市政工程管理处2025年隧道及人行地下通道常规定期检测专项</w:t>
      </w:r>
      <w:r>
        <w:rPr>
          <w:rFonts w:hint="eastAsia" w:ascii="宋体"/>
          <w:b/>
          <w:bCs/>
          <w:sz w:val="44"/>
        </w:rPr>
        <w:t>合同</w:t>
      </w:r>
    </w:p>
    <w:p w14:paraId="473CCD7F">
      <w:pPr>
        <w:spacing w:line="360" w:lineRule="auto"/>
        <w:jc w:val="center"/>
        <w:rPr>
          <w:rFonts w:ascii="宋体"/>
          <w:b/>
          <w:bCs/>
          <w:sz w:val="44"/>
        </w:rPr>
      </w:pPr>
    </w:p>
    <w:p w14:paraId="1A06F1F0">
      <w:pPr>
        <w:spacing w:line="360" w:lineRule="auto"/>
        <w:jc w:val="center"/>
        <w:rPr>
          <w:rFonts w:ascii="宋体"/>
          <w:b/>
          <w:bCs/>
          <w:sz w:val="44"/>
        </w:rPr>
      </w:pPr>
    </w:p>
    <w:p w14:paraId="4FCBB279">
      <w:pPr>
        <w:spacing w:line="360" w:lineRule="auto"/>
        <w:ind w:firstLine="3507" w:firstLineChars="794"/>
        <w:rPr>
          <w:rFonts w:ascii="宋体"/>
          <w:b/>
          <w:bCs/>
          <w:sz w:val="44"/>
        </w:rPr>
      </w:pPr>
    </w:p>
    <w:p w14:paraId="3BD9C38F">
      <w:pPr>
        <w:spacing w:line="360" w:lineRule="auto"/>
        <w:ind w:firstLine="3507" w:firstLineChars="794"/>
        <w:rPr>
          <w:rFonts w:ascii="宋体"/>
          <w:b/>
          <w:bCs/>
          <w:sz w:val="44"/>
        </w:rPr>
      </w:pPr>
    </w:p>
    <w:p w14:paraId="0B37ED51">
      <w:pPr>
        <w:ind w:firstLine="1995" w:firstLineChars="552"/>
        <w:rPr>
          <w:rFonts w:ascii="宋体" w:hAnsi="宋体"/>
          <w:b/>
          <w:sz w:val="36"/>
          <w:szCs w:val="36"/>
        </w:rPr>
      </w:pPr>
      <w:r>
        <w:rPr>
          <w:rFonts w:hint="eastAsia" w:ascii="宋体" w:hAnsi="宋体"/>
          <w:b/>
          <w:sz w:val="36"/>
          <w:szCs w:val="36"/>
        </w:rPr>
        <w:t>项目编号：</w:t>
      </w:r>
      <w:bookmarkStart w:id="133" w:name="PO_3000001866_PM001_15"/>
      <w:r>
        <w:rPr>
          <w:rFonts w:hint="eastAsia" w:ascii="宋体" w:hAnsi="宋体"/>
          <w:b/>
          <w:sz w:val="36"/>
          <w:szCs w:val="36"/>
          <w:u w:val="single"/>
        </w:rPr>
        <w:t>[项目采购-项目编号_]</w:t>
      </w:r>
      <w:bookmarkEnd w:id="133"/>
    </w:p>
    <w:p w14:paraId="31EFE9B6">
      <w:pPr>
        <w:ind w:firstLine="1995" w:firstLineChars="552"/>
        <w:rPr>
          <w:rFonts w:ascii="宋体" w:hAnsi="宋体"/>
          <w:b/>
          <w:sz w:val="36"/>
          <w:szCs w:val="36"/>
        </w:rPr>
      </w:pPr>
      <w:r>
        <w:rPr>
          <w:rFonts w:hint="eastAsia" w:ascii="宋体" w:hAnsi="宋体"/>
          <w:b/>
          <w:sz w:val="36"/>
          <w:szCs w:val="36"/>
        </w:rPr>
        <w:t>计划编号：</w:t>
      </w:r>
      <w:bookmarkStart w:id="134" w:name="PO_3000001866_PM001WMC001"/>
      <w:r>
        <w:rPr>
          <w:rFonts w:hint="eastAsia" w:ascii="宋体" w:hAnsi="宋体"/>
          <w:b/>
          <w:sz w:val="36"/>
          <w:szCs w:val="36"/>
          <w:u w:val="single"/>
        </w:rPr>
        <w:t>[采购计划文号]</w:t>
      </w:r>
      <w:bookmarkEnd w:id="134"/>
    </w:p>
    <w:p w14:paraId="7A5DFBCA">
      <w:pPr>
        <w:ind w:firstLine="1970" w:firstLineChars="545"/>
        <w:rPr>
          <w:rFonts w:ascii="宋体" w:hAnsi="宋体"/>
          <w:b/>
          <w:sz w:val="36"/>
          <w:szCs w:val="36"/>
          <w:u w:val="single"/>
        </w:rPr>
      </w:pPr>
    </w:p>
    <w:p w14:paraId="44B0EDD6">
      <w:pPr>
        <w:tabs>
          <w:tab w:val="left" w:pos="7200"/>
        </w:tabs>
        <w:spacing w:line="360" w:lineRule="auto"/>
        <w:ind w:firstLine="1995" w:firstLineChars="552"/>
        <w:rPr>
          <w:rFonts w:ascii="宋体" w:hAnsi="宋体"/>
          <w:b/>
          <w:sz w:val="36"/>
          <w:szCs w:val="36"/>
          <w:u w:val="single"/>
        </w:rPr>
      </w:pPr>
      <w:r>
        <w:rPr>
          <w:rFonts w:hint="eastAsia" w:ascii="宋体" w:hAnsi="宋体"/>
          <w:b/>
          <w:sz w:val="36"/>
          <w:szCs w:val="36"/>
        </w:rPr>
        <w:t>采购人：</w:t>
      </w:r>
      <w:r>
        <w:rPr>
          <w:rFonts w:hint="eastAsia" w:ascii="宋体" w:hAnsi="宋体"/>
          <w:b/>
          <w:sz w:val="36"/>
          <w:szCs w:val="36"/>
          <w:u w:val="single"/>
        </w:rPr>
        <w:t>南宁市市政工程管理处</w:t>
      </w:r>
    </w:p>
    <w:p w14:paraId="41DD59E3">
      <w:pPr>
        <w:tabs>
          <w:tab w:val="left" w:pos="7380"/>
        </w:tabs>
        <w:spacing w:line="360" w:lineRule="auto"/>
        <w:ind w:firstLine="1995" w:firstLineChars="552"/>
        <w:rPr>
          <w:rFonts w:ascii="宋体"/>
          <w:b/>
          <w:bCs/>
          <w:sz w:val="44"/>
        </w:rPr>
      </w:pPr>
      <w:r>
        <w:rPr>
          <w:rFonts w:hint="eastAsia" w:ascii="宋体" w:hAnsi="宋体"/>
          <w:b/>
          <w:sz w:val="36"/>
          <w:szCs w:val="36"/>
        </w:rPr>
        <w:t>中标供应商：</w:t>
      </w:r>
    </w:p>
    <w:p w14:paraId="45194FF1">
      <w:pPr>
        <w:spacing w:before="120" w:line="360" w:lineRule="auto"/>
        <w:ind w:firstLine="960" w:firstLineChars="400"/>
        <w:rPr>
          <w:rFonts w:ascii="仿宋_GB2312" w:hAnsi="楷体" w:eastAsia="仿宋_GB2312"/>
          <w:sz w:val="24"/>
        </w:rPr>
      </w:pPr>
    </w:p>
    <w:p w14:paraId="7B577949">
      <w:pPr>
        <w:spacing w:before="120" w:line="360" w:lineRule="auto"/>
        <w:ind w:firstLine="2280" w:firstLineChars="950"/>
        <w:rPr>
          <w:rFonts w:ascii="宋体"/>
          <w:b/>
          <w:bCs/>
          <w:sz w:val="44"/>
        </w:rPr>
      </w:pPr>
      <w:r>
        <w:rPr>
          <w:rFonts w:hint="eastAsia" w:ascii="仿宋_GB2312" w:hAnsi="楷体" w:eastAsia="仿宋_GB2312"/>
          <w:sz w:val="24"/>
        </w:rPr>
        <w:t>签订日期：  年   月  日</w:t>
      </w:r>
    </w:p>
    <w:p w14:paraId="36AA455C">
      <w:pPr>
        <w:snapToGrid w:val="0"/>
        <w:spacing w:line="360" w:lineRule="auto"/>
        <w:jc w:val="center"/>
        <w:rPr>
          <w:rFonts w:ascii="仿宋_GB2312" w:hAnsi="楷体" w:eastAsia="仿宋_GB2312"/>
          <w:b/>
          <w:sz w:val="24"/>
        </w:rPr>
      </w:pPr>
      <w:r>
        <w:rPr>
          <w:rFonts w:hint="eastAsia" w:ascii="宋体"/>
          <w:b/>
          <w:bCs/>
          <w:sz w:val="44"/>
        </w:rPr>
        <w:br w:type="page"/>
      </w:r>
      <w:r>
        <w:rPr>
          <w:rFonts w:hint="eastAsia" w:ascii="仿宋_GB2312" w:hAnsi="楷体" w:eastAsia="仿宋_GB2312"/>
          <w:b/>
          <w:sz w:val="24"/>
        </w:rPr>
        <w:t>合同目录</w:t>
      </w:r>
    </w:p>
    <w:p w14:paraId="21714F73">
      <w:pPr>
        <w:snapToGrid w:val="0"/>
        <w:spacing w:line="360" w:lineRule="auto"/>
        <w:jc w:val="center"/>
        <w:rPr>
          <w:rFonts w:ascii="宋体"/>
          <w:b/>
          <w:bCs/>
          <w:sz w:val="44"/>
        </w:rPr>
      </w:pPr>
    </w:p>
    <w:p w14:paraId="09AC8ED9">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一、</w:t>
      </w:r>
      <w:r>
        <w:rPr>
          <w:rFonts w:hint="eastAsia" w:ascii="仿宋_GB2312" w:hAnsi="仿宋" w:eastAsia="仿宋_GB2312"/>
          <w:sz w:val="24"/>
        </w:rPr>
        <w:t>第一部分 合同书</w:t>
      </w:r>
      <w:r>
        <w:rPr>
          <w:rFonts w:hint="eastAsia" w:ascii="仿宋_GB2312" w:hAnsi="仿宋" w:eastAsia="仿宋_GB2312" w:cs="仿宋_GB2312"/>
          <w:kern w:val="0"/>
          <w:sz w:val="24"/>
        </w:rPr>
        <w:t>……………………………………………………………（页码）</w:t>
      </w:r>
    </w:p>
    <w:p w14:paraId="3A7FA8BD">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二、第二部分 合同一般条款……………………………………………………（页码）</w:t>
      </w:r>
    </w:p>
    <w:p w14:paraId="2CD6597A">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三、第三部分 合同专用条款……………………………………………………（页码）</w:t>
      </w:r>
    </w:p>
    <w:p w14:paraId="519B89C2">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四、</w:t>
      </w:r>
      <w:r>
        <w:rPr>
          <w:rFonts w:hint="eastAsia" w:ascii="仿宋_GB2312" w:hAnsi="仿宋" w:eastAsia="仿宋_GB2312"/>
          <w:sz w:val="24"/>
        </w:rPr>
        <w:t>第四部分 合同附件</w:t>
      </w:r>
      <w:r>
        <w:rPr>
          <w:rFonts w:hint="eastAsia" w:ascii="仿宋_GB2312" w:hAnsi="仿宋" w:eastAsia="仿宋_GB2312" w:cs="仿宋_GB2312"/>
          <w:kern w:val="0"/>
          <w:sz w:val="24"/>
        </w:rPr>
        <w:t>…………………………………………………………（页码）</w:t>
      </w:r>
    </w:p>
    <w:p w14:paraId="08C815FE">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4.1中标通知书 …………………………………………………………………（页码）</w:t>
      </w:r>
    </w:p>
    <w:p w14:paraId="419537DB">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4.2招标文件服务需求一览表 …………………………………………………（页码）</w:t>
      </w:r>
    </w:p>
    <w:p w14:paraId="7A1DAC8C">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4.3招标文件的更改通知（如有） ……………………………………………（页码）</w:t>
      </w:r>
    </w:p>
    <w:p w14:paraId="12BC3A71">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4.4投标函 ………………………………………………………………………（页码）</w:t>
      </w:r>
    </w:p>
    <w:p w14:paraId="581031B1">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4.5报价表 ………………………………………………………………………（页码）</w:t>
      </w:r>
    </w:p>
    <w:p w14:paraId="6DE6A9E6">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4.6投标服务技术资料表 ………………………………………………………（页码）</w:t>
      </w:r>
    </w:p>
    <w:p w14:paraId="64438DD0">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4.7商务条款偏离表 ……………………………………………………………（页码）</w:t>
      </w:r>
    </w:p>
    <w:p w14:paraId="1135CD1D">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4.8中标供应商澄清函（如有请提供） ………………………………………（页码）</w:t>
      </w:r>
    </w:p>
    <w:p w14:paraId="580345C1">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4.9其他与本合同相关的资料（如有请提供） ………………………………（页码）</w:t>
      </w:r>
    </w:p>
    <w:p w14:paraId="2CC71799">
      <w:pPr>
        <w:snapToGrid w:val="0"/>
        <w:spacing w:line="360" w:lineRule="auto"/>
        <w:rPr>
          <w:rFonts w:ascii="仿宋_GB2312" w:hAnsi="仿宋" w:eastAsia="仿宋_GB2312" w:cs="仿宋_GB2312"/>
          <w:kern w:val="0"/>
          <w:sz w:val="24"/>
        </w:rPr>
      </w:pPr>
    </w:p>
    <w:p w14:paraId="0BA84035">
      <w:pPr>
        <w:widowControl/>
        <w:jc w:val="left"/>
        <w:rPr>
          <w:rFonts w:ascii="宋体" w:hAnsi="Courier New"/>
          <w:spacing w:val="-4"/>
          <w:sz w:val="18"/>
          <w:szCs w:val="20"/>
        </w:rPr>
        <w:sectPr>
          <w:pgSz w:w="11906" w:h="16838"/>
          <w:pgMar w:top="1134" w:right="1134" w:bottom="1134" w:left="1134" w:header="720" w:footer="720" w:gutter="0"/>
          <w:cols w:space="720" w:num="1"/>
          <w:docGrid w:type="lines" w:linePitch="331" w:charSpace="0"/>
        </w:sectPr>
      </w:pPr>
    </w:p>
    <w:p w14:paraId="610A1010">
      <w:pPr>
        <w:pStyle w:val="94"/>
        <w:ind w:firstLine="561"/>
        <w:jc w:val="center"/>
        <w:rPr>
          <w:rFonts w:ascii="仿宋_GB2312" w:hAnsi="楷体" w:eastAsia="仿宋_GB2312"/>
          <w:b/>
          <w:sz w:val="28"/>
          <w:szCs w:val="28"/>
        </w:rPr>
      </w:pPr>
      <w:r>
        <w:rPr>
          <w:rFonts w:hint="eastAsia" w:ascii="仿宋_GB2312" w:hAnsi="楷体" w:eastAsia="仿宋_GB2312"/>
          <w:b/>
          <w:sz w:val="28"/>
          <w:szCs w:val="28"/>
        </w:rPr>
        <w:t>第一部分 合同书</w:t>
      </w:r>
    </w:p>
    <w:p w14:paraId="5530AAA2">
      <w:pPr>
        <w:spacing w:line="360" w:lineRule="auto"/>
        <w:ind w:firstLine="480" w:firstLineChars="200"/>
        <w:rPr>
          <w:rFonts w:ascii="仿宋_GB2312" w:hAnsi="楷体" w:eastAsia="仿宋_GB2312"/>
          <w:sz w:val="24"/>
        </w:rPr>
      </w:pPr>
      <w:r>
        <w:rPr>
          <w:rFonts w:hint="eastAsia" w:ascii="仿宋_GB2312" w:hAnsi="楷体" w:eastAsia="仿宋_GB2312"/>
          <w:sz w:val="24"/>
          <w:lang w:val="zh-CN"/>
        </w:rPr>
        <w:t>年月日</w:t>
      </w:r>
      <w:r>
        <w:rPr>
          <w:rFonts w:hint="eastAsia" w:ascii="仿宋_GB2312" w:hAnsi="楷体" w:eastAsia="仿宋_GB2312"/>
          <w:sz w:val="24"/>
        </w:rPr>
        <w:t>，</w:t>
      </w:r>
      <w:r>
        <w:rPr>
          <w:rFonts w:hint="eastAsia" w:ascii="仿宋_GB2312" w:eastAsia="仿宋_GB2312" w:cs="仿宋_GB2312"/>
          <w:spacing w:val="-3"/>
          <w:sz w:val="24"/>
          <w:u w:val="single"/>
        </w:rPr>
        <w:t>南宁市市政工程管理处</w:t>
      </w:r>
      <w:r>
        <w:rPr>
          <w:rFonts w:hint="eastAsia" w:ascii="仿宋_GB2312" w:hAnsi="仿宋" w:eastAsia="仿宋_GB2312"/>
          <w:sz w:val="24"/>
        </w:rPr>
        <w:t>以</w:t>
      </w:r>
      <w:r>
        <w:rPr>
          <w:rFonts w:hint="eastAsia" w:ascii="仿宋_GB2312" w:hAnsi="仿宋" w:eastAsia="仿宋_GB2312"/>
          <w:sz w:val="24"/>
          <w:u w:val="single"/>
        </w:rPr>
        <w:t xml:space="preserve">公开招标方式 </w:t>
      </w:r>
      <w:r>
        <w:rPr>
          <w:rFonts w:hint="eastAsia" w:ascii="仿宋_GB2312" w:hAnsi="仿宋" w:eastAsia="仿宋_GB2312"/>
          <w:sz w:val="24"/>
        </w:rPr>
        <w:t>对</w:t>
      </w:r>
      <w:r>
        <w:rPr>
          <w:rFonts w:hint="eastAsia" w:ascii="仿宋_GB2312" w:hAnsi="仿宋" w:eastAsia="仿宋_GB2312"/>
          <w:sz w:val="24"/>
          <w:u w:val="single"/>
        </w:rPr>
        <w:t>南宁市市政工程管理处2025年隧道及人行地下通道常规定期检测专项</w:t>
      </w:r>
      <w:r>
        <w:rPr>
          <w:rFonts w:hint="eastAsia" w:ascii="仿宋_GB2312" w:hAnsi="楷体" w:eastAsia="仿宋_GB2312"/>
          <w:sz w:val="24"/>
        </w:rPr>
        <w:t>项目进行了采购。经</w:t>
      </w:r>
      <w:r>
        <w:rPr>
          <w:rFonts w:hint="eastAsia" w:ascii="仿宋_GB2312" w:hAnsi="楷体" w:eastAsia="仿宋_GB2312"/>
          <w:sz w:val="24"/>
          <w:u w:val="single"/>
        </w:rPr>
        <w:t xml:space="preserve">   （相关评定主体名称）   </w:t>
      </w:r>
      <w:r>
        <w:rPr>
          <w:rFonts w:hint="eastAsia" w:ascii="仿宋_GB2312" w:hAnsi="楷体" w:eastAsia="仿宋_GB2312"/>
          <w:sz w:val="24"/>
        </w:rPr>
        <w:t>评定，</w:t>
      </w:r>
      <w:r>
        <w:rPr>
          <w:rFonts w:hint="eastAsia" w:ascii="仿宋_GB2312" w:hAnsi="楷体" w:eastAsia="仿宋_GB2312"/>
          <w:sz w:val="24"/>
          <w:u w:val="single"/>
        </w:rPr>
        <w:t xml:space="preserve">   （中标人名称）</w:t>
      </w:r>
      <w:r>
        <w:rPr>
          <w:rFonts w:hint="eastAsia" w:ascii="仿宋_GB2312" w:hAnsi="楷体" w:eastAsia="仿宋_GB2312"/>
          <w:sz w:val="24"/>
        </w:rPr>
        <w:t>为该项目中标人。现于中标通知书发出之日起</w:t>
      </w:r>
      <w:r>
        <w:rPr>
          <w:rFonts w:ascii="仿宋_GB2312" w:hAnsi="楷体" w:eastAsia="仿宋_GB2312"/>
          <w:sz w:val="24"/>
          <w:u w:val="single"/>
        </w:rPr>
        <w:t>25</w:t>
      </w:r>
      <w:r>
        <w:rPr>
          <w:rFonts w:hint="eastAsia" w:ascii="仿宋_GB2312" w:hAnsi="楷体" w:eastAsia="仿宋_GB2312"/>
          <w:sz w:val="24"/>
        </w:rPr>
        <w:t>日内，按照采购文件确定的事项签订本合同。</w:t>
      </w:r>
    </w:p>
    <w:p w14:paraId="1D3E771C">
      <w:pPr>
        <w:spacing w:line="360" w:lineRule="auto"/>
        <w:ind w:firstLine="480" w:firstLineChars="200"/>
        <w:rPr>
          <w:rFonts w:ascii="仿宋_GB2312" w:hAnsi="楷体" w:eastAsia="仿宋_GB2312"/>
          <w:sz w:val="24"/>
        </w:rPr>
      </w:pPr>
      <w:r>
        <w:rPr>
          <w:rFonts w:hint="eastAsia" w:ascii="仿宋_GB2312" w:hAnsi="楷体" w:eastAsia="仿宋_GB2312"/>
          <w:sz w:val="24"/>
          <w:lang w:val="zh-CN"/>
        </w:rPr>
        <w:t>根据《中华人民共和国民法典》、《中华人民共和国政府采购法》等相关法律法规之规定，按照平等、自愿、公平和诚实信用的原则，经</w:t>
      </w:r>
      <w:r>
        <w:rPr>
          <w:rFonts w:hint="eastAsia" w:ascii="仿宋_GB2312" w:hAnsi="楷体" w:eastAsia="仿宋_GB2312"/>
          <w:sz w:val="24"/>
          <w:u w:val="single"/>
        </w:rPr>
        <w:t>南宁市市政工程管理处</w:t>
      </w:r>
      <w:r>
        <w:rPr>
          <w:rFonts w:hint="eastAsia" w:ascii="仿宋_GB2312" w:hAnsi="楷体" w:eastAsia="仿宋_GB2312"/>
          <w:sz w:val="24"/>
          <w:lang w:val="zh-CN"/>
        </w:rPr>
        <w:t>(以下简称：甲方)和</w:t>
      </w:r>
      <w:r>
        <w:rPr>
          <w:rFonts w:hint="eastAsia" w:ascii="仿宋_GB2312" w:hAnsi="楷体" w:eastAsia="仿宋_GB2312"/>
          <w:sz w:val="24"/>
          <w:u w:val="single"/>
        </w:rPr>
        <w:t xml:space="preserve">   （中标人名称）   </w:t>
      </w:r>
      <w:r>
        <w:rPr>
          <w:rFonts w:hint="eastAsia" w:ascii="仿宋_GB2312" w:hAnsi="楷体" w:eastAsia="仿宋_GB2312"/>
          <w:sz w:val="24"/>
          <w:lang w:val="zh-CN"/>
        </w:rPr>
        <w:t>(以下简称：乙方)协商一致，约定以下合同</w:t>
      </w:r>
      <w:r>
        <w:rPr>
          <w:rFonts w:hint="eastAsia" w:ascii="仿宋_GB2312" w:hAnsi="楷体" w:eastAsia="仿宋_GB2312"/>
          <w:sz w:val="24"/>
        </w:rPr>
        <w:t>条款，以兹共同遵守、全面履行。</w:t>
      </w:r>
    </w:p>
    <w:p w14:paraId="6DF5611B">
      <w:pPr>
        <w:spacing w:line="360" w:lineRule="auto"/>
        <w:ind w:firstLine="482" w:firstLineChars="200"/>
        <w:rPr>
          <w:rFonts w:ascii="仿宋_GB2312" w:hAnsi="楷体" w:eastAsia="仿宋_GB2312"/>
          <w:b/>
          <w:sz w:val="24"/>
        </w:rPr>
      </w:pPr>
      <w:bookmarkStart w:id="135" w:name="_Toc24059"/>
      <w:bookmarkStart w:id="136" w:name="_Toc2232"/>
      <w:bookmarkStart w:id="137" w:name="_Toc3029"/>
      <w:r>
        <w:rPr>
          <w:rFonts w:hint="eastAsia" w:ascii="仿宋_GB2312" w:hAnsi="楷体" w:eastAsia="仿宋_GB2312"/>
          <w:b/>
          <w:sz w:val="24"/>
        </w:rPr>
        <w:t>1.1 合同组成部分</w:t>
      </w:r>
      <w:bookmarkEnd w:id="135"/>
      <w:bookmarkEnd w:id="136"/>
      <w:bookmarkEnd w:id="137"/>
    </w:p>
    <w:p w14:paraId="322B2557">
      <w:pPr>
        <w:spacing w:line="360" w:lineRule="auto"/>
        <w:ind w:firstLine="480" w:firstLineChars="200"/>
        <w:rPr>
          <w:rFonts w:ascii="仿宋_GB2312" w:hAnsi="楷体" w:eastAsia="仿宋_GB2312"/>
          <w:sz w:val="24"/>
        </w:rPr>
      </w:pPr>
      <w:r>
        <w:rPr>
          <w:rFonts w:hint="eastAsia" w:ascii="仿宋_GB2312" w:hAnsi="楷体" w:eastAsia="仿宋_GB2312"/>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4B23EF64">
      <w:pPr>
        <w:spacing w:line="360" w:lineRule="auto"/>
        <w:ind w:firstLine="480" w:firstLineChars="200"/>
        <w:rPr>
          <w:rFonts w:ascii="仿宋_GB2312" w:hAnsi="楷体" w:eastAsia="仿宋_GB2312"/>
          <w:sz w:val="24"/>
        </w:rPr>
      </w:pPr>
      <w:r>
        <w:rPr>
          <w:rFonts w:hint="eastAsia" w:ascii="仿宋_GB2312" w:hAnsi="楷体" w:eastAsia="仿宋_GB2312"/>
          <w:sz w:val="24"/>
        </w:rPr>
        <w:t>1.1.1 本合同及其补充合同、变更协议；</w:t>
      </w:r>
    </w:p>
    <w:p w14:paraId="65876304">
      <w:pPr>
        <w:spacing w:line="360" w:lineRule="auto"/>
        <w:ind w:firstLine="480" w:firstLineChars="200"/>
        <w:rPr>
          <w:rFonts w:ascii="仿宋_GB2312" w:hAnsi="楷体" w:eastAsia="仿宋_GB2312"/>
          <w:sz w:val="24"/>
        </w:rPr>
      </w:pPr>
      <w:r>
        <w:rPr>
          <w:rFonts w:hint="eastAsia" w:ascii="仿宋_GB2312" w:hAnsi="楷体" w:eastAsia="仿宋_GB2312"/>
          <w:sz w:val="24"/>
        </w:rPr>
        <w:t>1.1.2 中标通知书；</w:t>
      </w:r>
    </w:p>
    <w:p w14:paraId="54D8145D">
      <w:pPr>
        <w:spacing w:line="360" w:lineRule="auto"/>
        <w:ind w:firstLine="480" w:firstLineChars="200"/>
        <w:rPr>
          <w:rFonts w:ascii="仿宋_GB2312" w:hAnsi="楷体" w:eastAsia="仿宋_GB2312"/>
          <w:sz w:val="24"/>
        </w:rPr>
      </w:pPr>
      <w:r>
        <w:rPr>
          <w:rFonts w:hint="eastAsia" w:ascii="仿宋_GB2312" w:hAnsi="楷体" w:eastAsia="仿宋_GB2312"/>
          <w:sz w:val="24"/>
        </w:rPr>
        <w:t>1.1.3 投标文件及“投标报价”（含澄清或者说明文件）；</w:t>
      </w:r>
    </w:p>
    <w:p w14:paraId="59FD3CD0">
      <w:pPr>
        <w:spacing w:line="360" w:lineRule="auto"/>
        <w:ind w:firstLine="480" w:firstLineChars="200"/>
        <w:rPr>
          <w:rFonts w:ascii="仿宋_GB2312" w:hAnsi="楷体" w:eastAsia="仿宋_GB2312"/>
          <w:sz w:val="24"/>
        </w:rPr>
      </w:pPr>
      <w:r>
        <w:rPr>
          <w:rFonts w:hint="eastAsia" w:ascii="仿宋_GB2312" w:hAnsi="楷体" w:eastAsia="仿宋_GB2312"/>
          <w:sz w:val="24"/>
        </w:rPr>
        <w:t>1.1.4 招标文件（含澄清或者修改文件）；</w:t>
      </w:r>
    </w:p>
    <w:p w14:paraId="27A75BA4">
      <w:pPr>
        <w:spacing w:line="360" w:lineRule="auto"/>
        <w:ind w:firstLine="480" w:firstLineChars="200"/>
        <w:rPr>
          <w:rFonts w:ascii="仿宋_GB2312" w:hAnsi="楷体" w:eastAsia="仿宋_GB2312"/>
          <w:sz w:val="24"/>
        </w:rPr>
      </w:pPr>
      <w:r>
        <w:rPr>
          <w:rFonts w:hint="eastAsia" w:ascii="仿宋_GB2312" w:hAnsi="楷体" w:eastAsia="仿宋_GB2312"/>
          <w:sz w:val="24"/>
        </w:rPr>
        <w:t>1.1.5 其他相关采购文件。</w:t>
      </w:r>
    </w:p>
    <w:p w14:paraId="60DCDB19">
      <w:pPr>
        <w:spacing w:line="360" w:lineRule="auto"/>
        <w:ind w:firstLine="482" w:firstLineChars="200"/>
        <w:rPr>
          <w:rFonts w:ascii="仿宋_GB2312" w:hAnsi="楷体" w:eastAsia="仿宋_GB2312"/>
          <w:b/>
          <w:sz w:val="24"/>
        </w:rPr>
      </w:pPr>
      <w:bookmarkStart w:id="138" w:name="_Toc21295"/>
      <w:bookmarkStart w:id="139" w:name="_Toc24300"/>
      <w:bookmarkStart w:id="140" w:name="_Toc27126"/>
      <w:r>
        <w:rPr>
          <w:rFonts w:hint="eastAsia" w:ascii="仿宋_GB2312" w:hAnsi="楷体" w:eastAsia="仿宋_GB2312"/>
          <w:b/>
          <w:sz w:val="24"/>
        </w:rPr>
        <w:t>1.2 标的物</w:t>
      </w:r>
      <w:bookmarkEnd w:id="138"/>
      <w:bookmarkEnd w:id="139"/>
      <w:bookmarkEnd w:id="140"/>
    </w:p>
    <w:p w14:paraId="218AA297">
      <w:pPr>
        <w:spacing w:line="360" w:lineRule="auto"/>
        <w:ind w:firstLine="480" w:firstLineChars="200"/>
        <w:rPr>
          <w:rFonts w:ascii="仿宋_GB2312" w:hAnsi="楷体" w:eastAsia="仿宋_GB2312"/>
          <w:sz w:val="24"/>
        </w:rPr>
      </w:pPr>
      <w:r>
        <w:rPr>
          <w:rFonts w:hint="eastAsia" w:ascii="仿宋_GB2312" w:hAnsi="楷体" w:eastAsia="仿宋_GB2312"/>
          <w:sz w:val="24"/>
        </w:rPr>
        <w:t>1.2.1 标的物1信息</w:t>
      </w:r>
    </w:p>
    <w:p w14:paraId="7D20A403">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1.2.1.1名称：南宁市市政工程管理处2025年隧道及人行地下通道常规定期检测专项；</w:t>
      </w:r>
    </w:p>
    <w:p w14:paraId="0D777FB6">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1.2.1.2数量：1项；</w:t>
      </w:r>
    </w:p>
    <w:p w14:paraId="30BEF96C">
      <w:pPr>
        <w:spacing w:line="360" w:lineRule="auto"/>
        <w:ind w:firstLine="480" w:firstLineChars="200"/>
        <w:rPr>
          <w:rFonts w:ascii="仿宋_GB2312" w:hAnsi="楷体" w:eastAsia="仿宋_GB2312"/>
          <w:sz w:val="24"/>
        </w:rPr>
      </w:pPr>
      <w:r>
        <w:rPr>
          <w:rFonts w:hint="eastAsia" w:ascii="仿宋_GB2312" w:hAnsi="楷体" w:eastAsia="仿宋_GB2312"/>
          <w:sz w:val="24"/>
        </w:rPr>
        <w:t>1.2.1.3质量：</w:t>
      </w:r>
      <w:r>
        <w:rPr>
          <w:rFonts w:hint="eastAsia" w:ascii="仿宋_GB2312" w:hAnsi="楷体" w:eastAsia="仿宋_GB2312"/>
          <w:sz w:val="24"/>
          <w:u w:val="single"/>
        </w:rPr>
        <w:t xml:space="preserve">　                                      </w:t>
      </w:r>
      <w:r>
        <w:rPr>
          <w:rFonts w:hint="eastAsia" w:ascii="仿宋_GB2312" w:hAnsi="楷体" w:eastAsia="仿宋_GB2312"/>
          <w:sz w:val="24"/>
        </w:rPr>
        <w:t>。</w:t>
      </w:r>
    </w:p>
    <w:p w14:paraId="6F77C1E9">
      <w:pPr>
        <w:spacing w:line="360" w:lineRule="auto"/>
        <w:ind w:firstLine="480" w:firstLineChars="200"/>
        <w:rPr>
          <w:rFonts w:ascii="仿宋_GB2312" w:hAnsi="楷体" w:eastAsia="仿宋_GB2312"/>
          <w:sz w:val="24"/>
        </w:rPr>
      </w:pPr>
      <w:r>
        <w:rPr>
          <w:rFonts w:hint="eastAsia" w:ascii="仿宋_GB2312" w:hAnsi="楷体" w:eastAsia="仿宋_GB2312"/>
          <w:sz w:val="24"/>
        </w:rPr>
        <w:t>……</w:t>
      </w:r>
    </w:p>
    <w:p w14:paraId="64B31FFC">
      <w:pPr>
        <w:spacing w:line="360" w:lineRule="auto"/>
        <w:ind w:firstLine="482" w:firstLineChars="200"/>
        <w:rPr>
          <w:rFonts w:ascii="仿宋_GB2312" w:hAnsi="楷体" w:eastAsia="仿宋_GB2312"/>
          <w:b/>
          <w:sz w:val="24"/>
        </w:rPr>
      </w:pPr>
      <w:bookmarkStart w:id="141" w:name="_Toc21551"/>
      <w:bookmarkStart w:id="142" w:name="_Toc21631"/>
      <w:bookmarkStart w:id="143" w:name="_Toc23292"/>
      <w:r>
        <w:rPr>
          <w:rFonts w:hint="eastAsia" w:ascii="仿宋_GB2312" w:hAnsi="楷体" w:eastAsia="仿宋_GB2312"/>
          <w:b/>
          <w:sz w:val="24"/>
        </w:rPr>
        <w:t>1.3 价款</w:t>
      </w:r>
      <w:bookmarkEnd w:id="141"/>
      <w:bookmarkEnd w:id="142"/>
      <w:bookmarkEnd w:id="143"/>
    </w:p>
    <w:p w14:paraId="0D2879DD">
      <w:pPr>
        <w:spacing w:line="360" w:lineRule="auto"/>
        <w:ind w:firstLine="480" w:firstLineChars="200"/>
        <w:rPr>
          <w:rFonts w:ascii="仿宋_GB2312" w:hAnsi="楷体" w:eastAsia="仿宋_GB2312"/>
          <w:sz w:val="24"/>
        </w:rPr>
      </w:pPr>
      <w:r>
        <w:rPr>
          <w:rFonts w:hint="eastAsia" w:ascii="仿宋_GB2312" w:hAnsi="楷体" w:eastAsia="仿宋_GB2312"/>
          <w:sz w:val="24"/>
        </w:rPr>
        <w:t>本合同总价为：</w:t>
      </w:r>
      <w:r>
        <w:rPr>
          <w:rFonts w:hint="eastAsia" w:eastAsia="仿宋_GB2312"/>
          <w:spacing w:val="-1"/>
          <w:sz w:val="24"/>
          <w:u w:val="single"/>
        </w:rPr>
        <w:t>人民币    元（大写：   元人民币，含税）</w:t>
      </w:r>
      <w:r>
        <w:rPr>
          <w:rFonts w:hint="eastAsia" w:ascii="仿宋_GB2312" w:hAnsi="楷体" w:eastAsia="仿宋_GB2312"/>
          <w:sz w:val="24"/>
        </w:rPr>
        <w:t>。</w:t>
      </w:r>
    </w:p>
    <w:p w14:paraId="3AA94C01">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分项价格：</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331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F746E97">
            <w:pPr>
              <w:spacing w:line="360" w:lineRule="auto"/>
              <w:ind w:firstLine="480" w:firstLineChars="200"/>
              <w:rPr>
                <w:rFonts w:ascii="仿宋_GB2312" w:hAnsi="楷体" w:eastAsia="仿宋_GB2312"/>
                <w:sz w:val="24"/>
              </w:rPr>
            </w:pPr>
            <w:r>
              <w:rPr>
                <w:rFonts w:hint="eastAsia" w:ascii="仿宋_GB2312" w:hAnsi="楷体" w:eastAsia="仿宋_GB2312"/>
                <w:sz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39E43128">
            <w:pPr>
              <w:spacing w:line="360" w:lineRule="auto"/>
              <w:ind w:firstLine="480" w:firstLineChars="200"/>
              <w:rPr>
                <w:rFonts w:ascii="仿宋_GB2312" w:hAnsi="楷体" w:eastAsia="仿宋_GB2312"/>
                <w:sz w:val="24"/>
              </w:rPr>
            </w:pPr>
            <w:r>
              <w:rPr>
                <w:rFonts w:hint="eastAsia" w:ascii="仿宋_GB2312" w:hAnsi="楷体" w:eastAsia="仿宋_GB2312"/>
                <w:sz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092B361C">
            <w:pPr>
              <w:spacing w:line="360" w:lineRule="auto"/>
              <w:ind w:firstLine="480" w:firstLineChars="200"/>
              <w:rPr>
                <w:rFonts w:ascii="仿宋_GB2312" w:hAnsi="楷体" w:eastAsia="仿宋_GB2312"/>
                <w:sz w:val="24"/>
              </w:rPr>
            </w:pPr>
            <w:r>
              <w:rPr>
                <w:rFonts w:hint="eastAsia" w:ascii="仿宋_GB2312" w:hAnsi="楷体" w:eastAsia="仿宋_GB2312"/>
                <w:sz w:val="24"/>
              </w:rPr>
              <w:t>分项价格</w:t>
            </w:r>
          </w:p>
        </w:tc>
      </w:tr>
      <w:tr w14:paraId="557C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FFB602C">
            <w:pPr>
              <w:spacing w:line="360" w:lineRule="auto"/>
              <w:ind w:firstLine="480" w:firstLineChars="200"/>
              <w:rPr>
                <w:rFonts w:ascii="仿宋_GB2312" w:hAnsi="楷体" w:eastAsia="仿宋_GB2312"/>
                <w:sz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1D707BB7">
            <w:pPr>
              <w:spacing w:line="360" w:lineRule="auto"/>
              <w:ind w:firstLine="480" w:firstLineChars="200"/>
              <w:rPr>
                <w:rFonts w:ascii="仿宋_GB2312" w:hAnsi="楷体" w:eastAsia="仿宋_GB2312"/>
                <w:sz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54109AE9">
            <w:pPr>
              <w:spacing w:line="360" w:lineRule="auto"/>
              <w:ind w:firstLine="480" w:firstLineChars="200"/>
              <w:rPr>
                <w:rFonts w:ascii="仿宋_GB2312" w:hAnsi="楷体" w:eastAsia="仿宋_GB2312"/>
                <w:sz w:val="24"/>
              </w:rPr>
            </w:pPr>
          </w:p>
        </w:tc>
      </w:tr>
      <w:tr w14:paraId="6574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030A8C0">
            <w:pPr>
              <w:spacing w:line="360" w:lineRule="auto"/>
              <w:ind w:firstLine="480" w:firstLineChars="200"/>
              <w:rPr>
                <w:rFonts w:ascii="仿宋_GB2312" w:hAnsi="楷体" w:eastAsia="仿宋_GB2312"/>
                <w:sz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DFE5565">
            <w:pPr>
              <w:spacing w:line="360" w:lineRule="auto"/>
              <w:ind w:firstLine="480" w:firstLineChars="200"/>
              <w:rPr>
                <w:rFonts w:ascii="仿宋_GB2312" w:hAnsi="楷体" w:eastAsia="仿宋_GB2312"/>
                <w:sz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43BE6BE">
            <w:pPr>
              <w:spacing w:line="360" w:lineRule="auto"/>
              <w:ind w:firstLine="480" w:firstLineChars="200"/>
              <w:rPr>
                <w:rFonts w:ascii="仿宋_GB2312" w:hAnsi="楷体" w:eastAsia="仿宋_GB2312"/>
                <w:sz w:val="24"/>
              </w:rPr>
            </w:pPr>
          </w:p>
        </w:tc>
      </w:tr>
      <w:tr w14:paraId="6EAD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7DB88B5">
            <w:pPr>
              <w:spacing w:line="360" w:lineRule="auto"/>
              <w:ind w:firstLine="480" w:firstLineChars="200"/>
              <w:rPr>
                <w:rFonts w:ascii="仿宋_GB2312" w:hAnsi="楷体" w:eastAsia="仿宋_GB2312"/>
                <w:sz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A5CED26">
            <w:pPr>
              <w:spacing w:line="360" w:lineRule="auto"/>
              <w:ind w:firstLine="480" w:firstLineChars="200"/>
              <w:rPr>
                <w:rFonts w:ascii="仿宋_GB2312" w:hAnsi="楷体" w:eastAsia="仿宋_GB2312"/>
                <w:sz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11D35DDF">
            <w:pPr>
              <w:spacing w:line="360" w:lineRule="auto"/>
              <w:ind w:firstLine="480" w:firstLineChars="200"/>
              <w:rPr>
                <w:rFonts w:ascii="仿宋_GB2312" w:hAnsi="楷体" w:eastAsia="仿宋_GB2312"/>
                <w:sz w:val="24"/>
              </w:rPr>
            </w:pPr>
          </w:p>
        </w:tc>
      </w:tr>
      <w:tr w14:paraId="0372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62F6BC77">
            <w:pPr>
              <w:spacing w:line="360" w:lineRule="auto"/>
              <w:ind w:firstLine="480" w:firstLineChars="200"/>
              <w:rPr>
                <w:rFonts w:ascii="仿宋_GB2312" w:hAnsi="楷体" w:eastAsia="仿宋_GB2312"/>
                <w:sz w:val="24"/>
              </w:rPr>
            </w:pPr>
            <w:r>
              <w:rPr>
                <w:rFonts w:hint="eastAsia" w:ascii="仿宋_GB2312" w:hAnsi="楷体" w:eastAsia="仿宋_GB2312"/>
                <w:sz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60DCC6FF">
            <w:pPr>
              <w:spacing w:line="360" w:lineRule="auto"/>
              <w:ind w:firstLine="480" w:firstLineChars="200"/>
              <w:rPr>
                <w:rFonts w:ascii="仿宋_GB2312" w:hAnsi="楷体" w:eastAsia="仿宋_GB2312"/>
                <w:sz w:val="24"/>
              </w:rPr>
            </w:pPr>
          </w:p>
        </w:tc>
      </w:tr>
    </w:tbl>
    <w:p w14:paraId="7949ADEC">
      <w:pPr>
        <w:spacing w:line="360" w:lineRule="auto"/>
        <w:ind w:firstLine="482" w:firstLineChars="200"/>
        <w:rPr>
          <w:rFonts w:ascii="仿宋_GB2312" w:hAnsi="楷体" w:eastAsia="仿宋_GB2312"/>
          <w:b/>
          <w:sz w:val="24"/>
        </w:rPr>
      </w:pPr>
      <w:bookmarkStart w:id="144" w:name="_Toc1814"/>
      <w:bookmarkStart w:id="145" w:name="_Toc22618"/>
      <w:bookmarkStart w:id="146" w:name="_Toc10340"/>
      <w:r>
        <w:rPr>
          <w:rFonts w:hint="eastAsia" w:ascii="仿宋_GB2312" w:hAnsi="楷体" w:eastAsia="仿宋_GB2312"/>
          <w:b/>
          <w:sz w:val="24"/>
        </w:rPr>
        <w:t>1.4 付款方式和发票开具方式</w:t>
      </w:r>
      <w:bookmarkEnd w:id="144"/>
      <w:bookmarkEnd w:id="145"/>
      <w:bookmarkEnd w:id="146"/>
    </w:p>
    <w:p w14:paraId="303BE00D">
      <w:pPr>
        <w:spacing w:line="360" w:lineRule="auto"/>
        <w:ind w:firstLine="480" w:firstLineChars="200"/>
        <w:rPr>
          <w:rFonts w:ascii="仿宋_GB2312" w:hAnsi="楷体" w:eastAsia="仿宋_GB2312"/>
          <w:sz w:val="24"/>
        </w:rPr>
      </w:pPr>
      <w:r>
        <w:rPr>
          <w:rFonts w:hint="eastAsia" w:ascii="仿宋_GB2312" w:hAnsi="楷体" w:eastAsia="仿宋_GB2312"/>
          <w:sz w:val="24"/>
        </w:rPr>
        <w:t>1.4.1 付款方式：</w:t>
      </w:r>
      <w:r>
        <w:rPr>
          <w:rFonts w:hint="eastAsia" w:ascii="仿宋_GB2312" w:hAnsi="楷体" w:eastAsia="仿宋_GB2312"/>
          <w:sz w:val="24"/>
          <w:u w:val="single"/>
        </w:rPr>
        <w:t>本项目无预付款，乙方按相关规范及合同要求做完现场全部外业检测并经考评服务单位和甲方确认后支付60%的合同款；乙方出具的检测报告经专家评审合格后支付30%的合同款，移交归档完整的检测资料和服务期满后支付10%的合同款；</w:t>
      </w:r>
    </w:p>
    <w:p w14:paraId="4892F1A5">
      <w:pPr>
        <w:spacing w:line="360" w:lineRule="auto"/>
        <w:ind w:firstLine="480" w:firstLineChars="200"/>
        <w:rPr>
          <w:rFonts w:ascii="仿宋_GB2312" w:hAnsi="楷体" w:eastAsia="仿宋_GB2312"/>
          <w:sz w:val="24"/>
        </w:rPr>
      </w:pPr>
      <w:r>
        <w:rPr>
          <w:rFonts w:hint="eastAsia" w:ascii="仿宋_GB2312" w:hAnsi="楷体" w:eastAsia="仿宋_GB2312"/>
          <w:sz w:val="24"/>
        </w:rPr>
        <w:t>1.4.2 发票开具方式：</w:t>
      </w:r>
      <w:r>
        <w:rPr>
          <w:rFonts w:hint="eastAsia" w:ascii="仿宋_GB2312" w:hAnsi="楷体" w:eastAsia="仿宋_GB2312"/>
          <w:sz w:val="24"/>
          <w:u w:val="single"/>
        </w:rPr>
        <w:t>完成相关阶段工作，乙方申请支付合同款时应向甲方提供等额正式发票，否则甲方有权拒绝支付合同款并且不承担任何责任。</w:t>
      </w:r>
    </w:p>
    <w:p w14:paraId="4983C061">
      <w:pPr>
        <w:spacing w:line="360" w:lineRule="auto"/>
        <w:ind w:firstLine="482" w:firstLineChars="200"/>
        <w:rPr>
          <w:rFonts w:ascii="仿宋_GB2312" w:hAnsi="楷体" w:eastAsia="仿宋_GB2312"/>
          <w:b/>
          <w:sz w:val="24"/>
        </w:rPr>
      </w:pPr>
      <w:bookmarkStart w:id="147" w:name="_Toc32071"/>
      <w:bookmarkStart w:id="148" w:name="_Toc2846"/>
      <w:bookmarkStart w:id="149" w:name="_Toc19304"/>
      <w:r>
        <w:rPr>
          <w:rFonts w:hint="eastAsia" w:ascii="仿宋_GB2312" w:hAnsi="楷体" w:eastAsia="仿宋_GB2312"/>
          <w:b/>
          <w:sz w:val="24"/>
        </w:rPr>
        <w:t>1.5 标的物交付期限、地点、方式</w:t>
      </w:r>
      <w:bookmarkEnd w:id="147"/>
      <w:bookmarkEnd w:id="148"/>
      <w:bookmarkEnd w:id="149"/>
      <w:r>
        <w:rPr>
          <w:rFonts w:hint="eastAsia" w:ascii="仿宋_GB2312" w:hAnsi="楷体" w:eastAsia="仿宋_GB2312"/>
          <w:b/>
          <w:sz w:val="24"/>
        </w:rPr>
        <w:t>和服务期限</w:t>
      </w:r>
    </w:p>
    <w:p w14:paraId="3B06B317">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1.5.1 交付期限：</w:t>
      </w:r>
      <w:r>
        <w:rPr>
          <w:rFonts w:hint="eastAsia" w:ascii="仿宋_GB2312" w:hAnsi="楷体" w:eastAsia="仿宋_GB2312"/>
          <w:sz w:val="24"/>
          <w:u w:val="single"/>
        </w:rPr>
        <w:t>检测报告需自合同签订之日起150天内经评审合格后提交，服务期满后需提交服务期服务报告；</w:t>
      </w:r>
    </w:p>
    <w:p w14:paraId="2FD5F4B8">
      <w:pPr>
        <w:spacing w:line="360" w:lineRule="auto"/>
        <w:ind w:firstLine="480" w:firstLineChars="200"/>
        <w:rPr>
          <w:rFonts w:ascii="仿宋_GB2312" w:hAnsi="楷体" w:eastAsia="仿宋_GB2312"/>
          <w:sz w:val="24"/>
        </w:rPr>
      </w:pPr>
      <w:r>
        <w:rPr>
          <w:rFonts w:hint="eastAsia" w:ascii="仿宋_GB2312" w:hAnsi="楷体" w:eastAsia="仿宋_GB2312"/>
          <w:sz w:val="24"/>
        </w:rPr>
        <w:t>1.5.2 交付地点：</w:t>
      </w:r>
      <w:r>
        <w:rPr>
          <w:rFonts w:hint="eastAsia" w:ascii="仿宋_GB2312" w:hAnsi="楷体" w:eastAsia="仿宋_GB2312"/>
          <w:sz w:val="24"/>
          <w:u w:val="single"/>
        </w:rPr>
        <w:t>甲方指定地点</w:t>
      </w:r>
      <w:r>
        <w:rPr>
          <w:rFonts w:hint="eastAsia" w:ascii="仿宋_GB2312" w:hAnsi="楷体" w:eastAsia="仿宋_GB2312"/>
          <w:sz w:val="24"/>
        </w:rPr>
        <w:t>；</w:t>
      </w:r>
    </w:p>
    <w:p w14:paraId="47E9EBC9">
      <w:pPr>
        <w:spacing w:line="360" w:lineRule="auto"/>
        <w:ind w:firstLine="480" w:firstLineChars="200"/>
        <w:rPr>
          <w:rFonts w:ascii="仿宋_GB2312" w:hAnsi="楷体" w:eastAsia="仿宋_GB2312"/>
          <w:sz w:val="24"/>
        </w:rPr>
      </w:pPr>
      <w:r>
        <w:rPr>
          <w:rFonts w:hint="eastAsia" w:ascii="仿宋_GB2312" w:hAnsi="楷体" w:eastAsia="仿宋_GB2312"/>
          <w:sz w:val="24"/>
        </w:rPr>
        <w:t>1.5.3 交付方式：</w:t>
      </w:r>
      <w:r>
        <w:rPr>
          <w:rFonts w:hint="eastAsia" w:ascii="仿宋_GB2312" w:hAnsi="楷体" w:eastAsia="仿宋_GB2312"/>
          <w:sz w:val="24"/>
          <w:u w:val="single"/>
        </w:rPr>
        <w:t xml:space="preserve"> 按甲方要求  </w:t>
      </w:r>
      <w:r>
        <w:rPr>
          <w:rFonts w:hint="eastAsia" w:ascii="仿宋_GB2312" w:hAnsi="楷体" w:eastAsia="仿宋_GB2312"/>
          <w:sz w:val="24"/>
        </w:rPr>
        <w:t>；</w:t>
      </w:r>
    </w:p>
    <w:p w14:paraId="6DFD1163">
      <w:pPr>
        <w:spacing w:line="360" w:lineRule="auto"/>
        <w:ind w:firstLine="480" w:firstLineChars="200"/>
        <w:rPr>
          <w:rFonts w:ascii="仿宋_GB2312" w:hAnsi="楷体" w:eastAsia="仿宋_GB2312"/>
          <w:sz w:val="24"/>
        </w:rPr>
      </w:pPr>
      <w:r>
        <w:rPr>
          <w:rFonts w:hint="eastAsia" w:ascii="仿宋_GB2312" w:hAnsi="楷体" w:eastAsia="仿宋_GB2312"/>
          <w:sz w:val="24"/>
        </w:rPr>
        <w:t>1.5.4 服务及质保期限：</w:t>
      </w:r>
      <w:r>
        <w:rPr>
          <w:rFonts w:hint="eastAsia" w:ascii="仿宋_GB2312" w:hAnsi="楷体" w:eastAsia="仿宋_GB2312"/>
          <w:sz w:val="24"/>
          <w:u w:val="single"/>
        </w:rPr>
        <w:t xml:space="preserve">                                 </w:t>
      </w:r>
      <w:r>
        <w:rPr>
          <w:rFonts w:hint="eastAsia" w:ascii="仿宋_GB2312" w:hAnsi="楷体" w:eastAsia="仿宋_GB2312"/>
          <w:sz w:val="24"/>
        </w:rPr>
        <w:t>。</w:t>
      </w:r>
    </w:p>
    <w:p w14:paraId="45659FCD">
      <w:pPr>
        <w:spacing w:line="360" w:lineRule="auto"/>
        <w:ind w:firstLine="482" w:firstLineChars="200"/>
        <w:rPr>
          <w:rFonts w:ascii="仿宋_GB2312" w:hAnsi="楷体" w:eastAsia="仿宋_GB2312"/>
          <w:b/>
          <w:sz w:val="24"/>
        </w:rPr>
      </w:pPr>
      <w:bookmarkStart w:id="150" w:name="_Toc21423"/>
      <w:bookmarkStart w:id="151" w:name="_Toc27250"/>
      <w:bookmarkStart w:id="152" w:name="_Toc19554"/>
      <w:r>
        <w:rPr>
          <w:rFonts w:hint="eastAsia" w:ascii="仿宋_GB2312" w:hAnsi="楷体" w:eastAsia="仿宋_GB2312"/>
          <w:b/>
          <w:sz w:val="24"/>
        </w:rPr>
        <w:t>1.6 违约责任</w:t>
      </w:r>
      <w:bookmarkEnd w:id="150"/>
      <w:bookmarkEnd w:id="151"/>
      <w:bookmarkEnd w:id="152"/>
    </w:p>
    <w:p w14:paraId="20ECD532">
      <w:pPr>
        <w:spacing w:line="360" w:lineRule="auto"/>
        <w:ind w:firstLine="480" w:firstLineChars="200"/>
        <w:rPr>
          <w:rFonts w:ascii="仿宋_GB2312" w:hAnsi="楷体" w:eastAsia="仿宋_GB2312"/>
          <w:sz w:val="24"/>
        </w:rPr>
      </w:pPr>
      <w:r>
        <w:rPr>
          <w:rFonts w:hint="eastAsia" w:ascii="仿宋_GB2312" w:hAnsi="楷体" w:eastAsia="仿宋_GB2312"/>
          <w:sz w:val="24"/>
        </w:rPr>
        <w:t>1.6.1 除不可抗力外，如果乙方没有按照本合同约定的期限、地点和方式交付标的物，甲方可要求乙方支付违约金，违约金按每迟延交付标的物一日的应交付而未交付标的物价格的万分之五计算，最高限额为本合同总价的</w:t>
      </w:r>
      <w:r>
        <w:rPr>
          <w:rFonts w:ascii="仿宋_GB2312" w:hAnsi="楷体" w:eastAsia="仿宋_GB2312"/>
          <w:sz w:val="24"/>
          <w:u w:val="single"/>
        </w:rPr>
        <w:t>20</w:t>
      </w:r>
      <w:r>
        <w:rPr>
          <w:rFonts w:hint="eastAsia" w:ascii="仿宋_GB2312" w:hAnsi="楷体" w:eastAsia="仿宋_GB2312"/>
          <w:sz w:val="24"/>
        </w:rPr>
        <w:t>%；迟延超过【</w:t>
      </w:r>
      <w:r>
        <w:rPr>
          <w:rFonts w:ascii="仿宋_GB2312" w:hAnsi="楷体" w:eastAsia="仿宋_GB2312"/>
          <w:sz w:val="24"/>
        </w:rPr>
        <w:t>7</w:t>
      </w:r>
      <w:r>
        <w:rPr>
          <w:rFonts w:hint="eastAsia" w:ascii="仿宋_GB2312" w:hAnsi="楷体" w:eastAsia="仿宋_GB2312"/>
          <w:sz w:val="24"/>
        </w:rPr>
        <w:t>】日的，甲方有权在要求乙方支付违约金的同时，书面通知乙方解除本合同，乙方应退回全部已收取的合同价款并按合同总金额的</w:t>
      </w:r>
      <w:r>
        <w:rPr>
          <w:rFonts w:ascii="仿宋_GB2312" w:hAnsi="楷体" w:eastAsia="仿宋_GB2312"/>
          <w:sz w:val="24"/>
        </w:rPr>
        <w:t>20</w:t>
      </w:r>
      <w:r>
        <w:rPr>
          <w:rFonts w:hint="eastAsia" w:ascii="仿宋_GB2312" w:hAnsi="楷体" w:eastAsia="仿宋_GB2312"/>
          <w:sz w:val="24"/>
        </w:rPr>
        <w:t>%向甲方支付违约金；</w:t>
      </w:r>
    </w:p>
    <w:p w14:paraId="6A7FF855">
      <w:pPr>
        <w:spacing w:line="360" w:lineRule="auto"/>
        <w:ind w:firstLine="480" w:firstLineChars="200"/>
        <w:rPr>
          <w:rFonts w:ascii="仿宋_GB2312" w:hAnsi="楷体" w:eastAsia="仿宋_GB2312"/>
          <w:sz w:val="24"/>
        </w:rPr>
      </w:pPr>
      <w:r>
        <w:rPr>
          <w:rFonts w:hint="eastAsia" w:ascii="仿宋_GB2312" w:hAnsi="楷体" w:eastAsia="仿宋_GB2312"/>
          <w:sz w:val="24"/>
        </w:rPr>
        <w:t>1.6.2 除不可抗力外，如果甲方没有按照本合同约定的付款方式付款，乙方可要求甲方支付违约金，违约金按每迟延付款一日的应付而未付款的万分之五计算，最高限额为欠付金额的</w:t>
      </w:r>
      <w:r>
        <w:rPr>
          <w:rFonts w:ascii="仿宋_GB2312" w:hAnsi="楷体" w:eastAsia="仿宋_GB2312"/>
          <w:sz w:val="24"/>
          <w:u w:val="single"/>
        </w:rPr>
        <w:t>20</w:t>
      </w:r>
      <w:r>
        <w:rPr>
          <w:rFonts w:hint="eastAsia" w:ascii="仿宋_GB2312" w:hAnsi="楷体" w:eastAsia="仿宋_GB2312"/>
          <w:sz w:val="24"/>
        </w:rPr>
        <w:t>%；迟延付款的违约金计算数额达到前述最高限额之日起，乙方有权在要求甲方支付违约金的同时，书面通知甲方解除本合同；</w:t>
      </w:r>
    </w:p>
    <w:p w14:paraId="23517B4F">
      <w:pPr>
        <w:spacing w:line="360" w:lineRule="auto"/>
        <w:ind w:firstLine="480" w:firstLineChars="200"/>
        <w:rPr>
          <w:rFonts w:ascii="仿宋_GB2312" w:hAnsi="楷体" w:eastAsia="仿宋_GB2312"/>
          <w:sz w:val="24"/>
        </w:rPr>
      </w:pPr>
      <w:r>
        <w:rPr>
          <w:rFonts w:hint="eastAsia" w:ascii="仿宋_GB2312" w:hAnsi="楷体" w:eastAsia="仿宋_GB2312"/>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7C58EFC">
      <w:pPr>
        <w:spacing w:line="360" w:lineRule="auto"/>
        <w:ind w:firstLine="480" w:firstLineChars="200"/>
        <w:rPr>
          <w:rFonts w:ascii="仿宋_GB2312" w:hAnsi="楷体" w:eastAsia="仿宋_GB2312"/>
          <w:sz w:val="24"/>
        </w:rPr>
      </w:pPr>
      <w:r>
        <w:rPr>
          <w:rFonts w:hint="eastAsia" w:ascii="仿宋_GB2312" w:hAnsi="楷体" w:eastAsia="仿宋_GB2312"/>
          <w:sz w:val="24"/>
        </w:rPr>
        <w:t>1.6.4乙方在质保期内未按承诺提供售后等服务的，每发生一次向甲方支付违约金额</w:t>
      </w:r>
      <w:r>
        <w:rPr>
          <w:rFonts w:ascii="仿宋_GB2312" w:hAnsi="楷体" w:eastAsia="仿宋_GB2312"/>
          <w:sz w:val="24"/>
          <w:u w:val="single"/>
        </w:rPr>
        <w:t>2000</w:t>
      </w:r>
      <w:r>
        <w:rPr>
          <w:rFonts w:hint="eastAsia" w:ascii="仿宋_GB2312" w:hAnsi="楷体" w:eastAsia="仿宋_GB2312"/>
          <w:sz w:val="24"/>
        </w:rPr>
        <w:t>元。</w:t>
      </w:r>
    </w:p>
    <w:p w14:paraId="788B345E">
      <w:pPr>
        <w:spacing w:line="360" w:lineRule="auto"/>
        <w:ind w:firstLine="480" w:firstLineChars="200"/>
        <w:rPr>
          <w:rFonts w:ascii="仿宋_GB2312" w:hAnsi="楷体" w:eastAsia="仿宋_GB2312"/>
          <w:sz w:val="24"/>
        </w:rPr>
      </w:pPr>
      <w:r>
        <w:rPr>
          <w:rFonts w:hint="eastAsia" w:ascii="仿宋_GB2312" w:hAnsi="楷体" w:eastAsia="仿宋_GB2312"/>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154ADFA3">
      <w:pPr>
        <w:spacing w:line="360" w:lineRule="auto"/>
        <w:ind w:firstLine="480" w:firstLineChars="200"/>
        <w:rPr>
          <w:rFonts w:ascii="仿宋_GB2312" w:hAnsi="楷体" w:eastAsia="仿宋_GB2312"/>
          <w:sz w:val="24"/>
        </w:rPr>
      </w:pPr>
      <w:r>
        <w:rPr>
          <w:rFonts w:hint="eastAsia" w:ascii="仿宋_GB2312" w:hAnsi="楷体" w:eastAsia="仿宋_GB2312"/>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5CDAEBD">
      <w:pPr>
        <w:spacing w:line="360" w:lineRule="auto"/>
        <w:ind w:firstLine="480" w:firstLineChars="200"/>
        <w:rPr>
          <w:rFonts w:ascii="仿宋_GB2312" w:hAnsi="楷体" w:eastAsia="仿宋_GB2312"/>
          <w:sz w:val="24"/>
        </w:rPr>
      </w:pPr>
      <w:r>
        <w:rPr>
          <w:rFonts w:hint="eastAsia" w:ascii="仿宋_GB2312" w:hAnsi="楷体" w:eastAsia="仿宋_GB2312"/>
          <w:sz w:val="24"/>
        </w:rPr>
        <w:t>1.6.7 如果出现政府采购监督管理部门在处理投诉事项期间，书面通知甲方暂停采购活动的情形，或者询问或质疑事项可能影响中标结果的，导致甲方中止履行合同的情形，均不视为甲方违约。</w:t>
      </w:r>
    </w:p>
    <w:p w14:paraId="3350D768">
      <w:pPr>
        <w:spacing w:line="360" w:lineRule="auto"/>
        <w:ind w:firstLine="482" w:firstLineChars="200"/>
        <w:rPr>
          <w:rFonts w:ascii="仿宋_GB2312" w:hAnsi="楷体" w:eastAsia="仿宋_GB2312"/>
          <w:b/>
          <w:sz w:val="24"/>
        </w:rPr>
      </w:pPr>
      <w:bookmarkStart w:id="153" w:name="_Toc28375"/>
      <w:bookmarkStart w:id="154" w:name="_Toc15583"/>
      <w:bookmarkStart w:id="155" w:name="_Toc16021"/>
      <w:r>
        <w:rPr>
          <w:rFonts w:hint="eastAsia" w:ascii="仿宋_GB2312" w:hAnsi="楷体" w:eastAsia="仿宋_GB2312"/>
          <w:b/>
          <w:sz w:val="24"/>
        </w:rPr>
        <w:t>1.7 合同争议的解决</w:t>
      </w:r>
      <w:bookmarkEnd w:id="153"/>
      <w:bookmarkEnd w:id="154"/>
      <w:bookmarkEnd w:id="155"/>
    </w:p>
    <w:p w14:paraId="5B601B2E">
      <w:pPr>
        <w:spacing w:line="360" w:lineRule="auto"/>
        <w:ind w:firstLine="480" w:firstLineChars="200"/>
        <w:rPr>
          <w:rFonts w:ascii="仿宋_GB2312" w:hAnsi="楷体" w:eastAsia="仿宋_GB2312"/>
          <w:sz w:val="24"/>
        </w:rPr>
      </w:pPr>
      <w:r>
        <w:rPr>
          <w:rFonts w:hint="eastAsia" w:ascii="仿宋_GB2312" w:hAnsi="楷体" w:eastAsia="仿宋_GB2312"/>
          <w:sz w:val="24"/>
        </w:rPr>
        <w:t>本合同履行过程中发生的任何争议，双方当事人均应通过友好协商的方式和解或者调解解决；不愿和解、调解或者和解、调解不成的，可以选择下列第</w:t>
      </w:r>
      <w:r>
        <w:rPr>
          <w:rFonts w:ascii="仿宋_GB2312" w:hAnsi="楷体" w:eastAsia="仿宋_GB2312"/>
          <w:sz w:val="24"/>
          <w:u w:val="single"/>
        </w:rPr>
        <w:t>1.7.2</w:t>
      </w:r>
      <w:r>
        <w:rPr>
          <w:rFonts w:hint="eastAsia" w:ascii="仿宋_GB2312" w:hAnsi="楷体" w:eastAsia="仿宋_GB2312"/>
          <w:sz w:val="24"/>
        </w:rPr>
        <w:t>种方式解决：</w:t>
      </w:r>
    </w:p>
    <w:p w14:paraId="7B17DBF6">
      <w:pPr>
        <w:spacing w:line="360" w:lineRule="auto"/>
        <w:ind w:firstLine="480" w:firstLineChars="200"/>
        <w:rPr>
          <w:rFonts w:ascii="仿宋_GB2312" w:hAnsi="楷体" w:eastAsia="仿宋_GB2312"/>
          <w:sz w:val="24"/>
        </w:rPr>
      </w:pPr>
      <w:r>
        <w:rPr>
          <w:rFonts w:hint="eastAsia" w:ascii="仿宋_GB2312" w:hAnsi="楷体" w:eastAsia="仿宋_GB2312"/>
          <w:sz w:val="24"/>
        </w:rPr>
        <w:t>1.7.1 将争议提交</w:t>
      </w:r>
      <w:r>
        <w:rPr>
          <w:rFonts w:hint="eastAsia" w:ascii="仿宋_GB2312" w:hAnsi="楷体" w:eastAsia="仿宋_GB2312"/>
          <w:sz w:val="24"/>
          <w:u w:val="single"/>
        </w:rPr>
        <w:t>南宁</w:t>
      </w:r>
      <w:r>
        <w:rPr>
          <w:rFonts w:hint="eastAsia" w:ascii="仿宋_GB2312" w:hAnsi="楷体" w:eastAsia="仿宋_GB2312"/>
          <w:sz w:val="24"/>
        </w:rPr>
        <w:t>仲裁委员会依申请仲裁时其现行有效的仲裁规则裁决；</w:t>
      </w:r>
    </w:p>
    <w:p w14:paraId="66AF689C">
      <w:pPr>
        <w:spacing w:line="360" w:lineRule="auto"/>
        <w:ind w:firstLine="480" w:firstLineChars="200"/>
        <w:rPr>
          <w:rFonts w:ascii="仿宋_GB2312" w:hAnsi="楷体" w:eastAsia="仿宋_GB2312"/>
          <w:sz w:val="24"/>
        </w:rPr>
      </w:pPr>
      <w:r>
        <w:rPr>
          <w:rFonts w:hint="eastAsia" w:ascii="仿宋_GB2312" w:hAnsi="楷体" w:eastAsia="仿宋_GB2312"/>
          <w:sz w:val="24"/>
        </w:rPr>
        <w:t>1.7.2 向</w:t>
      </w:r>
      <w:r>
        <w:rPr>
          <w:rFonts w:hint="eastAsia" w:ascii="仿宋_GB2312" w:hAnsi="楷体" w:eastAsia="仿宋_GB2312"/>
          <w:sz w:val="24"/>
          <w:u w:val="single"/>
        </w:rPr>
        <w:t>甲方所在地有管辖权的</w:t>
      </w:r>
      <w:r>
        <w:rPr>
          <w:rFonts w:hint="eastAsia" w:ascii="仿宋_GB2312" w:hAnsi="楷体" w:eastAsia="仿宋_GB2312"/>
          <w:sz w:val="24"/>
        </w:rPr>
        <w:t>人民法院起诉。</w:t>
      </w:r>
    </w:p>
    <w:p w14:paraId="4990B17F">
      <w:pPr>
        <w:spacing w:line="360" w:lineRule="auto"/>
        <w:ind w:firstLine="482" w:firstLineChars="200"/>
        <w:rPr>
          <w:rFonts w:ascii="仿宋_GB2312" w:hAnsi="楷体" w:eastAsia="仿宋_GB2312"/>
          <w:b/>
          <w:sz w:val="24"/>
        </w:rPr>
      </w:pPr>
      <w:bookmarkStart w:id="156" w:name="_Toc11173"/>
      <w:bookmarkStart w:id="157" w:name="_Toc7245"/>
      <w:bookmarkStart w:id="158" w:name="_Toc15322"/>
      <w:r>
        <w:rPr>
          <w:rFonts w:hint="eastAsia" w:ascii="仿宋_GB2312" w:hAnsi="楷体" w:eastAsia="仿宋_GB2312"/>
          <w:b/>
          <w:sz w:val="24"/>
        </w:rPr>
        <w:t>1.8 合同生效</w:t>
      </w:r>
      <w:bookmarkEnd w:id="156"/>
      <w:bookmarkEnd w:id="157"/>
      <w:bookmarkEnd w:id="158"/>
    </w:p>
    <w:p w14:paraId="462161A5">
      <w:pPr>
        <w:spacing w:line="360" w:lineRule="auto"/>
        <w:ind w:firstLine="480" w:firstLineChars="200"/>
        <w:rPr>
          <w:rFonts w:ascii="仿宋_GB2312" w:hAnsi="楷体" w:eastAsia="仿宋_GB2312"/>
          <w:b/>
          <w:sz w:val="24"/>
        </w:rPr>
      </w:pPr>
      <w:r>
        <w:rPr>
          <w:rFonts w:hint="eastAsia" w:ascii="仿宋_GB2312" w:hAnsi="楷体" w:eastAsia="仿宋_GB2312"/>
          <w:sz w:val="24"/>
        </w:rPr>
        <w:t>本合同自双方当事人加盖有效电子公章时生效。</w:t>
      </w:r>
    </w:p>
    <w:p w14:paraId="4385824C">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甲方：南宁市市政工程管理处</w:t>
      </w:r>
      <w:r>
        <w:rPr>
          <w:rFonts w:hint="eastAsia" w:ascii="仿宋_GB2312" w:hAnsi="楷体" w:eastAsia="仿宋_GB2312"/>
          <w:sz w:val="24"/>
        </w:rPr>
        <w:t xml:space="preserve">      </w:t>
      </w:r>
      <w:r>
        <w:rPr>
          <w:rFonts w:hint="eastAsia" w:ascii="仿宋_GB2312" w:hAnsi="楷体" w:eastAsia="仿宋_GB2312"/>
          <w:sz w:val="24"/>
          <w:lang w:val="zh-CN"/>
        </w:rPr>
        <w:t xml:space="preserve">        乙方：</w:t>
      </w:r>
    </w:p>
    <w:p w14:paraId="0531B369">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统一社会信用代码：                      统一社会信用代码或身份证号码：</w:t>
      </w:r>
    </w:p>
    <w:p w14:paraId="38F6FEFC">
      <w:pPr>
        <w:spacing w:line="360" w:lineRule="auto"/>
        <w:ind w:firstLine="200"/>
        <w:rPr>
          <w:rFonts w:ascii="仿宋_GB2312" w:hAnsi="楷体" w:eastAsia="仿宋_GB2312"/>
          <w:sz w:val="24"/>
          <w:lang w:val="zh-CN"/>
        </w:rPr>
      </w:pPr>
    </w:p>
    <w:p w14:paraId="36D30D39">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住所：</w:t>
      </w:r>
      <w:r>
        <w:rPr>
          <w:rFonts w:hint="eastAsia" w:ascii="仿宋_GB2312" w:hAnsi="楷体" w:eastAsia="仿宋_GB2312"/>
          <w:sz w:val="24"/>
        </w:rPr>
        <w:t>南宁市中华路50号</w:t>
      </w:r>
      <w:r>
        <w:rPr>
          <w:rFonts w:hint="eastAsia" w:ascii="仿宋_GB2312" w:hAnsi="楷体" w:eastAsia="仿宋_GB2312"/>
          <w:sz w:val="24"/>
          <w:lang w:val="zh-CN"/>
        </w:rPr>
        <w:t xml:space="preserve">                  住所：</w:t>
      </w:r>
    </w:p>
    <w:p w14:paraId="56401A4D">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法定代表人或                             法定代表人</w:t>
      </w:r>
    </w:p>
    <w:p w14:paraId="6B57F4C7">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 xml:space="preserve">授权代表（签字）：                       或授权代表（签字）: </w:t>
      </w:r>
    </w:p>
    <w:p w14:paraId="039C14D0">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联系人：                                 联系人：</w:t>
      </w:r>
    </w:p>
    <w:p w14:paraId="42934CC9">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约定送达地址：                           约定送达地址：</w:t>
      </w:r>
    </w:p>
    <w:p w14:paraId="09718A0D">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邮政编码：                               邮政编码：</w:t>
      </w:r>
    </w:p>
    <w:p w14:paraId="6B7EA773">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 xml:space="preserve">电话:0771-2426946                        电话: </w:t>
      </w:r>
    </w:p>
    <w:p w14:paraId="576BF7DD">
      <w:pPr>
        <w:spacing w:line="360" w:lineRule="auto"/>
        <w:ind w:firstLine="200"/>
        <w:rPr>
          <w:rFonts w:ascii="仿宋_GB2312" w:hAnsi="楷体" w:eastAsia="仿宋_GB2312"/>
          <w:sz w:val="24"/>
          <w:lang w:val="zh-CN"/>
        </w:rPr>
      </w:pPr>
      <w:r>
        <w:rPr>
          <w:rFonts w:hint="eastAsia" w:ascii="仿宋_GB2312" w:hAnsi="楷体" w:eastAsia="仿宋_GB2312"/>
          <w:sz w:val="24"/>
          <w:lang w:val="zh-CN"/>
        </w:rPr>
        <w:t>传真:0771-2426946                        传真:</w:t>
      </w:r>
    </w:p>
    <w:p w14:paraId="545CDFEB">
      <w:pPr>
        <w:spacing w:line="360" w:lineRule="auto"/>
        <w:ind w:firstLine="200"/>
        <w:rPr>
          <w:rFonts w:ascii="仿宋_GB2312" w:hAnsi="楷体" w:eastAsia="仿宋_GB2312"/>
          <w:sz w:val="24"/>
        </w:rPr>
      </w:pPr>
      <w:r>
        <w:rPr>
          <w:rFonts w:hint="eastAsia" w:ascii="仿宋_GB2312" w:hAnsi="楷体" w:eastAsia="仿宋_GB2312"/>
          <w:sz w:val="24"/>
          <w:lang w:val="zh-CN"/>
        </w:rPr>
        <w:t>电子邮箱：                               电子邮箱：</w:t>
      </w:r>
    </w:p>
    <w:p w14:paraId="09311943">
      <w:pPr>
        <w:spacing w:line="360" w:lineRule="auto"/>
        <w:ind w:firstLine="200"/>
        <w:rPr>
          <w:rFonts w:ascii="仿宋_GB2312" w:hAnsi="楷体" w:eastAsia="仿宋_GB2312"/>
          <w:sz w:val="24"/>
        </w:rPr>
      </w:pPr>
      <w:r>
        <w:rPr>
          <w:rFonts w:hint="eastAsia" w:ascii="仿宋_GB2312" w:hAnsi="楷体" w:eastAsia="仿宋_GB2312"/>
          <w:sz w:val="24"/>
        </w:rPr>
        <w:t xml:space="preserve">开户银行：                               开户银行： </w:t>
      </w:r>
    </w:p>
    <w:p w14:paraId="0A866212">
      <w:pPr>
        <w:spacing w:line="360" w:lineRule="auto"/>
        <w:ind w:firstLine="200"/>
        <w:rPr>
          <w:rFonts w:ascii="仿宋_GB2312" w:hAnsi="楷体" w:eastAsia="仿宋_GB2312"/>
          <w:sz w:val="24"/>
        </w:rPr>
      </w:pPr>
      <w:r>
        <w:rPr>
          <w:rFonts w:hint="eastAsia" w:ascii="仿宋_GB2312" w:hAnsi="楷体" w:eastAsia="仿宋_GB2312"/>
          <w:sz w:val="24"/>
        </w:rPr>
        <w:t xml:space="preserve">开户名称：                               开户名称： </w:t>
      </w:r>
    </w:p>
    <w:p w14:paraId="06279AF0">
      <w:pPr>
        <w:spacing w:line="360" w:lineRule="auto"/>
        <w:ind w:firstLine="200"/>
        <w:rPr>
          <w:rFonts w:ascii="仿宋_GB2312" w:hAnsi="楷体" w:eastAsia="仿宋_GB2312"/>
          <w:sz w:val="24"/>
        </w:rPr>
      </w:pPr>
      <w:r>
        <w:rPr>
          <w:rFonts w:hint="eastAsia" w:ascii="仿宋_GB2312" w:hAnsi="楷体" w:eastAsia="仿宋_GB2312"/>
          <w:sz w:val="24"/>
        </w:rPr>
        <w:t xml:space="preserve">开户账号：                    </w:t>
      </w:r>
      <w:r>
        <w:rPr>
          <w:rFonts w:hint="eastAsia" w:ascii="仿宋_GB2312" w:hAnsi="楷体" w:eastAsia="仿宋_GB2312"/>
          <w:sz w:val="24"/>
          <w:lang w:val="en-US" w:eastAsia="zh-CN"/>
        </w:rPr>
        <w:t xml:space="preserve">          </w:t>
      </w:r>
      <w:r>
        <w:rPr>
          <w:rFonts w:hint="eastAsia" w:ascii="仿宋_GB2312" w:hAnsi="楷体" w:eastAsia="仿宋_GB2312"/>
          <w:sz w:val="24"/>
        </w:rPr>
        <w:t xml:space="preserve"> 开户账号：</w:t>
      </w:r>
    </w:p>
    <w:p w14:paraId="6CF3FF1E">
      <w:pPr>
        <w:spacing w:line="360" w:lineRule="auto"/>
        <w:ind w:firstLine="200"/>
        <w:jc w:val="center"/>
        <w:rPr>
          <w:rFonts w:ascii="仿宋_GB2312" w:hAnsi="楷体" w:eastAsia="仿宋_GB2312"/>
          <w:b/>
          <w:sz w:val="28"/>
          <w:szCs w:val="28"/>
        </w:rPr>
      </w:pPr>
      <w:r>
        <w:rPr>
          <w:rFonts w:hint="eastAsia" w:ascii="仿宋_GB2312" w:hAnsi="楷体" w:eastAsia="仿宋_GB2312"/>
          <w:b/>
        </w:rPr>
        <w:br w:type="page"/>
      </w:r>
      <w:bookmarkStart w:id="159" w:name="_Toc331685783"/>
      <w:r>
        <w:rPr>
          <w:rFonts w:hint="eastAsia" w:ascii="仿宋_GB2312" w:hAnsi="楷体" w:eastAsia="仿宋_GB2312"/>
          <w:b/>
          <w:sz w:val="28"/>
          <w:szCs w:val="28"/>
        </w:rPr>
        <w:t>第二部分 合同一般条款</w:t>
      </w:r>
      <w:bookmarkEnd w:id="159"/>
    </w:p>
    <w:p w14:paraId="345409CE">
      <w:pPr>
        <w:spacing w:line="360" w:lineRule="auto"/>
        <w:ind w:firstLine="482" w:firstLineChars="200"/>
        <w:rPr>
          <w:rFonts w:ascii="仿宋_GB2312" w:hAnsi="楷体" w:eastAsia="仿宋_GB2312"/>
          <w:b/>
          <w:sz w:val="24"/>
        </w:rPr>
      </w:pPr>
      <w:bookmarkStart w:id="160" w:name="_Toc28763"/>
      <w:bookmarkStart w:id="161" w:name="_Ref467379195"/>
      <w:bookmarkStart w:id="162" w:name="_Ref467379205"/>
      <w:bookmarkStart w:id="163" w:name="_Ref467379225"/>
      <w:bookmarkStart w:id="164" w:name="_Ref467378463"/>
      <w:bookmarkStart w:id="165" w:name="_Toc259093669"/>
      <w:bookmarkStart w:id="166" w:name="_Ref467379094"/>
      <w:bookmarkStart w:id="167" w:name="_Ref467378499"/>
      <w:bookmarkStart w:id="168" w:name="_Ref467379101"/>
      <w:bookmarkStart w:id="169" w:name="_Ref467379214"/>
      <w:bookmarkStart w:id="170" w:name="_Toc16917"/>
      <w:bookmarkStart w:id="171" w:name="_Ref467378404"/>
      <w:bookmarkStart w:id="172" w:name="_Toc279701240"/>
      <w:bookmarkStart w:id="173" w:name="_Toc487900349"/>
      <w:bookmarkStart w:id="174" w:name="_Ref467379109"/>
      <w:bookmarkStart w:id="175" w:name="_Toc19614"/>
      <w:r>
        <w:rPr>
          <w:rFonts w:hint="eastAsia" w:ascii="仿宋_GB2312" w:hAnsi="楷体" w:eastAsia="仿宋_GB2312"/>
          <w:b/>
          <w:sz w:val="24"/>
        </w:rPr>
        <w:t>2.1 定义</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6116DDBF">
      <w:pPr>
        <w:spacing w:line="360" w:lineRule="auto"/>
        <w:ind w:firstLine="480" w:firstLineChars="200"/>
        <w:rPr>
          <w:rFonts w:ascii="仿宋_GB2312" w:hAnsi="楷体" w:eastAsia="仿宋_GB2312"/>
          <w:sz w:val="24"/>
        </w:rPr>
      </w:pPr>
      <w:r>
        <w:rPr>
          <w:rFonts w:hint="eastAsia" w:ascii="仿宋_GB2312" w:hAnsi="楷体" w:eastAsia="仿宋_GB2312"/>
          <w:sz w:val="24"/>
        </w:rPr>
        <w:t>本合同中的下列词语应按以下内容进行解释：</w:t>
      </w:r>
    </w:p>
    <w:p w14:paraId="540E7FB0">
      <w:pPr>
        <w:spacing w:line="360" w:lineRule="auto"/>
        <w:ind w:firstLine="480" w:firstLineChars="200"/>
        <w:rPr>
          <w:rFonts w:ascii="仿宋_GB2312" w:hAnsi="楷体" w:eastAsia="仿宋_GB2312"/>
          <w:sz w:val="24"/>
        </w:rPr>
      </w:pPr>
      <w:r>
        <w:rPr>
          <w:rFonts w:hint="eastAsia" w:ascii="仿宋_GB2312" w:hAnsi="楷体" w:eastAsia="仿宋_GB2312"/>
          <w:sz w:val="24"/>
        </w:rPr>
        <w:t>2.1.1 “合同”系指采购人和中标人签订的载明双方当事人所达成的协议，并包括所有的附件、附录和构成合同的其他文件。</w:t>
      </w:r>
    </w:p>
    <w:p w14:paraId="2D6AF707">
      <w:pPr>
        <w:spacing w:line="360" w:lineRule="auto"/>
        <w:ind w:firstLine="480" w:firstLineChars="200"/>
        <w:rPr>
          <w:rFonts w:ascii="仿宋_GB2312" w:hAnsi="楷体" w:eastAsia="仿宋_GB2312"/>
          <w:sz w:val="24"/>
        </w:rPr>
      </w:pPr>
      <w:r>
        <w:rPr>
          <w:rFonts w:hint="eastAsia" w:ascii="仿宋_GB2312" w:hAnsi="楷体" w:eastAsia="仿宋_GB2312"/>
          <w:sz w:val="24"/>
        </w:rPr>
        <w:t>2.1.2 “合同价”系指根据合同约定，中标人在完全履行合同义务后，采购人应支付给中标人的价格。</w:t>
      </w:r>
    </w:p>
    <w:p w14:paraId="2C1FD309">
      <w:pPr>
        <w:spacing w:line="360" w:lineRule="auto"/>
        <w:ind w:firstLine="480" w:firstLineChars="200"/>
        <w:rPr>
          <w:rFonts w:ascii="仿宋_GB2312" w:hAnsi="楷体" w:eastAsia="仿宋_GB2312"/>
          <w:sz w:val="24"/>
        </w:rPr>
      </w:pPr>
      <w:r>
        <w:rPr>
          <w:rFonts w:hint="eastAsia" w:ascii="仿宋_GB2312" w:hAnsi="楷体" w:eastAsia="仿宋_GB2312"/>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6BF1A357">
      <w:pPr>
        <w:spacing w:line="360" w:lineRule="auto"/>
        <w:ind w:firstLine="480" w:firstLineChars="200"/>
        <w:rPr>
          <w:rFonts w:ascii="仿宋_GB2312" w:hAnsi="楷体" w:eastAsia="仿宋_GB2312"/>
          <w:sz w:val="24"/>
        </w:rPr>
      </w:pPr>
      <w:bookmarkStart w:id="176" w:name="_Ref467378840"/>
      <w:r>
        <w:rPr>
          <w:rFonts w:hint="eastAsia" w:ascii="仿宋_GB2312" w:hAnsi="楷体" w:eastAsia="仿宋_GB2312"/>
          <w:sz w:val="24"/>
        </w:rPr>
        <w:t>2.1.4 “甲方”系指与中标人签署合同的采购人</w:t>
      </w:r>
      <w:bookmarkEnd w:id="176"/>
      <w:r>
        <w:rPr>
          <w:rFonts w:hint="eastAsia" w:ascii="仿宋_GB2312" w:hAnsi="楷体" w:eastAsia="仿宋_GB2312"/>
          <w:sz w:val="24"/>
        </w:rPr>
        <w:t>；采购人委托采购机构代表其与乙方签订合同的，采购人的授权委托书作为合同附件。</w:t>
      </w:r>
    </w:p>
    <w:p w14:paraId="0066F3E7">
      <w:pPr>
        <w:spacing w:line="360" w:lineRule="auto"/>
        <w:ind w:firstLine="480" w:firstLineChars="200"/>
        <w:rPr>
          <w:rFonts w:ascii="仿宋_GB2312" w:hAnsi="楷体" w:eastAsia="仿宋_GB2312"/>
          <w:sz w:val="24"/>
        </w:rPr>
      </w:pPr>
      <w:bookmarkStart w:id="177" w:name="_Ref467379400"/>
      <w:r>
        <w:rPr>
          <w:rFonts w:hint="eastAsia" w:ascii="仿宋_GB2312" w:hAnsi="楷体" w:eastAsia="仿宋_GB2312"/>
          <w:sz w:val="24"/>
        </w:rPr>
        <w:t>2.1.5 “乙方”系指根据合同约定交付标的物的</w:t>
      </w:r>
      <w:bookmarkEnd w:id="177"/>
      <w:r>
        <w:rPr>
          <w:rFonts w:hint="eastAsia" w:ascii="仿宋_GB2312" w:hAnsi="楷体" w:eastAsia="仿宋_GB2312"/>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4A5A3216">
      <w:pPr>
        <w:spacing w:line="360" w:lineRule="auto"/>
        <w:ind w:firstLine="480" w:firstLineChars="200"/>
        <w:rPr>
          <w:rFonts w:ascii="仿宋_GB2312" w:hAnsi="楷体" w:eastAsia="仿宋_GB2312"/>
          <w:sz w:val="24"/>
        </w:rPr>
      </w:pPr>
      <w:bookmarkStart w:id="178" w:name="_Ref467379436"/>
      <w:r>
        <w:rPr>
          <w:rFonts w:hint="eastAsia" w:ascii="仿宋_GB2312" w:hAnsi="楷体" w:eastAsia="仿宋_GB2312"/>
          <w:sz w:val="24"/>
        </w:rPr>
        <w:t>2.1.6 “现场”系指合同约定标的物将要运至或者实施或者安装的地点。</w:t>
      </w:r>
      <w:bookmarkEnd w:id="178"/>
    </w:p>
    <w:p w14:paraId="0921BC57">
      <w:pPr>
        <w:spacing w:line="360" w:lineRule="auto"/>
        <w:ind w:firstLine="482" w:firstLineChars="200"/>
        <w:rPr>
          <w:rFonts w:ascii="仿宋_GB2312" w:hAnsi="楷体" w:eastAsia="仿宋_GB2312"/>
          <w:b/>
          <w:sz w:val="24"/>
        </w:rPr>
      </w:pPr>
      <w:bookmarkStart w:id="179" w:name="_Toc259093670"/>
      <w:bookmarkStart w:id="180" w:name="_Toc279701241"/>
      <w:bookmarkStart w:id="181" w:name="_Toc13336"/>
      <w:bookmarkStart w:id="182" w:name="_Toc32504"/>
      <w:bookmarkStart w:id="183" w:name="_Toc27635"/>
      <w:bookmarkStart w:id="184" w:name="_Toc487900350"/>
      <w:r>
        <w:rPr>
          <w:rFonts w:hint="eastAsia" w:ascii="仿宋_GB2312" w:hAnsi="楷体" w:eastAsia="仿宋_GB2312"/>
          <w:b/>
          <w:sz w:val="24"/>
        </w:rPr>
        <w:t>2.2 技术规范</w:t>
      </w:r>
      <w:bookmarkEnd w:id="179"/>
      <w:bookmarkEnd w:id="180"/>
      <w:bookmarkEnd w:id="181"/>
      <w:bookmarkEnd w:id="182"/>
      <w:bookmarkEnd w:id="183"/>
      <w:bookmarkEnd w:id="184"/>
    </w:p>
    <w:p w14:paraId="5476C8B4">
      <w:pPr>
        <w:spacing w:line="360" w:lineRule="auto"/>
        <w:ind w:firstLine="480" w:firstLineChars="200"/>
        <w:rPr>
          <w:rFonts w:ascii="仿宋_GB2312" w:hAnsi="楷体" w:eastAsia="仿宋_GB2312"/>
          <w:sz w:val="24"/>
        </w:rPr>
      </w:pPr>
      <w:r>
        <w:rPr>
          <w:rFonts w:hint="eastAsia" w:ascii="仿宋_GB2312" w:hAnsi="楷体" w:eastAsia="仿宋_GB2312"/>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484FC8B0">
      <w:pPr>
        <w:spacing w:line="360" w:lineRule="auto"/>
        <w:ind w:firstLine="482" w:firstLineChars="200"/>
        <w:rPr>
          <w:rFonts w:ascii="仿宋_GB2312" w:hAnsi="楷体" w:eastAsia="仿宋_GB2312"/>
          <w:b/>
          <w:sz w:val="24"/>
        </w:rPr>
      </w:pPr>
      <w:bookmarkStart w:id="185" w:name="_Toc9829"/>
      <w:bookmarkStart w:id="186" w:name="_Toc279701242"/>
      <w:bookmarkStart w:id="187" w:name="_Toc259093671"/>
      <w:bookmarkStart w:id="188" w:name="_Toc487900351"/>
      <w:bookmarkStart w:id="189" w:name="_Toc27853"/>
      <w:bookmarkStart w:id="190" w:name="_Toc31634"/>
      <w:r>
        <w:rPr>
          <w:rFonts w:hint="eastAsia" w:ascii="仿宋_GB2312" w:hAnsi="楷体" w:eastAsia="仿宋_GB2312"/>
          <w:b/>
          <w:sz w:val="24"/>
        </w:rPr>
        <w:t>2.3 知识产权</w:t>
      </w:r>
      <w:bookmarkEnd w:id="185"/>
      <w:bookmarkEnd w:id="186"/>
      <w:bookmarkEnd w:id="187"/>
      <w:bookmarkEnd w:id="188"/>
      <w:bookmarkEnd w:id="189"/>
      <w:bookmarkEnd w:id="190"/>
    </w:p>
    <w:p w14:paraId="00E0A568">
      <w:pPr>
        <w:spacing w:line="360" w:lineRule="auto"/>
        <w:ind w:firstLine="480" w:firstLineChars="200"/>
        <w:rPr>
          <w:rFonts w:ascii="仿宋_GB2312" w:hAnsi="楷体" w:eastAsia="仿宋_GB2312"/>
          <w:sz w:val="24"/>
        </w:rPr>
      </w:pPr>
      <w:r>
        <w:rPr>
          <w:rFonts w:hint="eastAsia" w:ascii="仿宋_GB2312" w:hAnsi="楷体" w:eastAsia="仿宋_GB2312"/>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58C595DC">
      <w:pPr>
        <w:spacing w:line="360" w:lineRule="auto"/>
        <w:ind w:firstLine="480" w:firstLineChars="200"/>
        <w:rPr>
          <w:rFonts w:ascii="仿宋_GB2312" w:hAnsi="楷体" w:eastAsia="仿宋_GB2312"/>
          <w:sz w:val="24"/>
        </w:rPr>
      </w:pPr>
      <w:r>
        <w:rPr>
          <w:rFonts w:hint="eastAsia" w:ascii="仿宋_GB2312" w:hAnsi="楷体" w:eastAsia="仿宋_GB2312"/>
          <w:sz w:val="24"/>
        </w:rPr>
        <w:t>2.3.2具有知识产权的计算机软件等标的物的知识产权归属，详见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0E5DEA56">
      <w:pPr>
        <w:spacing w:line="360" w:lineRule="auto"/>
        <w:ind w:firstLine="482" w:firstLineChars="200"/>
        <w:rPr>
          <w:rFonts w:ascii="仿宋_GB2312" w:hAnsi="楷体" w:eastAsia="仿宋_GB2312"/>
          <w:b/>
          <w:sz w:val="24"/>
        </w:rPr>
      </w:pPr>
      <w:bookmarkStart w:id="191" w:name="_Toc4194"/>
      <w:bookmarkStart w:id="192" w:name="_Toc29149"/>
      <w:bookmarkStart w:id="193" w:name="_Toc11932"/>
      <w:r>
        <w:rPr>
          <w:rFonts w:hint="eastAsia" w:ascii="仿宋_GB2312" w:hAnsi="楷体" w:eastAsia="仿宋_GB2312"/>
          <w:b/>
          <w:sz w:val="24"/>
        </w:rPr>
        <w:t>2.4 包装和装运</w:t>
      </w:r>
      <w:bookmarkEnd w:id="191"/>
      <w:bookmarkEnd w:id="192"/>
      <w:bookmarkEnd w:id="193"/>
    </w:p>
    <w:p w14:paraId="1B47EBAF">
      <w:pPr>
        <w:spacing w:line="360" w:lineRule="auto"/>
        <w:ind w:firstLine="480" w:firstLineChars="200"/>
        <w:rPr>
          <w:rFonts w:ascii="仿宋_GB2312" w:hAnsi="楷体" w:eastAsia="仿宋_GB2312"/>
          <w:sz w:val="24"/>
        </w:rPr>
      </w:pPr>
      <w:r>
        <w:rPr>
          <w:rFonts w:hint="eastAsia" w:ascii="仿宋_GB2312" w:hAnsi="楷体" w:eastAsia="仿宋_GB2312"/>
          <w:sz w:val="24"/>
        </w:rPr>
        <w:t>2.4.1除</w:t>
      </w:r>
      <w:r>
        <w:rPr>
          <w:rFonts w:hint="eastAsia" w:ascii="仿宋_GB2312" w:hAnsi="楷体" w:eastAsia="仿宋_GB2312"/>
          <w:b/>
          <w:i/>
          <w:sz w:val="24"/>
          <w:u w:val="single"/>
        </w:rPr>
        <w:t>合同专用条款</w:t>
      </w:r>
      <w:r>
        <w:rPr>
          <w:rFonts w:hint="eastAsia" w:ascii="仿宋_GB2312" w:hAnsi="楷体" w:eastAsia="仿宋_GB2312"/>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65F22E09">
      <w:pPr>
        <w:spacing w:line="360" w:lineRule="auto"/>
        <w:ind w:firstLine="480" w:firstLineChars="200"/>
        <w:rPr>
          <w:rFonts w:ascii="仿宋_GB2312" w:hAnsi="楷体" w:eastAsia="仿宋_GB2312"/>
          <w:sz w:val="24"/>
        </w:rPr>
      </w:pPr>
      <w:r>
        <w:rPr>
          <w:rFonts w:hint="eastAsia" w:ascii="仿宋_GB2312" w:hAnsi="楷体" w:eastAsia="仿宋_GB2312"/>
          <w:sz w:val="24"/>
        </w:rPr>
        <w:t>2.4.2 装运标的物的要求和通知，详见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2680E250">
      <w:pPr>
        <w:spacing w:line="360" w:lineRule="auto"/>
        <w:ind w:firstLine="482" w:firstLineChars="200"/>
        <w:rPr>
          <w:rFonts w:ascii="仿宋_GB2312" w:hAnsi="楷体" w:eastAsia="仿宋_GB2312"/>
          <w:b/>
          <w:sz w:val="24"/>
        </w:rPr>
      </w:pPr>
      <w:bookmarkStart w:id="194" w:name="_Ref467379542"/>
      <w:bookmarkStart w:id="195" w:name="_Ref467379536"/>
      <w:bookmarkStart w:id="196" w:name="_Ref467379527"/>
      <w:bookmarkStart w:id="197" w:name="_Ref467378541"/>
      <w:bookmarkStart w:id="198" w:name="_Ref467378591"/>
      <w:bookmarkStart w:id="199" w:name="_Toc279701245"/>
      <w:bookmarkStart w:id="200" w:name="_Toc259093674"/>
      <w:bookmarkStart w:id="201" w:name="_Toc487900354"/>
      <w:bookmarkStart w:id="202" w:name="_Toc26182"/>
      <w:bookmarkStart w:id="203" w:name="_Toc30272"/>
      <w:bookmarkStart w:id="204" w:name="_Toc19074"/>
      <w:r>
        <w:rPr>
          <w:rFonts w:hint="eastAsia" w:ascii="仿宋_GB2312" w:hAnsi="楷体" w:eastAsia="仿宋_GB2312"/>
          <w:b/>
          <w:sz w:val="24"/>
        </w:rPr>
        <w:t>2.</w:t>
      </w:r>
      <w:bookmarkEnd w:id="194"/>
      <w:bookmarkEnd w:id="195"/>
      <w:bookmarkEnd w:id="196"/>
      <w:bookmarkEnd w:id="197"/>
      <w:bookmarkEnd w:id="198"/>
      <w:bookmarkEnd w:id="199"/>
      <w:bookmarkEnd w:id="200"/>
      <w:bookmarkEnd w:id="201"/>
      <w:r>
        <w:rPr>
          <w:rFonts w:hint="eastAsia" w:ascii="仿宋_GB2312" w:hAnsi="楷体" w:eastAsia="仿宋_GB2312"/>
          <w:b/>
          <w:sz w:val="24"/>
        </w:rPr>
        <w:t>5 履约检查和问题反馈</w:t>
      </w:r>
      <w:bookmarkEnd w:id="202"/>
      <w:bookmarkEnd w:id="203"/>
      <w:bookmarkEnd w:id="204"/>
    </w:p>
    <w:p w14:paraId="60DE535C">
      <w:pPr>
        <w:spacing w:line="360" w:lineRule="auto"/>
        <w:ind w:firstLine="480" w:firstLineChars="200"/>
        <w:rPr>
          <w:rFonts w:ascii="仿宋_GB2312" w:hAnsi="楷体" w:eastAsia="仿宋_GB2312"/>
          <w:sz w:val="24"/>
        </w:rPr>
      </w:pPr>
      <w:bookmarkStart w:id="205" w:name="_Ref467379657"/>
      <w:r>
        <w:rPr>
          <w:rFonts w:hint="eastAsia" w:ascii="仿宋_GB2312" w:hAnsi="楷体" w:eastAsia="仿宋_GB2312"/>
          <w:sz w:val="24"/>
        </w:rPr>
        <w:t>2.5.1</w:t>
      </w:r>
      <w:bookmarkEnd w:id="205"/>
      <w:bookmarkStart w:id="206" w:name="_Toc186431854"/>
      <w:bookmarkStart w:id="207" w:name="_Toc487900357"/>
      <w:bookmarkStart w:id="208" w:name="_Toc259093676"/>
      <w:bookmarkStart w:id="209" w:name="_Toc279701247"/>
      <w:bookmarkStart w:id="210" w:name="_Ref467379807"/>
      <w:bookmarkStart w:id="211" w:name="_Ref467379793"/>
      <w:r>
        <w:rPr>
          <w:rFonts w:hint="eastAsia" w:ascii="仿宋_GB2312" w:hAnsi="楷体" w:eastAsia="仿宋_GB2312"/>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7B445272">
      <w:pPr>
        <w:spacing w:line="360" w:lineRule="auto"/>
        <w:ind w:firstLine="480" w:firstLineChars="200"/>
        <w:rPr>
          <w:rFonts w:ascii="仿宋_GB2312" w:hAnsi="楷体" w:eastAsia="仿宋_GB2312"/>
          <w:sz w:val="24"/>
        </w:rPr>
      </w:pPr>
      <w:r>
        <w:rPr>
          <w:rFonts w:hint="eastAsia" w:ascii="仿宋_GB2312" w:hAnsi="楷体" w:eastAsia="仿宋_GB2312"/>
          <w:sz w:val="24"/>
        </w:rPr>
        <w:t>2.5.2 合同履行期间，甲方有权将履行过程中出现的问题反馈给乙方，双方当事人应以书面形式约定需要完善和改进的内容</w:t>
      </w:r>
      <w:bookmarkEnd w:id="206"/>
      <w:bookmarkStart w:id="212" w:name="_Toc186431855"/>
      <w:r>
        <w:rPr>
          <w:rFonts w:hint="eastAsia" w:ascii="仿宋_GB2312" w:hAnsi="楷体" w:eastAsia="仿宋_GB2312"/>
          <w:sz w:val="24"/>
        </w:rPr>
        <w:t>。</w:t>
      </w:r>
    </w:p>
    <w:bookmarkEnd w:id="212"/>
    <w:p w14:paraId="60F43FC3">
      <w:pPr>
        <w:spacing w:line="360" w:lineRule="auto"/>
        <w:ind w:firstLine="482" w:firstLineChars="200"/>
        <w:rPr>
          <w:rFonts w:ascii="仿宋_GB2312" w:hAnsi="楷体" w:eastAsia="仿宋_GB2312"/>
          <w:b/>
          <w:sz w:val="24"/>
        </w:rPr>
      </w:pPr>
      <w:bookmarkStart w:id="213" w:name="_Toc28451"/>
      <w:bookmarkStart w:id="214" w:name="_Toc19219"/>
      <w:bookmarkStart w:id="215" w:name="_Toc7836"/>
      <w:r>
        <w:rPr>
          <w:rFonts w:hint="eastAsia" w:ascii="仿宋_GB2312" w:hAnsi="楷体" w:eastAsia="仿宋_GB2312"/>
          <w:b/>
          <w:sz w:val="24"/>
        </w:rPr>
        <w:t>2.6 结算方式和付款条件</w:t>
      </w:r>
      <w:bookmarkEnd w:id="207"/>
      <w:bookmarkEnd w:id="208"/>
      <w:bookmarkEnd w:id="209"/>
      <w:bookmarkEnd w:id="210"/>
      <w:bookmarkEnd w:id="211"/>
      <w:bookmarkEnd w:id="213"/>
      <w:bookmarkEnd w:id="214"/>
      <w:bookmarkEnd w:id="215"/>
    </w:p>
    <w:p w14:paraId="7FD25190">
      <w:pPr>
        <w:spacing w:line="360" w:lineRule="auto"/>
        <w:ind w:firstLine="480" w:firstLineChars="200"/>
        <w:rPr>
          <w:rFonts w:ascii="仿宋_GB2312" w:hAnsi="楷体" w:eastAsia="仿宋_GB2312"/>
          <w:sz w:val="24"/>
        </w:rPr>
      </w:pPr>
      <w:r>
        <w:rPr>
          <w:rFonts w:hint="eastAsia" w:ascii="仿宋_GB2312" w:hAnsi="楷体" w:eastAsia="仿宋_GB2312"/>
          <w:sz w:val="24"/>
        </w:rPr>
        <w:t>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7F4C455E">
      <w:pPr>
        <w:spacing w:line="360" w:lineRule="auto"/>
        <w:ind w:firstLine="482" w:firstLineChars="200"/>
        <w:rPr>
          <w:rFonts w:ascii="仿宋_GB2312" w:hAnsi="楷体" w:eastAsia="仿宋_GB2312"/>
          <w:b/>
          <w:sz w:val="24"/>
        </w:rPr>
      </w:pPr>
      <w:bookmarkStart w:id="216" w:name="_Ref467379863"/>
      <w:bookmarkStart w:id="217" w:name="_Toc487900358"/>
      <w:bookmarkStart w:id="218" w:name="_Toc259093677"/>
      <w:bookmarkStart w:id="219" w:name="_Toc279701248"/>
      <w:bookmarkStart w:id="220" w:name="_Ref467379852"/>
      <w:bookmarkStart w:id="221" w:name="_Ref467379923"/>
      <w:bookmarkStart w:id="222" w:name="_Toc16110"/>
      <w:bookmarkStart w:id="223" w:name="_Toc3225"/>
      <w:bookmarkStart w:id="224" w:name="_Toc774"/>
      <w:r>
        <w:rPr>
          <w:rFonts w:hint="eastAsia" w:ascii="仿宋_GB2312" w:hAnsi="楷体" w:eastAsia="仿宋_GB2312"/>
          <w:b/>
          <w:sz w:val="24"/>
        </w:rPr>
        <w:t>2.7 技术资料</w:t>
      </w:r>
      <w:bookmarkEnd w:id="216"/>
      <w:bookmarkEnd w:id="217"/>
      <w:bookmarkEnd w:id="218"/>
      <w:bookmarkEnd w:id="219"/>
      <w:bookmarkEnd w:id="220"/>
      <w:bookmarkEnd w:id="221"/>
      <w:r>
        <w:rPr>
          <w:rFonts w:hint="eastAsia" w:ascii="仿宋_GB2312" w:hAnsi="楷体" w:eastAsia="仿宋_GB2312"/>
          <w:b/>
          <w:sz w:val="24"/>
        </w:rPr>
        <w:t>和保密义务</w:t>
      </w:r>
      <w:bookmarkEnd w:id="222"/>
      <w:bookmarkEnd w:id="223"/>
      <w:bookmarkEnd w:id="224"/>
    </w:p>
    <w:p w14:paraId="2149D046">
      <w:pPr>
        <w:spacing w:line="360" w:lineRule="auto"/>
        <w:ind w:firstLine="480" w:firstLineChars="200"/>
        <w:rPr>
          <w:rFonts w:ascii="仿宋_GB2312" w:hAnsi="楷体" w:eastAsia="仿宋_GB2312"/>
          <w:sz w:val="24"/>
        </w:rPr>
      </w:pPr>
      <w:r>
        <w:rPr>
          <w:rFonts w:hint="eastAsia" w:ascii="仿宋_GB2312" w:hAnsi="楷体" w:eastAsia="仿宋_GB2312"/>
          <w:sz w:val="24"/>
        </w:rPr>
        <w:t>2.7.1 乙方有权依据合同约定和项目需要，向甲方了解有关情况，调阅有关资料等，甲方应予积极配合；</w:t>
      </w:r>
    </w:p>
    <w:p w14:paraId="3A769C83">
      <w:pPr>
        <w:spacing w:line="360" w:lineRule="auto"/>
        <w:ind w:firstLine="480" w:firstLineChars="200"/>
        <w:rPr>
          <w:rFonts w:ascii="仿宋_GB2312" w:hAnsi="楷体" w:eastAsia="仿宋_GB2312"/>
          <w:sz w:val="24"/>
        </w:rPr>
      </w:pPr>
      <w:r>
        <w:rPr>
          <w:rFonts w:hint="eastAsia" w:ascii="仿宋_GB2312" w:hAnsi="楷体" w:eastAsia="仿宋_GB2312"/>
          <w:sz w:val="24"/>
        </w:rPr>
        <w:t>2.7.2 乙方有义务妥善保管和保护由甲方提供的前款信息和资料等；</w:t>
      </w:r>
    </w:p>
    <w:p w14:paraId="1C0E43A2">
      <w:pPr>
        <w:spacing w:line="360" w:lineRule="auto"/>
        <w:ind w:firstLine="480" w:firstLineChars="200"/>
        <w:rPr>
          <w:rFonts w:ascii="仿宋_GB2312" w:hAnsi="楷体" w:eastAsia="仿宋_GB2312"/>
          <w:sz w:val="24"/>
        </w:rPr>
      </w:pPr>
      <w:r>
        <w:rPr>
          <w:rFonts w:hint="eastAsia" w:ascii="仿宋_GB2312" w:hAnsi="楷体" w:eastAsia="仿宋_GB2312"/>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701EBFA4">
      <w:pPr>
        <w:spacing w:line="360" w:lineRule="auto"/>
        <w:ind w:firstLine="482" w:firstLineChars="200"/>
        <w:rPr>
          <w:rFonts w:ascii="仿宋_GB2312" w:hAnsi="楷体" w:eastAsia="仿宋_GB2312"/>
          <w:b/>
          <w:sz w:val="24"/>
        </w:rPr>
      </w:pPr>
      <w:bookmarkStart w:id="225" w:name="_Toc7860"/>
      <w:r>
        <w:rPr>
          <w:rFonts w:hint="eastAsia" w:ascii="仿宋_GB2312" w:hAnsi="楷体" w:eastAsia="仿宋_GB2312"/>
          <w:b/>
          <w:sz w:val="24"/>
        </w:rPr>
        <w:t>2.8 质量保证</w:t>
      </w:r>
      <w:bookmarkEnd w:id="225"/>
    </w:p>
    <w:p w14:paraId="2E495819">
      <w:pPr>
        <w:spacing w:line="360" w:lineRule="auto"/>
        <w:ind w:firstLine="480" w:firstLineChars="200"/>
        <w:rPr>
          <w:rFonts w:ascii="仿宋_GB2312" w:hAnsi="楷体" w:eastAsia="仿宋_GB2312"/>
          <w:sz w:val="24"/>
        </w:rPr>
      </w:pPr>
      <w:r>
        <w:rPr>
          <w:rFonts w:hint="eastAsia" w:ascii="仿宋_GB2312" w:hAnsi="楷体" w:eastAsia="仿宋_GB2312"/>
          <w:sz w:val="24"/>
        </w:rPr>
        <w:t>2.8.1 乙方应建立和完善履行合同的内部质量保证体系，并提供相关内部规章制度给甲方，以便甲方进行监督检查；</w:t>
      </w:r>
    </w:p>
    <w:p w14:paraId="1E8ECB6E">
      <w:pPr>
        <w:spacing w:line="360" w:lineRule="auto"/>
        <w:ind w:firstLine="480" w:firstLineChars="200"/>
        <w:rPr>
          <w:rFonts w:ascii="仿宋_GB2312" w:hAnsi="楷体" w:eastAsia="仿宋_GB2312"/>
          <w:sz w:val="24"/>
        </w:rPr>
      </w:pPr>
      <w:r>
        <w:rPr>
          <w:rFonts w:hint="eastAsia" w:ascii="仿宋_GB2312" w:hAnsi="楷体" w:eastAsia="仿宋_GB2312"/>
          <w:sz w:val="24"/>
        </w:rPr>
        <w:t>2.8.2 乙方应保证履行合同的人员数量和素质、软件和硬件设备的配置、场地、环境和设施等满足全面履行合同的要求，并应接受甲方的监督检查。</w:t>
      </w:r>
    </w:p>
    <w:p w14:paraId="5631A580">
      <w:pPr>
        <w:spacing w:line="360" w:lineRule="auto"/>
        <w:ind w:firstLine="480" w:firstLineChars="200"/>
        <w:rPr>
          <w:rFonts w:ascii="仿宋_GB2312" w:hAnsi="仿宋" w:eastAsia="仿宋_GB2312" w:cs="仿宋_GB2312"/>
          <w:kern w:val="0"/>
          <w:sz w:val="24"/>
        </w:rPr>
      </w:pPr>
      <w:r>
        <w:rPr>
          <w:rFonts w:hint="eastAsia" w:ascii="仿宋_GB2312" w:hAnsi="仿宋" w:eastAsia="仿宋_GB2312"/>
          <w:sz w:val="24"/>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kern w:val="0"/>
          <w:sz w:val="24"/>
        </w:rPr>
        <w:t>甲方有权放弃或终止合同，并没收履约保证金。</w:t>
      </w:r>
    </w:p>
    <w:p w14:paraId="5AFBE526">
      <w:pPr>
        <w:spacing w:line="360" w:lineRule="auto"/>
        <w:ind w:firstLine="480" w:firstLineChars="200"/>
        <w:rPr>
          <w:rFonts w:ascii="仿宋_GB2312" w:hAnsi="楷体" w:eastAsia="仿宋_GB2312"/>
          <w:sz w:val="24"/>
        </w:rPr>
      </w:pPr>
      <w:r>
        <w:rPr>
          <w:rFonts w:hint="eastAsia" w:ascii="仿宋_GB2312" w:hAnsi="仿宋" w:eastAsia="仿宋_GB2312"/>
          <w:sz w:val="24"/>
        </w:rPr>
        <w:t>2.8.4因乙方原因造成甲方其他系统不能正常运行，酿成重大事故（工作日系统中断一天以上）的，乙方应承担全部法律责任，并赔偿经济损失，赔偿金额为项目总价的</w:t>
      </w:r>
      <w:r>
        <w:rPr>
          <w:rFonts w:ascii="仿宋_GB2312" w:hAnsi="仿宋" w:eastAsia="仿宋_GB2312"/>
          <w:sz w:val="24"/>
        </w:rPr>
        <w:t xml:space="preserve">30 </w:t>
      </w:r>
      <w:r>
        <w:rPr>
          <w:rFonts w:hint="eastAsia" w:ascii="仿宋_GB2312" w:hAnsi="仿宋" w:eastAsia="仿宋_GB2312"/>
          <w:sz w:val="24"/>
        </w:rPr>
        <w:t>%。</w:t>
      </w:r>
    </w:p>
    <w:p w14:paraId="494F11CB">
      <w:pPr>
        <w:spacing w:line="360" w:lineRule="auto"/>
        <w:ind w:firstLine="482" w:firstLineChars="200"/>
        <w:rPr>
          <w:rFonts w:ascii="仿宋_GB2312" w:hAnsi="楷体" w:eastAsia="仿宋_GB2312"/>
          <w:b/>
          <w:sz w:val="24"/>
        </w:rPr>
      </w:pPr>
      <w:bookmarkStart w:id="226" w:name="_Toc17244"/>
      <w:bookmarkStart w:id="227" w:name="_Toc279701252"/>
      <w:bookmarkStart w:id="228" w:name="_Toc487900362"/>
      <w:bookmarkStart w:id="229" w:name="_Toc259093681"/>
      <w:r>
        <w:rPr>
          <w:rFonts w:hint="eastAsia" w:ascii="仿宋_GB2312" w:hAnsi="楷体" w:eastAsia="仿宋_GB2312"/>
          <w:b/>
          <w:sz w:val="24"/>
        </w:rPr>
        <w:t>2.9 标的物的风险负担</w:t>
      </w:r>
      <w:bookmarkEnd w:id="226"/>
    </w:p>
    <w:p w14:paraId="384B585D">
      <w:pPr>
        <w:spacing w:line="360" w:lineRule="auto"/>
        <w:ind w:firstLine="480" w:firstLineChars="200"/>
        <w:rPr>
          <w:rFonts w:ascii="仿宋_GB2312" w:hAnsi="楷体" w:eastAsia="仿宋_GB2312"/>
          <w:b/>
          <w:sz w:val="24"/>
        </w:rPr>
      </w:pPr>
      <w:r>
        <w:rPr>
          <w:rFonts w:hint="eastAsia" w:ascii="仿宋_GB2312" w:hAnsi="楷体" w:eastAsia="仿宋_GB2312"/>
          <w:sz w:val="24"/>
        </w:rPr>
        <w:t>标的物或者在途标的物或者交付给第一承运人后的标的物毁损、灭失的风险负担详见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41936BB4">
      <w:pPr>
        <w:spacing w:line="360" w:lineRule="auto"/>
        <w:ind w:firstLine="482" w:firstLineChars="200"/>
        <w:rPr>
          <w:rFonts w:ascii="仿宋_GB2312" w:hAnsi="楷体" w:eastAsia="仿宋_GB2312"/>
          <w:b/>
          <w:sz w:val="24"/>
        </w:rPr>
      </w:pPr>
      <w:bookmarkStart w:id="230" w:name="_Toc14055"/>
      <w:r>
        <w:rPr>
          <w:rFonts w:hint="eastAsia" w:ascii="仿宋_GB2312" w:hAnsi="楷体" w:eastAsia="仿宋_GB2312"/>
          <w:b/>
          <w:sz w:val="24"/>
        </w:rPr>
        <w:t>2.10 延迟交货</w:t>
      </w:r>
      <w:bookmarkEnd w:id="227"/>
      <w:bookmarkEnd w:id="228"/>
      <w:bookmarkEnd w:id="229"/>
      <w:bookmarkEnd w:id="230"/>
      <w:r>
        <w:rPr>
          <w:rFonts w:hint="eastAsia" w:ascii="仿宋_GB2312" w:hAnsi="楷体" w:eastAsia="仿宋_GB2312"/>
          <w:b/>
          <w:sz w:val="24"/>
        </w:rPr>
        <w:t>/交付</w:t>
      </w:r>
    </w:p>
    <w:p w14:paraId="61A942C3">
      <w:pPr>
        <w:spacing w:line="360" w:lineRule="auto"/>
        <w:ind w:firstLine="480" w:firstLineChars="200"/>
        <w:rPr>
          <w:rFonts w:ascii="仿宋_GB2312" w:hAnsi="楷体" w:eastAsia="仿宋_GB2312"/>
          <w:sz w:val="24"/>
        </w:rPr>
      </w:pPr>
      <w:r>
        <w:rPr>
          <w:rFonts w:hint="eastAsia" w:ascii="仿宋_GB2312" w:hAnsi="楷体" w:eastAsia="仿宋_GB2312"/>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56397CA8">
      <w:pPr>
        <w:spacing w:line="360" w:lineRule="auto"/>
        <w:ind w:firstLine="482" w:firstLineChars="200"/>
        <w:rPr>
          <w:rFonts w:ascii="仿宋_GB2312" w:hAnsi="楷体" w:eastAsia="仿宋_GB2312"/>
          <w:b/>
          <w:sz w:val="24"/>
        </w:rPr>
      </w:pPr>
      <w:bookmarkStart w:id="231" w:name="_Toc7502"/>
      <w:bookmarkStart w:id="232" w:name="_Toc259093683"/>
      <w:bookmarkStart w:id="233" w:name="_Toc487900364"/>
      <w:bookmarkStart w:id="234" w:name="_Toc279701254"/>
      <w:bookmarkStart w:id="235" w:name="_Ref467378121"/>
      <w:r>
        <w:rPr>
          <w:rFonts w:hint="eastAsia" w:ascii="仿宋_GB2312" w:hAnsi="楷体" w:eastAsia="仿宋_GB2312"/>
          <w:b/>
          <w:sz w:val="24"/>
        </w:rPr>
        <w:t>2.11 合同变更</w:t>
      </w:r>
      <w:bookmarkEnd w:id="231"/>
    </w:p>
    <w:p w14:paraId="37A5EFC4">
      <w:pPr>
        <w:spacing w:line="360" w:lineRule="auto"/>
        <w:ind w:firstLine="480" w:firstLineChars="200"/>
        <w:rPr>
          <w:rFonts w:ascii="仿宋_GB2312" w:hAnsi="楷体" w:eastAsia="仿宋_GB2312"/>
          <w:sz w:val="24"/>
        </w:rPr>
      </w:pPr>
      <w:r>
        <w:rPr>
          <w:rFonts w:hint="eastAsia" w:ascii="仿宋_GB2312" w:hAnsi="楷体" w:eastAsia="仿宋_GB2312"/>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471519A0">
      <w:pPr>
        <w:spacing w:line="360" w:lineRule="auto"/>
        <w:ind w:firstLine="480" w:firstLineChars="200"/>
        <w:rPr>
          <w:rFonts w:ascii="仿宋_GB2312" w:hAnsi="楷体" w:eastAsia="仿宋_GB2312"/>
          <w:sz w:val="24"/>
        </w:rPr>
      </w:pPr>
      <w:r>
        <w:rPr>
          <w:rFonts w:hint="eastAsia" w:ascii="仿宋_GB2312" w:hAnsi="楷体" w:eastAsia="仿宋_GB2312"/>
          <w:sz w:val="24"/>
        </w:rPr>
        <w:t>2.11.2 合同继续履行将损害国家利益和社会公共利益的，双方当事人应当以书面形式变更合同。有过错的一方应当承担赔偿责任，双方当事人都有过错的，各自承担相应的责任。</w:t>
      </w:r>
      <w:bookmarkStart w:id="236" w:name="_Toc259093688"/>
      <w:bookmarkStart w:id="237" w:name="_Toc279701259"/>
      <w:bookmarkStart w:id="238" w:name="_Toc487900369"/>
    </w:p>
    <w:p w14:paraId="00F9FCCC">
      <w:pPr>
        <w:spacing w:line="360" w:lineRule="auto"/>
        <w:ind w:firstLine="482" w:firstLineChars="200"/>
        <w:rPr>
          <w:rFonts w:ascii="仿宋_GB2312" w:hAnsi="楷体" w:eastAsia="仿宋_GB2312"/>
          <w:b/>
          <w:sz w:val="24"/>
        </w:rPr>
      </w:pPr>
      <w:bookmarkStart w:id="239" w:name="_Toc15237"/>
      <w:bookmarkStart w:id="240" w:name="_Toc10366"/>
      <w:bookmarkStart w:id="241" w:name="_Toc22955"/>
      <w:r>
        <w:rPr>
          <w:rFonts w:hint="eastAsia" w:ascii="仿宋_GB2312" w:hAnsi="楷体" w:eastAsia="仿宋_GB2312"/>
          <w:b/>
          <w:sz w:val="24"/>
        </w:rPr>
        <w:t>2.12 合同转让</w:t>
      </w:r>
      <w:bookmarkEnd w:id="236"/>
      <w:bookmarkEnd w:id="237"/>
      <w:bookmarkEnd w:id="238"/>
      <w:r>
        <w:rPr>
          <w:rFonts w:hint="eastAsia" w:ascii="仿宋_GB2312" w:hAnsi="楷体" w:eastAsia="仿宋_GB2312"/>
          <w:b/>
          <w:sz w:val="24"/>
        </w:rPr>
        <w:t>和分包</w:t>
      </w:r>
      <w:bookmarkEnd w:id="239"/>
      <w:bookmarkEnd w:id="240"/>
      <w:bookmarkEnd w:id="241"/>
    </w:p>
    <w:p w14:paraId="4857A230">
      <w:pPr>
        <w:spacing w:line="360" w:lineRule="auto"/>
        <w:ind w:firstLine="480" w:firstLineChars="200"/>
        <w:rPr>
          <w:rFonts w:ascii="仿宋_GB2312" w:hAnsi="楷体" w:eastAsia="仿宋_GB2312"/>
          <w:sz w:val="24"/>
        </w:rPr>
      </w:pPr>
      <w:r>
        <w:rPr>
          <w:rFonts w:hint="eastAsia" w:ascii="仿宋_GB2312" w:hAnsi="楷体" w:eastAsia="仿宋_GB2312"/>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086B379D">
      <w:pPr>
        <w:spacing w:line="360" w:lineRule="auto"/>
        <w:ind w:firstLine="482" w:firstLineChars="200"/>
        <w:rPr>
          <w:rFonts w:ascii="仿宋_GB2312" w:hAnsi="楷体" w:eastAsia="仿宋_GB2312"/>
          <w:b/>
          <w:sz w:val="24"/>
        </w:rPr>
      </w:pPr>
      <w:bookmarkStart w:id="242" w:name="_Toc16508"/>
      <w:bookmarkStart w:id="243" w:name="_Toc14066"/>
      <w:bookmarkStart w:id="244" w:name="_Toc13566"/>
      <w:r>
        <w:rPr>
          <w:rFonts w:hint="eastAsia" w:ascii="仿宋_GB2312" w:hAnsi="楷体" w:eastAsia="仿宋_GB2312"/>
          <w:b/>
          <w:sz w:val="24"/>
        </w:rPr>
        <w:t>2.13 不可抗力</w:t>
      </w:r>
      <w:bookmarkEnd w:id="242"/>
      <w:bookmarkEnd w:id="243"/>
      <w:bookmarkEnd w:id="244"/>
    </w:p>
    <w:p w14:paraId="21B9CA12">
      <w:pPr>
        <w:spacing w:line="360" w:lineRule="auto"/>
        <w:ind w:firstLine="480" w:firstLineChars="200"/>
        <w:rPr>
          <w:rFonts w:ascii="仿宋_GB2312" w:hAnsi="楷体" w:eastAsia="仿宋_GB2312"/>
          <w:sz w:val="24"/>
        </w:rPr>
      </w:pPr>
      <w:r>
        <w:rPr>
          <w:rFonts w:hint="eastAsia" w:ascii="仿宋_GB2312" w:hAnsi="楷体" w:eastAsia="仿宋_GB2312"/>
          <w:sz w:val="24"/>
        </w:rPr>
        <w:t>2.13.1如果任何一方遭遇法律规定的不可抗力，致使合同履行受阻时，履行合同的期限应予延长，延长的期限应相当于不可抗力所影响的时间；</w:t>
      </w:r>
    </w:p>
    <w:p w14:paraId="41C49CE1">
      <w:pPr>
        <w:spacing w:line="360" w:lineRule="auto"/>
        <w:ind w:firstLine="480" w:firstLineChars="200"/>
        <w:rPr>
          <w:rFonts w:ascii="仿宋_GB2312" w:hAnsi="楷体" w:eastAsia="仿宋_GB2312"/>
          <w:sz w:val="24"/>
        </w:rPr>
      </w:pPr>
      <w:r>
        <w:rPr>
          <w:rFonts w:hint="eastAsia" w:ascii="仿宋_GB2312" w:hAnsi="楷体" w:eastAsia="仿宋_GB2312"/>
          <w:sz w:val="24"/>
        </w:rPr>
        <w:t>2.13.2受不可抗力影响的一方在不可抗力发生后，应在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约定时间内以书面形式通知对方当事人，并在</w:t>
      </w:r>
      <w:r>
        <w:rPr>
          <w:rFonts w:hint="eastAsia" w:ascii="仿宋_GB2312" w:hAnsi="楷体" w:eastAsia="仿宋_GB2312"/>
          <w:b/>
          <w:i/>
          <w:sz w:val="24"/>
          <w:u w:val="single"/>
        </w:rPr>
        <w:t>合同专用条款</w:t>
      </w:r>
      <w:r>
        <w:rPr>
          <w:rFonts w:hint="eastAsia" w:ascii="仿宋_GB2312" w:hAnsi="楷体" w:eastAsia="仿宋_GB2312"/>
          <w:sz w:val="24"/>
        </w:rPr>
        <w:t>约定时间内，将有关部门出具的证明文件送达对方当事人。</w:t>
      </w:r>
    </w:p>
    <w:p w14:paraId="52E3EEE7">
      <w:pPr>
        <w:spacing w:line="360" w:lineRule="auto"/>
        <w:ind w:firstLine="480" w:firstLineChars="200"/>
        <w:rPr>
          <w:rFonts w:ascii="仿宋_GB2312" w:hAnsi="楷体" w:eastAsia="仿宋_GB2312"/>
          <w:sz w:val="24"/>
        </w:rPr>
      </w:pPr>
      <w:r>
        <w:rPr>
          <w:rFonts w:hint="eastAsia" w:ascii="仿宋_GB2312" w:hAnsi="楷体" w:eastAsia="仿宋_GB2312"/>
          <w:sz w:val="24"/>
        </w:rPr>
        <w:t>2.13.3 因不可抗力致使不能实现合同目的的，当事人可以解除合同；</w:t>
      </w:r>
    </w:p>
    <w:p w14:paraId="69E1B781">
      <w:pPr>
        <w:spacing w:line="360" w:lineRule="auto"/>
        <w:ind w:firstLine="480" w:firstLineChars="200"/>
        <w:rPr>
          <w:rFonts w:ascii="仿宋_GB2312" w:hAnsi="楷体" w:eastAsia="仿宋_GB2312"/>
          <w:sz w:val="24"/>
        </w:rPr>
      </w:pPr>
      <w:r>
        <w:rPr>
          <w:rFonts w:hint="eastAsia" w:ascii="仿宋_GB2312" w:hAnsi="楷体" w:eastAsia="仿宋_GB2312"/>
          <w:sz w:val="24"/>
        </w:rPr>
        <w:t>2.13.4 因不可抗力致使合同有变更必要的，双方当事人应在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约定时间内以书面形式变更合同；</w:t>
      </w:r>
    </w:p>
    <w:p w14:paraId="2E98C35D">
      <w:pPr>
        <w:spacing w:line="360" w:lineRule="auto"/>
        <w:ind w:firstLine="482" w:firstLineChars="200"/>
        <w:rPr>
          <w:rFonts w:ascii="仿宋_GB2312" w:hAnsi="楷体" w:eastAsia="仿宋_GB2312"/>
          <w:b/>
          <w:sz w:val="24"/>
        </w:rPr>
      </w:pPr>
      <w:bookmarkStart w:id="245" w:name="_Toc30676"/>
      <w:bookmarkStart w:id="246" w:name="_Toc6969"/>
      <w:bookmarkStart w:id="247" w:name="_Toc259093684"/>
      <w:bookmarkStart w:id="248" w:name="_Toc279701255"/>
      <w:bookmarkStart w:id="249" w:name="_Toc487900365"/>
      <w:bookmarkStart w:id="250" w:name="_Toc689"/>
      <w:r>
        <w:rPr>
          <w:rFonts w:hint="eastAsia" w:ascii="仿宋_GB2312" w:hAnsi="楷体" w:eastAsia="仿宋_GB2312"/>
          <w:b/>
          <w:sz w:val="24"/>
        </w:rPr>
        <w:t>2.14 税费</w:t>
      </w:r>
      <w:bookmarkEnd w:id="245"/>
      <w:bookmarkEnd w:id="246"/>
      <w:bookmarkEnd w:id="247"/>
      <w:bookmarkEnd w:id="248"/>
      <w:bookmarkEnd w:id="249"/>
      <w:bookmarkEnd w:id="250"/>
    </w:p>
    <w:p w14:paraId="044868BC">
      <w:pPr>
        <w:spacing w:line="360" w:lineRule="auto"/>
        <w:ind w:firstLine="480" w:firstLineChars="200"/>
        <w:rPr>
          <w:rFonts w:ascii="仿宋_GB2312" w:hAnsi="楷体" w:eastAsia="仿宋_GB2312"/>
          <w:sz w:val="24"/>
        </w:rPr>
      </w:pPr>
      <w:r>
        <w:rPr>
          <w:rFonts w:hint="eastAsia" w:ascii="仿宋_GB2312" w:hAnsi="楷体" w:eastAsia="仿宋_GB2312"/>
          <w:sz w:val="24"/>
        </w:rPr>
        <w:t>与合同有关的一切税费，均按照中华人民共和国法律的相关规定执行。</w:t>
      </w:r>
    </w:p>
    <w:p w14:paraId="6F23A0F5">
      <w:pPr>
        <w:spacing w:line="360" w:lineRule="auto"/>
        <w:ind w:firstLine="482" w:firstLineChars="200"/>
        <w:rPr>
          <w:rFonts w:ascii="仿宋_GB2312" w:hAnsi="楷体" w:eastAsia="仿宋_GB2312"/>
          <w:b/>
          <w:sz w:val="24"/>
        </w:rPr>
      </w:pPr>
      <w:bookmarkStart w:id="251" w:name="_Toc487900368"/>
      <w:bookmarkStart w:id="252" w:name="_Toc259093687"/>
      <w:bookmarkStart w:id="253" w:name="_Toc16959"/>
      <w:bookmarkStart w:id="254" w:name="_Toc8298"/>
      <w:bookmarkStart w:id="255" w:name="_Toc7102"/>
      <w:bookmarkStart w:id="256" w:name="_Toc279701258"/>
      <w:r>
        <w:rPr>
          <w:rFonts w:hint="eastAsia" w:ascii="仿宋_GB2312" w:hAnsi="楷体" w:eastAsia="仿宋_GB2312"/>
          <w:b/>
          <w:sz w:val="24"/>
        </w:rPr>
        <w:t>2.15 乙方破产</w:t>
      </w:r>
      <w:bookmarkEnd w:id="251"/>
      <w:bookmarkEnd w:id="252"/>
      <w:bookmarkEnd w:id="253"/>
      <w:bookmarkEnd w:id="254"/>
      <w:bookmarkEnd w:id="255"/>
      <w:bookmarkEnd w:id="256"/>
    </w:p>
    <w:p w14:paraId="3DB0A9A5">
      <w:pPr>
        <w:spacing w:line="360" w:lineRule="auto"/>
        <w:ind w:firstLine="480" w:firstLineChars="200"/>
        <w:rPr>
          <w:rFonts w:ascii="仿宋_GB2312" w:hAnsi="楷体" w:eastAsia="仿宋_GB2312"/>
          <w:sz w:val="24"/>
        </w:rPr>
      </w:pPr>
      <w:r>
        <w:rPr>
          <w:rFonts w:hint="eastAsia" w:ascii="仿宋_GB2312" w:hAnsi="楷体" w:eastAsia="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8584717">
      <w:pPr>
        <w:spacing w:line="360" w:lineRule="auto"/>
        <w:ind w:firstLine="482" w:firstLineChars="200"/>
        <w:rPr>
          <w:rFonts w:ascii="仿宋_GB2312" w:hAnsi="楷体" w:eastAsia="仿宋_GB2312"/>
          <w:b/>
          <w:sz w:val="24"/>
        </w:rPr>
      </w:pPr>
      <w:bookmarkStart w:id="257" w:name="_Toc29333"/>
      <w:bookmarkStart w:id="258" w:name="_Toc6134"/>
      <w:bookmarkStart w:id="259" w:name="_Toc15387"/>
      <w:r>
        <w:rPr>
          <w:rFonts w:hint="eastAsia" w:ascii="仿宋_GB2312" w:hAnsi="楷体" w:eastAsia="仿宋_GB2312"/>
          <w:b/>
          <w:sz w:val="24"/>
        </w:rPr>
        <w:t>2.16 合同中止、终止</w:t>
      </w:r>
      <w:bookmarkEnd w:id="257"/>
      <w:bookmarkEnd w:id="258"/>
      <w:bookmarkEnd w:id="259"/>
    </w:p>
    <w:p w14:paraId="3624AD33">
      <w:pPr>
        <w:spacing w:line="360" w:lineRule="auto"/>
        <w:ind w:firstLine="480" w:firstLineChars="200"/>
        <w:rPr>
          <w:rFonts w:ascii="仿宋_GB2312" w:hAnsi="楷体" w:eastAsia="仿宋_GB2312"/>
          <w:sz w:val="24"/>
        </w:rPr>
      </w:pPr>
      <w:r>
        <w:rPr>
          <w:rFonts w:hint="eastAsia" w:ascii="仿宋_GB2312" w:hAnsi="楷体" w:eastAsia="仿宋_GB2312"/>
          <w:sz w:val="24"/>
        </w:rPr>
        <w:t>2.16.1 双方当事人不得擅自中止或者终止合同；</w:t>
      </w:r>
    </w:p>
    <w:p w14:paraId="253BB94E">
      <w:pPr>
        <w:spacing w:line="360" w:lineRule="auto"/>
        <w:ind w:firstLine="480" w:firstLineChars="200"/>
        <w:rPr>
          <w:rFonts w:ascii="仿宋_GB2312" w:hAnsi="楷体" w:eastAsia="仿宋_GB2312"/>
          <w:sz w:val="24"/>
        </w:rPr>
      </w:pPr>
      <w:r>
        <w:rPr>
          <w:rFonts w:hint="eastAsia" w:ascii="仿宋_GB2312" w:hAnsi="楷体" w:eastAsia="仿宋_GB2312"/>
          <w:sz w:val="24"/>
        </w:rPr>
        <w:t>2.16.2合同继续履行将损害国家利益和社会公共利益的，双方当事人应当中止或者终止合同。有过错的一方应当承担赔偿责任，双方当事人都有过错的，各自承担相应的责任。</w:t>
      </w:r>
    </w:p>
    <w:p w14:paraId="3CCAC959">
      <w:pPr>
        <w:spacing w:line="360" w:lineRule="auto"/>
        <w:ind w:firstLine="482" w:firstLineChars="200"/>
        <w:rPr>
          <w:rFonts w:ascii="仿宋_GB2312" w:hAnsi="楷体" w:eastAsia="仿宋_GB2312"/>
          <w:b/>
          <w:sz w:val="24"/>
        </w:rPr>
      </w:pPr>
      <w:bookmarkStart w:id="260" w:name="_Toc14563"/>
      <w:bookmarkStart w:id="261" w:name="_Toc6596"/>
      <w:bookmarkStart w:id="262" w:name="_Toc1125"/>
      <w:r>
        <w:rPr>
          <w:rFonts w:hint="eastAsia" w:ascii="仿宋_GB2312" w:hAnsi="楷体" w:eastAsia="仿宋_GB2312"/>
          <w:b/>
          <w:sz w:val="24"/>
        </w:rPr>
        <w:t>2.17 检验和验收</w:t>
      </w:r>
      <w:bookmarkEnd w:id="260"/>
      <w:bookmarkEnd w:id="261"/>
      <w:bookmarkEnd w:id="262"/>
    </w:p>
    <w:p w14:paraId="1273E5B3">
      <w:pPr>
        <w:spacing w:line="360" w:lineRule="auto"/>
        <w:ind w:firstLine="480" w:firstLineChars="200"/>
        <w:rPr>
          <w:rFonts w:ascii="仿宋_GB2312" w:hAnsi="楷体" w:eastAsia="仿宋_GB2312"/>
          <w:sz w:val="24"/>
        </w:rPr>
      </w:pPr>
      <w:r>
        <w:rPr>
          <w:rFonts w:hint="eastAsia" w:ascii="仿宋_GB2312" w:hAnsi="楷体" w:eastAsia="仿宋_GB2312"/>
          <w:sz w:val="24"/>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sz w:val="24"/>
          <w:u w:val="single"/>
        </w:rPr>
        <w:t>合同专用条款</w:t>
      </w:r>
      <w:r>
        <w:rPr>
          <w:rFonts w:hint="eastAsia" w:ascii="仿宋_GB2312" w:hAnsi="楷体" w:eastAsia="仿宋_GB2312"/>
          <w:sz w:val="24"/>
        </w:rPr>
        <w:t>约定时间内组织验收，并可依法邀请相关方参加，验收应出具验收书。</w:t>
      </w:r>
    </w:p>
    <w:p w14:paraId="598BE178">
      <w:pPr>
        <w:spacing w:line="360" w:lineRule="auto"/>
        <w:ind w:firstLine="480" w:firstLineChars="200"/>
        <w:rPr>
          <w:rFonts w:ascii="仿宋_GB2312" w:hAnsi="楷体" w:eastAsia="仿宋_GB2312"/>
          <w:sz w:val="24"/>
        </w:rPr>
      </w:pPr>
      <w:r>
        <w:rPr>
          <w:rFonts w:hint="eastAsia" w:ascii="仿宋_GB2312" w:hAnsi="楷体" w:eastAsia="仿宋_GB2312"/>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0673C140">
      <w:pPr>
        <w:spacing w:line="360" w:lineRule="auto"/>
        <w:ind w:firstLine="480" w:firstLineChars="200"/>
        <w:rPr>
          <w:rFonts w:ascii="仿宋_GB2312" w:hAnsi="楷体" w:eastAsia="仿宋_GB2312"/>
          <w:sz w:val="24"/>
        </w:rPr>
      </w:pPr>
      <w:r>
        <w:rPr>
          <w:rFonts w:hint="eastAsia" w:ascii="仿宋_GB2312" w:hAnsi="楷体" w:eastAsia="仿宋_GB2312"/>
          <w:sz w:val="24"/>
        </w:rPr>
        <w:t>2.17.3 检验和验收标准、程序等具体内容以及前述验收书的效力详见</w:t>
      </w:r>
      <w:r>
        <w:rPr>
          <w:rFonts w:hint="eastAsia" w:ascii="仿宋_GB2312" w:hAnsi="楷体" w:eastAsia="仿宋_GB2312"/>
          <w:b/>
          <w:i/>
          <w:sz w:val="24"/>
          <w:u w:val="single"/>
        </w:rPr>
        <w:t>合同专用条款</w:t>
      </w:r>
      <w:r>
        <w:rPr>
          <w:rFonts w:hint="eastAsia" w:ascii="仿宋_GB2312" w:hAnsi="楷体" w:eastAsia="仿宋_GB2312"/>
          <w:i/>
          <w:sz w:val="24"/>
        </w:rPr>
        <w:t>。</w:t>
      </w:r>
    </w:p>
    <w:bookmarkEnd w:id="232"/>
    <w:bookmarkEnd w:id="233"/>
    <w:bookmarkEnd w:id="234"/>
    <w:bookmarkEnd w:id="235"/>
    <w:p w14:paraId="733B98CD">
      <w:pPr>
        <w:spacing w:line="360" w:lineRule="auto"/>
        <w:ind w:firstLine="482" w:firstLineChars="200"/>
        <w:rPr>
          <w:rFonts w:ascii="仿宋_GB2312" w:hAnsi="楷体" w:eastAsia="仿宋_GB2312"/>
          <w:b/>
          <w:sz w:val="24"/>
        </w:rPr>
      </w:pPr>
      <w:bookmarkStart w:id="263" w:name="_Toc259093690"/>
      <w:bookmarkStart w:id="264" w:name="_Toc487900371"/>
      <w:bookmarkStart w:id="265" w:name="_Toc279701261"/>
      <w:bookmarkStart w:id="266" w:name="_Toc25182"/>
      <w:bookmarkStart w:id="267" w:name="_Toc19604"/>
      <w:bookmarkStart w:id="268" w:name="_Toc11284"/>
      <w:r>
        <w:rPr>
          <w:rFonts w:hint="eastAsia" w:ascii="仿宋_GB2312" w:hAnsi="楷体" w:eastAsia="仿宋_GB2312"/>
          <w:b/>
          <w:sz w:val="24"/>
        </w:rPr>
        <w:t>2.18 通知</w:t>
      </w:r>
      <w:bookmarkEnd w:id="263"/>
      <w:bookmarkEnd w:id="264"/>
      <w:bookmarkEnd w:id="265"/>
      <w:r>
        <w:rPr>
          <w:rFonts w:hint="eastAsia" w:ascii="仿宋_GB2312" w:hAnsi="楷体" w:eastAsia="仿宋_GB2312"/>
          <w:b/>
          <w:sz w:val="24"/>
        </w:rPr>
        <w:t>和送达</w:t>
      </w:r>
      <w:bookmarkEnd w:id="266"/>
      <w:bookmarkEnd w:id="267"/>
      <w:bookmarkEnd w:id="268"/>
    </w:p>
    <w:p w14:paraId="24B9B8D6">
      <w:pPr>
        <w:spacing w:line="360" w:lineRule="auto"/>
        <w:ind w:firstLine="480" w:firstLineChars="200"/>
        <w:rPr>
          <w:rFonts w:ascii="仿宋_GB2312" w:hAnsi="楷体" w:eastAsia="仿宋_GB2312"/>
          <w:sz w:val="24"/>
        </w:rPr>
      </w:pPr>
      <w:bookmarkStart w:id="269" w:name="_Toc3135"/>
      <w:bookmarkStart w:id="270" w:name="_Toc6698"/>
      <w:bookmarkStart w:id="271" w:name="_Toc487900372"/>
      <w:bookmarkStart w:id="272" w:name="_Toc259093691"/>
      <w:bookmarkStart w:id="273" w:name="_Toc279701262"/>
      <w:r>
        <w:rPr>
          <w:rFonts w:hint="eastAsia" w:ascii="仿宋_GB2312" w:hAnsi="楷体" w:eastAsia="仿宋_GB2312"/>
          <w:sz w:val="24"/>
        </w:rPr>
        <w:t>2.18.1 任何一方因履行合同而以合同第一部分尾部所列明的</w:t>
      </w:r>
      <w:r>
        <w:rPr>
          <w:rFonts w:hint="eastAsia" w:ascii="仿宋_GB2312" w:hAnsi="楷体" w:eastAsia="仿宋_GB2312"/>
          <w:sz w:val="24"/>
          <w:u w:val="single"/>
        </w:rPr>
        <w:t>“约定送达地址”</w:t>
      </w:r>
      <w:r>
        <w:rPr>
          <w:rFonts w:hint="eastAsia" w:ascii="仿宋_GB2312" w:hAnsi="楷体" w:eastAsia="仿宋_GB2312"/>
          <w:sz w:val="24"/>
        </w:rPr>
        <w:t>为收件地址的所有通知、文件、材料，均视为已向对方当事人送达；任何一方变更上述送达方式或者地址的，应于</w:t>
      </w:r>
      <w:r>
        <w:rPr>
          <w:rFonts w:ascii="仿宋_GB2312" w:hAnsi="楷体" w:eastAsia="仿宋_GB2312"/>
          <w:sz w:val="24"/>
          <w:u w:val="single"/>
        </w:rPr>
        <w:t>7</w:t>
      </w:r>
      <w:r>
        <w:rPr>
          <w:rFonts w:hint="eastAsia" w:ascii="仿宋_GB2312" w:hAnsi="楷体" w:eastAsia="仿宋_GB2312"/>
          <w:sz w:val="24"/>
        </w:rPr>
        <w:t>个工作日内书面通知对方当事人，在对方当事人收到有关变更通知之前，变更前的约定送达方式或者地址仍视为有效。</w:t>
      </w:r>
      <w:bookmarkEnd w:id="269"/>
      <w:bookmarkEnd w:id="270"/>
    </w:p>
    <w:p w14:paraId="2FEB9A4B">
      <w:pPr>
        <w:spacing w:line="360" w:lineRule="auto"/>
        <w:ind w:firstLine="480" w:firstLineChars="200"/>
        <w:rPr>
          <w:rFonts w:ascii="仿宋_GB2312" w:hAnsi="楷体" w:eastAsia="仿宋_GB2312"/>
          <w:sz w:val="24"/>
        </w:rPr>
      </w:pPr>
      <w:bookmarkStart w:id="274" w:name="_Toc23128"/>
      <w:bookmarkStart w:id="275" w:name="_Toc23294"/>
      <w:r>
        <w:rPr>
          <w:rFonts w:hint="eastAsia" w:ascii="仿宋_GB2312" w:hAnsi="楷体" w:eastAsia="仿宋_GB2312"/>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4"/>
      <w:bookmarkEnd w:id="275"/>
    </w:p>
    <w:p w14:paraId="486CAD2E">
      <w:pPr>
        <w:spacing w:line="360" w:lineRule="auto"/>
        <w:ind w:firstLine="482" w:firstLineChars="200"/>
        <w:rPr>
          <w:rFonts w:ascii="仿宋_GB2312" w:hAnsi="楷体" w:eastAsia="仿宋_GB2312"/>
          <w:b/>
          <w:sz w:val="24"/>
        </w:rPr>
      </w:pPr>
      <w:bookmarkStart w:id="276" w:name="_Toc4355"/>
      <w:bookmarkStart w:id="277" w:name="_Toc18540"/>
      <w:bookmarkStart w:id="278" w:name="_Toc30599"/>
      <w:r>
        <w:rPr>
          <w:rFonts w:hint="eastAsia" w:ascii="仿宋_GB2312" w:hAnsi="楷体" w:eastAsia="仿宋_GB2312"/>
          <w:b/>
          <w:sz w:val="24"/>
        </w:rPr>
        <w:t>2.19 计量单位</w:t>
      </w:r>
      <w:bookmarkEnd w:id="271"/>
      <w:bookmarkEnd w:id="272"/>
      <w:bookmarkEnd w:id="273"/>
      <w:bookmarkEnd w:id="276"/>
      <w:bookmarkEnd w:id="277"/>
      <w:bookmarkEnd w:id="278"/>
    </w:p>
    <w:p w14:paraId="24D9C4BA">
      <w:pPr>
        <w:spacing w:line="360" w:lineRule="auto"/>
        <w:ind w:firstLine="480" w:firstLineChars="200"/>
        <w:rPr>
          <w:rFonts w:ascii="仿宋_GB2312" w:hAnsi="楷体" w:eastAsia="仿宋_GB2312"/>
          <w:sz w:val="24"/>
        </w:rPr>
      </w:pPr>
      <w:r>
        <w:rPr>
          <w:rFonts w:hint="eastAsia" w:ascii="仿宋_GB2312" w:hAnsi="楷体" w:eastAsia="仿宋_GB2312"/>
          <w:sz w:val="24"/>
        </w:rPr>
        <w:t>除技术规范中另有规定外,合同的计量单位均使用国家法定计量单位。</w:t>
      </w:r>
    </w:p>
    <w:p w14:paraId="7DA99CB6">
      <w:pPr>
        <w:spacing w:line="360" w:lineRule="auto"/>
        <w:ind w:firstLine="482" w:firstLineChars="200"/>
        <w:rPr>
          <w:rFonts w:ascii="仿宋_GB2312" w:hAnsi="楷体" w:eastAsia="仿宋_GB2312"/>
          <w:b/>
          <w:sz w:val="24"/>
        </w:rPr>
      </w:pPr>
      <w:bookmarkStart w:id="279" w:name="_Toc259093692"/>
      <w:bookmarkStart w:id="280" w:name="_Toc279701263"/>
      <w:bookmarkStart w:id="281" w:name="_Toc12773"/>
      <w:bookmarkStart w:id="282" w:name="_Toc10330"/>
      <w:bookmarkStart w:id="283" w:name="_Toc18567"/>
      <w:bookmarkStart w:id="284" w:name="_Toc487900373"/>
      <w:r>
        <w:rPr>
          <w:rFonts w:hint="eastAsia" w:ascii="仿宋_GB2312" w:hAnsi="楷体" w:eastAsia="仿宋_GB2312"/>
          <w:b/>
          <w:sz w:val="24"/>
        </w:rPr>
        <w:t>2.20 合同使用的文字和适用的法律</w:t>
      </w:r>
      <w:bookmarkEnd w:id="279"/>
      <w:bookmarkEnd w:id="280"/>
      <w:bookmarkEnd w:id="281"/>
      <w:bookmarkEnd w:id="282"/>
      <w:bookmarkEnd w:id="283"/>
      <w:bookmarkEnd w:id="284"/>
    </w:p>
    <w:p w14:paraId="6021BC1A">
      <w:pPr>
        <w:spacing w:line="360" w:lineRule="auto"/>
        <w:ind w:firstLine="480" w:firstLineChars="200"/>
        <w:rPr>
          <w:rFonts w:ascii="仿宋_GB2312" w:hAnsi="楷体" w:eastAsia="仿宋_GB2312"/>
          <w:sz w:val="24"/>
        </w:rPr>
      </w:pPr>
      <w:r>
        <w:rPr>
          <w:rFonts w:hint="eastAsia" w:ascii="仿宋_GB2312" w:hAnsi="楷体" w:eastAsia="仿宋_GB2312"/>
          <w:sz w:val="24"/>
        </w:rPr>
        <w:t>2.20.1 合同使用汉语书就、变更和解释；</w:t>
      </w:r>
    </w:p>
    <w:p w14:paraId="16606910">
      <w:pPr>
        <w:spacing w:line="360" w:lineRule="auto"/>
        <w:ind w:firstLine="480" w:firstLineChars="200"/>
        <w:rPr>
          <w:rFonts w:ascii="仿宋_GB2312" w:hAnsi="楷体" w:eastAsia="仿宋_GB2312"/>
          <w:sz w:val="24"/>
        </w:rPr>
      </w:pPr>
      <w:r>
        <w:rPr>
          <w:rFonts w:hint="eastAsia" w:ascii="仿宋_GB2312" w:hAnsi="楷体" w:eastAsia="仿宋_GB2312"/>
          <w:sz w:val="24"/>
        </w:rPr>
        <w:t>2.20.2 合同适用中华人民共和国法律。</w:t>
      </w:r>
    </w:p>
    <w:p w14:paraId="22B2D772">
      <w:pPr>
        <w:spacing w:line="360" w:lineRule="auto"/>
        <w:ind w:firstLine="482" w:firstLineChars="200"/>
        <w:rPr>
          <w:rFonts w:ascii="仿宋_GB2312" w:hAnsi="楷体" w:eastAsia="仿宋_GB2312"/>
          <w:b/>
          <w:sz w:val="24"/>
        </w:rPr>
      </w:pPr>
      <w:bookmarkStart w:id="285" w:name="_Toc259093693"/>
      <w:bookmarkStart w:id="286" w:name="_Toc3148"/>
      <w:bookmarkStart w:id="287" w:name="_Toc16673"/>
      <w:bookmarkStart w:id="288" w:name="_Toc279701264"/>
      <w:bookmarkStart w:id="289" w:name="_Toc12004"/>
      <w:bookmarkStart w:id="290" w:name="_Toc487900374"/>
      <w:r>
        <w:rPr>
          <w:rFonts w:hint="eastAsia" w:ascii="仿宋_GB2312" w:hAnsi="楷体" w:eastAsia="仿宋_GB2312"/>
          <w:b/>
          <w:sz w:val="24"/>
        </w:rPr>
        <w:t>2.21 履约保证金</w:t>
      </w:r>
      <w:bookmarkEnd w:id="285"/>
      <w:bookmarkEnd w:id="286"/>
      <w:bookmarkEnd w:id="287"/>
      <w:bookmarkEnd w:id="288"/>
      <w:bookmarkEnd w:id="289"/>
    </w:p>
    <w:p w14:paraId="1B46B79C">
      <w:pPr>
        <w:spacing w:line="360" w:lineRule="auto"/>
        <w:ind w:firstLine="480" w:firstLineChars="200"/>
        <w:rPr>
          <w:rFonts w:ascii="仿宋_GB2312" w:hAnsi="仿宋" w:eastAsia="仿宋_GB2312" w:cs="Arial"/>
          <w:snapToGrid w:val="0"/>
          <w:kern w:val="0"/>
          <w:sz w:val="24"/>
        </w:rPr>
      </w:pPr>
      <w:r>
        <w:rPr>
          <w:rFonts w:hint="eastAsia" w:ascii="仿宋_GB2312" w:hAnsi="楷体" w:eastAsia="仿宋_GB2312"/>
          <w:sz w:val="24"/>
        </w:rPr>
        <w:t>本项目不收取履约保证金</w:t>
      </w:r>
    </w:p>
    <w:p w14:paraId="016B5E96">
      <w:pPr>
        <w:spacing w:line="360" w:lineRule="auto"/>
        <w:ind w:firstLine="482" w:firstLineChars="200"/>
        <w:rPr>
          <w:rFonts w:ascii="仿宋_GB2312" w:hAnsi="仿宋" w:eastAsia="仿宋_GB2312"/>
          <w:kern w:val="0"/>
          <w:sz w:val="24"/>
          <w:lang w:val="zh-CN"/>
        </w:rPr>
      </w:pPr>
      <w:r>
        <w:rPr>
          <w:rFonts w:hint="eastAsia" w:ascii="仿宋_GB2312" w:hAnsi="楷体" w:eastAsia="仿宋_GB2312"/>
          <w:b/>
          <w:sz w:val="24"/>
        </w:rPr>
        <w:t>2.22 中小企业政策</w:t>
      </w:r>
    </w:p>
    <w:p w14:paraId="0D5D1C02">
      <w:pPr>
        <w:spacing w:line="360" w:lineRule="auto"/>
        <w:ind w:firstLine="480" w:firstLineChars="200"/>
        <w:rPr>
          <w:rFonts w:ascii="仿宋_GB2312" w:hAnsi="仿宋" w:eastAsia="仿宋_GB2312"/>
          <w:kern w:val="0"/>
          <w:sz w:val="24"/>
          <w:lang w:val="zh-CN"/>
        </w:rPr>
      </w:pPr>
      <w:r>
        <w:rPr>
          <w:rFonts w:hint="eastAsia" w:ascii="仿宋_GB2312" w:hAnsi="仿宋" w:eastAsia="仿宋_GB2312"/>
          <w:kern w:val="0"/>
          <w:sz w:val="24"/>
          <w:lang w:val="zh-CN"/>
        </w:rPr>
        <w:t>2.22.1本合同（□是  □否）为中小企业“政采贷”可融资合同，关于中小企业信用融资事项见采购文件“投标人须知正文”。</w:t>
      </w:r>
    </w:p>
    <w:p w14:paraId="2B0F5C2D">
      <w:pPr>
        <w:spacing w:line="360" w:lineRule="auto"/>
        <w:ind w:firstLine="480" w:firstLineChars="200"/>
        <w:rPr>
          <w:rFonts w:ascii="仿宋_GB2312" w:hAnsi="仿宋" w:eastAsia="仿宋_GB2312"/>
          <w:kern w:val="0"/>
          <w:sz w:val="24"/>
          <w:lang w:val="zh-CN"/>
        </w:rPr>
      </w:pPr>
      <w:r>
        <w:rPr>
          <w:rFonts w:hint="eastAsia" w:ascii="仿宋_GB2312" w:hAnsi="仿宋" w:eastAsia="仿宋_GB2312"/>
          <w:kern w:val="0"/>
          <w:sz w:val="24"/>
          <w:lang w:val="zh-CN"/>
        </w:rPr>
        <w:t xml:space="preserve">2.22.2本合同（□是  </w:t>
      </w:r>
      <w:r>
        <w:rPr>
          <w:rFonts w:hint="eastAsia" w:ascii="仿宋_GB2312" w:eastAsia="仿宋_GB2312" w:cs="仿宋_GB2312"/>
          <w:sz w:val="24"/>
        </w:rPr>
        <w:t>□</w:t>
      </w:r>
      <w:r>
        <w:rPr>
          <w:rFonts w:hint="eastAsia" w:ascii="仿宋_GB2312" w:hAnsi="仿宋" w:eastAsia="仿宋_GB2312"/>
          <w:kern w:val="0"/>
          <w:sz w:val="24"/>
          <w:lang w:val="zh-CN"/>
        </w:rPr>
        <w:t>否）为中小企业预留合同。</w:t>
      </w:r>
    </w:p>
    <w:bookmarkEnd w:id="290"/>
    <w:p w14:paraId="40419F6D">
      <w:pPr>
        <w:spacing w:line="360" w:lineRule="auto"/>
        <w:ind w:firstLine="482" w:firstLineChars="200"/>
        <w:rPr>
          <w:rFonts w:ascii="仿宋_GB2312" w:hAnsi="楷体" w:eastAsia="仿宋_GB2312"/>
          <w:b/>
          <w:sz w:val="24"/>
        </w:rPr>
      </w:pPr>
      <w:bookmarkStart w:id="291" w:name="_Toc14001"/>
      <w:bookmarkStart w:id="292" w:name="_Toc6885"/>
      <w:bookmarkStart w:id="293" w:name="_Toc19890"/>
      <w:r>
        <w:rPr>
          <w:rFonts w:hint="eastAsia" w:ascii="仿宋_GB2312" w:hAnsi="楷体" w:eastAsia="仿宋_GB2312"/>
          <w:b/>
          <w:sz w:val="24"/>
        </w:rPr>
        <w:t>2.23 合同份数</w:t>
      </w:r>
      <w:bookmarkEnd w:id="291"/>
      <w:bookmarkEnd w:id="292"/>
      <w:bookmarkEnd w:id="293"/>
    </w:p>
    <w:p w14:paraId="071103A9">
      <w:pPr>
        <w:spacing w:line="360" w:lineRule="auto"/>
        <w:ind w:firstLine="480" w:firstLineChars="200"/>
        <w:rPr>
          <w:rFonts w:ascii="仿宋_GB2312" w:hAnsi="楷体" w:eastAsia="仿宋_GB2312"/>
          <w:sz w:val="24"/>
        </w:rPr>
      </w:pPr>
      <w:r>
        <w:rPr>
          <w:rFonts w:hint="eastAsia" w:ascii="仿宋_GB2312" w:hAnsi="宋体" w:eastAsia="仿宋_GB2312"/>
          <w:sz w:val="24"/>
        </w:rPr>
        <w:t>本合同壹式</w:t>
      </w:r>
      <w:r>
        <w:rPr>
          <w:rFonts w:hint="eastAsia" w:ascii="仿宋_GB2312" w:hAnsi="宋体" w:eastAsia="仿宋_GB2312"/>
          <w:sz w:val="24"/>
          <w:u w:val="single"/>
        </w:rPr>
        <w:t xml:space="preserve"> 五 </w:t>
      </w:r>
      <w:r>
        <w:rPr>
          <w:rFonts w:hint="eastAsia" w:ascii="仿宋_GB2312" w:hAnsi="宋体" w:eastAsia="仿宋_GB2312"/>
          <w:sz w:val="24"/>
        </w:rPr>
        <w:t>份，甲方执</w:t>
      </w:r>
      <w:r>
        <w:rPr>
          <w:rFonts w:hint="eastAsia" w:ascii="仿宋_GB2312" w:hAnsi="宋体" w:eastAsia="仿宋_GB2312"/>
          <w:sz w:val="24"/>
          <w:u w:val="single"/>
        </w:rPr>
        <w:t xml:space="preserve"> 三</w:t>
      </w:r>
      <w:r>
        <w:rPr>
          <w:rFonts w:hint="eastAsia" w:ascii="仿宋_GB2312" w:hAnsi="宋体" w:eastAsia="仿宋_GB2312"/>
          <w:sz w:val="24"/>
        </w:rPr>
        <w:t>份，乙方执</w:t>
      </w:r>
      <w:r>
        <w:rPr>
          <w:rFonts w:hint="eastAsia" w:ascii="仿宋_GB2312" w:hAnsi="仿宋" w:eastAsia="仿宋_GB2312"/>
          <w:sz w:val="24"/>
          <w:u w:val="single"/>
        </w:rPr>
        <w:t xml:space="preserve">  二</w:t>
      </w:r>
      <w:r>
        <w:rPr>
          <w:rFonts w:hint="eastAsia" w:ascii="仿宋_GB2312" w:hAnsi="宋体" w:eastAsia="仿宋_GB2312"/>
          <w:sz w:val="24"/>
        </w:rPr>
        <w:t>份。</w:t>
      </w:r>
      <w:r>
        <w:rPr>
          <w:rFonts w:hint="eastAsia" w:ascii="仿宋_GB2312" w:hAnsi="楷体" w:eastAsia="仿宋_GB2312"/>
          <w:sz w:val="24"/>
        </w:rPr>
        <w:t>每份均具有同等法律效力。</w:t>
      </w:r>
    </w:p>
    <w:p w14:paraId="1C3DD167">
      <w:pPr>
        <w:spacing w:line="360" w:lineRule="auto"/>
        <w:jc w:val="center"/>
        <w:rPr>
          <w:rFonts w:ascii="仿宋_GB2312" w:hAnsi="楷体" w:eastAsia="仿宋_GB2312"/>
          <w:b/>
          <w:sz w:val="28"/>
          <w:szCs w:val="28"/>
        </w:rPr>
      </w:pPr>
      <w:r>
        <w:rPr>
          <w:rFonts w:hint="eastAsia" w:ascii="仿宋_GB2312" w:hAnsi="楷体" w:eastAsia="仿宋_GB2312"/>
        </w:rPr>
        <w:br w:type="page"/>
      </w:r>
      <w:bookmarkStart w:id="294" w:name="_Toc331685784"/>
      <w:r>
        <w:rPr>
          <w:rFonts w:hint="eastAsia" w:ascii="仿宋_GB2312" w:hAnsi="楷体" w:eastAsia="仿宋_GB2312"/>
          <w:b/>
          <w:sz w:val="28"/>
          <w:szCs w:val="28"/>
        </w:rPr>
        <w:t>第三部分  合同专用条款</w:t>
      </w:r>
      <w:bookmarkEnd w:id="294"/>
    </w:p>
    <w:p w14:paraId="1102E408">
      <w:pPr>
        <w:spacing w:line="360" w:lineRule="auto"/>
        <w:ind w:firstLine="480" w:firstLineChars="200"/>
        <w:rPr>
          <w:rFonts w:ascii="仿宋_GB2312" w:hAnsi="楷体" w:eastAsia="仿宋_GB2312"/>
          <w:sz w:val="24"/>
        </w:rPr>
      </w:pPr>
      <w:r>
        <w:rPr>
          <w:rFonts w:hint="eastAsia" w:ascii="仿宋_GB2312" w:hAnsi="楷体" w:eastAsia="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39BFE60F">
      <w:pPr>
        <w:spacing w:line="360" w:lineRule="auto"/>
        <w:ind w:firstLine="480" w:firstLineChars="200"/>
        <w:rPr>
          <w:rFonts w:ascii="仿宋_GB2312" w:hAnsi="楷体" w:eastAsia="仿宋_GB2312"/>
          <w:sz w:val="24"/>
        </w:rPr>
      </w:pPr>
      <w:r>
        <w:rPr>
          <w:rFonts w:hint="eastAsia" w:ascii="仿宋_GB2312" w:hAnsi="楷体" w:eastAsia="仿宋_GB2312"/>
          <w:sz w:val="24"/>
        </w:rPr>
        <w:t>3.1具有知识产权的标的物知识产权归属：归甲方所有。</w:t>
      </w:r>
    </w:p>
    <w:p w14:paraId="40F14BE3">
      <w:pPr>
        <w:spacing w:line="360" w:lineRule="auto"/>
        <w:ind w:firstLine="480" w:firstLineChars="200"/>
        <w:rPr>
          <w:rFonts w:ascii="仿宋_GB2312" w:hAnsi="楷体" w:eastAsia="仿宋_GB2312"/>
          <w:sz w:val="24"/>
        </w:rPr>
      </w:pPr>
      <w:r>
        <w:rPr>
          <w:rFonts w:hint="eastAsia" w:ascii="仿宋_GB2312" w:hAnsi="楷体" w:eastAsia="仿宋_GB2312"/>
          <w:sz w:val="24"/>
        </w:rPr>
        <w:t>3.2包装和装运专用条款（如果有）：无</w:t>
      </w:r>
    </w:p>
    <w:p w14:paraId="5F294B4D">
      <w:pPr>
        <w:spacing w:line="360" w:lineRule="auto"/>
        <w:ind w:firstLine="480" w:firstLineChars="200"/>
        <w:rPr>
          <w:rFonts w:ascii="仿宋_GB2312" w:hAnsi="楷体" w:eastAsia="仿宋_GB2312"/>
          <w:sz w:val="24"/>
        </w:rPr>
      </w:pPr>
      <w:r>
        <w:rPr>
          <w:rFonts w:hint="eastAsia" w:ascii="仿宋_GB2312" w:hAnsi="楷体" w:eastAsia="仿宋_GB2312"/>
          <w:sz w:val="24"/>
        </w:rPr>
        <w:t>3.3装运标的物的要求和通知：无</w:t>
      </w:r>
    </w:p>
    <w:p w14:paraId="6A1D80B5">
      <w:pPr>
        <w:spacing w:line="360" w:lineRule="auto"/>
        <w:ind w:firstLine="480" w:firstLineChars="200"/>
        <w:rPr>
          <w:rFonts w:ascii="仿宋_GB2312" w:hAnsi="楷体" w:eastAsia="仿宋_GB2312"/>
          <w:b/>
          <w:sz w:val="24"/>
        </w:rPr>
      </w:pPr>
      <w:r>
        <w:rPr>
          <w:rFonts w:hint="eastAsia" w:ascii="仿宋_GB2312" w:hAnsi="楷体" w:eastAsia="仿宋_GB2312"/>
          <w:sz w:val="24"/>
        </w:rPr>
        <w:t>3.4</w:t>
      </w:r>
      <w:r>
        <w:rPr>
          <w:rFonts w:hint="eastAsia" w:ascii="仿宋_GB2312" w:hAnsi="楷体" w:eastAsia="仿宋_GB2312"/>
          <w:b/>
          <w:sz w:val="24"/>
        </w:rPr>
        <w:t>结算方式和付款条件</w:t>
      </w:r>
    </w:p>
    <w:p w14:paraId="724131CA">
      <w:pPr>
        <w:spacing w:line="360" w:lineRule="auto"/>
        <w:ind w:firstLine="480" w:firstLineChars="200"/>
        <w:rPr>
          <w:rFonts w:ascii="仿宋_GB2312" w:eastAsia="仿宋_GB2312" w:cs="仿宋_GB2312"/>
          <w:kern w:val="0"/>
          <w:sz w:val="24"/>
          <w:lang w:val="zh-CN"/>
        </w:rPr>
      </w:pPr>
      <w:r>
        <w:rPr>
          <w:rFonts w:hint="eastAsia" w:ascii="仿宋_GB2312" w:eastAsia="仿宋_GB2312" w:cs="仿宋_GB2312"/>
          <w:kern w:val="0"/>
          <w:sz w:val="24"/>
          <w:lang w:val="zh-CN"/>
        </w:rPr>
        <w:t>本次项目合同</w:t>
      </w:r>
      <w:r>
        <w:rPr>
          <w:rFonts w:hint="eastAsia" w:ascii="仿宋_GB2312" w:eastAsia="仿宋_GB2312" w:cs="仿宋_GB2312"/>
          <w:kern w:val="0"/>
          <w:sz w:val="24"/>
        </w:rPr>
        <w:t>总价</w:t>
      </w:r>
      <w:r>
        <w:rPr>
          <w:rFonts w:hint="eastAsia" w:ascii="仿宋_GB2312" w:eastAsia="仿宋_GB2312" w:cs="仿宋_GB2312"/>
          <w:kern w:val="0"/>
          <w:sz w:val="24"/>
          <w:lang w:val="zh-CN"/>
        </w:rPr>
        <w:t>为</w:t>
      </w:r>
      <w:r>
        <w:rPr>
          <w:rFonts w:hint="eastAsia" w:ascii="仿宋_GB2312" w:eastAsia="仿宋_GB2312" w:cs="仿宋_GB2312"/>
          <w:kern w:val="0"/>
          <w:sz w:val="24"/>
        </w:rPr>
        <w:t>大写人民币</w:t>
      </w:r>
      <w:r>
        <w:rPr>
          <w:rFonts w:hint="eastAsia" w:ascii="仿宋_GB2312" w:eastAsia="仿宋_GB2312" w:cs="仿宋_GB2312"/>
          <w:kern w:val="0"/>
          <w:sz w:val="24"/>
          <w:u w:val="single"/>
          <w:lang w:val="zh-CN"/>
        </w:rPr>
        <w:t xml:space="preserve">        </w:t>
      </w:r>
      <w:r>
        <w:rPr>
          <w:rFonts w:hint="eastAsia" w:ascii="仿宋_GB2312" w:eastAsia="仿宋_GB2312" w:cs="仿宋_GB2312"/>
          <w:kern w:val="0"/>
          <w:sz w:val="24"/>
          <w:u w:val="single"/>
        </w:rPr>
        <w:t>元</w:t>
      </w:r>
      <w:r>
        <w:rPr>
          <w:rFonts w:hint="eastAsia" w:ascii="仿宋_GB2312" w:eastAsia="仿宋_GB2312" w:cs="仿宋_GB2312"/>
          <w:kern w:val="0"/>
          <w:sz w:val="24"/>
          <w:u w:val="single"/>
          <w:lang w:val="zh-CN"/>
        </w:rPr>
        <w:t>（</w:t>
      </w:r>
      <w:r>
        <w:rPr>
          <w:rFonts w:ascii="Arial" w:hAnsi="Arial" w:eastAsia="仿宋_GB2312" w:cs="Arial"/>
          <w:kern w:val="0"/>
          <w:sz w:val="24"/>
          <w:u w:val="single"/>
          <w:lang w:val="zh-CN"/>
        </w:rPr>
        <w:t>¥</w:t>
      </w:r>
      <w:r>
        <w:rPr>
          <w:rFonts w:hint="eastAsia" w:ascii="仿宋_GB2312" w:eastAsia="仿宋_GB2312" w:cs="仿宋_GB2312"/>
          <w:kern w:val="0"/>
          <w:sz w:val="24"/>
          <w:u w:val="single"/>
        </w:rPr>
        <w:t xml:space="preserve">         </w:t>
      </w:r>
      <w:r>
        <w:rPr>
          <w:rFonts w:hint="eastAsia" w:ascii="仿宋_GB2312" w:eastAsia="仿宋_GB2312" w:cs="仿宋_GB2312"/>
          <w:kern w:val="0"/>
          <w:sz w:val="24"/>
          <w:u w:val="single"/>
          <w:lang w:val="zh-CN"/>
        </w:rPr>
        <w:t>）</w:t>
      </w:r>
      <w:r>
        <w:rPr>
          <w:rFonts w:hint="eastAsia" w:ascii="仿宋_GB2312" w:eastAsia="仿宋_GB2312" w:cs="仿宋_GB2312"/>
          <w:kern w:val="0"/>
          <w:sz w:val="24"/>
          <w:lang w:val="zh-CN"/>
        </w:rPr>
        <w:t>。本项目采用以下勾选结算方式进行支付：</w:t>
      </w:r>
    </w:p>
    <w:p w14:paraId="6B52C888">
      <w:pPr>
        <w:spacing w:line="360" w:lineRule="auto"/>
        <w:ind w:firstLine="480" w:firstLineChars="200"/>
        <w:rPr>
          <w:rFonts w:ascii="仿宋_GB2312" w:eastAsia="仿宋_GB2312" w:cs="仿宋_GB2312"/>
          <w:kern w:val="0"/>
          <w:sz w:val="24"/>
          <w:lang w:val="zh-CN"/>
        </w:rPr>
      </w:pPr>
      <w:r>
        <w:rPr>
          <w:rFonts w:hint="eastAsia" w:ascii="仿宋_GB2312" w:eastAsia="仿宋_GB2312" w:cs="仿宋_GB2312"/>
          <w:kern w:val="0"/>
          <w:sz w:val="24"/>
          <w:lang w:val="zh-CN"/>
        </w:rPr>
        <w:t>□采用一次性支付方式，付款条件为：</w:t>
      </w:r>
    </w:p>
    <w:p w14:paraId="150D70D5">
      <w:pPr>
        <w:spacing w:line="360" w:lineRule="auto"/>
        <w:ind w:firstLine="480" w:firstLineChars="200"/>
        <w:rPr>
          <w:rFonts w:ascii="仿宋_GB2312" w:eastAsia="仿宋_GB2312" w:cs="仿宋_GB2312"/>
          <w:kern w:val="0"/>
          <w:sz w:val="24"/>
        </w:rPr>
      </w:pPr>
      <w:r>
        <w:rPr>
          <w:rFonts w:hint="eastAsia" w:ascii="仿宋_GB2312" w:eastAsia="仿宋_GB2312" w:cs="仿宋_GB2312"/>
          <w:kern w:val="0"/>
          <w:sz w:val="24"/>
          <w:lang w:val="zh-CN"/>
        </w:rPr>
        <w:sym w:font="Wingdings 2" w:char="0052"/>
      </w:r>
      <w:r>
        <w:rPr>
          <w:rFonts w:hint="eastAsia" w:ascii="仿宋_GB2312" w:eastAsia="仿宋_GB2312" w:cs="仿宋_GB2312"/>
          <w:kern w:val="0"/>
          <w:sz w:val="24"/>
          <w:lang w:val="zh-CN"/>
        </w:rPr>
        <w:t>采用分期付款方式，付款条件为</w:t>
      </w:r>
      <w:r>
        <w:rPr>
          <w:rFonts w:hint="eastAsia" w:ascii="仿宋_GB2312" w:eastAsia="仿宋_GB2312" w:cs="仿宋_GB2312"/>
          <w:kern w:val="0"/>
          <w:sz w:val="24"/>
        </w:rPr>
        <w:t>：</w:t>
      </w:r>
    </w:p>
    <w:p w14:paraId="5D8874C5">
      <w:pPr>
        <w:spacing w:line="360" w:lineRule="auto"/>
        <w:ind w:firstLine="480" w:firstLineChars="200"/>
        <w:rPr>
          <w:rFonts w:ascii="仿宋_GB2312" w:eastAsia="仿宋_GB2312" w:cs="仿宋_GB2312"/>
          <w:kern w:val="0"/>
          <w:sz w:val="24"/>
        </w:rPr>
      </w:pPr>
      <w:r>
        <w:rPr>
          <w:rFonts w:hint="eastAsia" w:ascii="仿宋_GB2312" w:eastAsia="仿宋_GB2312" w:cs="仿宋_GB2312"/>
          <w:kern w:val="0"/>
          <w:sz w:val="24"/>
          <w:lang w:val="zh-CN"/>
        </w:rPr>
        <w:t>第一期付款</w:t>
      </w:r>
      <w:r>
        <w:rPr>
          <w:rFonts w:hint="eastAsia" w:ascii="仿宋_GB2312" w:eastAsia="仿宋_GB2312" w:cs="仿宋_GB2312"/>
          <w:kern w:val="0"/>
          <w:sz w:val="24"/>
        </w:rPr>
        <w:t>：</w:t>
      </w:r>
      <w:r>
        <w:rPr>
          <w:rFonts w:hint="eastAsia" w:ascii="仿宋_GB2312" w:eastAsia="仿宋_GB2312" w:cs="仿宋_GB2312"/>
          <w:kern w:val="0"/>
          <w:sz w:val="24"/>
          <w:u w:val="single"/>
        </w:rPr>
        <w:t>本项目无预付款，乙方按相关规范及合同要求做完现场全部外业检测并经考评服务单位和甲方确认后支付60%的合同款；</w:t>
      </w:r>
    </w:p>
    <w:p w14:paraId="7ACCC057">
      <w:pPr>
        <w:spacing w:line="360" w:lineRule="auto"/>
        <w:ind w:firstLine="480" w:firstLineChars="200"/>
        <w:rPr>
          <w:rFonts w:hint="eastAsia" w:ascii="仿宋_GB2312" w:eastAsia="仿宋_GB2312" w:cs="仿宋_GB2312"/>
          <w:kern w:val="0"/>
          <w:sz w:val="24"/>
          <w:lang w:eastAsia="zh-CN"/>
        </w:rPr>
      </w:pPr>
      <w:r>
        <w:rPr>
          <w:rFonts w:hint="eastAsia" w:ascii="仿宋_GB2312" w:eastAsia="仿宋_GB2312" w:cs="仿宋_GB2312"/>
          <w:kern w:val="0"/>
          <w:sz w:val="24"/>
          <w:lang w:val="zh-CN"/>
        </w:rPr>
        <w:t>第</w:t>
      </w:r>
      <w:r>
        <w:rPr>
          <w:rFonts w:hint="eastAsia" w:ascii="仿宋_GB2312" w:eastAsia="仿宋_GB2312" w:cs="仿宋_GB2312"/>
          <w:kern w:val="0"/>
          <w:sz w:val="24"/>
        </w:rPr>
        <w:t>二</w:t>
      </w:r>
      <w:r>
        <w:rPr>
          <w:rFonts w:hint="eastAsia" w:ascii="仿宋_GB2312" w:eastAsia="仿宋_GB2312" w:cs="仿宋_GB2312"/>
          <w:kern w:val="0"/>
          <w:sz w:val="24"/>
          <w:lang w:val="zh-CN"/>
        </w:rPr>
        <w:t>期付款</w:t>
      </w:r>
      <w:r>
        <w:rPr>
          <w:rFonts w:hint="eastAsia" w:ascii="仿宋_GB2312" w:eastAsia="仿宋_GB2312" w:cs="仿宋_GB2312"/>
          <w:kern w:val="0"/>
          <w:sz w:val="24"/>
        </w:rPr>
        <w:t>：</w:t>
      </w:r>
      <w:r>
        <w:rPr>
          <w:rFonts w:hint="eastAsia" w:ascii="仿宋_GB2312" w:eastAsia="仿宋_GB2312" w:cs="仿宋_GB2312"/>
          <w:kern w:val="0"/>
          <w:sz w:val="24"/>
          <w:u w:val="single"/>
        </w:rPr>
        <w:t>乙方出具的检测报告经专家评审合格后支付30%的合同款</w:t>
      </w:r>
      <w:r>
        <w:rPr>
          <w:rFonts w:hint="eastAsia" w:ascii="仿宋_GB2312" w:eastAsia="仿宋_GB2312" w:cs="仿宋_GB2312"/>
          <w:kern w:val="0"/>
          <w:sz w:val="24"/>
          <w:u w:val="single"/>
          <w:lang w:eastAsia="zh-CN"/>
        </w:rPr>
        <w:t>；</w:t>
      </w:r>
    </w:p>
    <w:p w14:paraId="3A7DFC49">
      <w:pPr>
        <w:spacing w:line="360" w:lineRule="auto"/>
        <w:ind w:firstLine="480" w:firstLineChars="200"/>
        <w:rPr>
          <w:rFonts w:ascii="仿宋_GB2312" w:eastAsia="仿宋_GB2312" w:cs="仿宋_GB2312"/>
          <w:kern w:val="0"/>
          <w:sz w:val="24"/>
          <w:u w:val="single"/>
        </w:rPr>
      </w:pPr>
      <w:r>
        <w:rPr>
          <w:rFonts w:hint="eastAsia" w:ascii="仿宋_GB2312" w:eastAsia="仿宋_GB2312" w:cs="仿宋_GB2312"/>
          <w:kern w:val="0"/>
          <w:sz w:val="24"/>
          <w:lang w:val="en-US" w:eastAsia="zh-CN"/>
        </w:rPr>
        <w:t>第三期付款：</w:t>
      </w:r>
      <w:r>
        <w:rPr>
          <w:rFonts w:hint="eastAsia" w:ascii="仿宋_GB2312" w:eastAsia="仿宋_GB2312" w:cs="仿宋_GB2312"/>
          <w:kern w:val="0"/>
          <w:sz w:val="24"/>
          <w:u w:val="single"/>
        </w:rPr>
        <w:t>移交归档完整的检测资料和服务期满后支付10%的合同款。</w:t>
      </w:r>
    </w:p>
    <w:p w14:paraId="55EC604F">
      <w:pPr>
        <w:spacing w:line="360" w:lineRule="auto"/>
        <w:ind w:firstLine="480" w:firstLineChars="200"/>
        <w:rPr>
          <w:rFonts w:ascii="仿宋_GB2312" w:hAnsi="仿宋" w:eastAsia="仿宋_GB2312"/>
          <w:sz w:val="24"/>
        </w:rPr>
      </w:pPr>
      <w:r>
        <w:rPr>
          <w:rFonts w:hint="eastAsia" w:ascii="仿宋_GB2312" w:hAnsi="仿宋" w:eastAsia="仿宋_GB2312"/>
          <w:sz w:val="24"/>
        </w:rPr>
        <w:t>甲方无故逾期支付服务费用的，按照每逾期一日支付欠付服务费额度的</w:t>
      </w:r>
      <w:r>
        <w:rPr>
          <w:rFonts w:hint="eastAsia" w:ascii="仿宋_GB2312" w:hAnsi="楷体" w:eastAsia="仿宋_GB2312"/>
          <w:sz w:val="24"/>
        </w:rPr>
        <w:t>万分之五</w:t>
      </w:r>
      <w:r>
        <w:rPr>
          <w:rFonts w:hint="eastAsia" w:ascii="仿宋_GB2312" w:hAnsi="仿宋" w:eastAsia="仿宋_GB2312"/>
          <w:sz w:val="24"/>
        </w:rPr>
        <w:t>承担违约责任，违约金上限按照《合同书》约定执行。</w:t>
      </w:r>
    </w:p>
    <w:p w14:paraId="048EFE79">
      <w:pPr>
        <w:spacing w:line="360" w:lineRule="auto"/>
        <w:ind w:firstLine="480" w:firstLineChars="200"/>
        <w:rPr>
          <w:rFonts w:ascii="仿宋_GB2312" w:hAnsi="楷体" w:eastAsia="仿宋_GB2312"/>
          <w:b/>
          <w:sz w:val="24"/>
        </w:rPr>
      </w:pPr>
      <w:r>
        <w:rPr>
          <w:rFonts w:hint="eastAsia" w:ascii="仿宋_GB2312" w:hAnsi="楷体" w:eastAsia="仿宋_GB2312"/>
          <w:sz w:val="24"/>
        </w:rPr>
        <w:t>3.5</w:t>
      </w:r>
      <w:r>
        <w:rPr>
          <w:rFonts w:hint="eastAsia" w:ascii="仿宋_GB2312" w:hAnsi="楷体" w:eastAsia="仿宋_GB2312"/>
          <w:b/>
          <w:sz w:val="24"/>
        </w:rPr>
        <w:t>标的物的风险负担</w:t>
      </w:r>
    </w:p>
    <w:p w14:paraId="1AC96123">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标的物或者在途标的物或者交付给第一承运人后的标的物毁损、灭失的风险负担：</w:t>
      </w:r>
      <w:r>
        <w:rPr>
          <w:rFonts w:hint="eastAsia" w:ascii="仿宋_GB2312" w:hAnsi="楷体" w:eastAsia="仿宋_GB2312"/>
          <w:sz w:val="24"/>
          <w:u w:val="single"/>
        </w:rPr>
        <w:t>乙方。</w:t>
      </w:r>
    </w:p>
    <w:p w14:paraId="2145AFFB">
      <w:pPr>
        <w:spacing w:line="360" w:lineRule="auto"/>
        <w:ind w:firstLine="480" w:firstLineChars="200"/>
        <w:rPr>
          <w:rFonts w:ascii="仿宋_GB2312" w:hAnsi="楷体" w:eastAsia="仿宋_GB2312"/>
          <w:sz w:val="24"/>
        </w:rPr>
      </w:pPr>
      <w:r>
        <w:rPr>
          <w:rFonts w:hint="eastAsia" w:ascii="仿宋_GB2312" w:hAnsi="楷体" w:eastAsia="仿宋_GB2312"/>
          <w:sz w:val="24"/>
        </w:rPr>
        <w:t>3.5.1受不可抗力影响的一方在不可抗力发生后，应在5日内以书面形式通知对方当事人，并在日内，将有关部门出具的证明文件送达对方当事人。</w:t>
      </w:r>
    </w:p>
    <w:p w14:paraId="4011DE72">
      <w:pPr>
        <w:spacing w:line="360" w:lineRule="auto"/>
        <w:ind w:firstLine="480" w:firstLineChars="200"/>
        <w:rPr>
          <w:rFonts w:ascii="仿宋_GB2312" w:hAnsi="楷体" w:eastAsia="仿宋_GB2312"/>
          <w:sz w:val="24"/>
        </w:rPr>
      </w:pPr>
      <w:r>
        <w:rPr>
          <w:rFonts w:hint="eastAsia" w:ascii="仿宋_GB2312" w:hAnsi="楷体" w:eastAsia="仿宋_GB2312"/>
          <w:sz w:val="24"/>
        </w:rPr>
        <w:t>3.5.2因不可抗力致使合同有变更必要的，双方当事人应在7日内以书面形式变更合同；</w:t>
      </w:r>
    </w:p>
    <w:p w14:paraId="4598AF7C">
      <w:pPr>
        <w:spacing w:line="360" w:lineRule="auto"/>
        <w:ind w:firstLine="480" w:firstLineChars="200"/>
        <w:rPr>
          <w:rFonts w:ascii="仿宋_GB2312" w:hAnsi="楷体" w:eastAsia="仿宋_GB2312"/>
          <w:sz w:val="24"/>
        </w:rPr>
      </w:pPr>
      <w:r>
        <w:rPr>
          <w:rFonts w:hint="eastAsia" w:ascii="仿宋_GB2312" w:hAnsi="楷体" w:eastAsia="仿宋_GB2312"/>
          <w:sz w:val="24"/>
        </w:rPr>
        <w:t>3.5.3标的物交付前，乙方应对标的物的质量、数量等方面进行详细、全面的检验，并向甲方出具证明标的物符合合同约定的文件；标的物交付时，乙方在</w:t>
      </w:r>
      <w:r>
        <w:rPr>
          <w:rFonts w:ascii="仿宋_GB2312" w:hAnsi="楷体" w:eastAsia="仿宋_GB2312"/>
          <w:sz w:val="24"/>
        </w:rPr>
        <w:t>5</w:t>
      </w:r>
      <w:r>
        <w:rPr>
          <w:rFonts w:hint="eastAsia" w:ascii="仿宋_GB2312" w:hAnsi="楷体" w:eastAsia="仿宋_GB2312"/>
          <w:sz w:val="24"/>
        </w:rPr>
        <w:t>日内发起验收，并可依法邀请相关方参加，验收应出具验收书。</w:t>
      </w:r>
    </w:p>
    <w:p w14:paraId="223A3436">
      <w:pPr>
        <w:spacing w:line="360" w:lineRule="auto"/>
        <w:ind w:firstLine="480" w:firstLineChars="200"/>
        <w:rPr>
          <w:rFonts w:ascii="仿宋_GB2312" w:hAnsi="楷体" w:eastAsia="仿宋_GB2312"/>
          <w:sz w:val="24"/>
        </w:rPr>
      </w:pPr>
      <w:r>
        <w:rPr>
          <w:rFonts w:hint="eastAsia" w:ascii="仿宋_GB2312" w:hAnsi="楷体" w:eastAsia="仿宋_GB2312"/>
          <w:sz w:val="24"/>
        </w:rPr>
        <w:t>3.5.4 检验和验收标准、程序等具体内容以及前述验收书的效力：按采购文件要求</w:t>
      </w:r>
    </w:p>
    <w:p w14:paraId="04B244AE">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3.5.5 其他：</w:t>
      </w:r>
      <w:r>
        <w:rPr>
          <w:rFonts w:hint="eastAsia" w:ascii="仿宋_GB2312" w:hAnsi="楷体" w:eastAsia="仿宋_GB2312"/>
          <w:sz w:val="24"/>
          <w:u w:val="single"/>
        </w:rPr>
        <w:t xml:space="preserve">                                   。</w:t>
      </w:r>
    </w:p>
    <w:p w14:paraId="70A6FCED">
      <w:pPr>
        <w:spacing w:line="360" w:lineRule="auto"/>
        <w:ind w:firstLine="480" w:firstLineChars="200"/>
        <w:rPr>
          <w:rFonts w:ascii="仿宋" w:hAnsi="仿宋" w:eastAsia="仿宋" w:cs="仿宋"/>
          <w:b/>
          <w:sz w:val="24"/>
        </w:rPr>
      </w:pPr>
      <w:r>
        <w:rPr>
          <w:rFonts w:hint="eastAsia" w:ascii="仿宋_GB2312" w:hAnsi="楷体" w:eastAsia="仿宋_GB2312"/>
          <w:sz w:val="24"/>
        </w:rPr>
        <w:t>3.6</w:t>
      </w:r>
      <w:r>
        <w:rPr>
          <w:rFonts w:hint="eastAsia" w:ascii="仿宋" w:hAnsi="仿宋" w:eastAsia="仿宋" w:cs="仿宋"/>
          <w:b/>
          <w:sz w:val="24"/>
        </w:rPr>
        <w:t>项目验收：</w:t>
      </w:r>
    </w:p>
    <w:p w14:paraId="1E0AE144">
      <w:pPr>
        <w:tabs>
          <w:tab w:val="left" w:pos="904"/>
        </w:tabs>
        <w:snapToGrid w:val="0"/>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217A666F">
      <w:pPr>
        <w:tabs>
          <w:tab w:val="left" w:pos="904"/>
        </w:tabs>
        <w:snapToGrid w:val="0"/>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25EFE151">
      <w:pPr>
        <w:tabs>
          <w:tab w:val="left" w:pos="904"/>
        </w:tabs>
        <w:snapToGrid w:val="0"/>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6143CC7C">
      <w:pPr>
        <w:tabs>
          <w:tab w:val="left" w:pos="904"/>
        </w:tabs>
        <w:snapToGrid w:val="0"/>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3.6.4验收产生的费用：</w:t>
      </w:r>
    </w:p>
    <w:p w14:paraId="334DC2C1">
      <w:pPr>
        <w:tabs>
          <w:tab w:val="left" w:pos="904"/>
        </w:tabs>
        <w:snapToGrid w:val="0"/>
        <w:spacing w:line="360" w:lineRule="auto"/>
        <w:ind w:firstLine="480" w:firstLineChars="200"/>
        <w:jc w:val="left"/>
        <w:rPr>
          <w:rFonts w:ascii="仿宋_GB2312" w:hAnsi="楷体" w:eastAsia="仿宋_GB2312"/>
          <w:sz w:val="24"/>
        </w:rPr>
      </w:pPr>
      <w:r>
        <w:rPr>
          <w:rFonts w:hint="eastAsia" w:ascii="仿宋_GB2312" w:hAnsi="楷体" w:eastAsia="仿宋_GB2312"/>
          <w:sz w:val="24"/>
        </w:rPr>
        <w:t>首次验收费用由</w:t>
      </w:r>
      <w:r>
        <w:rPr>
          <w:rFonts w:hint="eastAsia" w:ascii="仿宋_GB2312" w:hAnsi="楷体" w:eastAsia="仿宋_GB2312"/>
          <w:sz w:val="24"/>
          <w:u w:val="single"/>
        </w:rPr>
        <w:t xml:space="preserve"> 乙方 </w:t>
      </w:r>
      <w:r>
        <w:rPr>
          <w:rFonts w:hint="eastAsia" w:ascii="仿宋_GB2312" w:hAnsi="楷体" w:eastAsia="仿宋_GB2312"/>
          <w:sz w:val="24"/>
        </w:rPr>
        <w:t>承担，如首次验收不合格，后续验收费用由</w:t>
      </w:r>
      <w:r>
        <w:rPr>
          <w:rFonts w:hint="eastAsia" w:ascii="仿宋_GB2312" w:hAnsi="楷体" w:eastAsia="仿宋_GB2312"/>
          <w:sz w:val="24"/>
          <w:u w:val="single"/>
        </w:rPr>
        <w:t xml:space="preserve"> 乙方</w:t>
      </w:r>
      <w:r>
        <w:rPr>
          <w:rFonts w:hint="eastAsia" w:ascii="仿宋_GB2312" w:hAnsi="楷体" w:eastAsia="仿宋_GB2312"/>
          <w:sz w:val="24"/>
        </w:rPr>
        <w:t>支付。</w:t>
      </w:r>
    </w:p>
    <w:p w14:paraId="1905B07C">
      <w:pPr>
        <w:tabs>
          <w:tab w:val="left" w:pos="904"/>
        </w:tabs>
        <w:snapToGrid w:val="0"/>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3.6.5验收内容及资料要求：</w:t>
      </w:r>
    </w:p>
    <w:p w14:paraId="34AFF3D1">
      <w:pPr>
        <w:tabs>
          <w:tab w:val="left" w:pos="904"/>
        </w:tabs>
        <w:snapToGrid w:val="0"/>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根据采购文件确定的技术指标或者服务要求确定验收指标和标准。未进行相应约定的，应当符合国家强制性规定、政策要求、安全标准、行业或企业有关标准等。</w:t>
      </w:r>
    </w:p>
    <w:p w14:paraId="612930BB">
      <w:pPr>
        <w:tabs>
          <w:tab w:val="left" w:pos="904"/>
        </w:tabs>
        <w:snapToGrid w:val="0"/>
        <w:spacing w:line="360" w:lineRule="auto"/>
        <w:ind w:firstLine="480" w:firstLineChars="200"/>
        <w:jc w:val="left"/>
        <w:rPr>
          <w:rFonts w:ascii="仿宋" w:hAnsi="仿宋" w:eastAsia="仿宋" w:cs="仿宋"/>
          <w:sz w:val="24"/>
        </w:rPr>
      </w:pPr>
      <w:r>
        <w:rPr>
          <w:rFonts w:hint="eastAsia" w:ascii="仿宋" w:hAnsi="仿宋" w:eastAsia="仿宋" w:cs="仿宋"/>
          <w:kern w:val="0"/>
          <w:sz w:val="24"/>
        </w:rPr>
        <w:t>3.6.6</w:t>
      </w:r>
      <w:r>
        <w:rPr>
          <w:rFonts w:hint="eastAsia" w:ascii="仿宋" w:hAnsi="仿宋" w:eastAsia="仿宋" w:cs="仿宋"/>
          <w:sz w:val="24"/>
        </w:rPr>
        <w:t>验收内容</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3402"/>
        <w:gridCol w:w="4115"/>
      </w:tblGrid>
      <w:tr w14:paraId="7568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dxa"/>
            <w:tcBorders>
              <w:top w:val="single" w:color="auto" w:sz="4" w:space="0"/>
              <w:left w:val="single" w:color="auto" w:sz="4" w:space="0"/>
              <w:bottom w:val="single" w:color="auto" w:sz="4" w:space="0"/>
              <w:right w:val="single" w:color="auto" w:sz="4" w:space="0"/>
            </w:tcBorders>
            <w:vAlign w:val="center"/>
          </w:tcPr>
          <w:p w14:paraId="6F5C310E">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6EAD6C5D">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验收内容</w:t>
            </w:r>
          </w:p>
        </w:tc>
        <w:tc>
          <w:tcPr>
            <w:tcW w:w="4115" w:type="dxa"/>
            <w:tcBorders>
              <w:top w:val="single" w:color="auto" w:sz="4" w:space="0"/>
              <w:left w:val="single" w:color="auto" w:sz="4" w:space="0"/>
              <w:bottom w:val="single" w:color="auto" w:sz="4" w:space="0"/>
              <w:right w:val="single" w:color="auto" w:sz="4" w:space="0"/>
            </w:tcBorders>
            <w:vAlign w:val="center"/>
          </w:tcPr>
          <w:p w14:paraId="05E16691">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 xml:space="preserve"> 验收标准</w:t>
            </w:r>
          </w:p>
        </w:tc>
      </w:tr>
      <w:tr w14:paraId="057E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00" w:type="dxa"/>
            <w:tcBorders>
              <w:top w:val="single" w:color="auto" w:sz="4" w:space="0"/>
              <w:left w:val="single" w:color="auto" w:sz="4" w:space="0"/>
              <w:bottom w:val="single" w:color="auto" w:sz="4" w:space="0"/>
              <w:right w:val="single" w:color="auto" w:sz="4" w:space="0"/>
            </w:tcBorders>
            <w:vAlign w:val="center"/>
          </w:tcPr>
          <w:p w14:paraId="3E2A8007">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1</w:t>
            </w:r>
          </w:p>
        </w:tc>
        <w:tc>
          <w:tcPr>
            <w:tcW w:w="3402" w:type="dxa"/>
            <w:tcBorders>
              <w:top w:val="single" w:color="auto" w:sz="4" w:space="0"/>
              <w:left w:val="single" w:color="auto" w:sz="4" w:space="0"/>
              <w:bottom w:val="single" w:color="auto" w:sz="4" w:space="0"/>
              <w:right w:val="single" w:color="auto" w:sz="4" w:space="0"/>
            </w:tcBorders>
            <w:vAlign w:val="center"/>
          </w:tcPr>
          <w:p w14:paraId="5E1CB79A">
            <w:pPr>
              <w:widowControl/>
              <w:spacing w:line="360" w:lineRule="auto"/>
              <w:rPr>
                <w:rFonts w:ascii="仿宋" w:hAnsi="仿宋" w:eastAsia="仿宋" w:cs="仿宋"/>
                <w:bCs/>
                <w:kern w:val="0"/>
                <w:sz w:val="24"/>
              </w:rPr>
            </w:pPr>
            <w:r>
              <w:rPr>
                <w:rFonts w:hint="eastAsia" w:ascii="仿宋" w:hAnsi="仿宋" w:eastAsia="仿宋" w:cs="仿宋"/>
                <w:bCs/>
                <w:kern w:val="0"/>
                <w:sz w:val="24"/>
              </w:rPr>
              <w:t>交付标的物数量</w:t>
            </w:r>
          </w:p>
        </w:tc>
        <w:tc>
          <w:tcPr>
            <w:tcW w:w="4115" w:type="dxa"/>
            <w:tcBorders>
              <w:top w:val="single" w:color="auto" w:sz="4" w:space="0"/>
              <w:left w:val="single" w:color="auto" w:sz="4" w:space="0"/>
              <w:bottom w:val="single" w:color="auto" w:sz="4" w:space="0"/>
              <w:right w:val="single" w:color="auto" w:sz="4" w:space="0"/>
            </w:tcBorders>
            <w:vAlign w:val="center"/>
          </w:tcPr>
          <w:p w14:paraId="42D4B875">
            <w:pPr>
              <w:widowControl/>
              <w:spacing w:line="360" w:lineRule="auto"/>
              <w:ind w:firstLine="200"/>
              <w:jc w:val="center"/>
              <w:rPr>
                <w:rFonts w:ascii="仿宋" w:hAnsi="仿宋" w:eastAsia="仿宋" w:cs="仿宋"/>
                <w:kern w:val="0"/>
                <w:sz w:val="24"/>
              </w:rPr>
            </w:pPr>
            <w:r>
              <w:rPr>
                <w:rFonts w:hint="eastAsia" w:ascii="仿宋" w:hAnsi="仿宋" w:eastAsia="仿宋" w:cs="仿宋"/>
                <w:kern w:val="0"/>
                <w:sz w:val="24"/>
              </w:rPr>
              <w:t>按招标文件要求和投标文件承诺</w:t>
            </w:r>
          </w:p>
        </w:tc>
      </w:tr>
      <w:tr w14:paraId="64B39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000" w:type="dxa"/>
            <w:tcBorders>
              <w:top w:val="single" w:color="auto" w:sz="4" w:space="0"/>
              <w:left w:val="single" w:color="auto" w:sz="4" w:space="0"/>
              <w:bottom w:val="single" w:color="auto" w:sz="4" w:space="0"/>
              <w:right w:val="single" w:color="auto" w:sz="4" w:space="0"/>
            </w:tcBorders>
            <w:vAlign w:val="center"/>
          </w:tcPr>
          <w:p w14:paraId="5A710728">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2</w:t>
            </w:r>
          </w:p>
        </w:tc>
        <w:tc>
          <w:tcPr>
            <w:tcW w:w="3402" w:type="dxa"/>
            <w:tcBorders>
              <w:top w:val="single" w:color="auto" w:sz="4" w:space="0"/>
              <w:left w:val="single" w:color="auto" w:sz="4" w:space="0"/>
              <w:bottom w:val="single" w:color="auto" w:sz="4" w:space="0"/>
              <w:right w:val="single" w:color="auto" w:sz="4" w:space="0"/>
            </w:tcBorders>
            <w:vAlign w:val="center"/>
          </w:tcPr>
          <w:p w14:paraId="1FD0A23A">
            <w:pPr>
              <w:widowControl/>
              <w:spacing w:line="360" w:lineRule="auto"/>
              <w:rPr>
                <w:rFonts w:ascii="仿宋" w:hAnsi="仿宋" w:eastAsia="仿宋" w:cs="仿宋"/>
                <w:bCs/>
                <w:kern w:val="0"/>
                <w:sz w:val="24"/>
              </w:rPr>
            </w:pPr>
            <w:r>
              <w:rPr>
                <w:rFonts w:hint="eastAsia" w:ascii="仿宋" w:hAnsi="仿宋" w:eastAsia="仿宋" w:cs="仿宋"/>
                <w:bCs/>
                <w:kern w:val="0"/>
                <w:sz w:val="24"/>
              </w:rPr>
              <w:t>交付标的物质量文件</w:t>
            </w:r>
          </w:p>
        </w:tc>
        <w:tc>
          <w:tcPr>
            <w:tcW w:w="4115" w:type="dxa"/>
            <w:tcBorders>
              <w:top w:val="single" w:color="auto" w:sz="4" w:space="0"/>
              <w:left w:val="single" w:color="auto" w:sz="4" w:space="0"/>
              <w:bottom w:val="single" w:color="auto" w:sz="4" w:space="0"/>
              <w:right w:val="single" w:color="auto" w:sz="4" w:space="0"/>
            </w:tcBorders>
            <w:vAlign w:val="center"/>
          </w:tcPr>
          <w:p w14:paraId="7A47C274">
            <w:pPr>
              <w:widowControl/>
              <w:spacing w:line="360" w:lineRule="auto"/>
              <w:ind w:firstLine="200"/>
              <w:jc w:val="center"/>
              <w:rPr>
                <w:rFonts w:ascii="仿宋" w:hAnsi="仿宋" w:eastAsia="仿宋" w:cs="仿宋"/>
                <w:kern w:val="0"/>
                <w:sz w:val="24"/>
              </w:rPr>
            </w:pPr>
            <w:r>
              <w:rPr>
                <w:rFonts w:hint="eastAsia" w:ascii="仿宋" w:hAnsi="仿宋" w:eastAsia="仿宋" w:cs="仿宋"/>
                <w:kern w:val="0"/>
                <w:sz w:val="24"/>
              </w:rPr>
              <w:t>按招标文件要求和投标文件承诺</w:t>
            </w:r>
          </w:p>
        </w:tc>
      </w:tr>
      <w:tr w14:paraId="7F6B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000" w:type="dxa"/>
            <w:tcBorders>
              <w:top w:val="single" w:color="auto" w:sz="4" w:space="0"/>
              <w:left w:val="single" w:color="auto" w:sz="4" w:space="0"/>
              <w:bottom w:val="single" w:color="auto" w:sz="4" w:space="0"/>
              <w:right w:val="single" w:color="auto" w:sz="4" w:space="0"/>
            </w:tcBorders>
            <w:vAlign w:val="center"/>
          </w:tcPr>
          <w:p w14:paraId="65AA8C2F">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4</w:t>
            </w:r>
          </w:p>
        </w:tc>
        <w:tc>
          <w:tcPr>
            <w:tcW w:w="3402" w:type="dxa"/>
            <w:tcBorders>
              <w:top w:val="single" w:color="auto" w:sz="4" w:space="0"/>
              <w:left w:val="single" w:color="auto" w:sz="4" w:space="0"/>
              <w:bottom w:val="single" w:color="auto" w:sz="4" w:space="0"/>
              <w:right w:val="single" w:color="auto" w:sz="4" w:space="0"/>
            </w:tcBorders>
            <w:vAlign w:val="center"/>
          </w:tcPr>
          <w:p w14:paraId="4761F17E">
            <w:pPr>
              <w:spacing w:line="360" w:lineRule="auto"/>
              <w:rPr>
                <w:rFonts w:ascii="仿宋" w:hAnsi="仿宋" w:eastAsia="仿宋" w:cs="仿宋"/>
                <w:bCs/>
                <w:kern w:val="0"/>
                <w:sz w:val="24"/>
              </w:rPr>
            </w:pPr>
            <w:r>
              <w:rPr>
                <w:rFonts w:hint="eastAsia" w:ascii="仿宋" w:hAnsi="仿宋" w:eastAsia="仿宋" w:cs="仿宋"/>
                <w:bCs/>
                <w:kern w:val="0"/>
                <w:sz w:val="24"/>
              </w:rPr>
              <w:t xml:space="preserve">交付标的物技术、性能指标 </w:t>
            </w:r>
          </w:p>
        </w:tc>
        <w:tc>
          <w:tcPr>
            <w:tcW w:w="4115" w:type="dxa"/>
            <w:tcBorders>
              <w:top w:val="single" w:color="auto" w:sz="4" w:space="0"/>
              <w:left w:val="single" w:color="auto" w:sz="4" w:space="0"/>
              <w:bottom w:val="single" w:color="auto" w:sz="4" w:space="0"/>
              <w:right w:val="single" w:color="auto" w:sz="4" w:space="0"/>
            </w:tcBorders>
            <w:vAlign w:val="center"/>
          </w:tcPr>
          <w:p w14:paraId="3E6C3B4C">
            <w:pPr>
              <w:pStyle w:val="14"/>
              <w:spacing w:after="0" w:line="360" w:lineRule="auto"/>
              <w:ind w:firstLine="200"/>
              <w:jc w:val="center"/>
              <w:rPr>
                <w:rFonts w:ascii="仿宋" w:hAnsi="仿宋" w:eastAsia="仿宋" w:cs="仿宋"/>
              </w:rPr>
            </w:pPr>
            <w:r>
              <w:rPr>
                <w:rFonts w:hint="eastAsia" w:ascii="仿宋" w:hAnsi="仿宋" w:eastAsia="仿宋" w:cs="仿宋"/>
                <w:kern w:val="0"/>
                <w:sz w:val="24"/>
              </w:rPr>
              <w:t>按招标文件要求和投标文件承诺</w:t>
            </w:r>
          </w:p>
        </w:tc>
      </w:tr>
      <w:tr w14:paraId="505B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000" w:type="dxa"/>
            <w:tcBorders>
              <w:top w:val="single" w:color="auto" w:sz="4" w:space="0"/>
              <w:left w:val="single" w:color="auto" w:sz="4" w:space="0"/>
              <w:bottom w:val="single" w:color="auto" w:sz="4" w:space="0"/>
              <w:right w:val="single" w:color="auto" w:sz="4" w:space="0"/>
            </w:tcBorders>
            <w:vAlign w:val="center"/>
          </w:tcPr>
          <w:p w14:paraId="0168B1E5">
            <w:pPr>
              <w:widowControl/>
              <w:spacing w:line="360" w:lineRule="auto"/>
              <w:ind w:firstLine="200"/>
              <w:jc w:val="center"/>
              <w:rPr>
                <w:rFonts w:ascii="仿宋" w:hAnsi="仿宋" w:eastAsia="仿宋" w:cs="仿宋"/>
                <w:kern w:val="0"/>
                <w:sz w:val="24"/>
              </w:rPr>
            </w:pPr>
            <w:r>
              <w:rPr>
                <w:rFonts w:hint="eastAsia" w:ascii="仿宋" w:hAnsi="仿宋" w:eastAsia="仿宋" w:cs="仿宋"/>
                <w:kern w:val="0"/>
                <w:sz w:val="24"/>
              </w:rPr>
              <w:t>5</w:t>
            </w:r>
          </w:p>
        </w:tc>
        <w:tc>
          <w:tcPr>
            <w:tcW w:w="3402" w:type="dxa"/>
            <w:tcBorders>
              <w:top w:val="single" w:color="auto" w:sz="4" w:space="0"/>
              <w:left w:val="single" w:color="auto" w:sz="4" w:space="0"/>
              <w:bottom w:val="single" w:color="auto" w:sz="4" w:space="0"/>
              <w:right w:val="single" w:color="auto" w:sz="4" w:space="0"/>
            </w:tcBorders>
            <w:vAlign w:val="center"/>
          </w:tcPr>
          <w:p w14:paraId="05807FF7">
            <w:pPr>
              <w:spacing w:line="360" w:lineRule="auto"/>
              <w:rPr>
                <w:rFonts w:ascii="仿宋" w:hAnsi="仿宋" w:eastAsia="仿宋" w:cs="仿宋"/>
                <w:sz w:val="24"/>
              </w:rPr>
            </w:pPr>
            <w:r>
              <w:rPr>
                <w:rFonts w:hint="eastAsia" w:ascii="仿宋" w:hAnsi="仿宋" w:eastAsia="仿宋" w:cs="仿宋"/>
                <w:sz w:val="24"/>
              </w:rPr>
              <w:t>售后服务承诺</w:t>
            </w:r>
          </w:p>
        </w:tc>
        <w:tc>
          <w:tcPr>
            <w:tcW w:w="4115" w:type="dxa"/>
            <w:tcBorders>
              <w:top w:val="single" w:color="auto" w:sz="4" w:space="0"/>
              <w:left w:val="single" w:color="auto" w:sz="4" w:space="0"/>
              <w:bottom w:val="single" w:color="auto" w:sz="4" w:space="0"/>
              <w:right w:val="single" w:color="auto" w:sz="4" w:space="0"/>
            </w:tcBorders>
            <w:vAlign w:val="center"/>
          </w:tcPr>
          <w:p w14:paraId="4A5290BE">
            <w:pPr>
              <w:widowControl/>
              <w:spacing w:line="360" w:lineRule="auto"/>
              <w:ind w:firstLine="200"/>
              <w:jc w:val="center"/>
              <w:rPr>
                <w:rFonts w:ascii="仿宋" w:hAnsi="仿宋" w:eastAsia="仿宋" w:cs="仿宋"/>
                <w:kern w:val="0"/>
                <w:sz w:val="24"/>
              </w:rPr>
            </w:pPr>
            <w:r>
              <w:rPr>
                <w:rFonts w:hint="eastAsia" w:ascii="仿宋" w:hAnsi="仿宋" w:eastAsia="仿宋" w:cs="仿宋"/>
                <w:kern w:val="0"/>
                <w:sz w:val="24"/>
              </w:rPr>
              <w:t>按招标文件要求和投标文件承诺</w:t>
            </w:r>
          </w:p>
        </w:tc>
      </w:tr>
      <w:tr w14:paraId="7DDB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000" w:type="dxa"/>
            <w:tcBorders>
              <w:top w:val="single" w:color="auto" w:sz="4" w:space="0"/>
              <w:left w:val="single" w:color="auto" w:sz="4" w:space="0"/>
              <w:bottom w:val="single" w:color="auto" w:sz="4" w:space="0"/>
              <w:right w:val="single" w:color="auto" w:sz="4" w:space="0"/>
            </w:tcBorders>
            <w:vAlign w:val="center"/>
          </w:tcPr>
          <w:p w14:paraId="5875C2BD">
            <w:pPr>
              <w:widowControl/>
              <w:spacing w:line="360" w:lineRule="auto"/>
              <w:ind w:firstLine="200"/>
              <w:jc w:val="center"/>
              <w:rPr>
                <w:rFonts w:ascii="仿宋" w:hAnsi="仿宋" w:eastAsia="仿宋" w:cs="仿宋"/>
                <w:bCs/>
                <w:kern w:val="0"/>
                <w:sz w:val="24"/>
              </w:rPr>
            </w:pPr>
            <w:r>
              <w:rPr>
                <w:rFonts w:hint="eastAsia" w:ascii="仿宋" w:hAnsi="仿宋" w:eastAsia="仿宋" w:cs="仿宋"/>
                <w:bCs/>
                <w:kern w:val="0"/>
                <w:sz w:val="24"/>
              </w:rPr>
              <w:t>6</w:t>
            </w:r>
          </w:p>
        </w:tc>
        <w:tc>
          <w:tcPr>
            <w:tcW w:w="3402" w:type="dxa"/>
            <w:tcBorders>
              <w:top w:val="single" w:color="auto" w:sz="4" w:space="0"/>
              <w:left w:val="single" w:color="auto" w:sz="4" w:space="0"/>
              <w:bottom w:val="single" w:color="auto" w:sz="4" w:space="0"/>
              <w:right w:val="single" w:color="auto" w:sz="4" w:space="0"/>
            </w:tcBorders>
            <w:vAlign w:val="center"/>
          </w:tcPr>
          <w:p w14:paraId="152FDD42">
            <w:pPr>
              <w:widowControl/>
              <w:spacing w:line="360" w:lineRule="auto"/>
              <w:rPr>
                <w:rFonts w:ascii="仿宋" w:hAnsi="仿宋" w:eastAsia="仿宋" w:cs="仿宋"/>
                <w:bCs/>
                <w:kern w:val="0"/>
                <w:sz w:val="24"/>
              </w:rPr>
            </w:pPr>
            <w:r>
              <w:rPr>
                <w:rFonts w:hint="eastAsia" w:ascii="仿宋" w:hAnsi="仿宋" w:eastAsia="仿宋" w:cs="仿宋"/>
                <w:bCs/>
                <w:kern w:val="0"/>
                <w:sz w:val="24"/>
              </w:rPr>
              <w:t>其他工作</w:t>
            </w:r>
          </w:p>
        </w:tc>
        <w:tc>
          <w:tcPr>
            <w:tcW w:w="4115" w:type="dxa"/>
            <w:tcBorders>
              <w:top w:val="single" w:color="auto" w:sz="4" w:space="0"/>
              <w:left w:val="single" w:color="auto" w:sz="4" w:space="0"/>
              <w:bottom w:val="single" w:color="auto" w:sz="4" w:space="0"/>
              <w:right w:val="single" w:color="auto" w:sz="4" w:space="0"/>
            </w:tcBorders>
            <w:vAlign w:val="center"/>
          </w:tcPr>
          <w:p w14:paraId="06241E96">
            <w:pPr>
              <w:widowControl/>
              <w:spacing w:line="360" w:lineRule="auto"/>
              <w:ind w:firstLine="200"/>
              <w:jc w:val="center"/>
              <w:rPr>
                <w:rFonts w:ascii="仿宋" w:hAnsi="仿宋" w:eastAsia="仿宋" w:cs="仿宋"/>
                <w:kern w:val="0"/>
                <w:sz w:val="24"/>
              </w:rPr>
            </w:pPr>
            <w:r>
              <w:rPr>
                <w:rFonts w:hint="eastAsia" w:ascii="仿宋" w:hAnsi="仿宋" w:eastAsia="仿宋" w:cs="仿宋"/>
                <w:kern w:val="0"/>
                <w:sz w:val="24"/>
              </w:rPr>
              <w:t>按招标文件要求和投标文件承诺</w:t>
            </w:r>
          </w:p>
        </w:tc>
      </w:tr>
    </w:tbl>
    <w:p w14:paraId="0E41E41A">
      <w:pPr>
        <w:tabs>
          <w:tab w:val="left" w:pos="904"/>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（温馨提示：根据《广西壮族自治区财政厅关于进一步发挥政府采购政策功能促进企业发展的通知》（桂财采〔2022〕30 号）规定，采购人应当在项目完成且收到供应商验收申请后5个工作日内组织开展履约验收；对于满足合同约定支付条件的项目，应在收到发票30 日内将资金支付到合同约定的供应商账户，不得以进行审计作为支付供应商款项的条件。加快采购资金支付进度，对于 200 万元以下的货物和服务项目，鼓励采购人一次性全额支付给供应商。采购人不得以机构变动、人员更替、政策调整、履行内部付款流程等为由延迟付款。）</w:t>
      </w:r>
    </w:p>
    <w:p w14:paraId="459581FD">
      <w:pPr>
        <w:tabs>
          <w:tab w:val="left" w:pos="904"/>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3.6.7验收资料要求</w:t>
      </w:r>
    </w:p>
    <w:p w14:paraId="6B8AA147">
      <w:pPr>
        <w:tabs>
          <w:tab w:val="left" w:pos="904"/>
        </w:tabs>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验收资料要求包括（不限于）以下内容：</w:t>
      </w:r>
    </w:p>
    <w:p w14:paraId="2A9E251B">
      <w:pPr>
        <w:tabs>
          <w:tab w:val="left" w:pos="904"/>
        </w:tabs>
        <w:adjustRightInd w:val="0"/>
        <w:snapToGrid w:val="0"/>
        <w:spacing w:line="360" w:lineRule="auto"/>
        <w:ind w:firstLine="240" w:firstLineChars="100"/>
        <w:jc w:val="left"/>
        <w:rPr>
          <w:rFonts w:ascii="仿宋" w:hAnsi="仿宋" w:eastAsia="仿宋" w:cs="仿宋"/>
          <w:sz w:val="24"/>
        </w:rPr>
      </w:pPr>
      <w:r>
        <w:rPr>
          <w:rFonts w:hint="eastAsia" w:ascii="仿宋" w:hAnsi="仿宋" w:eastAsia="仿宋" w:cs="仿宋"/>
          <w:sz w:val="24"/>
        </w:rPr>
        <w:t>（1）采购文件；</w:t>
      </w:r>
    </w:p>
    <w:p w14:paraId="663A9FE4">
      <w:pPr>
        <w:tabs>
          <w:tab w:val="left" w:pos="904"/>
        </w:tabs>
        <w:adjustRightInd w:val="0"/>
        <w:snapToGrid w:val="0"/>
        <w:spacing w:line="360" w:lineRule="auto"/>
        <w:ind w:firstLine="240" w:firstLineChars="100"/>
        <w:jc w:val="left"/>
        <w:rPr>
          <w:rFonts w:ascii="仿宋" w:hAnsi="仿宋" w:eastAsia="仿宋" w:cs="仿宋"/>
          <w:sz w:val="24"/>
        </w:rPr>
      </w:pPr>
      <w:r>
        <w:rPr>
          <w:rFonts w:hint="eastAsia" w:ascii="仿宋" w:hAnsi="仿宋" w:eastAsia="仿宋" w:cs="仿宋"/>
          <w:sz w:val="24"/>
        </w:rPr>
        <w:t>（2）投标文件；</w:t>
      </w:r>
    </w:p>
    <w:p w14:paraId="7747B346">
      <w:pPr>
        <w:tabs>
          <w:tab w:val="left" w:pos="904"/>
        </w:tabs>
        <w:adjustRightInd w:val="0"/>
        <w:snapToGrid w:val="0"/>
        <w:spacing w:line="360" w:lineRule="auto"/>
        <w:ind w:firstLine="240" w:firstLineChars="100"/>
        <w:jc w:val="left"/>
        <w:rPr>
          <w:rFonts w:ascii="仿宋" w:hAnsi="仿宋" w:eastAsia="仿宋" w:cs="仿宋"/>
          <w:sz w:val="24"/>
        </w:rPr>
      </w:pPr>
      <w:r>
        <w:rPr>
          <w:rFonts w:hint="eastAsia" w:ascii="仿宋" w:hAnsi="仿宋" w:eastAsia="仿宋" w:cs="仿宋"/>
          <w:sz w:val="24"/>
        </w:rPr>
        <w:t>（3）采购合同；</w:t>
      </w:r>
    </w:p>
    <w:p w14:paraId="754BCCF5">
      <w:pPr>
        <w:tabs>
          <w:tab w:val="left" w:pos="904"/>
        </w:tabs>
        <w:adjustRightInd w:val="0"/>
        <w:snapToGrid w:val="0"/>
        <w:spacing w:line="360" w:lineRule="auto"/>
        <w:ind w:firstLine="240" w:firstLineChars="100"/>
        <w:jc w:val="left"/>
        <w:rPr>
          <w:rFonts w:ascii="仿宋" w:hAnsi="仿宋" w:eastAsia="仿宋" w:cs="仿宋_GB2312"/>
          <w:b/>
          <w:sz w:val="36"/>
          <w:szCs w:val="20"/>
        </w:rPr>
      </w:pPr>
      <w:r>
        <w:rPr>
          <w:rFonts w:hint="eastAsia" w:ascii="仿宋" w:hAnsi="仿宋" w:eastAsia="仿宋" w:cs="仿宋"/>
          <w:sz w:val="24"/>
        </w:rPr>
        <w:t>（4）其他需提供的相关材料：</w:t>
      </w:r>
      <w:r>
        <w:rPr>
          <w:rFonts w:hint="eastAsia" w:ascii="仿宋_GB2312" w:hAnsi="楷体" w:eastAsia="仿宋_GB2312"/>
          <w:sz w:val="24"/>
        </w:rPr>
        <w:t>（业主根据项目实际增减第（4）点验收资料内容）</w:t>
      </w:r>
      <w:r>
        <w:rPr>
          <w:rFonts w:hint="eastAsia" w:ascii="仿宋" w:hAnsi="仿宋" w:eastAsia="仿宋" w:cs="仿宋"/>
          <w:sz w:val="24"/>
        </w:rPr>
        <w:t>。</w:t>
      </w:r>
    </w:p>
    <w:p w14:paraId="71408B96"/>
    <w:p w14:paraId="7500E1CD">
      <w:pPr>
        <w:spacing w:line="360" w:lineRule="auto"/>
        <w:ind w:left="720" w:firstLine="723" w:firstLineChars="200"/>
        <w:rPr>
          <w:rFonts w:ascii="仿宋" w:hAnsi="仿宋" w:eastAsia="仿宋" w:cs="仿宋_GB2312"/>
          <w:b/>
          <w:sz w:val="36"/>
          <w:szCs w:val="20"/>
        </w:rPr>
      </w:pPr>
    </w:p>
    <w:p w14:paraId="20210803">
      <w:pPr>
        <w:spacing w:line="360" w:lineRule="auto"/>
        <w:ind w:left="720" w:firstLine="723" w:firstLineChars="200"/>
        <w:rPr>
          <w:rFonts w:ascii="仿宋" w:hAnsi="仿宋" w:eastAsia="仿宋" w:cs="仿宋_GB2312"/>
          <w:b/>
          <w:sz w:val="36"/>
          <w:szCs w:val="20"/>
        </w:rPr>
      </w:pPr>
    </w:p>
    <w:p w14:paraId="648F12D3">
      <w:pPr>
        <w:widowControl/>
        <w:spacing w:beforeAutospacing="1" w:line="360" w:lineRule="auto"/>
        <w:jc w:val="left"/>
        <w:rPr>
          <w:rFonts w:hAnsi="宋体"/>
        </w:rPr>
        <w:sectPr>
          <w:pgSz w:w="11906" w:h="16838"/>
          <w:pgMar w:top="1134" w:right="1134" w:bottom="1134" w:left="1134" w:header="720" w:footer="720" w:gutter="0"/>
          <w:cols w:space="720" w:num="1"/>
          <w:docGrid w:type="lines" w:linePitch="331" w:charSpace="0"/>
        </w:sectPr>
      </w:pPr>
    </w:p>
    <w:p w14:paraId="5DB93AC7">
      <w:pPr>
        <w:pStyle w:val="18"/>
        <w:spacing w:line="360" w:lineRule="auto"/>
        <w:ind w:left="178" w:leftChars="85"/>
        <w:rPr>
          <w:rFonts w:hAnsi="宋体"/>
        </w:rPr>
      </w:pPr>
    </w:p>
    <w:p w14:paraId="3E338A12">
      <w:pPr>
        <w:pStyle w:val="18"/>
        <w:tabs>
          <w:tab w:val="left" w:pos="2472"/>
        </w:tabs>
        <w:spacing w:line="460" w:lineRule="exact"/>
        <w:jc w:val="center"/>
        <w:rPr>
          <w:rFonts w:ascii="Times New Roman" w:hAnsi="Times New Roman"/>
          <w:b/>
          <w:sz w:val="36"/>
        </w:rPr>
      </w:pPr>
    </w:p>
    <w:p w14:paraId="6B8FB83F">
      <w:pPr>
        <w:pStyle w:val="18"/>
        <w:tabs>
          <w:tab w:val="left" w:pos="2472"/>
        </w:tabs>
        <w:spacing w:line="460" w:lineRule="exact"/>
        <w:jc w:val="center"/>
        <w:rPr>
          <w:rFonts w:ascii="Times New Roman" w:hAnsi="Times New Roman"/>
          <w:b/>
          <w:sz w:val="36"/>
        </w:rPr>
      </w:pPr>
    </w:p>
    <w:p w14:paraId="4165A7EB">
      <w:pPr>
        <w:pStyle w:val="18"/>
        <w:tabs>
          <w:tab w:val="left" w:pos="2472"/>
        </w:tabs>
        <w:spacing w:line="460" w:lineRule="exact"/>
        <w:jc w:val="center"/>
        <w:rPr>
          <w:rFonts w:ascii="Times New Roman" w:hAnsi="Times New Roman"/>
          <w:b/>
          <w:sz w:val="36"/>
        </w:rPr>
      </w:pPr>
    </w:p>
    <w:p w14:paraId="5D3F988B">
      <w:pPr>
        <w:pStyle w:val="18"/>
        <w:tabs>
          <w:tab w:val="left" w:pos="2472"/>
        </w:tabs>
        <w:spacing w:line="460" w:lineRule="exact"/>
        <w:jc w:val="center"/>
        <w:rPr>
          <w:rFonts w:ascii="Times New Roman" w:hAnsi="Times New Roman"/>
          <w:b/>
          <w:sz w:val="36"/>
        </w:rPr>
      </w:pPr>
    </w:p>
    <w:p w14:paraId="4265F328">
      <w:pPr>
        <w:pStyle w:val="18"/>
        <w:tabs>
          <w:tab w:val="left" w:pos="2472"/>
        </w:tabs>
        <w:spacing w:line="460" w:lineRule="exact"/>
        <w:jc w:val="center"/>
        <w:rPr>
          <w:rFonts w:ascii="Times New Roman" w:hAnsi="Times New Roman"/>
          <w:b/>
          <w:sz w:val="36"/>
        </w:rPr>
      </w:pPr>
    </w:p>
    <w:p w14:paraId="4C95E0BD">
      <w:pPr>
        <w:pStyle w:val="18"/>
        <w:tabs>
          <w:tab w:val="left" w:pos="2472"/>
        </w:tabs>
        <w:spacing w:line="460" w:lineRule="exact"/>
        <w:jc w:val="center"/>
        <w:rPr>
          <w:rFonts w:ascii="Times New Roman" w:hAnsi="Times New Roman"/>
          <w:b/>
          <w:sz w:val="36"/>
        </w:rPr>
      </w:pPr>
    </w:p>
    <w:p w14:paraId="0F07E3ED">
      <w:pPr>
        <w:pStyle w:val="18"/>
        <w:tabs>
          <w:tab w:val="left" w:pos="2472"/>
        </w:tabs>
        <w:spacing w:line="460" w:lineRule="exact"/>
        <w:jc w:val="center"/>
        <w:rPr>
          <w:rFonts w:ascii="Times New Roman" w:hAnsi="Times New Roman"/>
          <w:b/>
          <w:sz w:val="36"/>
        </w:rPr>
      </w:pPr>
    </w:p>
    <w:p w14:paraId="21C2B72F">
      <w:pPr>
        <w:pStyle w:val="18"/>
        <w:tabs>
          <w:tab w:val="left" w:pos="2472"/>
        </w:tabs>
        <w:spacing w:line="460" w:lineRule="exact"/>
        <w:jc w:val="center"/>
        <w:rPr>
          <w:rFonts w:ascii="Times New Roman" w:hAnsi="Times New Roman"/>
          <w:b/>
          <w:sz w:val="36"/>
        </w:rPr>
      </w:pPr>
    </w:p>
    <w:p w14:paraId="2629E9B8">
      <w:pPr>
        <w:pStyle w:val="18"/>
        <w:tabs>
          <w:tab w:val="left" w:pos="2472"/>
        </w:tabs>
        <w:spacing w:line="460" w:lineRule="exact"/>
        <w:jc w:val="center"/>
        <w:rPr>
          <w:rFonts w:ascii="Times New Roman" w:hAnsi="Times New Roman"/>
          <w:b/>
          <w:sz w:val="36"/>
        </w:rPr>
      </w:pPr>
    </w:p>
    <w:p w14:paraId="66681E04">
      <w:pPr>
        <w:pStyle w:val="18"/>
        <w:tabs>
          <w:tab w:val="left" w:pos="2472"/>
        </w:tabs>
        <w:spacing w:line="460" w:lineRule="exact"/>
        <w:jc w:val="center"/>
        <w:outlineLvl w:val="0"/>
        <w:rPr>
          <w:rFonts w:ascii="Times New Roman" w:hAnsi="Times New Roman"/>
          <w:b/>
          <w:sz w:val="36"/>
        </w:rPr>
      </w:pPr>
      <w:bookmarkStart w:id="295" w:name="_Toc187761571"/>
      <w:r>
        <w:rPr>
          <w:rFonts w:hint="eastAsia" w:ascii="Times New Roman" w:hAnsi="Times New Roman"/>
          <w:b/>
          <w:sz w:val="36"/>
        </w:rPr>
        <w:t>第六章投标文件格式</w:t>
      </w:r>
      <w:bookmarkEnd w:id="295"/>
    </w:p>
    <w:p w14:paraId="168BC042">
      <w:pPr>
        <w:widowControl/>
        <w:spacing w:beforeAutospacing="1" w:line="360" w:lineRule="auto"/>
        <w:jc w:val="left"/>
        <w:rPr>
          <w:rFonts w:ascii="宋体" w:hAnsi="宋体"/>
          <w:szCs w:val="20"/>
        </w:rPr>
        <w:sectPr>
          <w:pgSz w:w="11906" w:h="16838"/>
          <w:pgMar w:top="1134" w:right="1134" w:bottom="1134" w:left="1134" w:header="720" w:footer="720" w:gutter="0"/>
          <w:cols w:space="720" w:num="1"/>
          <w:docGrid w:type="lines" w:linePitch="331" w:charSpace="0"/>
        </w:sectPr>
      </w:pPr>
    </w:p>
    <w:p w14:paraId="479DA8A5">
      <w:pPr>
        <w:pStyle w:val="18"/>
        <w:ind w:firstLine="551" w:firstLineChars="196"/>
        <w:jc w:val="center"/>
        <w:outlineLvl w:val="1"/>
        <w:rPr>
          <w:rFonts w:hAnsi="宋体"/>
          <w:b/>
          <w:bCs/>
          <w:sz w:val="28"/>
          <w:szCs w:val="28"/>
        </w:rPr>
      </w:pPr>
      <w:bookmarkStart w:id="296" w:name="_Toc187761572"/>
      <w:r>
        <w:rPr>
          <w:rFonts w:hint="eastAsia" w:hAnsi="宋体"/>
          <w:b/>
          <w:bCs/>
          <w:sz w:val="28"/>
          <w:szCs w:val="28"/>
        </w:rPr>
        <w:t>第一节 投标文件外层包装封面</w:t>
      </w:r>
      <w:bookmarkEnd w:id="296"/>
    </w:p>
    <w:p w14:paraId="14DDD151">
      <w:pPr>
        <w:spacing w:beforeLines="50" w:afterLines="50"/>
        <w:jc w:val="center"/>
        <w:rPr>
          <w:rFonts w:ascii="宋体" w:hAnsi="宋体" w:cs="宋体"/>
          <w:spacing w:val="20"/>
          <w:sz w:val="44"/>
          <w:szCs w:val="44"/>
        </w:rPr>
      </w:pPr>
    </w:p>
    <w:p w14:paraId="740CFCCF">
      <w:pPr>
        <w:spacing w:beforeLines="50" w:afterLines="50"/>
        <w:jc w:val="center"/>
        <w:rPr>
          <w:rFonts w:ascii="宋体" w:hAnsi="宋体" w:cs="宋体"/>
          <w:spacing w:val="20"/>
          <w:sz w:val="44"/>
          <w:szCs w:val="44"/>
        </w:rPr>
      </w:pPr>
    </w:p>
    <w:p w14:paraId="542A7890">
      <w:pPr>
        <w:spacing w:beforeLines="50" w:afterLines="50"/>
        <w:jc w:val="center"/>
        <w:rPr>
          <w:rFonts w:ascii="宋体" w:hAnsi="宋体" w:cs="宋体"/>
          <w:spacing w:val="20"/>
          <w:sz w:val="44"/>
          <w:szCs w:val="44"/>
        </w:rPr>
      </w:pPr>
    </w:p>
    <w:p w14:paraId="39843BDE">
      <w:pPr>
        <w:spacing w:beforeLines="50" w:afterLines="50"/>
        <w:jc w:val="center"/>
        <w:rPr>
          <w:rFonts w:ascii="宋体" w:hAnsi="宋体" w:cs="宋体"/>
          <w:spacing w:val="20"/>
          <w:sz w:val="44"/>
          <w:szCs w:val="44"/>
        </w:rPr>
      </w:pPr>
    </w:p>
    <w:p w14:paraId="056A72E8">
      <w:pPr>
        <w:spacing w:beforeLines="50" w:afterLines="50"/>
        <w:jc w:val="center"/>
        <w:rPr>
          <w:rFonts w:ascii="宋体" w:hAnsi="宋体" w:cs="宋体"/>
          <w:spacing w:val="20"/>
          <w:sz w:val="44"/>
          <w:szCs w:val="44"/>
        </w:rPr>
      </w:pPr>
      <w:bookmarkStart w:id="297" w:name="PO_3000001866_PM002_12"/>
      <w:r>
        <w:rPr>
          <w:rFonts w:hint="eastAsia" w:ascii="宋体" w:hAnsi="宋体" w:cs="宋体"/>
          <w:spacing w:val="20"/>
          <w:sz w:val="44"/>
          <w:szCs w:val="44"/>
        </w:rPr>
        <w:t>[项目采购-项目名称]</w:t>
      </w:r>
      <w:bookmarkEnd w:id="297"/>
    </w:p>
    <w:p w14:paraId="4366F8DC">
      <w:pPr>
        <w:spacing w:beforeLines="50" w:afterLines="50"/>
        <w:jc w:val="center"/>
        <w:rPr>
          <w:rFonts w:ascii="宋体" w:hAnsi="宋体" w:cs="宋体"/>
          <w:spacing w:val="40"/>
          <w:w w:val="110"/>
          <w:sz w:val="44"/>
          <w:szCs w:val="44"/>
        </w:rPr>
      </w:pPr>
      <w:r>
        <w:rPr>
          <w:rFonts w:hint="eastAsia" w:ascii="宋体" w:hAnsi="宋体" w:cs="宋体"/>
          <w:spacing w:val="40"/>
          <w:w w:val="110"/>
          <w:sz w:val="44"/>
          <w:szCs w:val="44"/>
        </w:rPr>
        <w:t>投标文件</w:t>
      </w:r>
    </w:p>
    <w:p w14:paraId="42DD02B4">
      <w:pPr>
        <w:jc w:val="center"/>
        <w:rPr>
          <w:rFonts w:ascii="宋体" w:hAnsi="宋体" w:cs="宋体"/>
          <w:sz w:val="24"/>
        </w:rPr>
      </w:pPr>
      <w:r>
        <w:rPr>
          <w:rFonts w:hint="eastAsia" w:ascii="宋体" w:hAnsi="宋体" w:cs="宋体"/>
          <w:sz w:val="24"/>
        </w:rPr>
        <w:t>（电子投标文件）</w:t>
      </w:r>
    </w:p>
    <w:tbl>
      <w:tblPr>
        <w:tblStyle w:val="32"/>
        <w:tblW w:w="0" w:type="auto"/>
        <w:jc w:val="center"/>
        <w:tblLayout w:type="fixed"/>
        <w:tblCellMar>
          <w:top w:w="0" w:type="dxa"/>
          <w:left w:w="108" w:type="dxa"/>
          <w:bottom w:w="0" w:type="dxa"/>
          <w:right w:w="108" w:type="dxa"/>
        </w:tblCellMar>
      </w:tblPr>
      <w:tblGrid>
        <w:gridCol w:w="1601"/>
        <w:gridCol w:w="6172"/>
      </w:tblGrid>
      <w:tr w14:paraId="1806836D">
        <w:tblPrEx>
          <w:tblCellMar>
            <w:top w:w="0" w:type="dxa"/>
            <w:left w:w="108" w:type="dxa"/>
            <w:bottom w:w="0" w:type="dxa"/>
            <w:right w:w="108" w:type="dxa"/>
          </w:tblCellMar>
        </w:tblPrEx>
        <w:trPr>
          <w:jc w:val="center"/>
        </w:trPr>
        <w:tc>
          <w:tcPr>
            <w:tcW w:w="1601" w:type="dxa"/>
            <w:vAlign w:val="bottom"/>
          </w:tcPr>
          <w:p w14:paraId="23B81E07">
            <w:pPr>
              <w:jc w:val="distribute"/>
              <w:rPr>
                <w:rFonts w:ascii="宋体" w:hAnsi="宋体" w:cs="宋体"/>
                <w:sz w:val="24"/>
              </w:rPr>
            </w:pPr>
            <w:r>
              <w:rPr>
                <w:rFonts w:hint="eastAsia" w:ascii="宋体" w:hAnsi="宋体" w:cs="宋体"/>
                <w:sz w:val="24"/>
              </w:rPr>
              <w:t>项目名称：</w:t>
            </w:r>
          </w:p>
        </w:tc>
        <w:tc>
          <w:tcPr>
            <w:tcW w:w="6172" w:type="dxa"/>
            <w:tcBorders>
              <w:top w:val="nil"/>
              <w:left w:val="nil"/>
              <w:bottom w:val="single" w:color="000000" w:sz="4" w:space="0"/>
              <w:right w:val="nil"/>
            </w:tcBorders>
            <w:vAlign w:val="bottom"/>
          </w:tcPr>
          <w:p w14:paraId="77F76FE5">
            <w:pPr>
              <w:jc w:val="left"/>
              <w:rPr>
                <w:rFonts w:ascii="宋体" w:hAnsi="宋体" w:cs="宋体"/>
                <w:sz w:val="24"/>
              </w:rPr>
            </w:pPr>
            <w:bookmarkStart w:id="298" w:name="PO_3000001866_PM002_11"/>
            <w:r>
              <w:rPr>
                <w:rFonts w:hint="eastAsia" w:ascii="宋体" w:hAnsi="宋体" w:cs="宋体"/>
                <w:sz w:val="24"/>
              </w:rPr>
              <w:t>[项目采购-项目名称]</w:t>
            </w:r>
            <w:bookmarkEnd w:id="298"/>
          </w:p>
        </w:tc>
      </w:tr>
      <w:tr w14:paraId="7533EA15">
        <w:tblPrEx>
          <w:tblCellMar>
            <w:top w:w="0" w:type="dxa"/>
            <w:left w:w="108" w:type="dxa"/>
            <w:bottom w:w="0" w:type="dxa"/>
            <w:right w:w="108" w:type="dxa"/>
          </w:tblCellMar>
        </w:tblPrEx>
        <w:trPr>
          <w:jc w:val="center"/>
        </w:trPr>
        <w:tc>
          <w:tcPr>
            <w:tcW w:w="1601" w:type="dxa"/>
            <w:vAlign w:val="bottom"/>
          </w:tcPr>
          <w:p w14:paraId="308E251B">
            <w:pPr>
              <w:jc w:val="distribute"/>
              <w:rPr>
                <w:rFonts w:ascii="宋体" w:hAnsi="宋体" w:cs="宋体"/>
                <w:sz w:val="24"/>
              </w:rPr>
            </w:pPr>
            <w:r>
              <w:rPr>
                <w:rFonts w:hint="eastAsia" w:ascii="宋体" w:hAnsi="宋体" w:cs="宋体"/>
                <w:sz w:val="24"/>
              </w:rPr>
              <w:t>采购方式：</w:t>
            </w:r>
          </w:p>
        </w:tc>
        <w:tc>
          <w:tcPr>
            <w:tcW w:w="6172" w:type="dxa"/>
            <w:tcBorders>
              <w:top w:val="single" w:color="000000" w:sz="4" w:space="0"/>
              <w:left w:val="nil"/>
              <w:bottom w:val="single" w:color="000000" w:sz="4" w:space="0"/>
              <w:right w:val="nil"/>
            </w:tcBorders>
            <w:vAlign w:val="bottom"/>
          </w:tcPr>
          <w:p w14:paraId="03D084AF">
            <w:pPr>
              <w:jc w:val="left"/>
              <w:rPr>
                <w:rFonts w:ascii="宋体" w:hAnsi="宋体" w:cs="宋体"/>
                <w:sz w:val="24"/>
              </w:rPr>
            </w:pPr>
            <w:bookmarkStart w:id="299" w:name="PO_3000001866_PM003"/>
            <w:r>
              <w:rPr>
                <w:rFonts w:hint="eastAsia" w:ascii="宋体" w:hAnsi="宋体" w:cs="宋体"/>
                <w:sz w:val="24"/>
              </w:rPr>
              <w:t>[项目采购-采购方式]</w:t>
            </w:r>
            <w:bookmarkEnd w:id="299"/>
          </w:p>
        </w:tc>
      </w:tr>
      <w:tr w14:paraId="7B6A357D">
        <w:tblPrEx>
          <w:tblCellMar>
            <w:top w:w="0" w:type="dxa"/>
            <w:left w:w="108" w:type="dxa"/>
            <w:bottom w:w="0" w:type="dxa"/>
            <w:right w:w="108" w:type="dxa"/>
          </w:tblCellMar>
        </w:tblPrEx>
        <w:trPr>
          <w:jc w:val="center"/>
        </w:trPr>
        <w:tc>
          <w:tcPr>
            <w:tcW w:w="1601" w:type="dxa"/>
            <w:vAlign w:val="bottom"/>
          </w:tcPr>
          <w:p w14:paraId="3771E863">
            <w:pPr>
              <w:jc w:val="distribute"/>
              <w:rPr>
                <w:rFonts w:ascii="宋体" w:hAnsi="宋体" w:cs="宋体"/>
                <w:sz w:val="24"/>
              </w:rPr>
            </w:pPr>
            <w:r>
              <w:rPr>
                <w:rFonts w:hint="eastAsia" w:ascii="宋体" w:hAnsi="宋体" w:cs="宋体"/>
                <w:sz w:val="24"/>
              </w:rPr>
              <w:t>项目编号：</w:t>
            </w:r>
          </w:p>
        </w:tc>
        <w:tc>
          <w:tcPr>
            <w:tcW w:w="6172" w:type="dxa"/>
            <w:tcBorders>
              <w:top w:val="single" w:color="000000" w:sz="4" w:space="0"/>
              <w:left w:val="nil"/>
              <w:bottom w:val="single" w:color="000000" w:sz="4" w:space="0"/>
              <w:right w:val="nil"/>
            </w:tcBorders>
            <w:vAlign w:val="bottom"/>
          </w:tcPr>
          <w:p w14:paraId="76AFC730">
            <w:pPr>
              <w:jc w:val="left"/>
              <w:rPr>
                <w:rFonts w:ascii="宋体" w:hAnsi="宋体" w:cs="宋体"/>
                <w:sz w:val="24"/>
              </w:rPr>
            </w:pPr>
            <w:bookmarkStart w:id="300" w:name="PO_3000001866_PM001_8"/>
            <w:r>
              <w:rPr>
                <w:rFonts w:hint="eastAsia" w:ascii="宋体" w:hAnsi="宋体" w:cs="宋体"/>
                <w:sz w:val="24"/>
              </w:rPr>
              <w:t>[项目采购-项目编号]</w:t>
            </w:r>
            <w:bookmarkEnd w:id="300"/>
          </w:p>
        </w:tc>
      </w:tr>
      <w:tr w14:paraId="2673D774">
        <w:tblPrEx>
          <w:tblCellMar>
            <w:top w:w="0" w:type="dxa"/>
            <w:left w:w="108" w:type="dxa"/>
            <w:bottom w:w="0" w:type="dxa"/>
            <w:right w:w="108" w:type="dxa"/>
          </w:tblCellMar>
        </w:tblPrEx>
        <w:trPr>
          <w:jc w:val="center"/>
        </w:trPr>
        <w:tc>
          <w:tcPr>
            <w:tcW w:w="1601" w:type="dxa"/>
            <w:vAlign w:val="bottom"/>
          </w:tcPr>
          <w:p w14:paraId="7A41F18F">
            <w:pPr>
              <w:jc w:val="distribute"/>
              <w:rPr>
                <w:rFonts w:ascii="宋体" w:hAnsi="宋体" w:cs="宋体"/>
                <w:sz w:val="24"/>
              </w:rPr>
            </w:pPr>
            <w:r>
              <w:rPr>
                <w:rFonts w:hint="eastAsia" w:ascii="宋体" w:hAnsi="宋体" w:cs="宋体"/>
                <w:sz w:val="24"/>
              </w:rPr>
              <w:t>所投分标：</w:t>
            </w:r>
          </w:p>
        </w:tc>
        <w:tc>
          <w:tcPr>
            <w:tcW w:w="6172" w:type="dxa"/>
            <w:tcBorders>
              <w:top w:val="single" w:color="000000" w:sz="4" w:space="0"/>
              <w:left w:val="nil"/>
              <w:bottom w:val="single" w:color="000000" w:sz="4" w:space="0"/>
              <w:right w:val="nil"/>
            </w:tcBorders>
            <w:vAlign w:val="bottom"/>
          </w:tcPr>
          <w:p w14:paraId="1215A645">
            <w:pPr>
              <w:jc w:val="left"/>
              <w:rPr>
                <w:rFonts w:ascii="宋体" w:hAnsi="宋体" w:cs="宋体"/>
                <w:sz w:val="24"/>
              </w:rPr>
            </w:pPr>
          </w:p>
        </w:tc>
      </w:tr>
      <w:tr w14:paraId="576B7B92">
        <w:tblPrEx>
          <w:tblCellMar>
            <w:top w:w="0" w:type="dxa"/>
            <w:left w:w="108" w:type="dxa"/>
            <w:bottom w:w="0" w:type="dxa"/>
            <w:right w:w="108" w:type="dxa"/>
          </w:tblCellMar>
        </w:tblPrEx>
        <w:trPr>
          <w:jc w:val="center"/>
        </w:trPr>
        <w:tc>
          <w:tcPr>
            <w:tcW w:w="1601" w:type="dxa"/>
            <w:vAlign w:val="bottom"/>
          </w:tcPr>
          <w:p w14:paraId="2684C8F9">
            <w:pPr>
              <w:jc w:val="distribute"/>
              <w:rPr>
                <w:rFonts w:ascii="宋体" w:hAnsi="宋体" w:cs="宋体"/>
                <w:sz w:val="24"/>
              </w:rPr>
            </w:pPr>
            <w:r>
              <w:rPr>
                <w:rFonts w:hint="eastAsia" w:ascii="宋体" w:hAnsi="宋体" w:cs="宋体"/>
                <w:sz w:val="24"/>
              </w:rPr>
              <w:t>投标人名称：</w:t>
            </w:r>
          </w:p>
        </w:tc>
        <w:tc>
          <w:tcPr>
            <w:tcW w:w="6172" w:type="dxa"/>
            <w:tcBorders>
              <w:top w:val="single" w:color="000000" w:sz="4" w:space="0"/>
              <w:left w:val="nil"/>
              <w:bottom w:val="single" w:color="000000" w:sz="4" w:space="0"/>
              <w:right w:val="nil"/>
            </w:tcBorders>
            <w:vAlign w:val="bottom"/>
          </w:tcPr>
          <w:p w14:paraId="115F0B0F">
            <w:pPr>
              <w:jc w:val="left"/>
              <w:rPr>
                <w:rFonts w:ascii="宋体" w:hAnsi="宋体" w:cs="宋体"/>
                <w:sz w:val="24"/>
              </w:rPr>
            </w:pPr>
          </w:p>
        </w:tc>
      </w:tr>
      <w:tr w14:paraId="237D3E4B">
        <w:tblPrEx>
          <w:tblCellMar>
            <w:top w:w="0" w:type="dxa"/>
            <w:left w:w="108" w:type="dxa"/>
            <w:bottom w:w="0" w:type="dxa"/>
            <w:right w:w="108" w:type="dxa"/>
          </w:tblCellMar>
        </w:tblPrEx>
        <w:trPr>
          <w:jc w:val="center"/>
        </w:trPr>
        <w:tc>
          <w:tcPr>
            <w:tcW w:w="1601" w:type="dxa"/>
            <w:vAlign w:val="bottom"/>
          </w:tcPr>
          <w:p w14:paraId="75CA3F16">
            <w:pPr>
              <w:jc w:val="distribute"/>
              <w:rPr>
                <w:rFonts w:ascii="宋体" w:hAnsi="宋体" w:cs="宋体"/>
                <w:sz w:val="24"/>
              </w:rPr>
            </w:pPr>
            <w:r>
              <w:rPr>
                <w:rFonts w:hint="eastAsia" w:ascii="宋体" w:hAnsi="宋体" w:cs="宋体"/>
                <w:sz w:val="24"/>
              </w:rPr>
              <w:t>投标人地址：</w:t>
            </w:r>
          </w:p>
        </w:tc>
        <w:tc>
          <w:tcPr>
            <w:tcW w:w="6172" w:type="dxa"/>
            <w:tcBorders>
              <w:top w:val="single" w:color="000000" w:sz="4" w:space="0"/>
              <w:left w:val="nil"/>
              <w:bottom w:val="single" w:color="000000" w:sz="4" w:space="0"/>
              <w:right w:val="nil"/>
            </w:tcBorders>
            <w:vAlign w:val="bottom"/>
          </w:tcPr>
          <w:p w14:paraId="53933B17">
            <w:pPr>
              <w:jc w:val="left"/>
              <w:rPr>
                <w:rFonts w:ascii="宋体" w:hAnsi="宋体" w:cs="宋体"/>
                <w:sz w:val="24"/>
              </w:rPr>
            </w:pPr>
          </w:p>
        </w:tc>
      </w:tr>
    </w:tbl>
    <w:p w14:paraId="05CD27AA">
      <w:pPr>
        <w:ind w:firstLine="4200" w:firstLineChars="1750"/>
        <w:rPr>
          <w:rFonts w:ascii="宋体" w:hAnsi="宋体" w:cs="宋体"/>
          <w:sz w:val="24"/>
        </w:rPr>
      </w:pPr>
    </w:p>
    <w:p w14:paraId="5BD9AD1A">
      <w:pPr>
        <w:ind w:firstLine="4200" w:firstLineChars="1750"/>
        <w:rPr>
          <w:rFonts w:ascii="宋体" w:hAnsi="宋体" w:cs="宋体"/>
          <w:sz w:val="24"/>
        </w:rPr>
      </w:pPr>
    </w:p>
    <w:p w14:paraId="724DEEE3">
      <w:pPr>
        <w:ind w:firstLine="4200" w:firstLineChars="1750"/>
        <w:rPr>
          <w:rFonts w:ascii="宋体" w:hAnsi="宋体" w:cs="宋体"/>
          <w:sz w:val="24"/>
        </w:rPr>
      </w:pPr>
    </w:p>
    <w:p w14:paraId="079F7649">
      <w:pPr>
        <w:ind w:firstLine="5880" w:firstLineChars="2450"/>
        <w:rPr>
          <w:rFonts w:ascii="宋体" w:hAnsi="宋体" w:cs="宋体"/>
          <w:sz w:val="24"/>
        </w:rPr>
      </w:pPr>
      <w:r>
        <w:rPr>
          <w:rFonts w:hint="eastAsia" w:ascii="宋体" w:hAnsi="宋体" w:cs="宋体"/>
          <w:sz w:val="24"/>
        </w:rPr>
        <w:t>投标截止时间前不得解密</w:t>
      </w:r>
    </w:p>
    <w:p w14:paraId="6F21B175">
      <w:pPr>
        <w:ind w:firstLine="6480" w:firstLineChars="2700"/>
        <w:rPr>
          <w:rFonts w:ascii="宋体" w:hAnsi="宋体" w:cs="宋体"/>
          <w:sz w:val="24"/>
        </w:rPr>
      </w:pPr>
      <w:r>
        <w:rPr>
          <w:rFonts w:hint="eastAsia" w:ascii="宋体" w:hAnsi="宋体" w:cs="宋体"/>
          <w:sz w:val="24"/>
        </w:rPr>
        <w:t>年   月   日</w:t>
      </w:r>
    </w:p>
    <w:p w14:paraId="10C83513">
      <w:pPr>
        <w:widowControl/>
        <w:jc w:val="left"/>
        <w:rPr>
          <w:rFonts w:ascii="宋体" w:hAnsi="宋体" w:cs="宋体"/>
          <w:sz w:val="24"/>
        </w:rPr>
        <w:sectPr>
          <w:pgSz w:w="11907" w:h="16840"/>
          <w:pgMar w:top="1531" w:right="1418" w:bottom="1361" w:left="1418" w:header="720" w:footer="720" w:gutter="0"/>
          <w:cols w:space="720" w:num="1"/>
        </w:sectPr>
      </w:pPr>
    </w:p>
    <w:p w14:paraId="64EB0A66">
      <w:pPr>
        <w:pStyle w:val="18"/>
        <w:jc w:val="center"/>
        <w:outlineLvl w:val="1"/>
        <w:rPr>
          <w:rFonts w:hAnsi="宋体"/>
          <w:b/>
          <w:bCs/>
          <w:sz w:val="28"/>
          <w:szCs w:val="28"/>
        </w:rPr>
      </w:pPr>
      <w:bookmarkStart w:id="301" w:name="_Toc187761573"/>
      <w:r>
        <w:rPr>
          <w:rFonts w:hint="eastAsia" w:hAnsi="宋体"/>
          <w:b/>
          <w:bCs/>
          <w:sz w:val="28"/>
          <w:szCs w:val="28"/>
        </w:rPr>
        <w:t>第二节 资格证明文件格式</w:t>
      </w:r>
      <w:bookmarkEnd w:id="301"/>
    </w:p>
    <w:p w14:paraId="1FFC54D6">
      <w:pPr>
        <w:pStyle w:val="18"/>
        <w:spacing w:line="360" w:lineRule="auto"/>
        <w:ind w:firstLine="420"/>
        <w:rPr>
          <w:rFonts w:hAnsi="宋体"/>
          <w:sz w:val="30"/>
        </w:rPr>
      </w:pPr>
    </w:p>
    <w:p w14:paraId="1B08D282">
      <w:pPr>
        <w:snapToGrid w:val="0"/>
        <w:spacing w:beforeLines="50" w:after="50"/>
        <w:rPr>
          <w:rFonts w:ascii="宋体" w:hAnsi="宋体"/>
          <w:bCs/>
          <w:sz w:val="32"/>
          <w:szCs w:val="20"/>
        </w:rPr>
      </w:pPr>
      <w:r>
        <w:rPr>
          <w:rFonts w:hint="eastAsia" w:ascii="宋体" w:hAnsi="宋体"/>
          <w:bCs/>
        </w:rPr>
        <w:t>电子投标文件</w:t>
      </w:r>
    </w:p>
    <w:p w14:paraId="58B68464">
      <w:pPr>
        <w:snapToGrid w:val="0"/>
        <w:spacing w:beforeLines="50" w:after="50"/>
        <w:rPr>
          <w:rFonts w:ascii="宋体" w:hAnsi="宋体"/>
          <w:sz w:val="24"/>
          <w:szCs w:val="20"/>
        </w:rPr>
      </w:pPr>
    </w:p>
    <w:p w14:paraId="5B14B433">
      <w:pPr>
        <w:snapToGrid w:val="0"/>
        <w:spacing w:beforeLines="50" w:after="50"/>
        <w:jc w:val="center"/>
        <w:rPr>
          <w:rFonts w:ascii="宋体" w:hAnsi="宋体"/>
          <w:b/>
          <w:sz w:val="24"/>
          <w:szCs w:val="20"/>
        </w:rPr>
      </w:pPr>
      <w:r>
        <w:rPr>
          <w:rFonts w:hint="eastAsia" w:ascii="宋体" w:hAnsi="宋体"/>
          <w:b/>
          <w:sz w:val="32"/>
          <w:szCs w:val="32"/>
        </w:rPr>
        <w:t>资格证明文件（封面）</w:t>
      </w:r>
    </w:p>
    <w:p w14:paraId="30F6C8DE">
      <w:pPr>
        <w:snapToGrid w:val="0"/>
        <w:spacing w:beforeLines="50" w:after="50"/>
        <w:rPr>
          <w:rFonts w:ascii="宋体" w:hAnsi="宋体"/>
          <w:bCs/>
          <w:sz w:val="24"/>
          <w:szCs w:val="20"/>
        </w:rPr>
      </w:pPr>
    </w:p>
    <w:p w14:paraId="76FF4DD0">
      <w:pPr>
        <w:snapToGrid w:val="0"/>
        <w:spacing w:beforeLines="50" w:after="50"/>
        <w:rPr>
          <w:rFonts w:ascii="宋体" w:hAnsi="宋体"/>
          <w:bCs/>
          <w:sz w:val="24"/>
          <w:szCs w:val="20"/>
        </w:rPr>
      </w:pPr>
    </w:p>
    <w:p w14:paraId="7B30C136">
      <w:pPr>
        <w:snapToGrid w:val="0"/>
        <w:spacing w:beforeLines="50" w:after="50"/>
        <w:rPr>
          <w:rFonts w:ascii="宋体" w:hAnsi="宋体"/>
          <w:bCs/>
          <w:sz w:val="24"/>
          <w:szCs w:val="20"/>
        </w:rPr>
      </w:pPr>
    </w:p>
    <w:p w14:paraId="0A8872F7">
      <w:pPr>
        <w:snapToGrid w:val="0"/>
        <w:spacing w:beforeLines="50" w:after="50"/>
        <w:rPr>
          <w:rFonts w:ascii="宋体" w:hAnsi="宋体"/>
          <w:bCs/>
          <w:sz w:val="24"/>
          <w:szCs w:val="20"/>
        </w:rPr>
      </w:pPr>
    </w:p>
    <w:p w14:paraId="67F88D9B">
      <w:pPr>
        <w:snapToGrid w:val="0"/>
        <w:spacing w:beforeLines="50" w:after="50"/>
        <w:rPr>
          <w:rFonts w:ascii="宋体" w:hAnsi="宋体"/>
          <w:bCs/>
          <w:sz w:val="24"/>
          <w:szCs w:val="20"/>
        </w:rPr>
      </w:pPr>
    </w:p>
    <w:p w14:paraId="570778C9">
      <w:pPr>
        <w:snapToGrid w:val="0"/>
        <w:spacing w:beforeLines="50" w:after="50"/>
        <w:rPr>
          <w:rFonts w:ascii="宋体" w:hAnsi="宋体"/>
          <w:bCs/>
          <w:sz w:val="24"/>
          <w:szCs w:val="20"/>
        </w:rPr>
      </w:pPr>
    </w:p>
    <w:p w14:paraId="0338E05F">
      <w:pPr>
        <w:snapToGrid w:val="0"/>
        <w:spacing w:beforeLines="50" w:after="50"/>
        <w:rPr>
          <w:rFonts w:ascii="宋体" w:hAnsi="宋体"/>
          <w:bCs/>
          <w:sz w:val="24"/>
          <w:szCs w:val="20"/>
        </w:rPr>
      </w:pPr>
    </w:p>
    <w:p w14:paraId="79D65FCF">
      <w:pPr>
        <w:snapToGrid w:val="0"/>
        <w:spacing w:beforeLines="50" w:after="50"/>
        <w:ind w:firstLine="540" w:firstLineChars="225"/>
        <w:rPr>
          <w:rFonts w:ascii="宋体" w:hAnsi="宋体"/>
          <w:bCs/>
          <w:sz w:val="24"/>
        </w:rPr>
      </w:pPr>
      <w:r>
        <w:rPr>
          <w:rFonts w:hint="eastAsia" w:ascii="宋体" w:hAnsi="宋体"/>
          <w:bCs/>
          <w:sz w:val="24"/>
        </w:rPr>
        <w:t>项目名称：</w:t>
      </w:r>
      <w:bookmarkStart w:id="302" w:name="PO_3000001866_PM002_13"/>
      <w:r>
        <w:rPr>
          <w:rFonts w:hint="eastAsia" w:ascii="宋体" w:hAnsi="宋体"/>
          <w:bCs/>
          <w:sz w:val="24"/>
        </w:rPr>
        <w:t>[项目采购-项目名称]</w:t>
      </w:r>
      <w:bookmarkEnd w:id="302"/>
    </w:p>
    <w:p w14:paraId="00C7A3F4">
      <w:pPr>
        <w:snapToGrid w:val="0"/>
        <w:spacing w:beforeLines="50" w:after="50"/>
        <w:ind w:firstLine="540" w:firstLineChars="225"/>
        <w:rPr>
          <w:rFonts w:ascii="宋体" w:hAnsi="宋体"/>
          <w:bCs/>
          <w:sz w:val="24"/>
          <w:szCs w:val="20"/>
        </w:rPr>
      </w:pPr>
    </w:p>
    <w:p w14:paraId="5DB8F791">
      <w:pPr>
        <w:snapToGrid w:val="0"/>
        <w:spacing w:beforeLines="50" w:after="50"/>
        <w:ind w:firstLine="540" w:firstLineChars="225"/>
        <w:rPr>
          <w:rFonts w:ascii="宋体" w:hAnsi="宋体"/>
          <w:bCs/>
          <w:sz w:val="24"/>
        </w:rPr>
      </w:pPr>
      <w:r>
        <w:rPr>
          <w:rFonts w:hint="eastAsia" w:ascii="宋体" w:hAnsi="宋体"/>
          <w:bCs/>
          <w:sz w:val="24"/>
        </w:rPr>
        <w:t>项目编号：</w:t>
      </w:r>
      <w:bookmarkStart w:id="303" w:name="PO_3000001866_PM001_9"/>
      <w:r>
        <w:rPr>
          <w:rFonts w:hint="eastAsia" w:ascii="宋体" w:hAnsi="宋体"/>
          <w:bCs/>
          <w:sz w:val="24"/>
        </w:rPr>
        <w:t>[项目采购-项目编号]</w:t>
      </w:r>
      <w:bookmarkEnd w:id="303"/>
    </w:p>
    <w:p w14:paraId="345363AF">
      <w:pPr>
        <w:snapToGrid w:val="0"/>
        <w:spacing w:beforeLines="50" w:after="50"/>
        <w:ind w:firstLine="540" w:firstLineChars="225"/>
        <w:rPr>
          <w:rFonts w:ascii="宋体" w:hAnsi="宋体"/>
          <w:bCs/>
          <w:sz w:val="24"/>
          <w:szCs w:val="20"/>
        </w:rPr>
      </w:pPr>
    </w:p>
    <w:p w14:paraId="78BBCAE7">
      <w:pPr>
        <w:snapToGrid w:val="0"/>
        <w:spacing w:beforeLines="50" w:after="50"/>
        <w:ind w:firstLine="540" w:firstLineChars="225"/>
        <w:rPr>
          <w:rFonts w:ascii="宋体" w:hAnsi="宋体"/>
          <w:bCs/>
          <w:sz w:val="24"/>
        </w:rPr>
      </w:pPr>
      <w:r>
        <w:rPr>
          <w:rFonts w:hint="eastAsia" w:ascii="宋体" w:hAnsi="宋体"/>
          <w:bCs/>
          <w:sz w:val="24"/>
        </w:rPr>
        <w:t>所投分标：</w:t>
      </w:r>
    </w:p>
    <w:p w14:paraId="5A3A6C14">
      <w:pPr>
        <w:pStyle w:val="9"/>
        <w:snapToGrid w:val="0"/>
        <w:spacing w:before="50" w:after="50"/>
        <w:ind w:firstLine="540" w:firstLineChars="225"/>
        <w:rPr>
          <w:rFonts w:ascii="宋体" w:hAnsi="宋体"/>
          <w:bCs/>
          <w:sz w:val="24"/>
          <w:szCs w:val="24"/>
        </w:rPr>
      </w:pPr>
    </w:p>
    <w:p w14:paraId="2ACC7E32">
      <w:pPr>
        <w:pStyle w:val="9"/>
        <w:snapToGrid w:val="0"/>
        <w:spacing w:before="50" w:after="50"/>
        <w:ind w:firstLine="540" w:firstLineChars="225"/>
        <w:rPr>
          <w:rFonts w:ascii="宋体" w:hAnsi="宋体"/>
          <w:bCs/>
          <w:sz w:val="24"/>
          <w:szCs w:val="24"/>
        </w:rPr>
      </w:pPr>
      <w:r>
        <w:rPr>
          <w:rFonts w:hint="eastAsia" w:ascii="宋体" w:hAnsi="宋体"/>
          <w:bCs/>
          <w:sz w:val="24"/>
          <w:szCs w:val="24"/>
        </w:rPr>
        <w:t>投标人名称：</w:t>
      </w:r>
    </w:p>
    <w:p w14:paraId="468F95B7">
      <w:pPr>
        <w:pStyle w:val="9"/>
        <w:snapToGrid w:val="0"/>
        <w:spacing w:before="50" w:after="50"/>
        <w:ind w:firstLine="540" w:firstLineChars="225"/>
        <w:rPr>
          <w:rFonts w:ascii="宋体" w:hAnsi="宋体"/>
          <w:bCs/>
          <w:sz w:val="24"/>
          <w:szCs w:val="24"/>
        </w:rPr>
      </w:pPr>
    </w:p>
    <w:p w14:paraId="39DC46F8">
      <w:pPr>
        <w:pStyle w:val="9"/>
        <w:snapToGrid w:val="0"/>
        <w:spacing w:before="50" w:after="50"/>
        <w:ind w:firstLine="960" w:firstLineChars="400"/>
        <w:rPr>
          <w:rFonts w:ascii="宋体" w:hAnsi="宋体"/>
          <w:bCs/>
          <w:sz w:val="24"/>
          <w:szCs w:val="24"/>
        </w:rPr>
      </w:pPr>
    </w:p>
    <w:p w14:paraId="085701D9">
      <w:pPr>
        <w:snapToGrid w:val="0"/>
        <w:spacing w:beforeLines="50" w:after="50"/>
        <w:ind w:firstLine="645"/>
        <w:jc w:val="center"/>
        <w:rPr>
          <w:rFonts w:ascii="宋体" w:hAnsi="宋体"/>
          <w:sz w:val="24"/>
        </w:rPr>
      </w:pPr>
      <w:r>
        <w:rPr>
          <w:rFonts w:hint="eastAsia" w:ascii="宋体" w:hAnsi="宋体"/>
          <w:sz w:val="24"/>
        </w:rPr>
        <w:t>年  月  日</w:t>
      </w:r>
    </w:p>
    <w:p w14:paraId="00C615BA">
      <w:pPr>
        <w:widowControl/>
        <w:spacing w:line="360" w:lineRule="auto"/>
        <w:jc w:val="left"/>
        <w:rPr>
          <w:rFonts w:ascii="宋体" w:hAnsi="宋体"/>
          <w:sz w:val="30"/>
          <w:szCs w:val="20"/>
        </w:rPr>
        <w:sectPr>
          <w:pgSz w:w="11906" w:h="16838"/>
          <w:pgMar w:top="1134" w:right="1134" w:bottom="1134" w:left="1134" w:header="720" w:footer="720" w:gutter="0"/>
          <w:cols w:space="720" w:num="1"/>
          <w:docGrid w:type="lines" w:linePitch="331" w:charSpace="0"/>
        </w:sectPr>
      </w:pPr>
    </w:p>
    <w:p w14:paraId="34E9A816">
      <w:pPr>
        <w:jc w:val="center"/>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资格证明文件目录</w:t>
      </w:r>
    </w:p>
    <w:p w14:paraId="4C8CDC30">
      <w:pPr>
        <w:snapToGrid w:val="0"/>
        <w:spacing w:line="360" w:lineRule="auto"/>
        <w:rPr>
          <w:rFonts w:ascii="仿宋_GB2312" w:hAnsi="仿宋" w:eastAsia="仿宋_GB2312" w:cs="仿宋_GB2312"/>
          <w:kern w:val="0"/>
          <w:sz w:val="24"/>
        </w:rPr>
      </w:pPr>
    </w:p>
    <w:p w14:paraId="08F85C76">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一、</w:t>
      </w:r>
      <w:r>
        <w:rPr>
          <w:rFonts w:hint="eastAsia" w:ascii="仿宋_GB2312" w:hAnsi="仿宋" w:eastAsia="仿宋_GB2312"/>
          <w:sz w:val="24"/>
        </w:rPr>
        <w:t>营业执照(或事业法人登记证或其他工商等登记证明材料)复印件（投标人为自然人的，须提供</w:t>
      </w:r>
      <w:r>
        <w:rPr>
          <w:rFonts w:hint="eastAsia" w:ascii="仿宋_GB2312" w:hAnsi="仿宋" w:eastAsia="仿宋_GB2312" w:cs="Helvetica"/>
          <w:kern w:val="0"/>
          <w:sz w:val="24"/>
        </w:rPr>
        <w:t>自然人的身份证明</w:t>
      </w:r>
      <w:r>
        <w:rPr>
          <w:rFonts w:hint="eastAsia" w:ascii="仿宋_GB2312" w:hAnsi="仿宋" w:eastAsia="仿宋_GB2312"/>
          <w:sz w:val="24"/>
        </w:rPr>
        <w:t>）</w:t>
      </w:r>
      <w:r>
        <w:rPr>
          <w:rFonts w:hint="eastAsia" w:ascii="仿宋_GB2312" w:hAnsi="仿宋" w:eastAsia="仿宋_GB2312" w:cs="仿宋_GB2312"/>
          <w:kern w:val="0"/>
          <w:sz w:val="24"/>
        </w:rPr>
        <w:t>……………………………………………………………（页码）</w:t>
      </w:r>
    </w:p>
    <w:p w14:paraId="6E1732C5">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二、符合参与政府采购活动的资格条件依法缴纳税收、社会保障资金等方面的材料…………………………………………………………………………………………（页码）</w:t>
      </w:r>
    </w:p>
    <w:p w14:paraId="1EF5C472">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三、财务状况报告方面的材料…………………………………………………………（页码）</w:t>
      </w:r>
    </w:p>
    <w:p w14:paraId="784EC0E3">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四、投标人直接控股股东信息</w:t>
      </w:r>
      <w:r>
        <w:rPr>
          <w:rFonts w:hint="eastAsia" w:ascii="仿宋_GB2312" w:hAnsi="仿宋" w:eastAsia="仿宋_GB2312" w:cs="仿宋_GB2312"/>
          <w:kern w:val="0"/>
          <w:sz w:val="24"/>
        </w:rPr>
        <w:t>…………………………………………………………（页码）</w:t>
      </w:r>
    </w:p>
    <w:p w14:paraId="188D35B5">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五、投标人直接关联关系信息表</w:t>
      </w:r>
      <w:r>
        <w:rPr>
          <w:rFonts w:hint="eastAsia" w:ascii="仿宋_GB2312" w:hAnsi="仿宋" w:eastAsia="仿宋_GB2312" w:cs="仿宋_GB2312"/>
          <w:kern w:val="0"/>
          <w:sz w:val="24"/>
        </w:rPr>
        <w:t>………………………………………………………（页码）</w:t>
      </w:r>
    </w:p>
    <w:p w14:paraId="32A70A31">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六、投标资格声明函……………………………………………………………………（页码）</w:t>
      </w:r>
    </w:p>
    <w:p w14:paraId="1CECC8E8">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七、</w:t>
      </w:r>
      <w:r>
        <w:rPr>
          <w:rFonts w:hint="eastAsia" w:ascii="仿宋_GB2312" w:hAnsi="仿宋" w:eastAsia="仿宋_GB2312" w:cs="仿宋_GB2312"/>
          <w:sz w:val="24"/>
        </w:rPr>
        <w:t>符合特定资格条件（如有）的有关证明材料：（1）具有公路工程试验检测综合类甲级或公路工程桥梁隧道专项试验检测资质或省级及以上有关行政管理部门颁发的建设工程质量检测机构资质证书（检测范围须包含主体结构工程现场检测内容）或根据《建设工程质量检测机构资质标准》（建质规〔2023〕1 号）具有建设工程质量检测机构综合资质或桥梁与地下工程专项资质证书扫描件；（2）具有省级及以上质量技术监督部门颁发的中国计量认证证书（CMA 认证）（证书范围须包含桥梁试验检测的相关内容）扫描件</w:t>
      </w:r>
      <w:r>
        <w:rPr>
          <w:rFonts w:hint="eastAsia" w:ascii="仿宋_GB2312" w:hAnsi="仿宋" w:eastAsia="仿宋_GB2312" w:cs="仿宋_GB2312"/>
          <w:kern w:val="0"/>
          <w:sz w:val="24"/>
        </w:rPr>
        <w:t>……………………（页码）</w:t>
      </w:r>
    </w:p>
    <w:p w14:paraId="00E57C14">
      <w:pPr>
        <w:spacing w:line="360" w:lineRule="auto"/>
        <w:rPr>
          <w:rFonts w:ascii="仿宋_GB2312" w:hAnsi="仿宋" w:eastAsia="仿宋_GB2312" w:cs="仿宋_GB2312"/>
          <w:b/>
          <w:bCs/>
          <w:sz w:val="24"/>
        </w:rPr>
      </w:pPr>
      <w:r>
        <w:rPr>
          <w:rFonts w:hint="eastAsia" w:ascii="仿宋_GB2312" w:hAnsi="仿宋" w:eastAsia="仿宋_GB2312" w:cs="仿宋_GB2312"/>
          <w:b/>
          <w:bCs/>
          <w:sz w:val="24"/>
        </w:rPr>
        <w:t>注：以上目录是基本格式要求，各投标人可根据自身情况进一步向下增加内容或细化。</w:t>
      </w:r>
    </w:p>
    <w:p w14:paraId="0380F82C">
      <w:pPr>
        <w:widowControl/>
        <w:spacing w:line="360" w:lineRule="auto"/>
        <w:jc w:val="left"/>
        <w:rPr>
          <w:rFonts w:ascii="宋体" w:hAnsi="宋体"/>
          <w:sz w:val="30"/>
          <w:szCs w:val="20"/>
        </w:rPr>
        <w:sectPr>
          <w:pgSz w:w="11906" w:h="16838"/>
          <w:pgMar w:top="1134" w:right="1134" w:bottom="1134" w:left="1134" w:header="720" w:footer="720" w:gutter="0"/>
          <w:cols w:space="720" w:num="1"/>
          <w:docGrid w:type="lines" w:linePitch="331" w:charSpace="0"/>
        </w:sectPr>
      </w:pPr>
    </w:p>
    <w:p w14:paraId="32FE877E">
      <w:pPr>
        <w:snapToGrid w:val="0"/>
        <w:spacing w:line="360" w:lineRule="auto"/>
        <w:rPr>
          <w:rFonts w:ascii="仿宋_GB2312" w:hAnsi="仿宋" w:eastAsia="仿宋_GB2312" w:cs="仿宋_GB2312"/>
          <w:b/>
          <w:kern w:val="0"/>
          <w:sz w:val="32"/>
          <w:szCs w:val="32"/>
          <w:lang w:val="zh-CN"/>
        </w:rPr>
      </w:pPr>
    </w:p>
    <w:p w14:paraId="03F1D25E">
      <w:pPr>
        <w:spacing w:line="360" w:lineRule="auto"/>
        <w:jc w:val="center"/>
        <w:rPr>
          <w:rFonts w:ascii="仿宋_GB2312" w:hAnsi="仿宋" w:eastAsia="仿宋_GB2312" w:cs="仿宋_GB2312"/>
          <w:b/>
          <w:sz w:val="30"/>
          <w:szCs w:val="30"/>
        </w:rPr>
      </w:pPr>
      <w:r>
        <w:rPr>
          <w:rFonts w:hint="eastAsia" w:ascii="仿宋_GB2312" w:hAnsi="仿宋" w:eastAsia="仿宋_GB2312" w:cs="仿宋_GB2312"/>
          <w:b/>
          <w:kern w:val="0"/>
          <w:sz w:val="32"/>
          <w:szCs w:val="32"/>
          <w:lang w:val="zh-CN"/>
        </w:rPr>
        <w:t>一、</w:t>
      </w:r>
      <w:r>
        <w:rPr>
          <w:rFonts w:hint="eastAsia" w:ascii="仿宋_GB2312" w:hAnsi="仿宋" w:eastAsia="仿宋_GB2312" w:cs="仿宋_GB2312"/>
          <w:b/>
          <w:sz w:val="30"/>
          <w:szCs w:val="30"/>
        </w:rPr>
        <w:t>营业执照(或事业法人登记证或其他工商等登记证明材料)复印件（投标人为自然人的，提供自然人的身份证明）</w:t>
      </w:r>
    </w:p>
    <w:p w14:paraId="0E2F01DD">
      <w:pPr>
        <w:spacing w:line="360" w:lineRule="auto"/>
        <w:rPr>
          <w:rFonts w:ascii="仿宋_GB2312" w:hAnsi="仿宋" w:eastAsia="仿宋_GB2312" w:cs="仿宋_GB2312"/>
          <w:b/>
          <w:sz w:val="30"/>
          <w:szCs w:val="30"/>
        </w:rPr>
      </w:pPr>
    </w:p>
    <w:p w14:paraId="4788E0E8">
      <w:pPr>
        <w:snapToGrid w:val="0"/>
        <w:spacing w:line="360" w:lineRule="auto"/>
        <w:ind w:firstLine="576"/>
        <w:jc w:val="center"/>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投标人名称(电子签章)：                              </w:t>
      </w:r>
    </w:p>
    <w:p w14:paraId="38693AC0">
      <w:pPr>
        <w:spacing w:line="360" w:lineRule="auto"/>
        <w:jc w:val="center"/>
        <w:rPr>
          <w:rFonts w:ascii="仿宋_GB2312" w:hAnsi="仿宋" w:eastAsia="仿宋_GB2312" w:cs="仿宋_GB2312"/>
          <w:b/>
          <w:sz w:val="30"/>
          <w:szCs w:val="30"/>
        </w:rPr>
      </w:pPr>
      <w:r>
        <w:rPr>
          <w:rFonts w:hint="eastAsia" w:ascii="仿宋_GB2312" w:hAnsi="仿宋" w:eastAsia="仿宋_GB2312" w:cs="仿宋_GB2312"/>
          <w:kern w:val="0"/>
          <w:sz w:val="24"/>
          <w:lang w:val="zh-CN"/>
        </w:rPr>
        <w:t xml:space="preserve">                   日期：  年  月</w:t>
      </w:r>
    </w:p>
    <w:p w14:paraId="5B1387B0">
      <w:pPr>
        <w:spacing w:line="360" w:lineRule="auto"/>
        <w:jc w:val="center"/>
        <w:rPr>
          <w:rFonts w:ascii="仿宋_GB2312" w:hAnsi="仿宋" w:eastAsia="仿宋_GB2312" w:cs="仿宋_GB2312"/>
          <w:b/>
          <w:sz w:val="30"/>
          <w:szCs w:val="30"/>
        </w:rPr>
      </w:pPr>
    </w:p>
    <w:p w14:paraId="5FDCE5F1">
      <w:pPr>
        <w:snapToGrid w:val="0"/>
        <w:spacing w:line="360" w:lineRule="auto"/>
        <w:ind w:right="480"/>
        <w:jc w:val="center"/>
        <w:rPr>
          <w:rFonts w:ascii="仿宋_GB2312" w:hAnsi="仿宋" w:eastAsia="仿宋_GB2312" w:cs="仿宋_GB2312"/>
          <w:b/>
          <w:kern w:val="0"/>
          <w:sz w:val="32"/>
          <w:szCs w:val="32"/>
        </w:rPr>
      </w:pPr>
      <w:r>
        <w:rPr>
          <w:rFonts w:hint="eastAsia" w:ascii="仿宋_GB2312" w:hAnsi="仿宋" w:eastAsia="仿宋_GB2312" w:cs="仿宋_GB2312"/>
          <w:b/>
          <w:sz w:val="30"/>
          <w:szCs w:val="30"/>
        </w:rPr>
        <w:t>二、</w:t>
      </w:r>
      <w:r>
        <w:rPr>
          <w:rFonts w:hint="eastAsia" w:ascii="仿宋_GB2312" w:hAnsi="仿宋" w:eastAsia="仿宋_GB2312" w:cs="仿宋_GB2312"/>
          <w:b/>
          <w:kern w:val="0"/>
          <w:sz w:val="32"/>
          <w:szCs w:val="32"/>
        </w:rPr>
        <w:t>符合参与政府采购活动的资格条件依法缴纳税收、社会保障资金等方面的材料</w:t>
      </w:r>
    </w:p>
    <w:p w14:paraId="5C3C7B11">
      <w:pPr>
        <w:snapToGrid w:val="0"/>
        <w:spacing w:line="360" w:lineRule="auto"/>
        <w:ind w:firstLine="480" w:firstLineChars="200"/>
        <w:rPr>
          <w:rFonts w:ascii="仿宋_GB2312" w:hAnsi="仿宋" w:eastAsia="仿宋_GB2312" w:cs="仿宋_GB2312"/>
          <w:sz w:val="24"/>
        </w:rPr>
      </w:pPr>
    </w:p>
    <w:p w14:paraId="0CCC3371">
      <w:pPr>
        <w:snapToGrid w:val="0"/>
        <w:spacing w:line="360" w:lineRule="auto"/>
        <w:rPr>
          <w:rFonts w:ascii="仿宋_GB2312" w:hAnsi="仿宋" w:eastAsia="仿宋_GB2312" w:cs="仿宋_GB2312"/>
          <w:kern w:val="0"/>
          <w:sz w:val="24"/>
          <w:lang w:val="zh-CN"/>
        </w:rPr>
      </w:pPr>
    </w:p>
    <w:p w14:paraId="7DA42415">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 xml:space="preserve"> 投标人名称(电子签章)：</w:t>
      </w:r>
    </w:p>
    <w:p w14:paraId="722918B2">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0BA72528">
      <w:pPr>
        <w:snapToGrid w:val="0"/>
        <w:spacing w:line="360" w:lineRule="auto"/>
        <w:ind w:right="480"/>
        <w:jc w:val="center"/>
        <w:rPr>
          <w:rFonts w:ascii="仿宋_GB2312" w:hAnsi="仿宋" w:eastAsia="仿宋_GB2312" w:cs="仿宋_GB2312"/>
          <w:b/>
          <w:kern w:val="0"/>
          <w:sz w:val="32"/>
          <w:szCs w:val="32"/>
        </w:rPr>
      </w:pPr>
      <w:r>
        <w:rPr>
          <w:rFonts w:hint="eastAsia" w:ascii="仿宋_GB2312" w:hAnsi="仿宋" w:eastAsia="仿宋_GB2312" w:cs="仿宋_GB2312"/>
          <w:b/>
          <w:sz w:val="30"/>
          <w:szCs w:val="30"/>
        </w:rPr>
        <w:t>三、</w:t>
      </w:r>
      <w:r>
        <w:rPr>
          <w:rFonts w:hint="eastAsia" w:ascii="仿宋_GB2312" w:hAnsi="仿宋" w:eastAsia="仿宋_GB2312" w:cs="仿宋_GB2312"/>
          <w:b/>
          <w:kern w:val="0"/>
          <w:sz w:val="32"/>
          <w:szCs w:val="32"/>
        </w:rPr>
        <w:t>财务状况报告方面的材料</w:t>
      </w:r>
    </w:p>
    <w:p w14:paraId="438756BC">
      <w:pPr>
        <w:snapToGrid w:val="0"/>
        <w:spacing w:line="360" w:lineRule="auto"/>
        <w:ind w:firstLine="480" w:firstLineChars="200"/>
        <w:rPr>
          <w:rFonts w:ascii="仿宋_GB2312" w:hAnsi="仿宋" w:eastAsia="仿宋_GB2312" w:cs="仿宋_GB2312"/>
          <w:sz w:val="24"/>
        </w:rPr>
      </w:pPr>
    </w:p>
    <w:p w14:paraId="369581C3">
      <w:pPr>
        <w:snapToGrid w:val="0"/>
        <w:spacing w:line="360" w:lineRule="auto"/>
        <w:rPr>
          <w:rFonts w:ascii="仿宋_GB2312" w:hAnsi="仿宋" w:eastAsia="仿宋_GB2312" w:cs="仿宋_GB2312"/>
          <w:kern w:val="0"/>
          <w:sz w:val="24"/>
          <w:lang w:val="zh-CN"/>
        </w:rPr>
      </w:pPr>
    </w:p>
    <w:p w14:paraId="20EFC15E">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 xml:space="preserve"> 投标人名称(电子签章)：</w:t>
      </w:r>
    </w:p>
    <w:p w14:paraId="4B51E6DE">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3F7CF75E">
      <w:pPr>
        <w:snapToGrid w:val="0"/>
        <w:spacing w:line="360" w:lineRule="auto"/>
        <w:ind w:firstLine="5160" w:firstLineChars="2150"/>
        <w:rPr>
          <w:rFonts w:ascii="仿宋_GB2312" w:hAnsi="仿宋" w:eastAsia="仿宋_GB2312" w:cs="仿宋_GB2312"/>
          <w:kern w:val="0"/>
          <w:sz w:val="24"/>
          <w:lang w:val="zh-CN"/>
        </w:rPr>
      </w:pPr>
    </w:p>
    <w:p w14:paraId="06EC1D4D">
      <w:pPr>
        <w:snapToGrid w:val="0"/>
        <w:spacing w:line="360" w:lineRule="auto"/>
        <w:ind w:right="480"/>
        <w:jc w:val="center"/>
        <w:rPr>
          <w:rFonts w:ascii="仿宋_GB2312" w:hAnsi="仿宋" w:eastAsia="仿宋_GB2312" w:cs="仿宋_GB2312"/>
          <w:b/>
          <w:kern w:val="0"/>
          <w:sz w:val="32"/>
          <w:szCs w:val="32"/>
          <w:lang w:val="zh-CN"/>
        </w:rPr>
      </w:pPr>
    </w:p>
    <w:p w14:paraId="2F280002">
      <w:pPr>
        <w:snapToGrid w:val="0"/>
        <w:spacing w:line="360" w:lineRule="auto"/>
        <w:ind w:right="480"/>
        <w:jc w:val="center"/>
        <w:rPr>
          <w:rFonts w:ascii="宋体" w:hAnsi="宋体"/>
          <w:b/>
          <w:sz w:val="28"/>
          <w:szCs w:val="28"/>
        </w:rPr>
      </w:pPr>
      <w:r>
        <w:rPr>
          <w:rFonts w:hint="eastAsia" w:ascii="仿宋_GB2312" w:hAnsi="仿宋" w:eastAsia="仿宋_GB2312" w:cs="仿宋_GB2312"/>
          <w:b/>
          <w:kern w:val="0"/>
          <w:sz w:val="32"/>
          <w:szCs w:val="32"/>
        </w:rPr>
        <w:br w:type="page"/>
      </w:r>
    </w:p>
    <w:p w14:paraId="6A9EB235">
      <w:pPr>
        <w:snapToGrid w:val="0"/>
        <w:spacing w:before="50" w:afterLines="50" w:line="360" w:lineRule="auto"/>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四、投标人直接控股股东信息表</w:t>
      </w:r>
    </w:p>
    <w:tbl>
      <w:tblPr>
        <w:tblStyle w:val="32"/>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3C7EBC5A">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6F443A1">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9D0CC23">
            <w:pPr>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33F332A">
            <w:pPr>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88E5D82">
            <w:pPr>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B0551E2">
            <w:pPr>
              <w:spacing w:line="360" w:lineRule="auto"/>
              <w:jc w:val="center"/>
              <w:rPr>
                <w:rFonts w:ascii="宋体" w:hAnsi="宋体" w:cs="宋体"/>
                <w:b/>
                <w:bCs/>
                <w:kern w:val="0"/>
                <w:sz w:val="24"/>
              </w:rPr>
            </w:pPr>
            <w:r>
              <w:rPr>
                <w:rFonts w:hint="eastAsia" w:ascii="宋体" w:hAnsi="宋体" w:cs="宋体"/>
                <w:b/>
                <w:bCs/>
                <w:kern w:val="0"/>
                <w:sz w:val="24"/>
              </w:rPr>
              <w:t>备注</w:t>
            </w:r>
          </w:p>
        </w:tc>
      </w:tr>
      <w:tr w14:paraId="2060F8EB">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F5495A">
            <w:pPr>
              <w:spacing w:line="360" w:lineRule="auto"/>
              <w:jc w:val="center"/>
              <w:rPr>
                <w:rFonts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8E88736">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6B367A">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EEBAA00">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7E86EC8">
            <w:pPr>
              <w:spacing w:line="360" w:lineRule="auto"/>
              <w:jc w:val="center"/>
              <w:rPr>
                <w:rFonts w:ascii="宋体" w:hAnsi="宋体" w:cs="宋体"/>
                <w:kern w:val="0"/>
                <w:sz w:val="24"/>
              </w:rPr>
            </w:pPr>
          </w:p>
        </w:tc>
      </w:tr>
      <w:tr w14:paraId="1ECB8F23">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41964DA">
            <w:pPr>
              <w:spacing w:line="360" w:lineRule="auto"/>
              <w:jc w:val="center"/>
              <w:rPr>
                <w:rFonts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7E6425">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3F903FE">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CF0055C">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8853BE">
            <w:pPr>
              <w:spacing w:line="360" w:lineRule="auto"/>
              <w:jc w:val="center"/>
              <w:rPr>
                <w:rFonts w:ascii="宋体" w:hAnsi="宋体" w:cs="宋体"/>
                <w:kern w:val="0"/>
                <w:sz w:val="24"/>
              </w:rPr>
            </w:pPr>
          </w:p>
        </w:tc>
      </w:tr>
      <w:tr w14:paraId="765B7E89">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9699791">
            <w:pPr>
              <w:spacing w:line="360" w:lineRule="auto"/>
              <w:jc w:val="center"/>
              <w:rPr>
                <w:rFonts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749A55A">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8244A70">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ECE5116">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B6147B7">
            <w:pPr>
              <w:spacing w:line="360" w:lineRule="auto"/>
              <w:jc w:val="center"/>
              <w:rPr>
                <w:rFonts w:ascii="宋体" w:hAnsi="宋体" w:cs="宋体"/>
                <w:kern w:val="0"/>
                <w:sz w:val="24"/>
              </w:rPr>
            </w:pPr>
          </w:p>
        </w:tc>
      </w:tr>
      <w:tr w14:paraId="50970F44">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6E16BF9">
            <w:pPr>
              <w:spacing w:line="360" w:lineRule="auto"/>
              <w:jc w:val="center"/>
              <w:rPr>
                <w:rFonts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A35D7D8">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6AF6348">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F768AE2">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009F8F0">
            <w:pPr>
              <w:spacing w:line="360" w:lineRule="auto"/>
              <w:jc w:val="center"/>
              <w:rPr>
                <w:rFonts w:ascii="宋体" w:hAnsi="宋体" w:cs="宋体"/>
                <w:kern w:val="0"/>
                <w:sz w:val="24"/>
              </w:rPr>
            </w:pPr>
          </w:p>
        </w:tc>
      </w:tr>
    </w:tbl>
    <w:p w14:paraId="50726C2D">
      <w:pPr>
        <w:snapToGrid w:val="0"/>
        <w:spacing w:line="360" w:lineRule="auto"/>
        <w:jc w:val="left"/>
        <w:rPr>
          <w:rFonts w:ascii="宋体" w:hAnsi="宋体"/>
          <w:sz w:val="24"/>
        </w:rPr>
      </w:pPr>
      <w:r>
        <w:rPr>
          <w:rFonts w:hint="eastAsia" w:ascii="宋体" w:hAnsi="宋体"/>
          <w:sz w:val="24"/>
        </w:rPr>
        <w:t>注：</w:t>
      </w:r>
    </w:p>
    <w:p w14:paraId="2684A295">
      <w:pPr>
        <w:snapToGrid w:val="0"/>
        <w:spacing w:line="360" w:lineRule="auto"/>
        <w:jc w:val="left"/>
        <w:rPr>
          <w:rFonts w:ascii="宋体" w:hAnsi="宋体"/>
          <w:sz w:val="24"/>
        </w:rPr>
      </w:pPr>
      <w:r>
        <w:rPr>
          <w:rFonts w:hint="eastAsia" w:ascii="宋体" w:hAnsi="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61D4B78">
      <w:pPr>
        <w:snapToGrid w:val="0"/>
        <w:spacing w:line="360" w:lineRule="auto"/>
        <w:jc w:val="left"/>
        <w:rPr>
          <w:rFonts w:ascii="宋体" w:hAnsi="宋体"/>
          <w:sz w:val="24"/>
        </w:rPr>
      </w:pPr>
      <w:r>
        <w:rPr>
          <w:rFonts w:hint="eastAsia" w:ascii="宋体" w:hAnsi="宋体"/>
          <w:sz w:val="24"/>
        </w:rPr>
        <w:t>2.本表所指的控股关系仅限于直接控股关系，不包括间接的控股关系。公司实际控制人与公司之间的关系不属于本表所指的直接控股关系。</w:t>
      </w:r>
    </w:p>
    <w:p w14:paraId="7583B333">
      <w:pPr>
        <w:snapToGrid w:val="0"/>
        <w:spacing w:line="360" w:lineRule="auto"/>
        <w:jc w:val="left"/>
        <w:rPr>
          <w:rFonts w:ascii="宋体" w:hAnsi="宋体"/>
          <w:sz w:val="24"/>
        </w:rPr>
      </w:pPr>
      <w:r>
        <w:rPr>
          <w:rFonts w:hint="eastAsia" w:ascii="宋体" w:hAnsi="宋体"/>
          <w:sz w:val="24"/>
        </w:rPr>
        <w:t>3.供应商不存在直接控股股东的，则填“无”。</w:t>
      </w:r>
    </w:p>
    <w:p w14:paraId="5918717F">
      <w:pPr>
        <w:snapToGrid w:val="0"/>
        <w:spacing w:line="360" w:lineRule="auto"/>
        <w:jc w:val="left"/>
        <w:rPr>
          <w:rFonts w:ascii="宋体" w:hAnsi="宋体"/>
          <w:sz w:val="24"/>
        </w:rPr>
      </w:pPr>
    </w:p>
    <w:p w14:paraId="48070C90">
      <w:pPr>
        <w:snapToGrid w:val="0"/>
        <w:spacing w:line="360" w:lineRule="auto"/>
        <w:jc w:val="left"/>
        <w:rPr>
          <w:rFonts w:ascii="宋体" w:hAnsi="宋体"/>
          <w:sz w:val="24"/>
        </w:rPr>
      </w:pPr>
    </w:p>
    <w:p w14:paraId="791DE683">
      <w:pPr>
        <w:snapToGrid w:val="0"/>
        <w:spacing w:line="360" w:lineRule="auto"/>
        <w:jc w:val="left"/>
        <w:rPr>
          <w:rFonts w:ascii="宋体" w:hAnsi="宋体"/>
          <w:sz w:val="24"/>
        </w:rPr>
      </w:pPr>
    </w:p>
    <w:p w14:paraId="1B09E6E6">
      <w:pPr>
        <w:snapToGrid w:val="0"/>
        <w:spacing w:line="360" w:lineRule="auto"/>
        <w:jc w:val="left"/>
        <w:rPr>
          <w:rFonts w:ascii="宋体" w:hAnsi="宋体"/>
          <w:sz w:val="24"/>
        </w:rPr>
      </w:pPr>
    </w:p>
    <w:p w14:paraId="33EB46B5">
      <w:pPr>
        <w:snapToGrid w:val="0"/>
        <w:spacing w:line="360" w:lineRule="auto"/>
        <w:jc w:val="left"/>
        <w:rPr>
          <w:rFonts w:ascii="宋体" w:hAnsi="宋体"/>
          <w:sz w:val="24"/>
        </w:rPr>
      </w:pPr>
    </w:p>
    <w:p w14:paraId="705FF028">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0BB85090">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482BBFB9">
      <w:pPr>
        <w:snapToGrid w:val="0"/>
        <w:jc w:val="center"/>
        <w:rPr>
          <w:rFonts w:ascii="宋体" w:hAnsi="宋体"/>
          <w:b/>
          <w:sz w:val="28"/>
          <w:szCs w:val="28"/>
        </w:rPr>
      </w:pPr>
      <w:r>
        <w:rPr>
          <w:rFonts w:hint="eastAsia" w:ascii="宋体" w:hAnsi="宋体"/>
          <w:b/>
          <w:sz w:val="28"/>
          <w:szCs w:val="28"/>
        </w:rPr>
        <w:br w:type="page"/>
      </w:r>
    </w:p>
    <w:p w14:paraId="1F6177D6">
      <w:pPr>
        <w:snapToGrid w:val="0"/>
        <w:spacing w:line="360" w:lineRule="auto"/>
        <w:jc w:val="center"/>
        <w:rPr>
          <w:rFonts w:ascii="宋体" w:hAnsi="宋体"/>
          <w:sz w:val="32"/>
          <w:szCs w:val="32"/>
        </w:rPr>
      </w:pPr>
      <w:r>
        <w:rPr>
          <w:rFonts w:hint="eastAsia" w:ascii="宋体" w:hAnsi="宋体"/>
          <w:b/>
          <w:sz w:val="32"/>
          <w:szCs w:val="32"/>
        </w:rPr>
        <w:t>五、投标人直接管理关系信息表</w:t>
      </w:r>
    </w:p>
    <w:tbl>
      <w:tblPr>
        <w:tblStyle w:val="32"/>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4F6DB7DD">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9A72B06">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F400AF6">
            <w:pPr>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84056AD">
            <w:pPr>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D5EFD05">
            <w:pPr>
              <w:spacing w:line="360" w:lineRule="auto"/>
              <w:jc w:val="center"/>
              <w:rPr>
                <w:rFonts w:ascii="宋体" w:hAnsi="宋体" w:cs="宋体"/>
                <w:b/>
                <w:bCs/>
                <w:kern w:val="0"/>
                <w:sz w:val="24"/>
              </w:rPr>
            </w:pPr>
            <w:r>
              <w:rPr>
                <w:rFonts w:hint="eastAsia" w:ascii="宋体" w:hAnsi="宋体" w:cs="宋体"/>
                <w:b/>
                <w:bCs/>
                <w:kern w:val="0"/>
                <w:sz w:val="24"/>
              </w:rPr>
              <w:t>备注</w:t>
            </w:r>
          </w:p>
        </w:tc>
      </w:tr>
      <w:tr w14:paraId="3C2E4FC4">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CD5F8D5">
            <w:pPr>
              <w:spacing w:line="360" w:lineRule="auto"/>
              <w:jc w:val="center"/>
              <w:rPr>
                <w:rFonts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9DDACE1">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60B1170">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417DE96">
            <w:pPr>
              <w:spacing w:line="360" w:lineRule="auto"/>
              <w:jc w:val="center"/>
              <w:rPr>
                <w:rFonts w:ascii="宋体" w:hAnsi="宋体" w:cs="宋体"/>
                <w:kern w:val="0"/>
                <w:sz w:val="24"/>
              </w:rPr>
            </w:pPr>
          </w:p>
        </w:tc>
      </w:tr>
      <w:tr w14:paraId="035F97BA">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872CCB3">
            <w:pPr>
              <w:spacing w:line="360" w:lineRule="auto"/>
              <w:jc w:val="center"/>
              <w:rPr>
                <w:rFonts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949103">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EEC622">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64801E2">
            <w:pPr>
              <w:spacing w:line="360" w:lineRule="auto"/>
              <w:jc w:val="center"/>
              <w:rPr>
                <w:rFonts w:ascii="宋体" w:hAnsi="宋体" w:cs="宋体"/>
                <w:kern w:val="0"/>
                <w:sz w:val="24"/>
              </w:rPr>
            </w:pPr>
          </w:p>
        </w:tc>
      </w:tr>
      <w:tr w14:paraId="3E2987D7">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CAEC8FF">
            <w:pPr>
              <w:spacing w:line="360" w:lineRule="auto"/>
              <w:jc w:val="center"/>
              <w:rPr>
                <w:rFonts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E0A286D">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761E75A">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0B5A9C">
            <w:pPr>
              <w:spacing w:line="360" w:lineRule="auto"/>
              <w:jc w:val="center"/>
              <w:rPr>
                <w:rFonts w:ascii="宋体" w:hAnsi="宋体" w:cs="宋体"/>
                <w:kern w:val="0"/>
                <w:sz w:val="24"/>
              </w:rPr>
            </w:pPr>
          </w:p>
        </w:tc>
      </w:tr>
      <w:tr w14:paraId="54C59D84">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987C00D">
            <w:pPr>
              <w:spacing w:line="360" w:lineRule="auto"/>
              <w:jc w:val="center"/>
              <w:rPr>
                <w:rFonts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C24E43">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B1E8D4C">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F15C919">
            <w:pPr>
              <w:spacing w:line="360" w:lineRule="auto"/>
              <w:jc w:val="center"/>
              <w:rPr>
                <w:rFonts w:ascii="宋体" w:hAnsi="宋体" w:cs="宋体"/>
                <w:kern w:val="0"/>
                <w:sz w:val="24"/>
              </w:rPr>
            </w:pPr>
          </w:p>
        </w:tc>
      </w:tr>
    </w:tbl>
    <w:p w14:paraId="7659EC5E">
      <w:pPr>
        <w:snapToGrid w:val="0"/>
        <w:spacing w:line="360" w:lineRule="auto"/>
        <w:jc w:val="left"/>
        <w:rPr>
          <w:rFonts w:ascii="宋体" w:hAnsi="宋体"/>
          <w:sz w:val="24"/>
        </w:rPr>
      </w:pPr>
      <w:r>
        <w:rPr>
          <w:rFonts w:hint="eastAsia" w:ascii="宋体" w:hAnsi="宋体"/>
          <w:sz w:val="24"/>
        </w:rPr>
        <w:t>注：</w:t>
      </w:r>
    </w:p>
    <w:p w14:paraId="61DF830F">
      <w:pPr>
        <w:snapToGrid w:val="0"/>
        <w:spacing w:line="360" w:lineRule="auto"/>
        <w:ind w:firstLine="480" w:firstLineChars="200"/>
        <w:jc w:val="left"/>
        <w:rPr>
          <w:rFonts w:ascii="宋体" w:hAnsi="宋体"/>
          <w:sz w:val="24"/>
        </w:rPr>
      </w:pPr>
      <w:r>
        <w:rPr>
          <w:rFonts w:hint="eastAsia" w:ascii="宋体" w:hAnsi="宋体"/>
          <w:sz w:val="24"/>
        </w:rPr>
        <w:t>1.管理关系：是指不具有出资持股关系的其他单位之间存在的管理与被管理关系，如一些上下级关系的事业单位和团体组织。</w:t>
      </w:r>
    </w:p>
    <w:p w14:paraId="47DA9AFC">
      <w:pPr>
        <w:snapToGrid w:val="0"/>
        <w:spacing w:line="360" w:lineRule="auto"/>
        <w:ind w:firstLine="480" w:firstLineChars="200"/>
        <w:jc w:val="left"/>
        <w:rPr>
          <w:rFonts w:ascii="宋体" w:hAnsi="宋体"/>
          <w:sz w:val="24"/>
        </w:rPr>
      </w:pPr>
      <w:r>
        <w:rPr>
          <w:rFonts w:hint="eastAsia" w:ascii="宋体" w:hAnsi="宋体"/>
          <w:sz w:val="24"/>
        </w:rPr>
        <w:t>2.</w:t>
      </w:r>
      <w:r>
        <w:rPr>
          <w:rFonts w:hint="eastAsia" w:ascii="宋体" w:hAnsi="宋体"/>
          <w:spacing w:val="-6"/>
          <w:sz w:val="24"/>
        </w:rPr>
        <w:t>本表所指的管理关系仅限于直接管理关系，不包括间接的管理关系。</w:t>
      </w:r>
    </w:p>
    <w:p w14:paraId="5C9EB985">
      <w:pPr>
        <w:snapToGrid w:val="0"/>
        <w:spacing w:line="360" w:lineRule="auto"/>
        <w:ind w:firstLine="480" w:firstLineChars="200"/>
        <w:jc w:val="left"/>
        <w:rPr>
          <w:rFonts w:ascii="宋体" w:hAnsi="宋体"/>
          <w:sz w:val="24"/>
        </w:rPr>
      </w:pPr>
      <w:r>
        <w:rPr>
          <w:rFonts w:hint="eastAsia" w:ascii="宋体" w:hAnsi="宋体"/>
          <w:sz w:val="24"/>
        </w:rPr>
        <w:t>3.供应商不存在直接管理关系的，则填“无”。</w:t>
      </w:r>
    </w:p>
    <w:p w14:paraId="2FEC772A">
      <w:pPr>
        <w:snapToGrid w:val="0"/>
        <w:spacing w:line="360" w:lineRule="auto"/>
        <w:jc w:val="left"/>
        <w:rPr>
          <w:rFonts w:ascii="宋体" w:hAnsi="宋体"/>
          <w:sz w:val="24"/>
        </w:rPr>
      </w:pPr>
    </w:p>
    <w:p w14:paraId="67782ED9">
      <w:pPr>
        <w:snapToGrid w:val="0"/>
        <w:spacing w:line="360" w:lineRule="auto"/>
        <w:jc w:val="left"/>
        <w:rPr>
          <w:rFonts w:ascii="宋体" w:hAnsi="宋体"/>
          <w:sz w:val="24"/>
        </w:rPr>
      </w:pPr>
    </w:p>
    <w:p w14:paraId="267A1653">
      <w:pPr>
        <w:snapToGrid w:val="0"/>
        <w:spacing w:line="360" w:lineRule="auto"/>
        <w:jc w:val="left"/>
        <w:rPr>
          <w:rFonts w:ascii="宋体" w:hAnsi="宋体"/>
          <w:sz w:val="24"/>
        </w:rPr>
      </w:pPr>
    </w:p>
    <w:p w14:paraId="6D9D327B">
      <w:pPr>
        <w:snapToGrid w:val="0"/>
        <w:spacing w:line="360" w:lineRule="auto"/>
        <w:jc w:val="left"/>
        <w:rPr>
          <w:sz w:val="24"/>
        </w:rPr>
      </w:pPr>
    </w:p>
    <w:p w14:paraId="65FA8BC1">
      <w:pPr>
        <w:snapToGrid w:val="0"/>
        <w:spacing w:line="360" w:lineRule="auto"/>
        <w:jc w:val="left"/>
        <w:rPr>
          <w:sz w:val="24"/>
        </w:rPr>
      </w:pPr>
    </w:p>
    <w:p w14:paraId="46A17A09">
      <w:pPr>
        <w:snapToGrid w:val="0"/>
        <w:spacing w:line="360" w:lineRule="auto"/>
        <w:jc w:val="left"/>
        <w:rPr>
          <w:sz w:val="24"/>
        </w:rPr>
      </w:pPr>
    </w:p>
    <w:p w14:paraId="427B955B">
      <w:pPr>
        <w:snapToGrid w:val="0"/>
        <w:spacing w:line="360" w:lineRule="auto"/>
        <w:jc w:val="left"/>
        <w:rPr>
          <w:rFonts w:ascii="宋体" w:hAnsi="宋体"/>
          <w:sz w:val="24"/>
        </w:rPr>
      </w:pPr>
    </w:p>
    <w:p w14:paraId="12101870">
      <w:pPr>
        <w:snapToGrid w:val="0"/>
        <w:spacing w:line="360" w:lineRule="auto"/>
        <w:jc w:val="left"/>
        <w:rPr>
          <w:rFonts w:ascii="宋体" w:hAnsi="宋体"/>
          <w:sz w:val="24"/>
        </w:rPr>
      </w:pPr>
    </w:p>
    <w:p w14:paraId="30C5ED7C">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6DA760C6">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66EFED18">
      <w:pPr>
        <w:snapToGrid w:val="0"/>
        <w:spacing w:before="50" w:afterLines="50"/>
        <w:jc w:val="left"/>
        <w:rPr>
          <w:rFonts w:ascii="宋体" w:hAnsi="宋体"/>
          <w:szCs w:val="21"/>
        </w:rPr>
      </w:pPr>
    </w:p>
    <w:p w14:paraId="482AB249">
      <w:pPr>
        <w:snapToGrid w:val="0"/>
        <w:spacing w:beforeLines="50" w:after="50"/>
        <w:jc w:val="left"/>
        <w:rPr>
          <w:rFonts w:ascii="宋体" w:hAnsi="宋体"/>
          <w:b/>
          <w:sz w:val="24"/>
          <w:szCs w:val="20"/>
        </w:rPr>
      </w:pPr>
    </w:p>
    <w:p w14:paraId="5EFA1B93">
      <w:pPr>
        <w:snapToGrid w:val="0"/>
        <w:spacing w:beforeLines="50" w:after="50"/>
        <w:jc w:val="left"/>
        <w:rPr>
          <w:rFonts w:ascii="宋体" w:hAnsi="宋体"/>
          <w:b/>
          <w:sz w:val="24"/>
        </w:rPr>
      </w:pPr>
    </w:p>
    <w:p w14:paraId="3337AE2F">
      <w:pPr>
        <w:snapToGrid w:val="0"/>
        <w:spacing w:beforeLines="50" w:after="50"/>
        <w:jc w:val="left"/>
        <w:rPr>
          <w:rFonts w:ascii="宋体" w:hAnsi="宋体"/>
          <w:b/>
          <w:sz w:val="24"/>
          <w:szCs w:val="20"/>
        </w:rPr>
      </w:pPr>
    </w:p>
    <w:p w14:paraId="7EC708DB">
      <w:pPr>
        <w:snapToGrid w:val="0"/>
        <w:spacing w:beforeLines="50" w:after="50"/>
        <w:jc w:val="left"/>
        <w:rPr>
          <w:rFonts w:ascii="宋体" w:hAnsi="宋体"/>
          <w:b/>
          <w:sz w:val="24"/>
          <w:szCs w:val="20"/>
        </w:rPr>
      </w:pPr>
    </w:p>
    <w:p w14:paraId="53411297">
      <w:pPr>
        <w:widowControl/>
        <w:jc w:val="left"/>
        <w:rPr>
          <w:rFonts w:ascii="宋体" w:hAnsi="宋体"/>
        </w:rPr>
      </w:pPr>
      <w:r>
        <w:rPr>
          <w:rFonts w:ascii="宋体" w:hAnsi="宋体"/>
        </w:rPr>
        <w:br w:type="page"/>
      </w:r>
    </w:p>
    <w:p w14:paraId="44716048">
      <w:pPr>
        <w:snapToGrid w:val="0"/>
        <w:spacing w:before="50" w:afterLines="50"/>
        <w:jc w:val="left"/>
        <w:rPr>
          <w:rFonts w:ascii="宋体" w:hAnsi="宋体"/>
        </w:rPr>
      </w:pPr>
    </w:p>
    <w:p w14:paraId="35A89297">
      <w:pPr>
        <w:snapToGrid w:val="0"/>
        <w:spacing w:before="50" w:afterLines="50"/>
        <w:jc w:val="center"/>
        <w:rPr>
          <w:rFonts w:ascii="宋体" w:hAnsi="宋体"/>
          <w:b/>
          <w:sz w:val="32"/>
          <w:szCs w:val="32"/>
        </w:rPr>
      </w:pPr>
      <w:r>
        <w:rPr>
          <w:rFonts w:hint="eastAsia" w:ascii="宋体" w:hAnsi="宋体"/>
          <w:b/>
          <w:sz w:val="32"/>
          <w:szCs w:val="32"/>
        </w:rPr>
        <w:t>六、投标资格声明函</w:t>
      </w:r>
    </w:p>
    <w:p w14:paraId="1198DB8E">
      <w:pPr>
        <w:tabs>
          <w:tab w:val="left" w:pos="7200"/>
        </w:tabs>
        <w:spacing w:line="360" w:lineRule="auto"/>
        <w:rPr>
          <w:rFonts w:ascii="宋体" w:hAnsi="宋体"/>
          <w:szCs w:val="21"/>
          <w:u w:val="single"/>
        </w:rPr>
      </w:pPr>
      <w:r>
        <w:rPr>
          <w:rFonts w:hint="eastAsia" w:ascii="宋体" w:hAnsi="宋体"/>
          <w:szCs w:val="21"/>
        </w:rPr>
        <w:t>致：</w:t>
      </w:r>
      <w:bookmarkStart w:id="304" w:name="PO_3000001866_PM031_5"/>
      <w:r>
        <w:rPr>
          <w:rFonts w:hint="eastAsia" w:ascii="宋体" w:hAnsi="宋体"/>
          <w:szCs w:val="21"/>
          <w:u w:val="single"/>
        </w:rPr>
        <w:t>[项目采购-采购组织机构_]</w:t>
      </w:r>
      <w:bookmarkEnd w:id="304"/>
    </w:p>
    <w:p w14:paraId="1F1C4802">
      <w:pPr>
        <w:snapToGrid w:val="0"/>
        <w:spacing w:line="360" w:lineRule="auto"/>
        <w:ind w:firstLine="420" w:firstLineChars="200"/>
        <w:jc w:val="left"/>
        <w:rPr>
          <w:rFonts w:ascii="宋体" w:hAnsi="宋体"/>
          <w:szCs w:val="21"/>
        </w:rPr>
      </w:pPr>
      <w:r>
        <w:rPr>
          <w:rFonts w:hint="eastAsia" w:ascii="宋体" w:hAnsi="宋体"/>
          <w:szCs w:val="21"/>
        </w:rPr>
        <w:t>我方愿意参加贵方组织的_</w:t>
      </w:r>
      <w:bookmarkStart w:id="305" w:name="PO_3000001866_PM002_14"/>
      <w:r>
        <w:rPr>
          <w:rFonts w:hint="eastAsia" w:ascii="宋体" w:hAnsi="宋体"/>
          <w:szCs w:val="21"/>
          <w:u w:val="single"/>
        </w:rPr>
        <w:t>[项目采购-项目名称]</w:t>
      </w:r>
      <w:bookmarkEnd w:id="305"/>
      <w:r>
        <w:rPr>
          <w:rFonts w:hint="eastAsia" w:ascii="宋体" w:hAnsi="宋体"/>
          <w:szCs w:val="21"/>
        </w:rPr>
        <w:t>_（项目编号：</w:t>
      </w:r>
      <w:bookmarkStart w:id="306" w:name="PO_3000001866_PM001_10"/>
      <w:r>
        <w:rPr>
          <w:rFonts w:hint="eastAsia" w:ascii="宋体" w:hAnsi="宋体"/>
          <w:szCs w:val="21"/>
        </w:rPr>
        <w:t>[项目采购-项目编号_10]</w:t>
      </w:r>
      <w:bookmarkEnd w:id="306"/>
      <w:r>
        <w:rPr>
          <w:rFonts w:hint="eastAsia" w:ascii="宋体" w:hAnsi="宋体"/>
          <w:szCs w:val="21"/>
        </w:rPr>
        <w:t xml:space="preserve"> ）项目的投标，为便于贵方公正、择优地确定中标人，我方就本次投标有关事项郑重声明如下：</w:t>
      </w:r>
    </w:p>
    <w:p w14:paraId="7162D33C">
      <w:pPr>
        <w:snapToGrid w:val="0"/>
        <w:spacing w:line="360" w:lineRule="auto"/>
        <w:ind w:firstLine="420" w:firstLineChars="200"/>
        <w:jc w:val="left"/>
        <w:rPr>
          <w:rFonts w:ascii="宋体" w:hAnsi="宋体"/>
          <w:szCs w:val="21"/>
        </w:rPr>
      </w:pPr>
      <w:r>
        <w:rPr>
          <w:rFonts w:hint="eastAsia" w:ascii="宋体" w:hAnsi="宋体"/>
          <w:szCs w:val="21"/>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3324AD53">
      <w:pPr>
        <w:snapToGrid w:val="0"/>
        <w:spacing w:line="360" w:lineRule="auto"/>
        <w:ind w:firstLine="420" w:firstLineChars="200"/>
        <w:jc w:val="left"/>
        <w:rPr>
          <w:rFonts w:ascii="宋体" w:hAnsi="宋体"/>
          <w:szCs w:val="21"/>
        </w:rPr>
      </w:pPr>
      <w:r>
        <w:rPr>
          <w:rFonts w:hint="eastAsia" w:ascii="宋体" w:hAnsi="宋体"/>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7FC28130">
      <w:pPr>
        <w:snapToGrid w:val="0"/>
        <w:spacing w:line="360" w:lineRule="auto"/>
        <w:ind w:firstLine="420" w:firstLineChars="200"/>
        <w:jc w:val="left"/>
        <w:rPr>
          <w:rFonts w:ascii="宋体" w:hAnsi="宋体"/>
          <w:szCs w:val="21"/>
        </w:rPr>
      </w:pPr>
      <w:r>
        <w:rPr>
          <w:rFonts w:hint="eastAsia" w:ascii="宋体" w:hAnsi="宋体"/>
          <w:szCs w:val="21"/>
        </w:rPr>
        <w:t>3.经查询，在“信用中国”和“中国政府采购网”网站我方未被列入失信被执行人、重大税收违法失信主体、政府采购严重违法失信行为记录名单。</w:t>
      </w:r>
    </w:p>
    <w:p w14:paraId="30E2818E">
      <w:pPr>
        <w:snapToGrid w:val="0"/>
        <w:spacing w:line="360" w:lineRule="auto"/>
        <w:ind w:firstLine="420" w:firstLineChars="200"/>
        <w:jc w:val="left"/>
        <w:rPr>
          <w:rFonts w:ascii="宋体" w:hAnsi="宋体"/>
          <w:szCs w:val="21"/>
        </w:rPr>
      </w:pPr>
      <w:r>
        <w:rPr>
          <w:rFonts w:hint="eastAsia" w:ascii="宋体" w:hAnsi="宋体"/>
          <w:szCs w:val="21"/>
        </w:rPr>
        <w:t xml:space="preserve">4.以上事项如有虚假或隐瞒，我方愿意承担一切后果，并不再寻求任何旨在减轻或免除法律责任的辩解。 </w:t>
      </w:r>
    </w:p>
    <w:p w14:paraId="6203E2F8">
      <w:pPr>
        <w:tabs>
          <w:tab w:val="left" w:pos="7200"/>
        </w:tabs>
        <w:ind w:firstLine="270" w:firstLineChars="150"/>
        <w:rPr>
          <w:rFonts w:ascii="宋体" w:hAnsi="宋体"/>
          <w:sz w:val="18"/>
          <w:szCs w:val="18"/>
        </w:rPr>
      </w:pPr>
      <w:r>
        <w:rPr>
          <w:rFonts w:hint="eastAsia" w:ascii="宋体" w:hAnsi="宋体"/>
          <w:sz w:val="18"/>
          <w:szCs w:val="18"/>
        </w:rPr>
        <w:t>说明：</w:t>
      </w:r>
    </w:p>
    <w:p w14:paraId="61243812">
      <w:pPr>
        <w:ind w:firstLine="420" w:firstLineChars="200"/>
        <w:jc w:val="left"/>
        <w:rPr>
          <w:rFonts w:ascii="宋体" w:hAnsi="宋体"/>
          <w:szCs w:val="21"/>
        </w:rPr>
      </w:pPr>
      <w:r>
        <w:rPr>
          <w:rFonts w:hint="eastAsia" w:ascii="宋体" w:hAnsi="宋体"/>
          <w:szCs w:val="21"/>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7BB29922">
      <w:pPr>
        <w:ind w:firstLine="420" w:firstLineChars="200"/>
        <w:jc w:val="left"/>
        <w:rPr>
          <w:rFonts w:ascii="宋体" w:hAnsi="宋体"/>
          <w:szCs w:val="21"/>
        </w:rPr>
      </w:pPr>
      <w:r>
        <w:rPr>
          <w:rFonts w:hint="eastAsia" w:ascii="宋体" w:hAnsi="宋体"/>
          <w:szCs w:val="21"/>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429E8582">
      <w:pPr>
        <w:snapToGrid w:val="0"/>
        <w:spacing w:before="50" w:afterLines="50"/>
        <w:jc w:val="left"/>
        <w:rPr>
          <w:rFonts w:ascii="宋体" w:hAnsi="宋体"/>
          <w:b/>
          <w:szCs w:val="21"/>
        </w:rPr>
      </w:pPr>
      <w:r>
        <w:rPr>
          <w:rFonts w:hint="eastAsia" w:ascii="宋体" w:hAnsi="宋体"/>
          <w:b/>
          <w:szCs w:val="21"/>
        </w:rPr>
        <w:t xml:space="preserve"> 3.如为联合体投标，盖章处须加盖联合体各方公章并由联合体各方法定代表人分别签署，否则投标无效。</w:t>
      </w:r>
    </w:p>
    <w:p w14:paraId="7D892F84">
      <w:pPr>
        <w:snapToGrid w:val="0"/>
        <w:spacing w:before="50" w:afterLines="100" w:line="360" w:lineRule="auto"/>
        <w:jc w:val="left"/>
        <w:rPr>
          <w:rFonts w:ascii="宋体" w:hAnsi="宋体"/>
          <w:sz w:val="24"/>
        </w:rPr>
      </w:pPr>
    </w:p>
    <w:p w14:paraId="00EC0519">
      <w:pPr>
        <w:snapToGrid w:val="0"/>
        <w:spacing w:before="50" w:afterLines="100" w:line="360" w:lineRule="auto"/>
        <w:ind w:left="7428" w:leftChars="2223" w:hanging="2760" w:hangingChars="115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投标人名称(电子签章)：</w:t>
      </w:r>
      <w:r>
        <w:rPr>
          <w:rFonts w:hint="eastAsia" w:ascii="宋体" w:hAnsi="宋体"/>
          <w:szCs w:val="21"/>
        </w:rPr>
        <w:t xml:space="preserve">                                     年    月    日</w:t>
      </w:r>
    </w:p>
    <w:p w14:paraId="12CA3573">
      <w:pPr>
        <w:pStyle w:val="18"/>
        <w:spacing w:line="600" w:lineRule="exact"/>
        <w:jc w:val="center"/>
        <w:rPr>
          <w:rFonts w:ascii="Times New Roman" w:hAnsi="Times New Roman"/>
          <w:b/>
          <w:bCs/>
          <w:sz w:val="30"/>
          <w:szCs w:val="30"/>
        </w:rPr>
      </w:pPr>
    </w:p>
    <w:p w14:paraId="32B0E13A">
      <w:pPr>
        <w:pStyle w:val="18"/>
        <w:spacing w:line="600" w:lineRule="exact"/>
        <w:jc w:val="center"/>
        <w:rPr>
          <w:rFonts w:ascii="Times New Roman" w:hAnsi="Times New Roman"/>
          <w:b/>
          <w:bCs/>
          <w:sz w:val="30"/>
          <w:szCs w:val="30"/>
        </w:rPr>
      </w:pPr>
    </w:p>
    <w:p w14:paraId="2F79A503">
      <w:pPr>
        <w:widowControl/>
        <w:jc w:val="left"/>
        <w:rPr>
          <w:b/>
          <w:bCs/>
          <w:sz w:val="30"/>
          <w:szCs w:val="30"/>
        </w:rPr>
        <w:sectPr>
          <w:pgSz w:w="11906" w:h="16838"/>
          <w:pgMar w:top="1134" w:right="1134" w:bottom="1134" w:left="1134" w:header="720" w:footer="720" w:gutter="0"/>
          <w:cols w:space="720" w:num="1"/>
          <w:docGrid w:type="lines" w:linePitch="331" w:charSpace="0"/>
        </w:sectPr>
      </w:pPr>
    </w:p>
    <w:p w14:paraId="044E12D4">
      <w:pPr>
        <w:pStyle w:val="18"/>
        <w:spacing w:line="600" w:lineRule="exact"/>
        <w:jc w:val="center"/>
        <w:rPr>
          <w:rFonts w:ascii="Times New Roman" w:hAnsi="Times New Roman"/>
          <w:b/>
          <w:bCs/>
          <w:sz w:val="30"/>
          <w:szCs w:val="30"/>
        </w:rPr>
      </w:pPr>
    </w:p>
    <w:p w14:paraId="224A930D">
      <w:pPr>
        <w:pStyle w:val="18"/>
        <w:spacing w:line="600" w:lineRule="exact"/>
        <w:jc w:val="center"/>
        <w:rPr>
          <w:rFonts w:ascii="Times New Roman" w:hAnsi="Times New Roman"/>
          <w:b/>
          <w:bCs/>
          <w:sz w:val="30"/>
          <w:szCs w:val="30"/>
        </w:rPr>
      </w:pPr>
      <w:r>
        <w:rPr>
          <w:rFonts w:hint="eastAsia" w:ascii="Times New Roman" w:hAnsi="Times New Roman"/>
          <w:b/>
          <w:bCs/>
          <w:sz w:val="30"/>
          <w:szCs w:val="30"/>
        </w:rPr>
        <w:t>七、符合特定资格条件（如有）的有关证明材料</w:t>
      </w:r>
    </w:p>
    <w:p w14:paraId="001BDF3E">
      <w:pPr>
        <w:pStyle w:val="18"/>
        <w:spacing w:line="600" w:lineRule="exact"/>
        <w:jc w:val="center"/>
        <w:rPr>
          <w:rFonts w:ascii="Times New Roman" w:hAnsi="Times New Roman"/>
          <w:b/>
          <w:bCs/>
          <w:sz w:val="30"/>
          <w:szCs w:val="30"/>
        </w:rPr>
      </w:pPr>
    </w:p>
    <w:p w14:paraId="1B2C3B05">
      <w:pPr>
        <w:pStyle w:val="18"/>
        <w:spacing w:line="600" w:lineRule="exact"/>
        <w:jc w:val="center"/>
        <w:rPr>
          <w:rFonts w:ascii="Times New Roman" w:hAnsi="Times New Roman"/>
          <w:b/>
          <w:bCs/>
          <w:sz w:val="30"/>
          <w:szCs w:val="30"/>
        </w:rPr>
      </w:pPr>
    </w:p>
    <w:p w14:paraId="417098F7">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6AEF443A">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7AD248BF">
      <w:pPr>
        <w:snapToGrid w:val="0"/>
        <w:spacing w:line="360" w:lineRule="auto"/>
        <w:ind w:firstLine="5160" w:firstLineChars="2150"/>
        <w:rPr>
          <w:rFonts w:ascii="仿宋_GB2312" w:hAnsi="仿宋" w:eastAsia="仿宋_GB2312" w:cs="仿宋_GB2312"/>
          <w:kern w:val="0"/>
          <w:sz w:val="24"/>
          <w:lang w:val="zh-CN"/>
        </w:rPr>
      </w:pPr>
    </w:p>
    <w:p w14:paraId="1B719703">
      <w:pPr>
        <w:snapToGrid w:val="0"/>
        <w:spacing w:line="360" w:lineRule="auto"/>
        <w:ind w:firstLine="5160" w:firstLineChars="2150"/>
        <w:rPr>
          <w:rFonts w:ascii="仿宋_GB2312" w:hAnsi="仿宋" w:eastAsia="仿宋_GB2312" w:cs="仿宋_GB2312"/>
          <w:kern w:val="0"/>
          <w:sz w:val="24"/>
          <w:lang w:val="zh-CN"/>
        </w:rPr>
      </w:pPr>
    </w:p>
    <w:p w14:paraId="41798789">
      <w:pPr>
        <w:snapToGrid w:val="0"/>
        <w:spacing w:line="360" w:lineRule="auto"/>
        <w:ind w:firstLine="5160" w:firstLineChars="2150"/>
        <w:rPr>
          <w:rFonts w:ascii="仿宋_GB2312" w:hAnsi="仿宋" w:eastAsia="仿宋_GB2312" w:cs="仿宋_GB2312"/>
          <w:kern w:val="0"/>
          <w:sz w:val="24"/>
          <w:lang w:val="zh-CN"/>
        </w:rPr>
      </w:pPr>
    </w:p>
    <w:p w14:paraId="34C9C590">
      <w:pPr>
        <w:snapToGrid w:val="0"/>
        <w:spacing w:line="360" w:lineRule="auto"/>
        <w:ind w:firstLine="5160" w:firstLineChars="2150"/>
        <w:rPr>
          <w:rFonts w:ascii="仿宋_GB2312" w:hAnsi="仿宋" w:eastAsia="仿宋_GB2312" w:cs="仿宋_GB2312"/>
          <w:kern w:val="0"/>
          <w:sz w:val="24"/>
          <w:lang w:val="zh-CN"/>
        </w:rPr>
      </w:pPr>
    </w:p>
    <w:p w14:paraId="2CF8BDD4">
      <w:pPr>
        <w:snapToGrid w:val="0"/>
        <w:spacing w:line="360" w:lineRule="auto"/>
        <w:ind w:firstLine="5160" w:firstLineChars="2150"/>
        <w:rPr>
          <w:rFonts w:ascii="仿宋_GB2312" w:hAnsi="仿宋" w:eastAsia="仿宋_GB2312" w:cs="仿宋_GB2312"/>
          <w:kern w:val="0"/>
          <w:sz w:val="24"/>
          <w:lang w:val="zh-CN"/>
        </w:rPr>
      </w:pPr>
    </w:p>
    <w:p w14:paraId="632AE045">
      <w:pPr>
        <w:snapToGrid w:val="0"/>
        <w:spacing w:line="360" w:lineRule="auto"/>
        <w:ind w:firstLine="5160" w:firstLineChars="2150"/>
        <w:rPr>
          <w:rFonts w:ascii="仿宋_GB2312" w:hAnsi="仿宋" w:eastAsia="仿宋_GB2312" w:cs="仿宋_GB2312"/>
          <w:kern w:val="0"/>
          <w:sz w:val="24"/>
          <w:lang w:val="zh-CN"/>
        </w:rPr>
      </w:pPr>
    </w:p>
    <w:p w14:paraId="4B635B92">
      <w:pPr>
        <w:snapToGrid w:val="0"/>
        <w:spacing w:line="360" w:lineRule="auto"/>
        <w:ind w:firstLine="5160" w:firstLineChars="2150"/>
        <w:rPr>
          <w:rFonts w:ascii="仿宋_GB2312" w:hAnsi="仿宋" w:eastAsia="仿宋_GB2312" w:cs="仿宋_GB2312"/>
          <w:kern w:val="0"/>
          <w:sz w:val="24"/>
          <w:lang w:val="zh-CN"/>
        </w:rPr>
      </w:pPr>
    </w:p>
    <w:p w14:paraId="164963E9">
      <w:pPr>
        <w:snapToGrid w:val="0"/>
        <w:spacing w:line="360" w:lineRule="auto"/>
        <w:ind w:firstLine="5160" w:firstLineChars="2150"/>
        <w:rPr>
          <w:rFonts w:ascii="仿宋_GB2312" w:hAnsi="仿宋" w:eastAsia="仿宋_GB2312" w:cs="仿宋_GB2312"/>
          <w:kern w:val="0"/>
          <w:sz w:val="24"/>
          <w:lang w:val="zh-CN"/>
        </w:rPr>
      </w:pPr>
    </w:p>
    <w:p w14:paraId="53A4BAE0">
      <w:pPr>
        <w:snapToGrid w:val="0"/>
        <w:spacing w:line="360" w:lineRule="auto"/>
        <w:ind w:firstLine="5160" w:firstLineChars="2150"/>
        <w:rPr>
          <w:rFonts w:ascii="仿宋_GB2312" w:hAnsi="仿宋" w:eastAsia="仿宋_GB2312" w:cs="仿宋_GB2312"/>
          <w:kern w:val="0"/>
          <w:sz w:val="24"/>
          <w:lang w:val="zh-CN"/>
        </w:rPr>
      </w:pPr>
    </w:p>
    <w:p w14:paraId="2728F701">
      <w:pPr>
        <w:snapToGrid w:val="0"/>
        <w:spacing w:line="360" w:lineRule="auto"/>
        <w:ind w:firstLine="5160" w:firstLineChars="2150"/>
        <w:rPr>
          <w:rFonts w:ascii="仿宋_GB2312" w:hAnsi="仿宋" w:eastAsia="仿宋_GB2312" w:cs="仿宋_GB2312"/>
          <w:kern w:val="0"/>
          <w:sz w:val="24"/>
          <w:lang w:val="zh-CN"/>
        </w:rPr>
      </w:pPr>
    </w:p>
    <w:p w14:paraId="15DCC8BB">
      <w:pPr>
        <w:snapToGrid w:val="0"/>
        <w:spacing w:line="360" w:lineRule="auto"/>
        <w:ind w:firstLine="5160" w:firstLineChars="2150"/>
        <w:rPr>
          <w:rFonts w:ascii="仿宋_GB2312" w:hAnsi="仿宋" w:eastAsia="仿宋_GB2312" w:cs="仿宋_GB2312"/>
          <w:kern w:val="0"/>
          <w:sz w:val="24"/>
          <w:lang w:val="zh-CN"/>
        </w:rPr>
      </w:pPr>
    </w:p>
    <w:p w14:paraId="13F8DC3A">
      <w:pPr>
        <w:snapToGrid w:val="0"/>
        <w:spacing w:line="360" w:lineRule="auto"/>
        <w:ind w:firstLine="5160" w:firstLineChars="2150"/>
        <w:rPr>
          <w:rFonts w:ascii="仿宋_GB2312" w:hAnsi="仿宋" w:eastAsia="仿宋_GB2312" w:cs="仿宋_GB2312"/>
          <w:kern w:val="0"/>
          <w:sz w:val="24"/>
          <w:lang w:val="zh-CN"/>
        </w:rPr>
      </w:pPr>
    </w:p>
    <w:p w14:paraId="463CBE72">
      <w:pPr>
        <w:snapToGrid w:val="0"/>
        <w:spacing w:line="360" w:lineRule="auto"/>
        <w:ind w:firstLine="5160" w:firstLineChars="2150"/>
        <w:rPr>
          <w:rFonts w:ascii="仿宋_GB2312" w:hAnsi="仿宋" w:eastAsia="仿宋_GB2312" w:cs="仿宋_GB2312"/>
          <w:kern w:val="0"/>
          <w:sz w:val="24"/>
          <w:lang w:val="zh-CN"/>
        </w:rPr>
      </w:pPr>
    </w:p>
    <w:p w14:paraId="2F9B7700">
      <w:pPr>
        <w:snapToGrid w:val="0"/>
        <w:spacing w:line="360" w:lineRule="auto"/>
        <w:ind w:firstLine="5160" w:firstLineChars="2150"/>
        <w:rPr>
          <w:rFonts w:ascii="仿宋_GB2312" w:hAnsi="仿宋" w:eastAsia="仿宋_GB2312" w:cs="仿宋_GB2312"/>
          <w:kern w:val="0"/>
          <w:sz w:val="24"/>
          <w:lang w:val="zh-CN"/>
        </w:rPr>
      </w:pPr>
    </w:p>
    <w:p w14:paraId="61402C9E">
      <w:pPr>
        <w:snapToGrid w:val="0"/>
        <w:spacing w:line="360" w:lineRule="auto"/>
        <w:ind w:firstLine="5160" w:firstLineChars="2150"/>
        <w:rPr>
          <w:rFonts w:ascii="仿宋_GB2312" w:hAnsi="仿宋" w:eastAsia="仿宋_GB2312" w:cs="仿宋_GB2312"/>
          <w:kern w:val="0"/>
          <w:sz w:val="24"/>
          <w:lang w:val="zh-CN"/>
        </w:rPr>
      </w:pPr>
    </w:p>
    <w:p w14:paraId="57D9541A">
      <w:pPr>
        <w:snapToGrid w:val="0"/>
        <w:spacing w:line="360" w:lineRule="auto"/>
        <w:ind w:firstLine="5160" w:firstLineChars="2150"/>
        <w:rPr>
          <w:rFonts w:ascii="仿宋_GB2312" w:hAnsi="仿宋" w:eastAsia="仿宋_GB2312" w:cs="仿宋_GB2312"/>
          <w:kern w:val="0"/>
          <w:sz w:val="24"/>
          <w:lang w:val="zh-CN"/>
        </w:rPr>
      </w:pPr>
    </w:p>
    <w:p w14:paraId="36FFDEA3">
      <w:pPr>
        <w:snapToGrid w:val="0"/>
        <w:spacing w:line="360" w:lineRule="auto"/>
        <w:ind w:firstLine="5160" w:firstLineChars="2150"/>
        <w:rPr>
          <w:rFonts w:ascii="仿宋_GB2312" w:hAnsi="仿宋" w:eastAsia="仿宋_GB2312" w:cs="仿宋_GB2312"/>
          <w:kern w:val="0"/>
          <w:sz w:val="24"/>
          <w:lang w:val="zh-CN"/>
        </w:rPr>
      </w:pPr>
    </w:p>
    <w:p w14:paraId="548AFC4F">
      <w:pPr>
        <w:snapToGrid w:val="0"/>
        <w:spacing w:line="360" w:lineRule="auto"/>
        <w:ind w:firstLine="5160" w:firstLineChars="2150"/>
        <w:rPr>
          <w:rFonts w:ascii="仿宋_GB2312" w:hAnsi="仿宋" w:eastAsia="仿宋_GB2312" w:cs="仿宋_GB2312"/>
          <w:kern w:val="0"/>
          <w:sz w:val="24"/>
          <w:lang w:val="zh-CN"/>
        </w:rPr>
      </w:pPr>
    </w:p>
    <w:p w14:paraId="7AEB8C7C">
      <w:pPr>
        <w:snapToGrid w:val="0"/>
        <w:spacing w:line="360" w:lineRule="auto"/>
        <w:ind w:firstLine="5160" w:firstLineChars="2150"/>
        <w:rPr>
          <w:rFonts w:ascii="仿宋_GB2312" w:hAnsi="仿宋" w:eastAsia="仿宋_GB2312" w:cs="仿宋_GB2312"/>
          <w:kern w:val="0"/>
          <w:sz w:val="24"/>
          <w:lang w:val="zh-CN"/>
        </w:rPr>
      </w:pPr>
    </w:p>
    <w:p w14:paraId="01E433AF">
      <w:pPr>
        <w:snapToGrid w:val="0"/>
        <w:spacing w:line="360" w:lineRule="auto"/>
        <w:ind w:firstLine="5160" w:firstLineChars="2150"/>
        <w:rPr>
          <w:rFonts w:ascii="仿宋_GB2312" w:hAnsi="仿宋" w:eastAsia="仿宋_GB2312" w:cs="仿宋_GB2312"/>
          <w:kern w:val="0"/>
          <w:sz w:val="24"/>
          <w:lang w:val="zh-CN"/>
        </w:rPr>
      </w:pPr>
    </w:p>
    <w:p w14:paraId="5437023E">
      <w:pPr>
        <w:snapToGrid w:val="0"/>
        <w:spacing w:line="360" w:lineRule="auto"/>
        <w:ind w:firstLine="5160" w:firstLineChars="2150"/>
        <w:rPr>
          <w:rFonts w:ascii="仿宋_GB2312" w:hAnsi="仿宋" w:eastAsia="仿宋_GB2312" w:cs="仿宋_GB2312"/>
          <w:kern w:val="0"/>
          <w:sz w:val="24"/>
          <w:lang w:val="zh-CN"/>
        </w:rPr>
      </w:pPr>
    </w:p>
    <w:p w14:paraId="6F3DB1EA">
      <w:pPr>
        <w:snapToGrid w:val="0"/>
        <w:spacing w:line="360" w:lineRule="auto"/>
        <w:ind w:firstLine="5160" w:firstLineChars="2150"/>
        <w:rPr>
          <w:rFonts w:ascii="仿宋_GB2312" w:hAnsi="仿宋" w:eastAsia="仿宋_GB2312" w:cs="仿宋_GB2312"/>
          <w:kern w:val="0"/>
          <w:sz w:val="24"/>
          <w:lang w:val="zh-CN"/>
        </w:rPr>
      </w:pPr>
    </w:p>
    <w:p w14:paraId="43955D91">
      <w:pPr>
        <w:snapToGrid w:val="0"/>
        <w:spacing w:line="360" w:lineRule="auto"/>
        <w:ind w:firstLine="5160" w:firstLineChars="2150"/>
        <w:rPr>
          <w:rFonts w:ascii="仿宋_GB2312" w:hAnsi="仿宋" w:eastAsia="仿宋_GB2312" w:cs="仿宋_GB2312"/>
          <w:kern w:val="0"/>
          <w:sz w:val="24"/>
          <w:lang w:val="zh-CN"/>
        </w:rPr>
      </w:pPr>
    </w:p>
    <w:p w14:paraId="3FB5A659">
      <w:pPr>
        <w:widowControl/>
        <w:spacing w:line="360" w:lineRule="auto"/>
        <w:jc w:val="left"/>
        <w:rPr>
          <w:rFonts w:hAnsi="宋体"/>
          <w:szCs w:val="21"/>
        </w:rPr>
        <w:sectPr>
          <w:pgSz w:w="11906" w:h="16838"/>
          <w:pgMar w:top="1134" w:right="1134" w:bottom="1134" w:left="1134" w:header="720" w:footer="720" w:gutter="0"/>
          <w:cols w:space="720" w:num="1"/>
          <w:docGrid w:type="lines" w:linePitch="331" w:charSpace="0"/>
        </w:sectPr>
      </w:pPr>
    </w:p>
    <w:p w14:paraId="4D94461D">
      <w:pPr>
        <w:pStyle w:val="18"/>
        <w:rPr>
          <w:rFonts w:hAnsi="宋体"/>
          <w:szCs w:val="21"/>
        </w:rPr>
      </w:pPr>
    </w:p>
    <w:p w14:paraId="3F70B94A">
      <w:pPr>
        <w:pStyle w:val="18"/>
        <w:jc w:val="center"/>
        <w:outlineLvl w:val="1"/>
        <w:rPr>
          <w:rFonts w:hAnsi="宋体"/>
          <w:b/>
          <w:bCs/>
          <w:sz w:val="28"/>
          <w:szCs w:val="28"/>
        </w:rPr>
      </w:pPr>
      <w:bookmarkStart w:id="307" w:name="_Toc19686838"/>
      <w:bookmarkStart w:id="308" w:name="_Toc187761574"/>
      <w:r>
        <w:rPr>
          <w:rFonts w:hint="eastAsia" w:hAnsi="宋体"/>
          <w:b/>
          <w:bCs/>
          <w:sz w:val="28"/>
          <w:szCs w:val="28"/>
        </w:rPr>
        <w:t>第三节 商务文件格式</w:t>
      </w:r>
      <w:bookmarkEnd w:id="307"/>
      <w:bookmarkEnd w:id="308"/>
    </w:p>
    <w:p w14:paraId="3B71FCB1">
      <w:pPr>
        <w:snapToGrid w:val="0"/>
        <w:spacing w:beforeLines="50" w:after="50"/>
        <w:rPr>
          <w:rFonts w:ascii="宋体" w:hAnsi="宋体"/>
          <w:sz w:val="30"/>
          <w:szCs w:val="20"/>
        </w:rPr>
      </w:pPr>
    </w:p>
    <w:p w14:paraId="702CEE5E">
      <w:pPr>
        <w:snapToGrid w:val="0"/>
        <w:spacing w:beforeLines="50" w:after="50"/>
        <w:rPr>
          <w:rFonts w:ascii="宋体" w:hAnsi="宋体"/>
          <w:bCs/>
          <w:sz w:val="32"/>
          <w:szCs w:val="20"/>
        </w:rPr>
      </w:pPr>
      <w:r>
        <w:rPr>
          <w:rFonts w:hint="eastAsia" w:ascii="宋体" w:hAnsi="宋体"/>
          <w:bCs/>
        </w:rPr>
        <w:t xml:space="preserve">             电子投标文件</w:t>
      </w:r>
    </w:p>
    <w:p w14:paraId="4436402C">
      <w:pPr>
        <w:snapToGrid w:val="0"/>
        <w:spacing w:beforeLines="50" w:after="50"/>
        <w:rPr>
          <w:rFonts w:ascii="宋体" w:hAnsi="宋体"/>
          <w:sz w:val="24"/>
          <w:szCs w:val="20"/>
        </w:rPr>
      </w:pPr>
    </w:p>
    <w:p w14:paraId="07775350">
      <w:pPr>
        <w:snapToGrid w:val="0"/>
        <w:spacing w:beforeLines="50" w:after="50"/>
        <w:jc w:val="center"/>
        <w:rPr>
          <w:rFonts w:ascii="宋体" w:hAnsi="宋体"/>
          <w:b/>
          <w:sz w:val="24"/>
          <w:szCs w:val="20"/>
        </w:rPr>
      </w:pPr>
      <w:r>
        <w:rPr>
          <w:rFonts w:hint="eastAsia" w:ascii="宋体" w:hAnsi="宋体"/>
          <w:b/>
          <w:sz w:val="32"/>
          <w:szCs w:val="32"/>
        </w:rPr>
        <w:t>商务文件（封面）</w:t>
      </w:r>
    </w:p>
    <w:p w14:paraId="07DFB00B">
      <w:pPr>
        <w:snapToGrid w:val="0"/>
        <w:spacing w:beforeLines="50" w:after="50"/>
        <w:rPr>
          <w:rFonts w:ascii="宋体" w:hAnsi="宋体"/>
          <w:bCs/>
          <w:sz w:val="24"/>
          <w:szCs w:val="20"/>
        </w:rPr>
      </w:pPr>
    </w:p>
    <w:p w14:paraId="7CCAB945">
      <w:pPr>
        <w:snapToGrid w:val="0"/>
        <w:spacing w:beforeLines="50" w:after="50"/>
        <w:ind w:firstLine="540" w:firstLineChars="225"/>
        <w:rPr>
          <w:rFonts w:ascii="宋体" w:hAnsi="宋体"/>
          <w:bCs/>
          <w:sz w:val="24"/>
        </w:rPr>
      </w:pPr>
      <w:r>
        <w:rPr>
          <w:rFonts w:hint="eastAsia" w:ascii="宋体" w:hAnsi="宋体"/>
          <w:bCs/>
          <w:sz w:val="24"/>
        </w:rPr>
        <w:t>项目名称：</w:t>
      </w:r>
      <w:bookmarkStart w:id="309" w:name="PO_3000001866_PM002_9"/>
      <w:r>
        <w:rPr>
          <w:rFonts w:hint="eastAsia" w:ascii="宋体" w:hAnsi="宋体"/>
          <w:bCs/>
          <w:sz w:val="24"/>
        </w:rPr>
        <w:t>[项目采购-项目名称]</w:t>
      </w:r>
      <w:bookmarkEnd w:id="309"/>
    </w:p>
    <w:p w14:paraId="203A63BE">
      <w:pPr>
        <w:snapToGrid w:val="0"/>
        <w:spacing w:beforeLines="50" w:after="50"/>
        <w:ind w:firstLine="540" w:firstLineChars="225"/>
        <w:rPr>
          <w:rFonts w:ascii="宋体" w:hAnsi="宋体"/>
          <w:bCs/>
          <w:sz w:val="24"/>
          <w:szCs w:val="20"/>
        </w:rPr>
      </w:pPr>
    </w:p>
    <w:p w14:paraId="08E45502">
      <w:pPr>
        <w:snapToGrid w:val="0"/>
        <w:spacing w:beforeLines="50" w:after="50"/>
        <w:ind w:firstLine="540" w:firstLineChars="225"/>
        <w:rPr>
          <w:rFonts w:ascii="宋体" w:hAnsi="宋体"/>
          <w:bCs/>
          <w:sz w:val="24"/>
        </w:rPr>
      </w:pPr>
      <w:r>
        <w:rPr>
          <w:rFonts w:hint="eastAsia" w:ascii="宋体" w:hAnsi="宋体"/>
          <w:bCs/>
          <w:sz w:val="24"/>
        </w:rPr>
        <w:t>项目编号：</w:t>
      </w:r>
      <w:bookmarkStart w:id="310" w:name="PO_3000001866_PM001_5"/>
      <w:r>
        <w:rPr>
          <w:rFonts w:hint="eastAsia" w:ascii="宋体" w:hAnsi="宋体"/>
          <w:bCs/>
          <w:sz w:val="24"/>
        </w:rPr>
        <w:t>[项目采购-项目编号]</w:t>
      </w:r>
      <w:bookmarkEnd w:id="310"/>
    </w:p>
    <w:p w14:paraId="5AB35A5D">
      <w:pPr>
        <w:snapToGrid w:val="0"/>
        <w:spacing w:beforeLines="50" w:after="50"/>
        <w:ind w:firstLine="540" w:firstLineChars="225"/>
        <w:rPr>
          <w:rFonts w:ascii="宋体" w:hAnsi="宋体"/>
          <w:bCs/>
          <w:sz w:val="24"/>
          <w:szCs w:val="20"/>
        </w:rPr>
      </w:pPr>
    </w:p>
    <w:p w14:paraId="406B7B30">
      <w:pPr>
        <w:snapToGrid w:val="0"/>
        <w:spacing w:beforeLines="50" w:after="50"/>
        <w:ind w:firstLine="540" w:firstLineChars="225"/>
        <w:rPr>
          <w:rFonts w:ascii="宋体" w:hAnsi="宋体"/>
          <w:bCs/>
          <w:sz w:val="24"/>
        </w:rPr>
      </w:pPr>
      <w:r>
        <w:rPr>
          <w:rFonts w:hint="eastAsia" w:ascii="宋体" w:hAnsi="宋体"/>
          <w:bCs/>
          <w:sz w:val="24"/>
        </w:rPr>
        <w:t>所投分标：</w:t>
      </w:r>
    </w:p>
    <w:p w14:paraId="439A33D9">
      <w:pPr>
        <w:snapToGrid w:val="0"/>
        <w:spacing w:beforeLines="50" w:after="50"/>
        <w:ind w:firstLine="540" w:firstLineChars="225"/>
        <w:rPr>
          <w:rFonts w:ascii="宋体" w:hAnsi="宋体"/>
          <w:bCs/>
          <w:sz w:val="24"/>
          <w:szCs w:val="20"/>
        </w:rPr>
      </w:pPr>
    </w:p>
    <w:p w14:paraId="0D8FA351">
      <w:pPr>
        <w:pStyle w:val="9"/>
        <w:snapToGrid w:val="0"/>
        <w:spacing w:before="50" w:after="50"/>
        <w:ind w:firstLine="540" w:firstLineChars="225"/>
        <w:rPr>
          <w:rFonts w:ascii="宋体" w:hAnsi="宋体"/>
          <w:bCs/>
          <w:sz w:val="24"/>
          <w:szCs w:val="24"/>
        </w:rPr>
      </w:pPr>
      <w:r>
        <w:rPr>
          <w:rFonts w:hint="eastAsia" w:ascii="宋体" w:hAnsi="宋体"/>
          <w:bCs/>
          <w:sz w:val="24"/>
          <w:szCs w:val="24"/>
        </w:rPr>
        <w:t>投标人名称：</w:t>
      </w:r>
    </w:p>
    <w:p w14:paraId="27E6680F">
      <w:pPr>
        <w:pStyle w:val="9"/>
        <w:snapToGrid w:val="0"/>
        <w:spacing w:before="50" w:after="50"/>
        <w:ind w:firstLine="540" w:firstLineChars="225"/>
        <w:rPr>
          <w:rFonts w:ascii="宋体" w:hAnsi="宋体"/>
          <w:bCs/>
          <w:sz w:val="24"/>
          <w:szCs w:val="24"/>
        </w:rPr>
      </w:pPr>
    </w:p>
    <w:p w14:paraId="36750036">
      <w:pPr>
        <w:pStyle w:val="9"/>
        <w:snapToGrid w:val="0"/>
        <w:spacing w:before="50" w:after="50"/>
        <w:ind w:firstLine="540" w:firstLineChars="225"/>
        <w:rPr>
          <w:rFonts w:ascii="宋体" w:hAnsi="宋体"/>
          <w:bCs/>
          <w:sz w:val="24"/>
          <w:szCs w:val="24"/>
        </w:rPr>
      </w:pPr>
      <w:r>
        <w:rPr>
          <w:rFonts w:hint="eastAsia" w:ascii="宋体" w:hAnsi="宋体"/>
          <w:bCs/>
          <w:sz w:val="24"/>
          <w:szCs w:val="24"/>
        </w:rPr>
        <w:t>投标人地址：</w:t>
      </w:r>
    </w:p>
    <w:p w14:paraId="48FE5D30">
      <w:pPr>
        <w:pStyle w:val="9"/>
        <w:snapToGrid w:val="0"/>
        <w:spacing w:before="50" w:after="50"/>
        <w:ind w:firstLine="960" w:firstLineChars="400"/>
        <w:rPr>
          <w:rFonts w:ascii="宋体" w:hAnsi="宋体"/>
          <w:bCs/>
          <w:sz w:val="24"/>
          <w:szCs w:val="24"/>
        </w:rPr>
      </w:pPr>
    </w:p>
    <w:p w14:paraId="758FC1E6">
      <w:pPr>
        <w:snapToGrid w:val="0"/>
        <w:spacing w:beforeLines="50" w:after="50"/>
        <w:ind w:firstLine="645"/>
        <w:rPr>
          <w:rFonts w:ascii="宋体" w:hAnsi="宋体"/>
          <w:sz w:val="24"/>
        </w:rPr>
      </w:pPr>
      <w:r>
        <w:rPr>
          <w:rFonts w:hint="eastAsia" w:ascii="宋体" w:hAnsi="宋体"/>
          <w:sz w:val="24"/>
        </w:rPr>
        <w:t xml:space="preserve">                        年  月  日</w:t>
      </w:r>
    </w:p>
    <w:p w14:paraId="713F2BC2">
      <w:pPr>
        <w:snapToGrid w:val="0"/>
        <w:spacing w:beforeLines="50" w:after="50"/>
        <w:rPr>
          <w:rFonts w:ascii="宋体" w:hAnsi="宋体"/>
          <w:sz w:val="24"/>
          <w:szCs w:val="20"/>
        </w:rPr>
      </w:pPr>
    </w:p>
    <w:p w14:paraId="5D2B5788">
      <w:pPr>
        <w:spacing w:line="360" w:lineRule="auto"/>
        <w:ind w:right="420"/>
        <w:rPr>
          <w:rFonts w:ascii="宋体" w:hAnsi="宋体"/>
          <w:sz w:val="24"/>
          <w:szCs w:val="20"/>
        </w:rPr>
      </w:pPr>
    </w:p>
    <w:p w14:paraId="337D356A">
      <w:pPr>
        <w:spacing w:line="360" w:lineRule="auto"/>
        <w:ind w:right="420"/>
        <w:rPr>
          <w:rFonts w:ascii="宋体" w:hAnsi="宋体"/>
          <w:sz w:val="24"/>
          <w:szCs w:val="20"/>
        </w:rPr>
      </w:pPr>
    </w:p>
    <w:p w14:paraId="5AD4EB82">
      <w:pPr>
        <w:spacing w:line="360" w:lineRule="auto"/>
        <w:ind w:right="420"/>
        <w:rPr>
          <w:rFonts w:ascii="宋体" w:hAnsi="宋体"/>
          <w:sz w:val="24"/>
          <w:szCs w:val="20"/>
        </w:rPr>
      </w:pPr>
    </w:p>
    <w:p w14:paraId="14DFA377">
      <w:pPr>
        <w:spacing w:line="360" w:lineRule="auto"/>
        <w:ind w:right="420"/>
        <w:rPr>
          <w:rFonts w:ascii="宋体" w:hAnsi="宋体"/>
          <w:sz w:val="24"/>
          <w:szCs w:val="20"/>
        </w:rPr>
      </w:pPr>
    </w:p>
    <w:p w14:paraId="0D195A8D">
      <w:pPr>
        <w:spacing w:line="360" w:lineRule="auto"/>
        <w:ind w:right="420"/>
        <w:rPr>
          <w:rFonts w:ascii="宋体" w:hAnsi="宋体"/>
          <w:sz w:val="24"/>
          <w:szCs w:val="20"/>
        </w:rPr>
      </w:pPr>
    </w:p>
    <w:p w14:paraId="7065BC97">
      <w:pPr>
        <w:spacing w:line="360" w:lineRule="auto"/>
        <w:ind w:right="420"/>
        <w:rPr>
          <w:rFonts w:ascii="宋体" w:hAnsi="宋体"/>
          <w:sz w:val="24"/>
          <w:szCs w:val="20"/>
        </w:rPr>
      </w:pPr>
    </w:p>
    <w:p w14:paraId="117E9092">
      <w:pPr>
        <w:spacing w:line="360" w:lineRule="auto"/>
        <w:ind w:right="420"/>
        <w:rPr>
          <w:rFonts w:ascii="宋体" w:hAnsi="宋体"/>
          <w:sz w:val="24"/>
          <w:szCs w:val="20"/>
        </w:rPr>
      </w:pPr>
    </w:p>
    <w:p w14:paraId="1DBC96D4">
      <w:pPr>
        <w:spacing w:line="360" w:lineRule="auto"/>
        <w:ind w:right="420"/>
        <w:rPr>
          <w:rFonts w:ascii="宋体" w:hAnsi="宋体"/>
          <w:sz w:val="24"/>
          <w:szCs w:val="20"/>
        </w:rPr>
      </w:pPr>
    </w:p>
    <w:p w14:paraId="192E0ACE">
      <w:pPr>
        <w:spacing w:line="360" w:lineRule="auto"/>
        <w:ind w:right="420"/>
        <w:rPr>
          <w:rFonts w:ascii="宋体" w:hAnsi="宋体"/>
          <w:sz w:val="24"/>
          <w:szCs w:val="20"/>
        </w:rPr>
      </w:pPr>
    </w:p>
    <w:p w14:paraId="0477F422">
      <w:pPr>
        <w:spacing w:line="360" w:lineRule="auto"/>
        <w:ind w:right="420"/>
        <w:rPr>
          <w:rFonts w:ascii="仿宋_GB2312" w:hAnsi="仿宋" w:eastAsia="仿宋_GB2312" w:cs="仿宋_GB2312"/>
          <w:b/>
          <w:kern w:val="0"/>
          <w:sz w:val="36"/>
          <w:szCs w:val="36"/>
        </w:rPr>
      </w:pPr>
    </w:p>
    <w:p w14:paraId="45A0BC13">
      <w:pPr>
        <w:rPr>
          <w:rFonts w:ascii="仿宋_GB2312" w:hAnsi="仿宋" w:eastAsia="仿宋_GB2312" w:cs="仿宋_GB2312"/>
          <w:b/>
          <w:kern w:val="0"/>
          <w:sz w:val="24"/>
        </w:rPr>
      </w:pPr>
    </w:p>
    <w:p w14:paraId="40FD5FB2">
      <w:pPr>
        <w:jc w:val="center"/>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商务文件目录</w:t>
      </w:r>
    </w:p>
    <w:p w14:paraId="09D20CD5">
      <w:pPr>
        <w:pStyle w:val="85"/>
        <w:spacing w:line="360" w:lineRule="auto"/>
        <w:rPr>
          <w:rFonts w:cs="仿宋_GB2312"/>
        </w:rPr>
      </w:pPr>
      <w:r>
        <w:rPr>
          <w:rFonts w:hint="eastAsia" w:cs="仿宋_GB2312"/>
        </w:rPr>
        <w:t>一、无串标行为承诺函…………………………………………………………………（页码）</w:t>
      </w:r>
    </w:p>
    <w:p w14:paraId="1A50F0CC">
      <w:pPr>
        <w:pStyle w:val="85"/>
        <w:spacing w:line="360" w:lineRule="auto"/>
        <w:rPr>
          <w:rFonts w:cs="仿宋_GB2312"/>
        </w:rPr>
      </w:pPr>
      <w:r>
        <w:rPr>
          <w:rFonts w:hint="eastAsia" w:cs="仿宋_GB2312"/>
        </w:rPr>
        <w:t>二、法定代表人身份证明及法定代表人有效身份证正反面复印件………………（页码）</w:t>
      </w:r>
    </w:p>
    <w:p w14:paraId="1695C51A">
      <w:pPr>
        <w:pStyle w:val="85"/>
        <w:spacing w:line="360" w:lineRule="auto"/>
        <w:rPr>
          <w:rFonts w:cs="仿宋_GB2312"/>
        </w:rPr>
      </w:pPr>
      <w:r>
        <w:rPr>
          <w:rFonts w:hint="eastAsia" w:cs="仿宋_GB2312"/>
        </w:rPr>
        <w:t>三、法定代表人授权委托书（如有委托时）………………………………………（页码）</w:t>
      </w:r>
    </w:p>
    <w:p w14:paraId="5E914AAB">
      <w:pPr>
        <w:pStyle w:val="85"/>
        <w:spacing w:line="360" w:lineRule="auto"/>
        <w:rPr>
          <w:rFonts w:cs="仿宋_GB2312"/>
        </w:rPr>
      </w:pPr>
      <w:r>
        <w:rPr>
          <w:rFonts w:hint="eastAsia" w:cs="仿宋_GB2312"/>
        </w:rPr>
        <w:t>四、</w:t>
      </w:r>
      <w:r>
        <w:rPr>
          <w:rFonts w:hint="eastAsia" w:cs="仿宋_GB2312"/>
          <w:lang w:val="zh-CN"/>
        </w:rPr>
        <w:t>商务条款偏离表………………………………</w:t>
      </w:r>
      <w:r>
        <w:rPr>
          <w:rFonts w:hint="eastAsia" w:cs="仿宋_GB2312"/>
        </w:rPr>
        <w:t>……………………………………（页码）</w:t>
      </w:r>
    </w:p>
    <w:p w14:paraId="7559F9D0">
      <w:pPr>
        <w:pStyle w:val="85"/>
        <w:spacing w:line="360" w:lineRule="auto"/>
        <w:rPr>
          <w:rFonts w:cs="仿宋_GB2312"/>
        </w:rPr>
      </w:pPr>
      <w:bookmarkStart w:id="311" w:name="OLE_LINK7"/>
      <w:bookmarkStart w:id="312" w:name="OLE_LINK6"/>
      <w:r>
        <w:rPr>
          <w:rFonts w:hint="eastAsia" w:cs="仿宋_GB2312"/>
        </w:rPr>
        <w:t>五、投标人情况介绍</w:t>
      </w:r>
      <w:r>
        <w:rPr>
          <w:rFonts w:hint="eastAsia" w:cs="仿宋_GB2312"/>
          <w:lang w:val="zh-CN"/>
        </w:rPr>
        <w:t>………………………………</w:t>
      </w:r>
      <w:r>
        <w:rPr>
          <w:rFonts w:hint="eastAsia" w:cs="仿宋_GB2312"/>
        </w:rPr>
        <w:t>……………………………………（页码）</w:t>
      </w:r>
    </w:p>
    <w:p w14:paraId="5594E623">
      <w:pPr>
        <w:pStyle w:val="85"/>
        <w:spacing w:line="360" w:lineRule="auto"/>
        <w:rPr>
          <w:rFonts w:cs="仿宋_GB2312"/>
        </w:rPr>
      </w:pPr>
      <w:r>
        <w:rPr>
          <w:rFonts w:hint="eastAsia" w:cs="仿宋_GB2312"/>
        </w:rPr>
        <w:t>六、实力信誉及业绩</w:t>
      </w:r>
      <w:r>
        <w:rPr>
          <w:rFonts w:hint="eastAsia" w:cs="仿宋_GB2312"/>
          <w:lang w:val="zh-CN"/>
        </w:rPr>
        <w:t>…………………………</w:t>
      </w:r>
      <w:r>
        <w:rPr>
          <w:rFonts w:hint="eastAsia" w:cs="仿宋_GB2312"/>
        </w:rPr>
        <w:t>…</w:t>
      </w:r>
      <w:r>
        <w:rPr>
          <w:rFonts w:hint="eastAsia" w:cs="仿宋_GB2312"/>
          <w:lang w:val="zh-CN"/>
        </w:rPr>
        <w:t>……………………</w:t>
      </w:r>
      <w:r>
        <w:rPr>
          <w:rFonts w:hint="eastAsia" w:cs="仿宋_GB2312"/>
        </w:rPr>
        <w:t>…</w:t>
      </w:r>
      <w:r>
        <w:rPr>
          <w:rFonts w:hint="eastAsia" w:cs="仿宋_GB2312"/>
          <w:lang w:val="zh-CN"/>
        </w:rPr>
        <w:t>………</w:t>
      </w:r>
      <w:r>
        <w:rPr>
          <w:rFonts w:hint="eastAsia" w:cs="仿宋_GB2312"/>
        </w:rPr>
        <w:t>…</w:t>
      </w:r>
      <w:r>
        <w:rPr>
          <w:rFonts w:hint="eastAsia" w:cs="仿宋_GB2312"/>
          <w:lang w:val="zh-CN"/>
        </w:rPr>
        <w:t>…</w:t>
      </w:r>
      <w:r>
        <w:rPr>
          <w:rFonts w:hint="eastAsia" w:cs="仿宋_GB2312"/>
        </w:rPr>
        <w:t>…（页码）</w:t>
      </w:r>
    </w:p>
    <w:p w14:paraId="4B82B53F">
      <w:pPr>
        <w:pStyle w:val="85"/>
        <w:spacing w:line="360" w:lineRule="auto"/>
        <w:rPr>
          <w:rFonts w:cs="仿宋_GB2312"/>
        </w:rPr>
      </w:pPr>
      <w:r>
        <w:rPr>
          <w:rFonts w:hint="eastAsia" w:cs="仿宋_GB2312"/>
        </w:rPr>
        <w:t>七、售后服务方案</w:t>
      </w:r>
      <w:r>
        <w:rPr>
          <w:rFonts w:hint="eastAsia" w:cs="仿宋_GB2312"/>
          <w:lang w:val="zh-CN"/>
        </w:rPr>
        <w:t>…………………………</w:t>
      </w:r>
      <w:r>
        <w:rPr>
          <w:rFonts w:hint="eastAsia" w:cs="仿宋_GB2312"/>
        </w:rPr>
        <w:t>…</w:t>
      </w:r>
      <w:r>
        <w:rPr>
          <w:rFonts w:hint="eastAsia" w:cs="仿宋_GB2312"/>
          <w:lang w:val="zh-CN"/>
        </w:rPr>
        <w:t>……………………</w:t>
      </w:r>
      <w:r>
        <w:rPr>
          <w:rFonts w:hint="eastAsia" w:cs="仿宋_GB2312"/>
        </w:rPr>
        <w:t>…</w:t>
      </w:r>
      <w:r>
        <w:rPr>
          <w:rFonts w:hint="eastAsia" w:cs="仿宋_GB2312"/>
          <w:lang w:val="zh-CN"/>
        </w:rPr>
        <w:t>………</w:t>
      </w:r>
      <w:r>
        <w:rPr>
          <w:rFonts w:hint="eastAsia" w:cs="仿宋_GB2312"/>
        </w:rPr>
        <w:t>…</w:t>
      </w:r>
      <w:r>
        <w:rPr>
          <w:rFonts w:hint="eastAsia" w:cs="仿宋_GB2312"/>
          <w:lang w:val="zh-CN"/>
        </w:rPr>
        <w:t>…</w:t>
      </w:r>
      <w:r>
        <w:rPr>
          <w:rFonts w:hint="eastAsia" w:cs="仿宋_GB2312"/>
        </w:rPr>
        <w:t>…（页码）</w:t>
      </w:r>
      <w:bookmarkEnd w:id="311"/>
      <w:bookmarkEnd w:id="312"/>
    </w:p>
    <w:p w14:paraId="4AA3E05D">
      <w:pPr>
        <w:pStyle w:val="85"/>
        <w:spacing w:line="360" w:lineRule="auto"/>
        <w:rPr>
          <w:rFonts w:cs="仿宋_GB2312"/>
        </w:rPr>
      </w:pPr>
      <w:r>
        <w:rPr>
          <w:rFonts w:hint="eastAsia" w:cs="仿宋_GB2312"/>
        </w:rPr>
        <w:t>八、专业服务及服务时限</w:t>
      </w:r>
      <w:r>
        <w:rPr>
          <w:rFonts w:hint="eastAsia" w:cs="仿宋_GB2312"/>
          <w:lang w:val="zh-CN"/>
        </w:rPr>
        <w:t>…………………………………………………………</w:t>
      </w:r>
      <w:r>
        <w:rPr>
          <w:rFonts w:hint="eastAsia" w:cs="仿宋_GB2312"/>
        </w:rPr>
        <w:t>…（页码）</w:t>
      </w:r>
    </w:p>
    <w:p w14:paraId="1E3F4359">
      <w:pPr>
        <w:pStyle w:val="85"/>
        <w:spacing w:line="360" w:lineRule="auto"/>
        <w:rPr>
          <w:rFonts w:cs="仿宋_GB2312"/>
        </w:rPr>
      </w:pPr>
      <w:r>
        <w:rPr>
          <w:rFonts w:hint="eastAsia" w:cs="仿宋_GB2312"/>
        </w:rPr>
        <w:t>九、其他商务文件或说明</w:t>
      </w:r>
      <w:r>
        <w:rPr>
          <w:rFonts w:hint="eastAsia" w:cs="仿宋_GB2312"/>
          <w:lang w:val="zh-CN"/>
        </w:rPr>
        <w:t>…………………………………………………………</w:t>
      </w:r>
      <w:r>
        <w:rPr>
          <w:rFonts w:hint="eastAsia" w:cs="仿宋_GB2312"/>
        </w:rPr>
        <w:t>…（页码）</w:t>
      </w:r>
    </w:p>
    <w:p w14:paraId="179A575A">
      <w:pPr>
        <w:spacing w:line="360" w:lineRule="auto"/>
        <w:rPr>
          <w:rFonts w:ascii="仿宋_GB2312" w:hAnsi="仿宋" w:eastAsia="仿宋_GB2312" w:cs="仿宋_GB2312"/>
          <w:b/>
          <w:bCs/>
          <w:sz w:val="24"/>
        </w:rPr>
      </w:pPr>
      <w:r>
        <w:rPr>
          <w:rFonts w:hint="eastAsia" w:ascii="仿宋_GB2312" w:hAnsi="仿宋" w:eastAsia="仿宋_GB2312" w:cs="仿宋_GB2312"/>
          <w:b/>
          <w:bCs/>
          <w:sz w:val="24"/>
        </w:rPr>
        <w:t>注：以上目录是基本格式要求，各投标人可根据自身情况进一步向下增加内容或细化。</w:t>
      </w:r>
    </w:p>
    <w:p w14:paraId="6C1D35C6">
      <w:pPr>
        <w:widowControl/>
        <w:spacing w:line="360" w:lineRule="auto"/>
        <w:jc w:val="left"/>
        <w:rPr>
          <w:rFonts w:ascii="宋体" w:hAnsi="宋体"/>
        </w:rPr>
        <w:sectPr>
          <w:pgSz w:w="11906" w:h="16838"/>
          <w:pgMar w:top="1134" w:right="1134" w:bottom="1134" w:left="1134" w:header="720" w:footer="720" w:gutter="0"/>
          <w:cols w:space="720" w:num="1"/>
          <w:docGrid w:type="lines" w:linePitch="331" w:charSpace="0"/>
        </w:sectPr>
      </w:pPr>
    </w:p>
    <w:p w14:paraId="7EA4E327">
      <w:pPr>
        <w:snapToGrid w:val="0"/>
        <w:spacing w:beforeLines="50" w:after="50"/>
        <w:ind w:left="420"/>
        <w:jc w:val="center"/>
        <w:rPr>
          <w:b/>
          <w:bCs/>
          <w:sz w:val="30"/>
          <w:szCs w:val="30"/>
        </w:rPr>
      </w:pPr>
      <w:r>
        <w:rPr>
          <w:rFonts w:hint="eastAsia"/>
          <w:b/>
          <w:bCs/>
          <w:sz w:val="30"/>
          <w:szCs w:val="30"/>
        </w:rPr>
        <w:t>一、无串标行为承诺函</w:t>
      </w:r>
    </w:p>
    <w:p w14:paraId="48369107">
      <w:pPr>
        <w:snapToGrid w:val="0"/>
        <w:spacing w:beforeLines="50" w:after="50"/>
        <w:ind w:left="420"/>
        <w:jc w:val="center"/>
        <w:rPr>
          <w:rFonts w:ascii="宋体" w:hAnsi="宋体"/>
          <w:b/>
          <w:sz w:val="32"/>
          <w:szCs w:val="32"/>
        </w:rPr>
      </w:pPr>
      <w:r>
        <w:rPr>
          <w:rFonts w:hint="eastAsia" w:ascii="宋体" w:hAnsi="宋体"/>
          <w:b/>
          <w:sz w:val="32"/>
          <w:szCs w:val="32"/>
        </w:rPr>
        <w:t>投标人参加本项目无围标串标行为的承诺函</w:t>
      </w:r>
    </w:p>
    <w:p w14:paraId="1A9A61F7">
      <w:pPr>
        <w:snapToGrid w:val="0"/>
        <w:spacing w:beforeLines="50" w:after="50"/>
        <w:rPr>
          <w:rFonts w:ascii="宋体" w:hAnsi="宋体"/>
          <w:b/>
          <w:szCs w:val="21"/>
        </w:rPr>
      </w:pPr>
    </w:p>
    <w:p w14:paraId="070AAEA9">
      <w:pPr>
        <w:snapToGrid w:val="0"/>
        <w:spacing w:beforeLines="50" w:after="50" w:line="360" w:lineRule="auto"/>
        <w:jc w:val="left"/>
        <w:rPr>
          <w:rFonts w:ascii="宋体" w:hAnsi="宋体"/>
          <w:b/>
          <w:szCs w:val="21"/>
        </w:rPr>
      </w:pPr>
      <w:r>
        <w:rPr>
          <w:rFonts w:hint="eastAsia" w:ascii="宋体" w:hAnsi="宋体"/>
          <w:b/>
          <w:szCs w:val="21"/>
        </w:rPr>
        <w:t>一、我方承诺无下列相互串通投标的情形：</w:t>
      </w:r>
    </w:p>
    <w:p w14:paraId="0163760C">
      <w:pPr>
        <w:snapToGrid w:val="0"/>
        <w:spacing w:beforeLines="50" w:after="50" w:line="360" w:lineRule="auto"/>
        <w:ind w:firstLine="411" w:firstLineChars="196"/>
        <w:jc w:val="left"/>
        <w:rPr>
          <w:rFonts w:ascii="宋体" w:hAnsi="宋体"/>
          <w:szCs w:val="21"/>
        </w:rPr>
      </w:pPr>
      <w:r>
        <w:rPr>
          <w:rFonts w:hint="eastAsia" w:ascii="宋体" w:hAnsi="宋体"/>
          <w:szCs w:val="21"/>
        </w:rPr>
        <w:t>1.不同投标人的投标文件由同一单位或者个人编制；或者不同投标人报名的IP地址一致的；或者编制标书硬件设备CPU编号、硬盘编号、网卡地址一致的情况。</w:t>
      </w:r>
    </w:p>
    <w:p w14:paraId="4126D3CF">
      <w:pPr>
        <w:snapToGrid w:val="0"/>
        <w:spacing w:beforeLines="50" w:after="50" w:line="360" w:lineRule="auto"/>
        <w:ind w:firstLine="411" w:firstLineChars="196"/>
        <w:jc w:val="left"/>
        <w:rPr>
          <w:rFonts w:ascii="宋体" w:hAnsi="宋体"/>
          <w:szCs w:val="21"/>
        </w:rPr>
      </w:pPr>
      <w:r>
        <w:rPr>
          <w:rFonts w:hint="eastAsia" w:ascii="宋体" w:hAnsi="宋体"/>
          <w:szCs w:val="21"/>
        </w:rPr>
        <w:t>2.不同投标人委托同一单位或者个人办理投标事宜；</w:t>
      </w:r>
    </w:p>
    <w:p w14:paraId="549EF14B">
      <w:pPr>
        <w:snapToGrid w:val="0"/>
        <w:spacing w:beforeLines="50" w:after="50" w:line="360" w:lineRule="auto"/>
        <w:ind w:firstLine="411" w:firstLineChars="196"/>
        <w:jc w:val="left"/>
        <w:rPr>
          <w:rFonts w:ascii="宋体" w:hAnsi="宋体"/>
          <w:szCs w:val="21"/>
        </w:rPr>
      </w:pPr>
      <w:r>
        <w:rPr>
          <w:rFonts w:hint="eastAsia" w:ascii="宋体" w:hAnsi="宋体"/>
          <w:szCs w:val="21"/>
        </w:rPr>
        <w:t>3.不同的投标人的投标文件载明的项目管理员为同一个人；</w:t>
      </w:r>
    </w:p>
    <w:p w14:paraId="0B96FEE6">
      <w:pPr>
        <w:snapToGrid w:val="0"/>
        <w:spacing w:beforeLines="50" w:after="50" w:line="360" w:lineRule="auto"/>
        <w:ind w:firstLine="411" w:firstLineChars="196"/>
        <w:jc w:val="left"/>
        <w:rPr>
          <w:rFonts w:ascii="宋体" w:hAnsi="宋体"/>
          <w:szCs w:val="21"/>
        </w:rPr>
      </w:pPr>
      <w:r>
        <w:rPr>
          <w:rFonts w:hint="eastAsia" w:ascii="宋体" w:hAnsi="宋体"/>
          <w:szCs w:val="21"/>
        </w:rPr>
        <w:t>4.不同投标人的投标文件异常一致或者投标报价呈规律性差异；</w:t>
      </w:r>
    </w:p>
    <w:p w14:paraId="59884527">
      <w:pPr>
        <w:snapToGrid w:val="0"/>
        <w:spacing w:beforeLines="50" w:after="50" w:line="360" w:lineRule="auto"/>
        <w:ind w:firstLine="411" w:firstLineChars="196"/>
        <w:jc w:val="left"/>
        <w:rPr>
          <w:rFonts w:ascii="宋体" w:hAnsi="宋体"/>
          <w:szCs w:val="21"/>
        </w:rPr>
      </w:pPr>
      <w:r>
        <w:rPr>
          <w:rFonts w:hint="eastAsia" w:ascii="宋体" w:hAnsi="宋体"/>
          <w:szCs w:val="21"/>
        </w:rPr>
        <w:t>5.不同投标人的投标文件相互混装；</w:t>
      </w:r>
    </w:p>
    <w:p w14:paraId="09B17E49">
      <w:pPr>
        <w:snapToGrid w:val="0"/>
        <w:spacing w:beforeLines="50" w:after="50" w:line="360" w:lineRule="auto"/>
        <w:ind w:firstLine="411" w:firstLineChars="196"/>
        <w:jc w:val="left"/>
        <w:rPr>
          <w:rFonts w:ascii="宋体" w:hAnsi="宋体"/>
          <w:szCs w:val="21"/>
        </w:rPr>
      </w:pPr>
      <w:r>
        <w:rPr>
          <w:rFonts w:hint="eastAsia" w:ascii="宋体" w:hAnsi="宋体"/>
          <w:szCs w:val="21"/>
        </w:rPr>
        <w:t>6.不同投标人的投标保证金从同一单位或者个人账户转出。</w:t>
      </w:r>
    </w:p>
    <w:p w14:paraId="261D9479">
      <w:pPr>
        <w:snapToGrid w:val="0"/>
        <w:spacing w:beforeLines="50" w:after="50" w:line="360" w:lineRule="auto"/>
        <w:jc w:val="left"/>
        <w:rPr>
          <w:rFonts w:ascii="宋体" w:hAnsi="宋体"/>
          <w:szCs w:val="21"/>
        </w:rPr>
      </w:pPr>
      <w:r>
        <w:rPr>
          <w:rFonts w:hint="eastAsia" w:ascii="宋体" w:hAnsi="宋体"/>
          <w:b/>
          <w:szCs w:val="21"/>
        </w:rPr>
        <w:t>二、我方承诺无下列恶意串通的情形：</w:t>
      </w:r>
    </w:p>
    <w:p w14:paraId="61CFE5A2">
      <w:pPr>
        <w:snapToGrid w:val="0"/>
        <w:spacing w:beforeLines="50" w:after="50" w:line="360" w:lineRule="auto"/>
        <w:ind w:firstLine="411" w:firstLineChars="196"/>
        <w:jc w:val="left"/>
        <w:rPr>
          <w:rFonts w:ascii="宋体" w:hAnsi="宋体"/>
          <w:szCs w:val="21"/>
        </w:rPr>
      </w:pPr>
      <w:r>
        <w:rPr>
          <w:rFonts w:hint="eastAsia" w:ascii="宋体" w:hAnsi="宋体"/>
          <w:szCs w:val="21"/>
        </w:rPr>
        <w:t>1.投标人直接或者间接从采购人或者采购代理机构处获得其他投标人的相关信息并修改其投标文件或者投标文件；</w:t>
      </w:r>
    </w:p>
    <w:p w14:paraId="0785D3F2">
      <w:pPr>
        <w:snapToGrid w:val="0"/>
        <w:spacing w:beforeLines="50" w:after="50" w:line="360" w:lineRule="auto"/>
        <w:ind w:firstLine="411" w:firstLineChars="196"/>
        <w:jc w:val="left"/>
        <w:rPr>
          <w:rFonts w:ascii="宋体" w:hAnsi="宋体"/>
          <w:szCs w:val="21"/>
        </w:rPr>
      </w:pPr>
      <w:r>
        <w:rPr>
          <w:rFonts w:hint="eastAsia" w:ascii="宋体" w:hAnsi="宋体"/>
          <w:szCs w:val="21"/>
        </w:rPr>
        <w:t>2.投标人按照采购人或者采购代理机构的授意撤换、修改投标文件或者投标文件；</w:t>
      </w:r>
    </w:p>
    <w:p w14:paraId="6F181DAD">
      <w:pPr>
        <w:snapToGrid w:val="0"/>
        <w:spacing w:beforeLines="50" w:after="50" w:line="360" w:lineRule="auto"/>
        <w:ind w:firstLine="411" w:firstLineChars="196"/>
        <w:jc w:val="left"/>
        <w:rPr>
          <w:rFonts w:ascii="宋体" w:hAnsi="宋体"/>
          <w:szCs w:val="21"/>
        </w:rPr>
      </w:pPr>
      <w:r>
        <w:rPr>
          <w:rFonts w:hint="eastAsia" w:ascii="宋体" w:hAnsi="宋体"/>
          <w:szCs w:val="21"/>
        </w:rPr>
        <w:t>3.投标人之间协商报价、技术方案等投标文件或者投标文件的实质性内容；</w:t>
      </w:r>
    </w:p>
    <w:p w14:paraId="4EE4582D">
      <w:pPr>
        <w:snapToGrid w:val="0"/>
        <w:spacing w:beforeLines="50" w:after="50" w:line="360" w:lineRule="auto"/>
        <w:ind w:firstLine="411" w:firstLineChars="196"/>
        <w:jc w:val="left"/>
        <w:rPr>
          <w:rFonts w:ascii="宋体" w:hAnsi="宋体"/>
          <w:szCs w:val="21"/>
        </w:rPr>
      </w:pPr>
      <w:r>
        <w:rPr>
          <w:rFonts w:hint="eastAsia" w:ascii="宋体" w:hAnsi="宋体"/>
          <w:szCs w:val="21"/>
        </w:rPr>
        <w:t>4.属于同一集团、协会、商会等组织成员的投标人按照该组织要求协同参加政府采购活动；</w:t>
      </w:r>
    </w:p>
    <w:p w14:paraId="64495377">
      <w:pPr>
        <w:snapToGrid w:val="0"/>
        <w:spacing w:beforeLines="50" w:after="50" w:line="360" w:lineRule="auto"/>
        <w:ind w:firstLine="411" w:firstLineChars="196"/>
        <w:jc w:val="left"/>
        <w:rPr>
          <w:rFonts w:ascii="宋体" w:hAnsi="宋体"/>
          <w:szCs w:val="21"/>
        </w:rPr>
      </w:pPr>
      <w:r>
        <w:rPr>
          <w:rFonts w:hint="eastAsia" w:ascii="宋体" w:hAnsi="宋体"/>
          <w:szCs w:val="21"/>
        </w:rPr>
        <w:t>5.投标人之间事先约定一致抬高或者压低投标报价，或者在招标项目中事先约定轮流以高价位或者低价位中标，或者事先约定由某一特定投标人中标，然后再参加投标；</w:t>
      </w:r>
    </w:p>
    <w:p w14:paraId="6F8F8A0B">
      <w:pPr>
        <w:snapToGrid w:val="0"/>
        <w:spacing w:beforeLines="50" w:after="50" w:line="360" w:lineRule="auto"/>
        <w:ind w:firstLine="411" w:firstLineChars="196"/>
        <w:jc w:val="left"/>
        <w:rPr>
          <w:rFonts w:ascii="宋体" w:hAnsi="宋体"/>
          <w:szCs w:val="21"/>
        </w:rPr>
      </w:pPr>
      <w:r>
        <w:rPr>
          <w:rFonts w:hint="eastAsia" w:ascii="宋体" w:hAnsi="宋体"/>
          <w:szCs w:val="21"/>
        </w:rPr>
        <w:t>6.投标人之间商定部分投标人放弃参加政府采购活动或者放弃中标；</w:t>
      </w:r>
    </w:p>
    <w:p w14:paraId="1559AB3B">
      <w:pPr>
        <w:snapToGrid w:val="0"/>
        <w:spacing w:beforeLines="50" w:after="50" w:line="360" w:lineRule="auto"/>
        <w:ind w:firstLine="411" w:firstLineChars="196"/>
        <w:jc w:val="left"/>
        <w:rPr>
          <w:rFonts w:ascii="宋体" w:hAnsi="宋体"/>
          <w:szCs w:val="21"/>
        </w:rPr>
      </w:pPr>
      <w:r>
        <w:rPr>
          <w:rFonts w:hint="eastAsia" w:ascii="宋体" w:hAnsi="宋体"/>
          <w:szCs w:val="21"/>
        </w:rPr>
        <w:t>7.投标人与采购人或者采购代理机构之间、投标人相互之间，为谋求特定投标人中标或者排斥其他投标人的其他串通行为。</w:t>
      </w:r>
    </w:p>
    <w:p w14:paraId="7DBE3952">
      <w:pPr>
        <w:snapToGrid w:val="0"/>
        <w:spacing w:beforeLines="50" w:after="50" w:line="360" w:lineRule="auto"/>
        <w:ind w:firstLine="413" w:firstLineChars="196"/>
        <w:jc w:val="left"/>
        <w:rPr>
          <w:rFonts w:ascii="宋体" w:hAnsi="宋体"/>
          <w:b/>
          <w:szCs w:val="21"/>
        </w:rPr>
      </w:pPr>
      <w:r>
        <w:rPr>
          <w:rFonts w:hint="eastAsia" w:ascii="宋体" w:hAnsi="宋体"/>
          <w:b/>
          <w:szCs w:val="21"/>
        </w:rPr>
        <w:t>以上情形一经核查属实，我方愿意承担一切后果，接受政府采购监管部门对我方认定存在围标串标行为，并不再寻求任何旨在减轻或者免除法律责任的辩解。</w:t>
      </w:r>
    </w:p>
    <w:p w14:paraId="141C9C93">
      <w:pPr>
        <w:snapToGrid w:val="0"/>
        <w:spacing w:line="360" w:lineRule="auto"/>
        <w:ind w:firstLine="5640" w:firstLineChars="235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1DA52D41">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46C59E4E">
      <w:pPr>
        <w:pStyle w:val="18"/>
        <w:snapToGrid w:val="0"/>
        <w:spacing w:before="295" w:after="295" w:line="360" w:lineRule="auto"/>
        <w:jc w:val="center"/>
        <w:rPr>
          <w:rFonts w:hAnsi="宋体"/>
          <w:b/>
          <w:sz w:val="24"/>
        </w:rPr>
      </w:pPr>
      <w:r>
        <w:rPr>
          <w:rFonts w:hint="eastAsia" w:hAnsi="宋体"/>
          <w:b/>
          <w:sz w:val="24"/>
        </w:rPr>
        <w:br w:type="page"/>
      </w:r>
      <w:r>
        <w:rPr>
          <w:rFonts w:hint="eastAsia" w:ascii="Times New Roman" w:hAnsi="Times New Roman"/>
          <w:b/>
          <w:bCs/>
          <w:sz w:val="30"/>
          <w:szCs w:val="30"/>
        </w:rPr>
        <w:t>二、法定代表人身份证明</w:t>
      </w:r>
    </w:p>
    <w:p w14:paraId="64BB0B64">
      <w:pPr>
        <w:spacing w:beforeLines="100" w:afterLines="50"/>
        <w:ind w:left="540"/>
        <w:jc w:val="center"/>
        <w:rPr>
          <w:rFonts w:ascii="宋体" w:hAnsi="Courier New"/>
          <w:b/>
          <w:sz w:val="32"/>
          <w:szCs w:val="32"/>
        </w:rPr>
      </w:pPr>
    </w:p>
    <w:p w14:paraId="58DC9BFC">
      <w:pPr>
        <w:spacing w:beforeLines="100" w:afterLines="50"/>
        <w:ind w:left="540"/>
        <w:jc w:val="center"/>
        <w:rPr>
          <w:rFonts w:ascii="黑体" w:hAnsi="宋体" w:eastAsia="黑体"/>
          <w:sz w:val="32"/>
          <w:szCs w:val="32"/>
        </w:rPr>
      </w:pPr>
      <w:r>
        <w:rPr>
          <w:rFonts w:hint="eastAsia" w:ascii="宋体" w:hAnsi="Courier New"/>
          <w:b/>
          <w:sz w:val="32"/>
          <w:szCs w:val="32"/>
        </w:rPr>
        <w:t>法定代表人身份证明</w:t>
      </w:r>
    </w:p>
    <w:p w14:paraId="0064048C">
      <w:pPr>
        <w:spacing w:line="500" w:lineRule="exact"/>
        <w:ind w:left="540"/>
        <w:rPr>
          <w:rFonts w:ascii="宋体" w:hAnsi="宋体"/>
          <w:sz w:val="24"/>
        </w:rPr>
      </w:pPr>
      <w:r>
        <w:rPr>
          <w:rFonts w:hint="eastAsia" w:ascii="宋体" w:hAnsi="宋体"/>
          <w:sz w:val="24"/>
        </w:rPr>
        <w:t>投 标 人：</w:t>
      </w:r>
    </w:p>
    <w:p w14:paraId="06FCA37F">
      <w:pPr>
        <w:spacing w:line="500" w:lineRule="exact"/>
        <w:ind w:left="540"/>
        <w:rPr>
          <w:rFonts w:ascii="宋体" w:hAnsi="宋体"/>
          <w:sz w:val="24"/>
        </w:rPr>
      </w:pPr>
      <w:r>
        <w:rPr>
          <w:rFonts w:hint="eastAsia" w:ascii="宋体" w:hAnsi="宋体"/>
          <w:sz w:val="24"/>
        </w:rPr>
        <w:t>地    址：</w:t>
      </w:r>
    </w:p>
    <w:p w14:paraId="4272CBCF">
      <w:pPr>
        <w:spacing w:line="500" w:lineRule="exact"/>
        <w:ind w:left="540"/>
        <w:rPr>
          <w:rFonts w:ascii="宋体" w:hAnsi="宋体"/>
          <w:sz w:val="24"/>
        </w:rPr>
      </w:pPr>
      <w:r>
        <w:rPr>
          <w:rFonts w:hint="eastAsia" w:ascii="宋体" w:hAnsi="宋体"/>
          <w:sz w:val="24"/>
        </w:rPr>
        <w:t>姓    名：性      别：</w:t>
      </w:r>
    </w:p>
    <w:p w14:paraId="09DFAB6B">
      <w:pPr>
        <w:spacing w:line="500" w:lineRule="exact"/>
        <w:ind w:left="540"/>
        <w:rPr>
          <w:rFonts w:ascii="宋体" w:hAnsi="宋体"/>
          <w:sz w:val="24"/>
          <w:u w:val="single"/>
        </w:rPr>
      </w:pPr>
      <w:r>
        <w:rPr>
          <w:rFonts w:hint="eastAsia" w:ascii="宋体" w:hAnsi="宋体"/>
          <w:sz w:val="24"/>
        </w:rPr>
        <w:t>年    龄：职      务：</w:t>
      </w:r>
    </w:p>
    <w:p w14:paraId="4234AB2D">
      <w:pPr>
        <w:spacing w:line="500" w:lineRule="exact"/>
        <w:ind w:left="540"/>
        <w:rPr>
          <w:rFonts w:ascii="宋体" w:hAnsi="宋体"/>
          <w:sz w:val="24"/>
        </w:rPr>
      </w:pPr>
      <w:r>
        <w:rPr>
          <w:rFonts w:hint="eastAsia" w:ascii="宋体" w:hAnsi="宋体"/>
          <w:sz w:val="24"/>
        </w:rPr>
        <w:t>身份证</w:t>
      </w:r>
      <w:r>
        <w:rPr>
          <w:rFonts w:hint="eastAsia"/>
          <w:sz w:val="24"/>
        </w:rPr>
        <w:t>号码：</w:t>
      </w:r>
    </w:p>
    <w:p w14:paraId="1BDEAFA7">
      <w:pPr>
        <w:spacing w:line="500" w:lineRule="exact"/>
        <w:ind w:left="540"/>
        <w:rPr>
          <w:rFonts w:ascii="宋体" w:hAnsi="宋体"/>
          <w:sz w:val="24"/>
        </w:rPr>
      </w:pPr>
      <w:r>
        <w:rPr>
          <w:rFonts w:hint="eastAsia" w:ascii="宋体" w:hAnsi="宋体"/>
          <w:sz w:val="24"/>
        </w:rPr>
        <w:t>系</w:t>
      </w:r>
      <w:r>
        <w:rPr>
          <w:rFonts w:hint="eastAsia" w:ascii="宋体" w:hAnsi="宋体"/>
          <w:sz w:val="24"/>
          <w:u w:val="single"/>
        </w:rPr>
        <w:t xml:space="preserve">            （投标人名称）              </w:t>
      </w:r>
      <w:r>
        <w:rPr>
          <w:rFonts w:hint="eastAsia" w:ascii="宋体" w:hAnsi="宋体"/>
          <w:sz w:val="24"/>
        </w:rPr>
        <w:t>的法定代表人。</w:t>
      </w:r>
    </w:p>
    <w:p w14:paraId="21151AB5">
      <w:pPr>
        <w:spacing w:line="500" w:lineRule="exact"/>
        <w:ind w:left="540"/>
        <w:rPr>
          <w:rFonts w:ascii="宋体" w:hAnsi="宋体"/>
          <w:sz w:val="24"/>
        </w:rPr>
      </w:pPr>
      <w:r>
        <w:rPr>
          <w:rFonts w:hint="eastAsia" w:ascii="宋体" w:hAnsi="宋体"/>
          <w:sz w:val="24"/>
        </w:rPr>
        <w:t>特此证明。</w:t>
      </w:r>
    </w:p>
    <w:p w14:paraId="21FDCEDD">
      <w:pPr>
        <w:spacing w:line="500" w:lineRule="exact"/>
        <w:ind w:left="540"/>
        <w:rPr>
          <w:rFonts w:ascii="宋体" w:hAnsi="宋体"/>
          <w:sz w:val="24"/>
        </w:rPr>
      </w:pPr>
    </w:p>
    <w:p w14:paraId="38C07F57">
      <w:pPr>
        <w:spacing w:line="500" w:lineRule="exact"/>
        <w:ind w:left="540"/>
        <w:rPr>
          <w:rFonts w:ascii="宋体" w:hAnsi="宋体"/>
          <w:sz w:val="24"/>
        </w:rPr>
      </w:pPr>
    </w:p>
    <w:p w14:paraId="5157455D">
      <w:pPr>
        <w:spacing w:line="500" w:lineRule="exact"/>
        <w:ind w:left="540"/>
        <w:rPr>
          <w:rFonts w:ascii="宋体" w:hAnsi="宋体"/>
          <w:sz w:val="24"/>
        </w:rPr>
      </w:pPr>
      <w:r>
        <w:rPr>
          <w:rFonts w:hint="eastAsia" w:ascii="宋体" w:hAnsi="宋体"/>
          <w:sz w:val="24"/>
        </w:rPr>
        <w:t>附件：法定代表人有效身份证正反面复印件</w:t>
      </w:r>
    </w:p>
    <w:p w14:paraId="7007E81E">
      <w:pPr>
        <w:spacing w:line="500" w:lineRule="exact"/>
        <w:ind w:left="540"/>
        <w:rPr>
          <w:rFonts w:ascii="宋体" w:hAnsi="宋体"/>
          <w:sz w:val="24"/>
        </w:rPr>
      </w:pPr>
    </w:p>
    <w:p w14:paraId="0CC0AE71">
      <w:pPr>
        <w:snapToGrid w:val="0"/>
        <w:spacing w:line="360" w:lineRule="auto"/>
        <w:ind w:firstLine="5640" w:firstLineChars="235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4CCEC187">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1AE6B3B9">
      <w:pPr>
        <w:snapToGrid w:val="0"/>
        <w:spacing w:beforeLines="50" w:after="50"/>
        <w:jc w:val="center"/>
        <w:rPr>
          <w:rFonts w:ascii="宋体" w:hAnsi="宋体"/>
          <w:b/>
          <w:sz w:val="24"/>
        </w:rPr>
      </w:pPr>
    </w:p>
    <w:p w14:paraId="782AA069">
      <w:pPr>
        <w:snapToGrid w:val="0"/>
        <w:spacing w:beforeLines="50" w:after="50"/>
        <w:ind w:firstLine="600" w:firstLineChars="250"/>
        <w:jc w:val="left"/>
        <w:rPr>
          <w:rFonts w:ascii="宋体" w:hAnsi="宋体"/>
          <w:sz w:val="24"/>
        </w:rPr>
      </w:pPr>
      <w:r>
        <w:rPr>
          <w:rFonts w:hint="eastAsia" w:ascii="宋体" w:hAnsi="宋体"/>
          <w:sz w:val="24"/>
        </w:rPr>
        <w:t>注：自然人投标的无需提供</w:t>
      </w:r>
    </w:p>
    <w:p w14:paraId="186804E3">
      <w:pPr>
        <w:snapToGrid w:val="0"/>
        <w:spacing w:beforeLines="50" w:after="50"/>
        <w:ind w:firstLine="600" w:firstLineChars="250"/>
        <w:jc w:val="left"/>
        <w:rPr>
          <w:rFonts w:ascii="宋体" w:hAnsi="宋体"/>
          <w:sz w:val="24"/>
        </w:rPr>
      </w:pPr>
    </w:p>
    <w:p w14:paraId="6382710F">
      <w:pPr>
        <w:snapToGrid w:val="0"/>
        <w:spacing w:beforeLines="50" w:after="50"/>
        <w:ind w:firstLine="602" w:firstLineChars="250"/>
        <w:jc w:val="left"/>
        <w:rPr>
          <w:rFonts w:ascii="宋体" w:hAnsi="宋体"/>
          <w:b/>
          <w:sz w:val="24"/>
          <w:szCs w:val="20"/>
        </w:rPr>
      </w:pPr>
    </w:p>
    <w:tbl>
      <w:tblPr>
        <w:tblStyle w:val="32"/>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4A86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tcPr>
          <w:p w14:paraId="19DFC5BE">
            <w:pPr>
              <w:spacing w:line="360" w:lineRule="auto"/>
              <w:rPr>
                <w:rFonts w:ascii="宋体"/>
                <w:b/>
                <w:sz w:val="24"/>
              </w:rPr>
            </w:pPr>
          </w:p>
          <w:p w14:paraId="52BC2C98">
            <w:pPr>
              <w:spacing w:line="360" w:lineRule="auto"/>
              <w:rPr>
                <w:rFonts w:ascii="宋体"/>
                <w:b/>
                <w:sz w:val="24"/>
              </w:rPr>
            </w:pPr>
            <w:r>
              <w:rPr>
                <w:rFonts w:hint="eastAsia" w:ascii="宋体"/>
                <w:b/>
                <w:sz w:val="24"/>
              </w:rPr>
              <w:t>法定代表身份证复印件粘帖处（正、反面）</w:t>
            </w:r>
          </w:p>
        </w:tc>
      </w:tr>
    </w:tbl>
    <w:p w14:paraId="1D57326C">
      <w:pPr>
        <w:pStyle w:val="18"/>
        <w:snapToGrid w:val="0"/>
        <w:spacing w:before="295" w:after="295" w:line="360" w:lineRule="auto"/>
        <w:jc w:val="center"/>
        <w:rPr>
          <w:rFonts w:hAnsi="宋体"/>
          <w:b/>
          <w:sz w:val="24"/>
        </w:rPr>
      </w:pPr>
      <w:r>
        <w:rPr>
          <w:rFonts w:hint="eastAsia" w:hAnsi="宋体"/>
          <w:b/>
          <w:sz w:val="24"/>
        </w:rPr>
        <w:t>附件：</w:t>
      </w:r>
      <w:r>
        <w:rPr>
          <w:rFonts w:hint="eastAsia" w:hAnsi="宋体"/>
          <w:b/>
          <w:sz w:val="24"/>
        </w:rPr>
        <w:br w:type="page"/>
      </w:r>
      <w:r>
        <w:rPr>
          <w:rFonts w:hint="eastAsia" w:ascii="Times New Roman" w:hAnsi="Times New Roman"/>
          <w:b/>
          <w:bCs/>
          <w:sz w:val="30"/>
          <w:szCs w:val="30"/>
        </w:rPr>
        <w:t>三、法定代表人授权委托书（如有委托时）</w:t>
      </w:r>
    </w:p>
    <w:p w14:paraId="301F985F">
      <w:pPr>
        <w:snapToGrid w:val="0"/>
        <w:spacing w:beforeLines="50" w:after="50"/>
        <w:jc w:val="center"/>
        <w:rPr>
          <w:rFonts w:ascii="宋体" w:hAnsi="宋体"/>
          <w:b/>
          <w:sz w:val="32"/>
          <w:szCs w:val="32"/>
        </w:rPr>
      </w:pPr>
      <w:r>
        <w:rPr>
          <w:rFonts w:hint="eastAsia" w:ascii="宋体" w:hAnsi="宋体"/>
          <w:b/>
          <w:sz w:val="32"/>
          <w:szCs w:val="32"/>
        </w:rPr>
        <w:t>法定代表人授权委托书</w:t>
      </w:r>
    </w:p>
    <w:p w14:paraId="0E045308">
      <w:pPr>
        <w:snapToGrid w:val="0"/>
        <w:spacing w:beforeLines="50" w:after="50"/>
        <w:jc w:val="center"/>
        <w:rPr>
          <w:rFonts w:ascii="宋体" w:hAnsi="宋体"/>
          <w:b/>
          <w:sz w:val="24"/>
        </w:rPr>
      </w:pPr>
    </w:p>
    <w:p w14:paraId="12D7D968">
      <w:pPr>
        <w:pStyle w:val="18"/>
        <w:spacing w:line="440" w:lineRule="exact"/>
        <w:ind w:firstLine="420" w:firstLineChars="200"/>
        <w:rPr>
          <w:rFonts w:ascii="Times New Roman" w:hAnsi="Times New Roman"/>
        </w:rPr>
      </w:pPr>
      <w:r>
        <w:rPr>
          <w:rFonts w:hint="eastAsia" w:ascii="Times New Roman" w:hAnsi="Times New Roman"/>
        </w:rPr>
        <w:t>致：</w:t>
      </w:r>
      <w:bookmarkStart w:id="313" w:name="PO_3000001866_PM031_7"/>
      <w:r>
        <w:rPr>
          <w:rFonts w:ascii="Times New Roman" w:hAnsi="Times New Roman"/>
          <w:u w:val="single"/>
        </w:rPr>
        <w:t>[</w:t>
      </w:r>
      <w:r>
        <w:rPr>
          <w:rFonts w:hint="eastAsia" w:ascii="Times New Roman" w:hAnsi="Times New Roman"/>
          <w:u w:val="single"/>
        </w:rPr>
        <w:t>项目采购</w:t>
      </w:r>
      <w:r>
        <w:rPr>
          <w:rFonts w:ascii="Times New Roman" w:hAnsi="Times New Roman"/>
          <w:u w:val="single"/>
        </w:rPr>
        <w:t>-</w:t>
      </w:r>
      <w:r>
        <w:rPr>
          <w:rFonts w:hint="eastAsia" w:ascii="Times New Roman" w:hAnsi="Times New Roman"/>
          <w:u w:val="single"/>
        </w:rPr>
        <w:t>采购组织机构</w:t>
      </w:r>
      <w:r>
        <w:rPr>
          <w:rFonts w:ascii="Times New Roman" w:hAnsi="Times New Roman"/>
          <w:u w:val="single"/>
        </w:rPr>
        <w:t>]</w:t>
      </w:r>
      <w:bookmarkEnd w:id="313"/>
    </w:p>
    <w:p w14:paraId="78521385">
      <w:pPr>
        <w:pStyle w:val="18"/>
        <w:spacing w:line="440" w:lineRule="exact"/>
        <w:ind w:firstLine="420" w:firstLineChars="200"/>
        <w:rPr>
          <w:rFonts w:ascii="Times New Roman" w:hAnsi="Times New Roman"/>
        </w:rPr>
      </w:pPr>
      <w:r>
        <w:rPr>
          <w:rFonts w:hint="eastAsia" w:ascii="Times New Roman" w:hAnsi="Times New Roman"/>
        </w:rPr>
        <w:t>本人（姓名）系（投标人名称）的法定代表人，现授权我单位在职正式员工（姓名和职务）为我方代理人。代理人根据授权，以我方名义签署、澄清、说明、补正、递交、撤回、修改贵方组织的</w:t>
      </w:r>
      <w:bookmarkStart w:id="314" w:name="PO_3000001866_PM002_16"/>
      <w:r>
        <w:rPr>
          <w:rFonts w:hint="eastAsia"/>
          <w:u w:val="single"/>
        </w:rPr>
        <w:t>[项目采购-项目名称]</w:t>
      </w:r>
      <w:bookmarkEnd w:id="314"/>
      <w:r>
        <w:rPr>
          <w:rFonts w:hint="eastAsia"/>
        </w:rPr>
        <w:t>项目（项目编号：</w:t>
      </w:r>
      <w:bookmarkStart w:id="315" w:name="PO_3000001866_PM001_12"/>
      <w:r>
        <w:rPr>
          <w:rFonts w:hint="eastAsia" w:hAnsi="宋体"/>
          <w:u w:val="single"/>
        </w:rPr>
        <w:t>[项目采购-项目编号_]</w:t>
      </w:r>
      <w:bookmarkEnd w:id="315"/>
      <w:r>
        <w:rPr>
          <w:rFonts w:hint="eastAsia"/>
        </w:rPr>
        <w:t>）</w:t>
      </w:r>
      <w:r>
        <w:rPr>
          <w:rFonts w:hint="eastAsia" w:ascii="Times New Roman" w:hAnsi="Times New Roman"/>
        </w:rPr>
        <w:t>的投标文件、签订合同和处理一切有关事宜，其法律后果由我方承担。</w:t>
      </w:r>
    </w:p>
    <w:p w14:paraId="1FC44E66">
      <w:pPr>
        <w:pStyle w:val="18"/>
        <w:spacing w:line="440" w:lineRule="exact"/>
        <w:ind w:firstLine="420" w:firstLineChars="200"/>
        <w:rPr>
          <w:rFonts w:ascii="Times New Roman" w:hAnsi="Times New Roman"/>
        </w:rPr>
      </w:pPr>
      <w:r>
        <w:rPr>
          <w:rFonts w:hint="eastAsia" w:ascii="Times New Roman" w:hAnsi="Times New Roman"/>
        </w:rPr>
        <w:t>本授权书于年月日签字生效，委托期限：。</w:t>
      </w:r>
    </w:p>
    <w:p w14:paraId="2877AAFE">
      <w:pPr>
        <w:pStyle w:val="18"/>
        <w:spacing w:line="360" w:lineRule="auto"/>
        <w:ind w:firstLine="420"/>
        <w:rPr>
          <w:rFonts w:ascii="Times New Roman" w:hAnsi="Times New Roman"/>
        </w:rPr>
      </w:pPr>
      <w:r>
        <w:rPr>
          <w:rFonts w:hint="eastAsia" w:ascii="Times New Roman" w:hAnsi="Times New Roman"/>
        </w:rPr>
        <w:t>代理人无转委托权。</w:t>
      </w:r>
    </w:p>
    <w:p w14:paraId="5F1CA0DF">
      <w:pPr>
        <w:pStyle w:val="18"/>
        <w:spacing w:line="360" w:lineRule="auto"/>
        <w:ind w:firstLine="420"/>
        <w:rPr>
          <w:rFonts w:ascii="Times New Roman" w:hAnsi="Times New Roman"/>
        </w:rPr>
      </w:pPr>
    </w:p>
    <w:p w14:paraId="7C60950B">
      <w:pPr>
        <w:pStyle w:val="18"/>
        <w:spacing w:line="360" w:lineRule="auto"/>
        <w:ind w:firstLine="420"/>
        <w:rPr>
          <w:rFonts w:ascii="Times New Roman" w:hAnsi="Times New Roman"/>
          <w:u w:val="single"/>
        </w:rPr>
      </w:pPr>
      <w:r>
        <w:rPr>
          <w:rFonts w:hint="eastAsia" w:ascii="Times New Roman" w:hAnsi="Times New Roman"/>
        </w:rPr>
        <w:t>投标人（或联合体投标</w:t>
      </w:r>
      <w:r>
        <w:rPr>
          <w:rFonts w:hint="eastAsia" w:cs="宋体"/>
          <w:kern w:val="0"/>
          <w:szCs w:val="21"/>
        </w:rPr>
        <w:t>牵头人名称</w:t>
      </w:r>
      <w:r>
        <w:rPr>
          <w:rFonts w:hint="eastAsia" w:ascii="Times New Roman" w:hAnsi="Times New Roman"/>
        </w:rPr>
        <w:t>）（盖单位公章）：</w:t>
      </w:r>
    </w:p>
    <w:p w14:paraId="42FE3818">
      <w:pPr>
        <w:pStyle w:val="18"/>
        <w:spacing w:line="360" w:lineRule="auto"/>
        <w:ind w:firstLine="420"/>
        <w:rPr>
          <w:rFonts w:ascii="Times New Roman" w:hAnsi="Times New Roman"/>
          <w:u w:val="single"/>
        </w:rPr>
      </w:pPr>
      <w:r>
        <w:rPr>
          <w:rFonts w:hint="eastAsia" w:ascii="Times New Roman" w:hAnsi="Times New Roman"/>
        </w:rPr>
        <w:t>法定代表人（签字）：</w:t>
      </w:r>
    </w:p>
    <w:p w14:paraId="366E0AEE">
      <w:pPr>
        <w:pStyle w:val="18"/>
        <w:spacing w:line="360" w:lineRule="auto"/>
        <w:ind w:firstLine="420"/>
        <w:rPr>
          <w:rFonts w:ascii="Times New Roman" w:hAnsi="Times New Roman"/>
          <w:u w:val="single"/>
        </w:rPr>
      </w:pPr>
      <w:r>
        <w:rPr>
          <w:rFonts w:hint="eastAsia" w:ascii="Times New Roman" w:hAnsi="Times New Roman"/>
        </w:rPr>
        <w:t>法定代表人身份证号码：</w:t>
      </w:r>
    </w:p>
    <w:p w14:paraId="74561341">
      <w:pPr>
        <w:pStyle w:val="18"/>
        <w:spacing w:line="360" w:lineRule="auto"/>
        <w:ind w:firstLine="420" w:firstLineChars="200"/>
        <w:rPr>
          <w:rFonts w:ascii="Times New Roman" w:hAnsi="Times New Roman"/>
        </w:rPr>
      </w:pPr>
      <w:r>
        <w:rPr>
          <w:rFonts w:hint="eastAsia" w:ascii="Times New Roman" w:hAnsi="Times New Roman"/>
        </w:rPr>
        <w:t>委托代理人（签字）：</w:t>
      </w:r>
    </w:p>
    <w:p w14:paraId="3B34F36F">
      <w:pPr>
        <w:pStyle w:val="18"/>
        <w:spacing w:line="360" w:lineRule="auto"/>
        <w:ind w:firstLine="420"/>
        <w:rPr>
          <w:rFonts w:ascii="Times New Roman" w:hAnsi="Times New Roman"/>
          <w:u w:val="single"/>
        </w:rPr>
      </w:pPr>
      <w:r>
        <w:rPr>
          <w:rFonts w:hint="eastAsia" w:ascii="Times New Roman" w:hAnsi="Times New Roman"/>
        </w:rPr>
        <w:t>委托代理人身份证号码：</w:t>
      </w:r>
    </w:p>
    <w:p w14:paraId="737882CF">
      <w:pPr>
        <w:pStyle w:val="18"/>
        <w:spacing w:line="360" w:lineRule="auto"/>
        <w:ind w:firstLine="420"/>
        <w:rPr>
          <w:rFonts w:ascii="Times New Roman" w:hAnsi="Times New Roman"/>
          <w:u w:val="single"/>
        </w:rPr>
      </w:pPr>
    </w:p>
    <w:p w14:paraId="4F38A1CC">
      <w:pPr>
        <w:pStyle w:val="18"/>
        <w:spacing w:line="360" w:lineRule="auto"/>
        <w:ind w:firstLine="420"/>
        <w:rPr>
          <w:rFonts w:ascii="Times New Roman" w:hAnsi="Times New Roman"/>
          <w:u w:val="single"/>
        </w:rPr>
      </w:pPr>
      <w:r>
        <w:rPr>
          <w:rFonts w:hint="eastAsia" w:cs="宋体"/>
          <w:kern w:val="0"/>
          <w:szCs w:val="21"/>
        </w:rPr>
        <w:t>成员一名称：</w:t>
      </w:r>
      <w:r>
        <w:rPr>
          <w:rFonts w:hint="eastAsia" w:ascii="Times New Roman" w:hAnsi="Times New Roman"/>
        </w:rPr>
        <w:t>（盖单位公章）：</w:t>
      </w:r>
    </w:p>
    <w:p w14:paraId="035FBC80">
      <w:pPr>
        <w:pStyle w:val="18"/>
        <w:spacing w:line="360" w:lineRule="auto"/>
        <w:ind w:firstLine="420"/>
        <w:rPr>
          <w:rFonts w:ascii="Times New Roman" w:hAnsi="Times New Roman"/>
          <w:u w:val="single"/>
        </w:rPr>
      </w:pPr>
      <w:r>
        <w:rPr>
          <w:rFonts w:hint="eastAsia" w:ascii="Times New Roman" w:hAnsi="Times New Roman"/>
        </w:rPr>
        <w:t>法定代表人（签字）：</w:t>
      </w:r>
    </w:p>
    <w:p w14:paraId="50A3AA64">
      <w:pPr>
        <w:pStyle w:val="18"/>
        <w:spacing w:line="360" w:lineRule="auto"/>
        <w:ind w:firstLine="420"/>
        <w:rPr>
          <w:rFonts w:ascii="Times New Roman" w:hAnsi="Times New Roman"/>
          <w:u w:val="single"/>
        </w:rPr>
      </w:pPr>
    </w:p>
    <w:p w14:paraId="548CEB5F">
      <w:pPr>
        <w:autoSpaceDE w:val="0"/>
        <w:autoSpaceDN w:val="0"/>
        <w:adjustRightInd w:val="0"/>
        <w:spacing w:line="360" w:lineRule="auto"/>
        <w:ind w:firstLine="420" w:firstLineChars="200"/>
        <w:jc w:val="left"/>
        <w:rPr>
          <w:rFonts w:ascii="宋体" w:cs="宋体"/>
          <w:kern w:val="0"/>
          <w:szCs w:val="21"/>
        </w:rPr>
      </w:pPr>
      <w:r>
        <w:rPr>
          <w:rFonts w:hint="eastAsia" w:ascii="宋体" w:cs="宋体"/>
          <w:kern w:val="0"/>
          <w:szCs w:val="21"/>
        </w:rPr>
        <w:t>成员二名称：（盖单位公章）</w:t>
      </w:r>
    </w:p>
    <w:p w14:paraId="7951D789">
      <w:pPr>
        <w:autoSpaceDE w:val="0"/>
        <w:autoSpaceDN w:val="0"/>
        <w:adjustRightInd w:val="0"/>
        <w:spacing w:line="360" w:lineRule="auto"/>
        <w:ind w:firstLine="420" w:firstLineChars="200"/>
        <w:jc w:val="left"/>
        <w:rPr>
          <w:rFonts w:ascii="宋体" w:cs="宋体"/>
          <w:kern w:val="0"/>
          <w:szCs w:val="21"/>
        </w:rPr>
      </w:pPr>
      <w:r>
        <w:rPr>
          <w:rFonts w:hint="eastAsia" w:ascii="宋体" w:cs="宋体"/>
          <w:kern w:val="0"/>
          <w:szCs w:val="21"/>
        </w:rPr>
        <w:t>法定代表人或其委托代理人：（签字）</w:t>
      </w:r>
    </w:p>
    <w:p w14:paraId="1643A252">
      <w:pPr>
        <w:pStyle w:val="18"/>
        <w:ind w:firstLine="420" w:firstLineChars="200"/>
      </w:pPr>
      <w:r>
        <w:rPr>
          <w:rFonts w:hint="eastAsia"/>
        </w:rPr>
        <w:t>......</w:t>
      </w:r>
    </w:p>
    <w:p w14:paraId="6DEC4488">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注：</w:t>
      </w:r>
    </w:p>
    <w:p w14:paraId="5DB26B21">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1.法定代表人和委托代理人必须在授权委托书上亲笔签名，不得使用印章、签名章或者其他电子制版签名代替，</w:t>
      </w:r>
      <w:r>
        <w:rPr>
          <w:rFonts w:hint="eastAsia" w:ascii="仿宋_GB2312" w:hAnsi="仿宋_GB2312" w:eastAsia="仿宋_GB2312" w:cs="仿宋_GB2312"/>
          <w:b/>
          <w:bCs/>
          <w:szCs w:val="21"/>
        </w:rPr>
        <w:t>否则作无效投标处理</w:t>
      </w:r>
      <w:r>
        <w:rPr>
          <w:rFonts w:hint="eastAsia" w:ascii="仿宋_GB2312" w:hAnsi="仿宋_GB2312" w:eastAsia="仿宋_GB2312" w:cs="仿宋_GB2312"/>
          <w:szCs w:val="21"/>
        </w:rPr>
        <w:t>；</w:t>
      </w:r>
    </w:p>
    <w:p w14:paraId="19029FF8">
      <w:pPr>
        <w:spacing w:line="360" w:lineRule="auto"/>
        <w:jc w:val="left"/>
        <w:rPr>
          <w:rFonts w:ascii="仿宋_GB2312" w:hAnsi="仿宋_GB2312" w:eastAsia="仿宋_GB2312" w:cs="仿宋_GB2312"/>
          <w:szCs w:val="21"/>
        </w:rPr>
      </w:pPr>
      <w:r>
        <w:rPr>
          <w:rFonts w:hint="eastAsia" w:ascii="仿宋_GB2312" w:hAnsi="仿宋_GB2312" w:eastAsia="仿宋_GB2312" w:cs="仿宋_GB2312"/>
          <w:szCs w:val="21"/>
        </w:rPr>
        <w:t>2.以联合体形式投标的，本授权委托书应由联合体牵头人的法定代表人按上述规定签署。</w:t>
      </w:r>
    </w:p>
    <w:p w14:paraId="7A4E699D">
      <w:pPr>
        <w:snapToGrid w:val="0"/>
        <w:spacing w:before="50" w:afterLines="50" w:line="360" w:lineRule="auto"/>
        <w:jc w:val="left"/>
        <w:rPr>
          <w:rFonts w:ascii="仿宋_GB2312" w:hAnsi="仿宋_GB2312" w:eastAsia="仿宋_GB2312" w:cs="仿宋_GB2312"/>
          <w:szCs w:val="21"/>
        </w:rPr>
      </w:pPr>
      <w:r>
        <w:rPr>
          <w:rFonts w:hint="eastAsia" w:ascii="仿宋_GB2312" w:hAnsi="仿宋_GB2312" w:eastAsia="仿宋_GB2312" w:cs="仿宋_GB2312"/>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4BAA6F9B">
      <w:pPr>
        <w:snapToGrid w:val="0"/>
        <w:spacing w:before="50" w:afterLines="50" w:line="360" w:lineRule="auto"/>
        <w:jc w:val="left"/>
        <w:rPr>
          <w:rFonts w:ascii="仿宋_GB2312" w:hAnsi="仿宋_GB2312" w:eastAsia="仿宋_GB2312" w:cs="仿宋_GB2312"/>
          <w:szCs w:val="21"/>
        </w:rPr>
      </w:pPr>
      <w:r>
        <w:rPr>
          <w:rFonts w:hint="eastAsia" w:ascii="仿宋_GB2312" w:hAnsi="仿宋_GB2312" w:eastAsia="仿宋_GB2312" w:cs="仿宋_GB2312"/>
          <w:szCs w:val="21"/>
        </w:rPr>
        <w:t>4. 若为联合体投标须各方签字或盖章。</w:t>
      </w:r>
    </w:p>
    <w:p w14:paraId="68C924F6">
      <w:pPr>
        <w:spacing w:line="360" w:lineRule="auto"/>
        <w:rPr>
          <w:rFonts w:ascii="宋体"/>
          <w:b/>
          <w:sz w:val="24"/>
        </w:rPr>
      </w:pPr>
    </w:p>
    <w:p w14:paraId="2732B9AF">
      <w:pPr>
        <w:spacing w:line="360" w:lineRule="auto"/>
        <w:rPr>
          <w:b/>
          <w:sz w:val="24"/>
        </w:rPr>
      </w:pPr>
      <w:r>
        <w:rPr>
          <w:rFonts w:hint="eastAsia" w:ascii="宋体"/>
          <w:b/>
          <w:sz w:val="24"/>
        </w:rPr>
        <w:t>附件：</w:t>
      </w:r>
    </w:p>
    <w:tbl>
      <w:tblPr>
        <w:tblStyle w:val="32"/>
        <w:tblpPr w:leftFromText="180" w:rightFromText="180" w:vertAnchor="text" w:horzAnchor="margin" w:tblpY="263"/>
        <w:tblW w:w="7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5"/>
      </w:tblGrid>
      <w:tr w14:paraId="1335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tcBorders>
              <w:top w:val="single" w:color="auto" w:sz="4" w:space="0"/>
              <w:left w:val="single" w:color="auto" w:sz="4" w:space="0"/>
              <w:bottom w:val="single" w:color="auto" w:sz="4" w:space="0"/>
              <w:right w:val="single" w:color="auto" w:sz="4" w:space="0"/>
            </w:tcBorders>
          </w:tcPr>
          <w:p w14:paraId="4537CAF9">
            <w:pPr>
              <w:spacing w:line="360" w:lineRule="auto"/>
              <w:rPr>
                <w:rFonts w:ascii="宋体"/>
                <w:b/>
                <w:sz w:val="24"/>
              </w:rPr>
            </w:pPr>
          </w:p>
          <w:p w14:paraId="317F4F21">
            <w:pPr>
              <w:spacing w:line="360" w:lineRule="auto"/>
              <w:rPr>
                <w:rFonts w:ascii="宋体"/>
                <w:b/>
                <w:sz w:val="24"/>
              </w:rPr>
            </w:pPr>
            <w:r>
              <w:rPr>
                <w:rFonts w:hint="eastAsia" w:ascii="宋体"/>
                <w:b/>
                <w:sz w:val="24"/>
              </w:rPr>
              <w:t>全权代表身份证复印件粘帖处（正、反面）</w:t>
            </w:r>
          </w:p>
        </w:tc>
      </w:tr>
    </w:tbl>
    <w:p w14:paraId="0B448FAB">
      <w:pPr>
        <w:snapToGrid w:val="0"/>
        <w:spacing w:before="50" w:afterLines="50" w:line="360" w:lineRule="auto"/>
        <w:jc w:val="left"/>
        <w:rPr>
          <w:rFonts w:ascii="仿宋_GB2312" w:hAnsi="仿宋_GB2312" w:eastAsia="仿宋_GB2312" w:cs="仿宋_GB2312"/>
          <w:szCs w:val="21"/>
        </w:rPr>
      </w:pPr>
    </w:p>
    <w:p w14:paraId="04F7FA36">
      <w:pPr>
        <w:snapToGrid w:val="0"/>
        <w:spacing w:beforeLines="50" w:after="50"/>
        <w:ind w:firstLine="566" w:firstLineChars="236"/>
        <w:jc w:val="center"/>
        <w:rPr>
          <w:rFonts w:ascii="宋体" w:hAnsi="宋体"/>
        </w:rPr>
      </w:pPr>
      <w:r>
        <w:rPr>
          <w:rFonts w:hint="eastAsia" w:ascii="宋体" w:hAnsi="宋体"/>
          <w:sz w:val="24"/>
        </w:rPr>
        <w:br w:type="page"/>
      </w:r>
    </w:p>
    <w:p w14:paraId="17753358">
      <w:pPr>
        <w:jc w:val="center"/>
        <w:rPr>
          <w:b/>
          <w:bCs/>
          <w:sz w:val="30"/>
          <w:szCs w:val="30"/>
        </w:rPr>
      </w:pPr>
      <w:r>
        <w:rPr>
          <w:rFonts w:hint="eastAsia"/>
          <w:b/>
          <w:bCs/>
          <w:sz w:val="30"/>
          <w:szCs w:val="30"/>
        </w:rPr>
        <w:t>四、商务条款偏离表</w:t>
      </w:r>
    </w:p>
    <w:p w14:paraId="52967D10">
      <w:pPr>
        <w:jc w:val="center"/>
        <w:rPr>
          <w:rFonts w:ascii="宋体" w:hAnsi="宋体"/>
          <w:b/>
          <w:sz w:val="24"/>
          <w:szCs w:val="20"/>
        </w:rPr>
      </w:pPr>
      <w:r>
        <w:rPr>
          <w:rFonts w:hint="eastAsia" w:ascii="宋体" w:hAnsi="宋体"/>
          <w:sz w:val="30"/>
          <w:szCs w:val="20"/>
        </w:rPr>
        <w:t>(注：按项目需求表具体项目修改)</w:t>
      </w:r>
    </w:p>
    <w:p w14:paraId="31D2CC29">
      <w:pPr>
        <w:snapToGrid w:val="0"/>
        <w:spacing w:before="50"/>
        <w:jc w:val="left"/>
        <w:rPr>
          <w:rFonts w:ascii="宋体" w:hAnsi="宋体"/>
          <w:sz w:val="24"/>
        </w:rPr>
      </w:pPr>
    </w:p>
    <w:p w14:paraId="253B05DF">
      <w:pPr>
        <w:pStyle w:val="18"/>
        <w:spacing w:line="360" w:lineRule="auto"/>
        <w:ind w:left="-424" w:leftChars="-202" w:firstLine="846"/>
        <w:rPr>
          <w:rFonts w:hAnsi="宋体"/>
          <w:sz w:val="24"/>
          <w:szCs w:val="24"/>
        </w:rPr>
      </w:pPr>
      <w:r>
        <w:rPr>
          <w:rFonts w:hint="eastAsia" w:ascii="Times New Roman" w:hAnsi="Times New Roman"/>
        </w:rPr>
        <w:t>请逐条对应本项目招标文件第二章“服务需求一览表”中“商务条款”的要求，详细填写相应的具体内容。“偏离说明”一栏应当选择“正偏离”、“负偏离”或“无偏离”进行填写。</w:t>
      </w:r>
    </w:p>
    <w:tbl>
      <w:tblPr>
        <w:tblStyle w:val="32"/>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516"/>
      </w:tblGrid>
      <w:tr w14:paraId="7AC5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bottom w:val="single" w:color="auto" w:sz="4" w:space="0"/>
              <w:right w:val="single" w:color="auto" w:sz="4" w:space="0"/>
            </w:tcBorders>
            <w:noWrap/>
          </w:tcPr>
          <w:p w14:paraId="0E201B5E">
            <w:pPr>
              <w:spacing w:line="340" w:lineRule="exact"/>
              <w:jc w:val="center"/>
              <w:rPr>
                <w:rFonts w:ascii="宋体" w:hAnsi="宋体"/>
                <w:szCs w:val="21"/>
              </w:rPr>
            </w:pPr>
            <w:r>
              <w:rPr>
                <w:rFonts w:hint="eastAsia" w:ascii="宋体" w:hAnsi="宋体"/>
                <w:szCs w:val="21"/>
              </w:rPr>
              <w:t>项号</w:t>
            </w:r>
          </w:p>
        </w:tc>
        <w:tc>
          <w:tcPr>
            <w:tcW w:w="3757" w:type="dxa"/>
            <w:tcBorders>
              <w:top w:val="single" w:color="auto" w:sz="4" w:space="0"/>
              <w:left w:val="single" w:color="auto" w:sz="4" w:space="0"/>
              <w:bottom w:val="single" w:color="auto" w:sz="4" w:space="0"/>
              <w:right w:val="single" w:color="auto" w:sz="4" w:space="0"/>
            </w:tcBorders>
            <w:noWrap/>
          </w:tcPr>
          <w:p w14:paraId="353D29E6">
            <w:pPr>
              <w:spacing w:line="340" w:lineRule="exact"/>
              <w:jc w:val="center"/>
              <w:rPr>
                <w:rFonts w:ascii="宋体" w:hAnsi="宋体"/>
                <w:szCs w:val="21"/>
              </w:rPr>
            </w:pPr>
            <w:r>
              <w:rPr>
                <w:rFonts w:hint="eastAsia" w:ascii="宋体" w:hAnsi="宋体"/>
                <w:szCs w:val="21"/>
              </w:rPr>
              <w:t>招标文件的商务需求</w:t>
            </w:r>
          </w:p>
        </w:tc>
        <w:tc>
          <w:tcPr>
            <w:tcW w:w="2516" w:type="dxa"/>
            <w:tcBorders>
              <w:top w:val="single" w:color="auto" w:sz="4" w:space="0"/>
              <w:left w:val="single" w:color="auto" w:sz="4" w:space="0"/>
              <w:bottom w:val="single" w:color="auto" w:sz="4" w:space="0"/>
              <w:right w:val="single" w:color="auto" w:sz="4" w:space="0"/>
            </w:tcBorders>
          </w:tcPr>
          <w:p w14:paraId="538BB5D0">
            <w:pPr>
              <w:spacing w:line="340" w:lineRule="exact"/>
              <w:jc w:val="center"/>
              <w:rPr>
                <w:rFonts w:ascii="宋体" w:hAnsi="宋体"/>
                <w:szCs w:val="21"/>
              </w:rPr>
            </w:pPr>
            <w:r>
              <w:rPr>
                <w:rFonts w:hint="eastAsia" w:ascii="宋体" w:hAnsi="宋体"/>
                <w:szCs w:val="21"/>
              </w:rPr>
              <w:t>投标文件承诺的商务条款</w:t>
            </w:r>
          </w:p>
        </w:tc>
        <w:tc>
          <w:tcPr>
            <w:tcW w:w="2516" w:type="dxa"/>
            <w:tcBorders>
              <w:top w:val="single" w:color="auto" w:sz="4" w:space="0"/>
              <w:left w:val="single" w:color="auto" w:sz="4" w:space="0"/>
              <w:bottom w:val="single" w:color="auto" w:sz="4" w:space="0"/>
              <w:right w:val="single" w:color="auto" w:sz="4" w:space="0"/>
            </w:tcBorders>
          </w:tcPr>
          <w:p w14:paraId="588C9647">
            <w:pPr>
              <w:spacing w:line="300" w:lineRule="exact"/>
              <w:jc w:val="center"/>
              <w:rPr>
                <w:rFonts w:ascii="宋体" w:hAnsi="宋体"/>
                <w:szCs w:val="21"/>
              </w:rPr>
            </w:pPr>
            <w:r>
              <w:rPr>
                <w:rFonts w:hint="eastAsia" w:ascii="宋体" w:hAnsi="宋体"/>
                <w:szCs w:val="21"/>
              </w:rPr>
              <w:t>偏离说明</w:t>
            </w:r>
          </w:p>
        </w:tc>
      </w:tr>
      <w:tr w14:paraId="1079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655D9F93">
            <w:pPr>
              <w:spacing w:line="340" w:lineRule="exact"/>
              <w:rPr>
                <w:rFonts w:ascii="宋体" w:hAnsi="宋体"/>
                <w:szCs w:val="21"/>
              </w:rPr>
            </w:pPr>
            <w:r>
              <w:rPr>
                <w:rFonts w:hint="eastAsia" w:ascii="宋体" w:hAnsi="宋体"/>
                <w:szCs w:val="21"/>
              </w:rPr>
              <w:t>一</w:t>
            </w:r>
          </w:p>
        </w:tc>
        <w:tc>
          <w:tcPr>
            <w:tcW w:w="3757" w:type="dxa"/>
            <w:tcBorders>
              <w:top w:val="single" w:color="auto" w:sz="4" w:space="0"/>
              <w:left w:val="single" w:color="auto" w:sz="4" w:space="0"/>
              <w:bottom w:val="single" w:color="auto" w:sz="4" w:space="0"/>
              <w:right w:val="single" w:color="auto" w:sz="4" w:space="0"/>
            </w:tcBorders>
            <w:noWrap/>
          </w:tcPr>
          <w:p w14:paraId="0E768C87">
            <w:pPr>
              <w:rPr>
                <w:rFonts w:ascii="宋体" w:hAnsi="宋体"/>
                <w:szCs w:val="21"/>
              </w:rPr>
            </w:pPr>
            <w:r>
              <w:rPr>
                <w:rFonts w:hint="eastAsia" w:ascii="宋体" w:hAnsi="宋体"/>
                <w:szCs w:val="21"/>
              </w:rPr>
              <w:t>1  ……</w:t>
            </w:r>
          </w:p>
        </w:tc>
        <w:tc>
          <w:tcPr>
            <w:tcW w:w="2516" w:type="dxa"/>
            <w:tcBorders>
              <w:top w:val="single" w:color="auto" w:sz="4" w:space="0"/>
              <w:left w:val="single" w:color="auto" w:sz="4" w:space="0"/>
              <w:bottom w:val="single" w:color="auto" w:sz="4" w:space="0"/>
              <w:right w:val="single" w:color="auto" w:sz="4" w:space="0"/>
            </w:tcBorders>
          </w:tcPr>
          <w:p w14:paraId="016D8121">
            <w:pPr>
              <w:rPr>
                <w:rFonts w:ascii="宋体" w:hAnsi="宋体"/>
                <w:szCs w:val="21"/>
              </w:rPr>
            </w:pPr>
            <w:r>
              <w:rPr>
                <w:rFonts w:hint="eastAsia" w:ascii="宋体" w:hAnsi="宋体"/>
                <w:szCs w:val="21"/>
              </w:rPr>
              <w:t>1  ……</w:t>
            </w:r>
          </w:p>
        </w:tc>
        <w:tc>
          <w:tcPr>
            <w:tcW w:w="2516" w:type="dxa"/>
            <w:tcBorders>
              <w:top w:val="single" w:color="auto" w:sz="4" w:space="0"/>
              <w:left w:val="single" w:color="auto" w:sz="4" w:space="0"/>
              <w:bottom w:val="single" w:color="auto" w:sz="4" w:space="0"/>
              <w:right w:val="single" w:color="auto" w:sz="4" w:space="0"/>
            </w:tcBorders>
          </w:tcPr>
          <w:p w14:paraId="28BEDD9F">
            <w:pPr>
              <w:spacing w:line="300" w:lineRule="exact"/>
              <w:rPr>
                <w:rFonts w:ascii="宋体" w:hAnsi="宋体"/>
                <w:szCs w:val="21"/>
              </w:rPr>
            </w:pPr>
            <w:r>
              <w:rPr>
                <w:rFonts w:hint="eastAsia" w:ascii="宋体" w:hAnsi="宋体"/>
                <w:szCs w:val="21"/>
              </w:rPr>
              <w:t>正偏离（负偏离或无偏离）</w:t>
            </w:r>
          </w:p>
          <w:p w14:paraId="1F64561D">
            <w:pPr>
              <w:spacing w:line="300" w:lineRule="exact"/>
              <w:rPr>
                <w:rFonts w:ascii="宋体" w:hAnsi="宋体"/>
                <w:szCs w:val="21"/>
              </w:rPr>
            </w:pPr>
          </w:p>
        </w:tc>
      </w:tr>
      <w:tr w14:paraId="019C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6FCCC62A">
            <w:pPr>
              <w:widowControl/>
              <w:jc w:val="lef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229D37A3">
            <w:pPr>
              <w:spacing w:line="340" w:lineRule="exact"/>
              <w:rPr>
                <w:rFonts w:ascii="宋体" w:hAnsi="宋体"/>
                <w:szCs w:val="21"/>
              </w:rPr>
            </w:pPr>
            <w:r>
              <w:rPr>
                <w:rFonts w:hint="eastAsia" w:ascii="宋体" w:hAnsi="宋体"/>
                <w:szCs w:val="21"/>
              </w:rPr>
              <w:t>2  ……</w:t>
            </w:r>
          </w:p>
          <w:p w14:paraId="742584C6">
            <w:pPr>
              <w:spacing w:line="340" w:lineRule="exact"/>
              <w:rPr>
                <w:rFonts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0DA39395">
            <w:pPr>
              <w:spacing w:line="340" w:lineRule="exact"/>
              <w:rPr>
                <w:rFonts w:ascii="宋体" w:hAnsi="宋体"/>
                <w:szCs w:val="21"/>
              </w:rPr>
            </w:pPr>
            <w:r>
              <w:rPr>
                <w:rFonts w:hint="eastAsia" w:ascii="宋体" w:hAnsi="宋体"/>
                <w:szCs w:val="21"/>
              </w:rPr>
              <w:t>2  ……</w:t>
            </w:r>
          </w:p>
          <w:p w14:paraId="26ECAC0C">
            <w:pPr>
              <w:spacing w:line="300" w:lineRule="exact"/>
              <w:rPr>
                <w:rFonts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067F02C6">
            <w:pPr>
              <w:spacing w:line="300" w:lineRule="exact"/>
              <w:rPr>
                <w:rFonts w:ascii="宋体" w:hAnsi="宋体"/>
                <w:szCs w:val="21"/>
              </w:rPr>
            </w:pPr>
            <w:r>
              <w:rPr>
                <w:rFonts w:hint="eastAsia" w:ascii="宋体" w:hAnsi="宋体"/>
                <w:szCs w:val="21"/>
              </w:rPr>
              <w:t>正偏离（负偏离或无偏离）</w:t>
            </w:r>
          </w:p>
          <w:p w14:paraId="5FBD7B42">
            <w:pPr>
              <w:spacing w:line="300" w:lineRule="exact"/>
              <w:rPr>
                <w:rFonts w:ascii="宋体" w:hAnsi="宋体"/>
                <w:szCs w:val="21"/>
              </w:rPr>
            </w:pPr>
          </w:p>
        </w:tc>
      </w:tr>
      <w:tr w14:paraId="4F10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33D9D155">
            <w:pPr>
              <w:widowControl/>
              <w:jc w:val="lef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645F407C">
            <w:pPr>
              <w:spacing w:line="340" w:lineRule="exact"/>
              <w:rPr>
                <w:rFonts w:ascii="宋体" w:hAnsi="宋体"/>
                <w:szCs w:val="21"/>
              </w:rPr>
            </w:pPr>
            <w:r>
              <w:rPr>
                <w:rFonts w:hint="eastAsia" w:ascii="宋体" w:hAnsi="宋体"/>
                <w:szCs w:val="21"/>
              </w:rPr>
              <w:t>3  ……</w:t>
            </w:r>
          </w:p>
          <w:p w14:paraId="13F0F84D">
            <w:pPr>
              <w:spacing w:line="340" w:lineRule="exact"/>
              <w:rPr>
                <w:rFonts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69FB54E8">
            <w:pPr>
              <w:spacing w:line="340" w:lineRule="exact"/>
              <w:rPr>
                <w:rFonts w:ascii="宋体" w:hAnsi="宋体"/>
                <w:szCs w:val="21"/>
              </w:rPr>
            </w:pPr>
            <w:r>
              <w:rPr>
                <w:rFonts w:hint="eastAsia" w:ascii="宋体" w:hAnsi="宋体"/>
                <w:szCs w:val="21"/>
              </w:rPr>
              <w:t>3  ……</w:t>
            </w:r>
          </w:p>
          <w:p w14:paraId="54069F4B">
            <w:pPr>
              <w:spacing w:line="300" w:lineRule="exact"/>
              <w:rPr>
                <w:rFonts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04CA2C38">
            <w:pPr>
              <w:spacing w:line="300" w:lineRule="exact"/>
              <w:rPr>
                <w:rFonts w:ascii="宋体" w:hAnsi="宋体"/>
                <w:szCs w:val="21"/>
              </w:rPr>
            </w:pPr>
            <w:r>
              <w:rPr>
                <w:rFonts w:hint="eastAsia" w:ascii="宋体" w:hAnsi="宋体"/>
                <w:szCs w:val="21"/>
              </w:rPr>
              <w:t>正偏离（负偏离或无偏离）</w:t>
            </w:r>
          </w:p>
          <w:p w14:paraId="536BF60B">
            <w:pPr>
              <w:spacing w:line="300" w:lineRule="exact"/>
              <w:rPr>
                <w:rFonts w:ascii="宋体" w:hAnsi="宋体"/>
                <w:szCs w:val="21"/>
              </w:rPr>
            </w:pPr>
          </w:p>
        </w:tc>
      </w:tr>
      <w:tr w14:paraId="7186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3004628D">
            <w:pPr>
              <w:widowControl/>
              <w:jc w:val="lef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71C3EBF0">
            <w:pPr>
              <w:spacing w:line="340" w:lineRule="exact"/>
              <w:rPr>
                <w:rFonts w:ascii="宋体" w:hAnsi="宋体"/>
                <w:szCs w:val="21"/>
              </w:rPr>
            </w:pPr>
            <w:r>
              <w:rPr>
                <w:rFonts w:hint="eastAsia" w:ascii="宋体" w:hAnsi="宋体"/>
                <w:szCs w:val="21"/>
              </w:rPr>
              <w:t>……</w:t>
            </w:r>
          </w:p>
        </w:tc>
        <w:tc>
          <w:tcPr>
            <w:tcW w:w="2516" w:type="dxa"/>
            <w:tcBorders>
              <w:top w:val="single" w:color="auto" w:sz="4" w:space="0"/>
              <w:left w:val="single" w:color="auto" w:sz="4" w:space="0"/>
              <w:bottom w:val="single" w:color="auto" w:sz="4" w:space="0"/>
              <w:right w:val="single" w:color="auto" w:sz="4" w:space="0"/>
            </w:tcBorders>
          </w:tcPr>
          <w:p w14:paraId="49800D0B">
            <w:pPr>
              <w:spacing w:line="300" w:lineRule="exact"/>
              <w:rPr>
                <w:rFonts w:ascii="宋体" w:hAnsi="宋体"/>
                <w:szCs w:val="21"/>
              </w:rPr>
            </w:pPr>
            <w:r>
              <w:rPr>
                <w:rFonts w:hint="eastAsia" w:ascii="宋体" w:hAnsi="宋体"/>
                <w:szCs w:val="21"/>
              </w:rPr>
              <w:t>……</w:t>
            </w:r>
          </w:p>
        </w:tc>
        <w:tc>
          <w:tcPr>
            <w:tcW w:w="2516" w:type="dxa"/>
            <w:tcBorders>
              <w:top w:val="single" w:color="auto" w:sz="4" w:space="0"/>
              <w:left w:val="single" w:color="auto" w:sz="4" w:space="0"/>
              <w:bottom w:val="single" w:color="auto" w:sz="4" w:space="0"/>
              <w:right w:val="single" w:color="auto" w:sz="4" w:space="0"/>
            </w:tcBorders>
          </w:tcPr>
          <w:p w14:paraId="69AADE8F">
            <w:pPr>
              <w:spacing w:line="300" w:lineRule="exact"/>
              <w:rPr>
                <w:rFonts w:ascii="宋体" w:hAnsi="宋体"/>
                <w:szCs w:val="21"/>
              </w:rPr>
            </w:pPr>
            <w:r>
              <w:rPr>
                <w:rFonts w:hint="eastAsia" w:ascii="宋体" w:hAnsi="宋体"/>
                <w:szCs w:val="21"/>
              </w:rPr>
              <w:t>正偏离（负偏离或无偏离）</w:t>
            </w:r>
          </w:p>
          <w:p w14:paraId="6DB6A1EF">
            <w:pPr>
              <w:spacing w:line="300" w:lineRule="exact"/>
              <w:rPr>
                <w:rFonts w:ascii="宋体" w:hAnsi="宋体"/>
                <w:szCs w:val="21"/>
              </w:rPr>
            </w:pPr>
          </w:p>
        </w:tc>
      </w:tr>
      <w:tr w14:paraId="49848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4326C8BD">
            <w:pPr>
              <w:spacing w:line="340" w:lineRule="exact"/>
              <w:rPr>
                <w:rFonts w:ascii="宋体" w:hAnsi="宋体"/>
                <w:szCs w:val="21"/>
              </w:rPr>
            </w:pPr>
            <w:r>
              <w:rPr>
                <w:rFonts w:hint="eastAsia" w:ascii="宋体" w:hAnsi="宋体"/>
                <w:szCs w:val="21"/>
              </w:rPr>
              <w:t>二</w:t>
            </w:r>
          </w:p>
        </w:tc>
        <w:tc>
          <w:tcPr>
            <w:tcW w:w="3757" w:type="dxa"/>
            <w:tcBorders>
              <w:top w:val="single" w:color="auto" w:sz="4" w:space="0"/>
              <w:left w:val="single" w:color="auto" w:sz="4" w:space="0"/>
              <w:bottom w:val="single" w:color="auto" w:sz="4" w:space="0"/>
              <w:right w:val="single" w:color="auto" w:sz="4" w:space="0"/>
            </w:tcBorders>
            <w:noWrap/>
          </w:tcPr>
          <w:p w14:paraId="10A7F8BF">
            <w:pPr>
              <w:rPr>
                <w:rFonts w:ascii="宋体" w:hAnsi="宋体"/>
                <w:szCs w:val="21"/>
              </w:rPr>
            </w:pPr>
            <w:r>
              <w:rPr>
                <w:rFonts w:hint="eastAsia" w:ascii="宋体" w:hAnsi="宋体"/>
                <w:szCs w:val="21"/>
              </w:rPr>
              <w:t>1  ……</w:t>
            </w:r>
          </w:p>
        </w:tc>
        <w:tc>
          <w:tcPr>
            <w:tcW w:w="2516" w:type="dxa"/>
            <w:tcBorders>
              <w:top w:val="single" w:color="auto" w:sz="4" w:space="0"/>
              <w:left w:val="single" w:color="auto" w:sz="4" w:space="0"/>
              <w:bottom w:val="single" w:color="auto" w:sz="4" w:space="0"/>
              <w:right w:val="single" w:color="auto" w:sz="4" w:space="0"/>
            </w:tcBorders>
          </w:tcPr>
          <w:p w14:paraId="760A5211">
            <w:pPr>
              <w:rPr>
                <w:rFonts w:ascii="宋体" w:hAnsi="宋体"/>
                <w:szCs w:val="21"/>
              </w:rPr>
            </w:pPr>
            <w:r>
              <w:rPr>
                <w:rFonts w:hint="eastAsia" w:ascii="宋体" w:hAnsi="宋体"/>
                <w:szCs w:val="21"/>
              </w:rPr>
              <w:t>1  ……</w:t>
            </w:r>
          </w:p>
        </w:tc>
        <w:tc>
          <w:tcPr>
            <w:tcW w:w="2516" w:type="dxa"/>
            <w:tcBorders>
              <w:top w:val="single" w:color="auto" w:sz="4" w:space="0"/>
              <w:left w:val="single" w:color="auto" w:sz="4" w:space="0"/>
              <w:bottom w:val="single" w:color="auto" w:sz="4" w:space="0"/>
              <w:right w:val="single" w:color="auto" w:sz="4" w:space="0"/>
            </w:tcBorders>
          </w:tcPr>
          <w:p w14:paraId="503F43FA">
            <w:pPr>
              <w:spacing w:line="300" w:lineRule="exact"/>
              <w:rPr>
                <w:rFonts w:ascii="宋体" w:hAnsi="宋体"/>
                <w:szCs w:val="21"/>
              </w:rPr>
            </w:pPr>
            <w:r>
              <w:rPr>
                <w:rFonts w:hint="eastAsia" w:ascii="宋体" w:hAnsi="宋体"/>
                <w:szCs w:val="21"/>
              </w:rPr>
              <w:t>正偏离（负偏离或无偏离）</w:t>
            </w:r>
          </w:p>
          <w:p w14:paraId="3850BD88">
            <w:pPr>
              <w:spacing w:line="300" w:lineRule="exact"/>
              <w:rPr>
                <w:rFonts w:ascii="宋体" w:hAnsi="宋体"/>
                <w:szCs w:val="21"/>
              </w:rPr>
            </w:pPr>
          </w:p>
        </w:tc>
      </w:tr>
      <w:tr w14:paraId="1EA9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2B43D2B5">
            <w:pPr>
              <w:widowControl/>
              <w:jc w:val="lef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7B767CF6">
            <w:pPr>
              <w:spacing w:line="340" w:lineRule="exact"/>
              <w:rPr>
                <w:rFonts w:ascii="宋体" w:hAnsi="宋体"/>
                <w:szCs w:val="21"/>
              </w:rPr>
            </w:pPr>
            <w:r>
              <w:rPr>
                <w:rFonts w:hint="eastAsia" w:ascii="宋体" w:hAnsi="宋体"/>
                <w:szCs w:val="21"/>
              </w:rPr>
              <w:t>2  ……</w:t>
            </w:r>
          </w:p>
          <w:p w14:paraId="60A2575F">
            <w:pPr>
              <w:spacing w:line="340" w:lineRule="exact"/>
              <w:rPr>
                <w:rFonts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7CDA01B9">
            <w:pPr>
              <w:spacing w:line="340" w:lineRule="exact"/>
              <w:rPr>
                <w:rFonts w:ascii="宋体" w:hAnsi="宋体"/>
                <w:szCs w:val="21"/>
              </w:rPr>
            </w:pPr>
            <w:r>
              <w:rPr>
                <w:rFonts w:hint="eastAsia" w:ascii="宋体" w:hAnsi="宋体"/>
                <w:szCs w:val="21"/>
              </w:rPr>
              <w:t>2  ……</w:t>
            </w:r>
          </w:p>
          <w:p w14:paraId="634AA932">
            <w:pPr>
              <w:spacing w:line="300" w:lineRule="exact"/>
              <w:rPr>
                <w:rFonts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5383C448">
            <w:pPr>
              <w:spacing w:line="300" w:lineRule="exact"/>
              <w:rPr>
                <w:rFonts w:ascii="宋体" w:hAnsi="宋体"/>
                <w:szCs w:val="21"/>
              </w:rPr>
            </w:pPr>
            <w:r>
              <w:rPr>
                <w:rFonts w:hint="eastAsia" w:ascii="宋体" w:hAnsi="宋体"/>
                <w:szCs w:val="21"/>
              </w:rPr>
              <w:t>正偏离（负偏离或无偏离）</w:t>
            </w:r>
          </w:p>
          <w:p w14:paraId="35A9C32F">
            <w:pPr>
              <w:spacing w:line="300" w:lineRule="exact"/>
              <w:rPr>
                <w:rFonts w:ascii="宋体" w:hAnsi="宋体"/>
                <w:szCs w:val="21"/>
              </w:rPr>
            </w:pPr>
          </w:p>
        </w:tc>
      </w:tr>
      <w:tr w14:paraId="530B8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45CDBA9F">
            <w:pPr>
              <w:widowControl/>
              <w:jc w:val="lef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1E4FD65D">
            <w:pPr>
              <w:spacing w:line="340" w:lineRule="exact"/>
              <w:rPr>
                <w:rFonts w:ascii="宋体" w:hAnsi="宋体"/>
                <w:szCs w:val="21"/>
              </w:rPr>
            </w:pPr>
            <w:r>
              <w:rPr>
                <w:rFonts w:hint="eastAsia" w:ascii="宋体" w:hAnsi="宋体"/>
                <w:szCs w:val="21"/>
              </w:rPr>
              <w:t>3  ……</w:t>
            </w:r>
          </w:p>
          <w:p w14:paraId="76A0865B">
            <w:pPr>
              <w:spacing w:line="340" w:lineRule="exact"/>
              <w:rPr>
                <w:rFonts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1C3205E4">
            <w:pPr>
              <w:spacing w:line="340" w:lineRule="exact"/>
              <w:rPr>
                <w:rFonts w:ascii="宋体" w:hAnsi="宋体"/>
                <w:szCs w:val="21"/>
              </w:rPr>
            </w:pPr>
            <w:r>
              <w:rPr>
                <w:rFonts w:hint="eastAsia" w:ascii="宋体" w:hAnsi="宋体"/>
                <w:szCs w:val="21"/>
              </w:rPr>
              <w:t>3  ……</w:t>
            </w:r>
          </w:p>
          <w:p w14:paraId="0CB2C657">
            <w:pPr>
              <w:spacing w:line="300" w:lineRule="exact"/>
              <w:rPr>
                <w:rFonts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4C1B69D2">
            <w:pPr>
              <w:spacing w:line="300" w:lineRule="exact"/>
              <w:rPr>
                <w:rFonts w:ascii="宋体" w:hAnsi="宋体"/>
                <w:szCs w:val="21"/>
              </w:rPr>
            </w:pPr>
            <w:r>
              <w:rPr>
                <w:rFonts w:hint="eastAsia" w:ascii="宋体" w:hAnsi="宋体"/>
                <w:szCs w:val="21"/>
              </w:rPr>
              <w:t>正偏离（负偏离或无偏离）</w:t>
            </w:r>
          </w:p>
          <w:p w14:paraId="0FD4749B">
            <w:pPr>
              <w:spacing w:line="300" w:lineRule="exact"/>
              <w:rPr>
                <w:rFonts w:ascii="宋体" w:hAnsi="宋体"/>
                <w:szCs w:val="21"/>
              </w:rPr>
            </w:pPr>
          </w:p>
        </w:tc>
      </w:tr>
      <w:tr w14:paraId="6EED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1285CBAF">
            <w:pPr>
              <w:widowControl/>
              <w:jc w:val="lef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61A435C0">
            <w:pPr>
              <w:spacing w:line="340" w:lineRule="exact"/>
              <w:rPr>
                <w:rFonts w:ascii="宋体" w:hAnsi="宋体"/>
                <w:szCs w:val="21"/>
              </w:rPr>
            </w:pPr>
            <w:r>
              <w:rPr>
                <w:rFonts w:hint="eastAsia" w:ascii="宋体" w:hAnsi="宋体"/>
                <w:szCs w:val="21"/>
              </w:rPr>
              <w:t>……</w:t>
            </w:r>
          </w:p>
        </w:tc>
        <w:tc>
          <w:tcPr>
            <w:tcW w:w="2516" w:type="dxa"/>
            <w:tcBorders>
              <w:top w:val="single" w:color="auto" w:sz="4" w:space="0"/>
              <w:left w:val="single" w:color="auto" w:sz="4" w:space="0"/>
              <w:bottom w:val="single" w:color="auto" w:sz="4" w:space="0"/>
              <w:right w:val="single" w:color="auto" w:sz="4" w:space="0"/>
            </w:tcBorders>
          </w:tcPr>
          <w:p w14:paraId="24EADBE4">
            <w:pPr>
              <w:spacing w:line="300" w:lineRule="exact"/>
              <w:rPr>
                <w:rFonts w:ascii="宋体" w:hAnsi="宋体"/>
                <w:szCs w:val="21"/>
              </w:rPr>
            </w:pPr>
            <w:r>
              <w:rPr>
                <w:rFonts w:hint="eastAsia" w:ascii="宋体" w:hAnsi="宋体"/>
                <w:szCs w:val="21"/>
              </w:rPr>
              <w:t>……</w:t>
            </w:r>
          </w:p>
        </w:tc>
        <w:tc>
          <w:tcPr>
            <w:tcW w:w="2516" w:type="dxa"/>
            <w:tcBorders>
              <w:top w:val="single" w:color="auto" w:sz="4" w:space="0"/>
              <w:left w:val="single" w:color="auto" w:sz="4" w:space="0"/>
              <w:bottom w:val="single" w:color="auto" w:sz="4" w:space="0"/>
              <w:right w:val="single" w:color="auto" w:sz="4" w:space="0"/>
            </w:tcBorders>
          </w:tcPr>
          <w:p w14:paraId="1C21B7AE">
            <w:pPr>
              <w:spacing w:line="300" w:lineRule="exact"/>
              <w:rPr>
                <w:rFonts w:ascii="宋体" w:hAnsi="宋体"/>
                <w:szCs w:val="21"/>
              </w:rPr>
            </w:pPr>
            <w:r>
              <w:rPr>
                <w:rFonts w:hint="eastAsia" w:ascii="宋体" w:hAnsi="宋体"/>
                <w:szCs w:val="21"/>
              </w:rPr>
              <w:t>正偏离（负偏离或无偏离）</w:t>
            </w:r>
          </w:p>
          <w:p w14:paraId="62FA6333">
            <w:pPr>
              <w:spacing w:line="300" w:lineRule="exact"/>
              <w:rPr>
                <w:rFonts w:ascii="宋体" w:hAnsi="宋体"/>
                <w:szCs w:val="21"/>
              </w:rPr>
            </w:pPr>
          </w:p>
        </w:tc>
      </w:tr>
      <w:tr w14:paraId="10751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bottom w:val="single" w:color="auto" w:sz="4" w:space="0"/>
              <w:right w:val="single" w:color="auto" w:sz="4" w:space="0"/>
            </w:tcBorders>
            <w:noWrap/>
          </w:tcPr>
          <w:p w14:paraId="5B455BD5">
            <w:pPr>
              <w:spacing w:line="340" w:lineRule="exact"/>
              <w:rPr>
                <w:rFonts w:ascii="宋体" w:hAnsi="宋体"/>
                <w:szCs w:val="21"/>
              </w:rPr>
            </w:pPr>
            <w:r>
              <w:rPr>
                <w:rFonts w:hint="eastAsia" w:ascii="宋体" w:hAnsi="宋体"/>
                <w:szCs w:val="21"/>
              </w:rPr>
              <w:t>……</w:t>
            </w:r>
          </w:p>
        </w:tc>
        <w:tc>
          <w:tcPr>
            <w:tcW w:w="3757" w:type="dxa"/>
            <w:tcBorders>
              <w:top w:val="single" w:color="auto" w:sz="4" w:space="0"/>
              <w:left w:val="single" w:color="auto" w:sz="4" w:space="0"/>
              <w:bottom w:val="single" w:color="auto" w:sz="4" w:space="0"/>
              <w:right w:val="single" w:color="auto" w:sz="4" w:space="0"/>
            </w:tcBorders>
            <w:noWrap/>
          </w:tcPr>
          <w:p w14:paraId="59680B85">
            <w:pPr>
              <w:rPr>
                <w:rFonts w:ascii="宋体" w:hAnsi="宋体"/>
                <w:szCs w:val="21"/>
              </w:rPr>
            </w:pPr>
            <w:r>
              <w:rPr>
                <w:rFonts w:hint="eastAsia" w:ascii="宋体" w:hAnsi="宋体"/>
                <w:szCs w:val="21"/>
              </w:rPr>
              <w:t>1  ……</w:t>
            </w:r>
          </w:p>
        </w:tc>
        <w:tc>
          <w:tcPr>
            <w:tcW w:w="2516" w:type="dxa"/>
            <w:tcBorders>
              <w:top w:val="single" w:color="auto" w:sz="4" w:space="0"/>
              <w:left w:val="single" w:color="auto" w:sz="4" w:space="0"/>
              <w:bottom w:val="single" w:color="auto" w:sz="4" w:space="0"/>
              <w:right w:val="single" w:color="auto" w:sz="4" w:space="0"/>
            </w:tcBorders>
          </w:tcPr>
          <w:p w14:paraId="03AC50D6">
            <w:pPr>
              <w:rPr>
                <w:rFonts w:ascii="宋体" w:hAnsi="宋体"/>
                <w:szCs w:val="21"/>
              </w:rPr>
            </w:pPr>
            <w:r>
              <w:rPr>
                <w:rFonts w:hint="eastAsia" w:ascii="宋体" w:hAnsi="宋体"/>
                <w:szCs w:val="21"/>
              </w:rPr>
              <w:t>1  ……</w:t>
            </w:r>
          </w:p>
        </w:tc>
        <w:tc>
          <w:tcPr>
            <w:tcW w:w="2516" w:type="dxa"/>
            <w:tcBorders>
              <w:top w:val="single" w:color="auto" w:sz="4" w:space="0"/>
              <w:left w:val="single" w:color="auto" w:sz="4" w:space="0"/>
              <w:bottom w:val="single" w:color="auto" w:sz="4" w:space="0"/>
              <w:right w:val="single" w:color="auto" w:sz="4" w:space="0"/>
            </w:tcBorders>
          </w:tcPr>
          <w:p w14:paraId="06AB0AF7">
            <w:pPr>
              <w:spacing w:line="300" w:lineRule="exact"/>
              <w:rPr>
                <w:rFonts w:ascii="宋体" w:hAnsi="宋体"/>
                <w:szCs w:val="21"/>
              </w:rPr>
            </w:pPr>
            <w:r>
              <w:rPr>
                <w:rFonts w:hint="eastAsia" w:ascii="宋体" w:hAnsi="宋体"/>
                <w:szCs w:val="21"/>
              </w:rPr>
              <w:t>正偏离（负偏离或无偏离）</w:t>
            </w:r>
          </w:p>
          <w:p w14:paraId="64447904">
            <w:pPr>
              <w:spacing w:line="300" w:lineRule="exact"/>
              <w:rPr>
                <w:rFonts w:ascii="宋体" w:hAnsi="宋体"/>
                <w:szCs w:val="21"/>
              </w:rPr>
            </w:pPr>
          </w:p>
        </w:tc>
      </w:tr>
      <w:tr w14:paraId="38CA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5CC7963E">
            <w:pPr>
              <w:widowControl/>
              <w:jc w:val="lef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3CC1FFC9">
            <w:pPr>
              <w:spacing w:line="340" w:lineRule="exact"/>
              <w:rPr>
                <w:rFonts w:ascii="宋体" w:hAnsi="宋体"/>
                <w:szCs w:val="21"/>
              </w:rPr>
            </w:pPr>
            <w:r>
              <w:rPr>
                <w:rFonts w:hint="eastAsia" w:ascii="宋体" w:hAnsi="宋体"/>
                <w:szCs w:val="21"/>
              </w:rPr>
              <w:t>2  ……</w:t>
            </w:r>
          </w:p>
          <w:p w14:paraId="7F091942">
            <w:pPr>
              <w:spacing w:line="340" w:lineRule="exact"/>
              <w:rPr>
                <w:rFonts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378C40EC">
            <w:pPr>
              <w:spacing w:line="340" w:lineRule="exact"/>
              <w:rPr>
                <w:rFonts w:ascii="宋体" w:hAnsi="宋体"/>
                <w:szCs w:val="21"/>
              </w:rPr>
            </w:pPr>
            <w:r>
              <w:rPr>
                <w:rFonts w:hint="eastAsia" w:ascii="宋体" w:hAnsi="宋体"/>
                <w:szCs w:val="21"/>
              </w:rPr>
              <w:t>2  ……</w:t>
            </w:r>
          </w:p>
          <w:p w14:paraId="58F45E94">
            <w:pPr>
              <w:spacing w:line="300" w:lineRule="exact"/>
              <w:rPr>
                <w:rFonts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3284AC73">
            <w:pPr>
              <w:spacing w:line="300" w:lineRule="exact"/>
              <w:rPr>
                <w:rFonts w:ascii="宋体" w:hAnsi="宋体"/>
                <w:szCs w:val="21"/>
              </w:rPr>
            </w:pPr>
            <w:r>
              <w:rPr>
                <w:rFonts w:hint="eastAsia" w:ascii="宋体" w:hAnsi="宋体"/>
                <w:szCs w:val="21"/>
              </w:rPr>
              <w:t>正偏离（负偏离或无偏离）</w:t>
            </w:r>
          </w:p>
          <w:p w14:paraId="4D7D67B9">
            <w:pPr>
              <w:spacing w:line="300" w:lineRule="exact"/>
              <w:rPr>
                <w:rFonts w:ascii="宋体" w:hAnsi="宋体"/>
                <w:szCs w:val="21"/>
              </w:rPr>
            </w:pPr>
          </w:p>
        </w:tc>
      </w:tr>
      <w:tr w14:paraId="70304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44CEA758">
            <w:pPr>
              <w:widowControl/>
              <w:jc w:val="lef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1EBBAA4B">
            <w:pPr>
              <w:spacing w:line="340" w:lineRule="exact"/>
              <w:rPr>
                <w:rFonts w:ascii="宋体" w:hAnsi="宋体"/>
                <w:szCs w:val="21"/>
              </w:rPr>
            </w:pPr>
            <w:r>
              <w:rPr>
                <w:rFonts w:hint="eastAsia" w:ascii="宋体" w:hAnsi="宋体"/>
                <w:szCs w:val="21"/>
              </w:rPr>
              <w:t>3  ……</w:t>
            </w:r>
          </w:p>
          <w:p w14:paraId="14924DB3">
            <w:pPr>
              <w:spacing w:line="340" w:lineRule="exact"/>
              <w:rPr>
                <w:rFonts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787D0093">
            <w:pPr>
              <w:spacing w:line="340" w:lineRule="exact"/>
              <w:rPr>
                <w:rFonts w:ascii="宋体" w:hAnsi="宋体"/>
                <w:szCs w:val="21"/>
              </w:rPr>
            </w:pPr>
            <w:r>
              <w:rPr>
                <w:rFonts w:hint="eastAsia" w:ascii="宋体" w:hAnsi="宋体"/>
                <w:szCs w:val="21"/>
              </w:rPr>
              <w:t>3  ……</w:t>
            </w:r>
          </w:p>
          <w:p w14:paraId="6ADD9CC2">
            <w:pPr>
              <w:spacing w:line="300" w:lineRule="exact"/>
              <w:rPr>
                <w:rFonts w:ascii="宋体" w:hAnsi="宋体"/>
                <w:szCs w:val="21"/>
              </w:rPr>
            </w:pPr>
          </w:p>
        </w:tc>
        <w:tc>
          <w:tcPr>
            <w:tcW w:w="2516" w:type="dxa"/>
            <w:tcBorders>
              <w:top w:val="single" w:color="auto" w:sz="4" w:space="0"/>
              <w:left w:val="single" w:color="auto" w:sz="4" w:space="0"/>
              <w:bottom w:val="single" w:color="auto" w:sz="4" w:space="0"/>
              <w:right w:val="single" w:color="auto" w:sz="4" w:space="0"/>
            </w:tcBorders>
          </w:tcPr>
          <w:p w14:paraId="679E822B">
            <w:pPr>
              <w:spacing w:line="300" w:lineRule="exact"/>
              <w:rPr>
                <w:rFonts w:ascii="宋体" w:hAnsi="宋体"/>
                <w:szCs w:val="21"/>
              </w:rPr>
            </w:pPr>
            <w:r>
              <w:rPr>
                <w:rFonts w:hint="eastAsia" w:ascii="宋体" w:hAnsi="宋体"/>
                <w:szCs w:val="21"/>
              </w:rPr>
              <w:t>正偏离（负偏离或无偏离）</w:t>
            </w:r>
          </w:p>
          <w:p w14:paraId="143F24FE">
            <w:pPr>
              <w:spacing w:line="300" w:lineRule="exact"/>
              <w:rPr>
                <w:rFonts w:ascii="宋体" w:hAnsi="宋体"/>
                <w:szCs w:val="21"/>
              </w:rPr>
            </w:pPr>
          </w:p>
        </w:tc>
      </w:tr>
      <w:tr w14:paraId="2B7E4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9480" w:type="dxa"/>
            <w:vMerge w:val="continue"/>
            <w:tcBorders>
              <w:top w:val="single" w:color="auto" w:sz="4" w:space="0"/>
              <w:left w:val="single" w:color="auto" w:sz="4" w:space="0"/>
              <w:bottom w:val="single" w:color="auto" w:sz="4" w:space="0"/>
              <w:right w:val="single" w:color="auto" w:sz="4" w:space="0"/>
            </w:tcBorders>
            <w:vAlign w:val="center"/>
          </w:tcPr>
          <w:p w14:paraId="736A3DAE">
            <w:pPr>
              <w:widowControl/>
              <w:jc w:val="left"/>
              <w:rPr>
                <w:rFonts w:ascii="宋体" w:hAnsi="宋体"/>
                <w:szCs w:val="21"/>
              </w:rPr>
            </w:pPr>
          </w:p>
        </w:tc>
        <w:tc>
          <w:tcPr>
            <w:tcW w:w="3757" w:type="dxa"/>
            <w:tcBorders>
              <w:top w:val="single" w:color="auto" w:sz="4" w:space="0"/>
              <w:left w:val="single" w:color="auto" w:sz="4" w:space="0"/>
              <w:bottom w:val="single" w:color="auto" w:sz="4" w:space="0"/>
              <w:right w:val="single" w:color="auto" w:sz="4" w:space="0"/>
            </w:tcBorders>
            <w:noWrap/>
          </w:tcPr>
          <w:p w14:paraId="55095ADE">
            <w:pPr>
              <w:spacing w:line="340" w:lineRule="exact"/>
              <w:rPr>
                <w:rFonts w:ascii="宋体" w:hAnsi="宋体"/>
                <w:szCs w:val="21"/>
              </w:rPr>
            </w:pPr>
            <w:r>
              <w:rPr>
                <w:rFonts w:hint="eastAsia" w:ascii="宋体" w:hAnsi="宋体"/>
                <w:szCs w:val="21"/>
              </w:rPr>
              <w:t>……</w:t>
            </w:r>
          </w:p>
        </w:tc>
        <w:tc>
          <w:tcPr>
            <w:tcW w:w="2516" w:type="dxa"/>
            <w:tcBorders>
              <w:top w:val="single" w:color="auto" w:sz="4" w:space="0"/>
              <w:left w:val="single" w:color="auto" w:sz="4" w:space="0"/>
              <w:bottom w:val="single" w:color="auto" w:sz="4" w:space="0"/>
              <w:right w:val="single" w:color="auto" w:sz="4" w:space="0"/>
            </w:tcBorders>
          </w:tcPr>
          <w:p w14:paraId="29D1A5CA">
            <w:pPr>
              <w:spacing w:line="300" w:lineRule="exact"/>
              <w:rPr>
                <w:rFonts w:ascii="宋体" w:hAnsi="宋体"/>
                <w:szCs w:val="21"/>
              </w:rPr>
            </w:pPr>
            <w:r>
              <w:rPr>
                <w:rFonts w:hint="eastAsia" w:ascii="宋体" w:hAnsi="宋体"/>
                <w:szCs w:val="21"/>
              </w:rPr>
              <w:t>……</w:t>
            </w:r>
          </w:p>
        </w:tc>
        <w:tc>
          <w:tcPr>
            <w:tcW w:w="2516" w:type="dxa"/>
            <w:tcBorders>
              <w:top w:val="single" w:color="auto" w:sz="4" w:space="0"/>
              <w:left w:val="single" w:color="auto" w:sz="4" w:space="0"/>
              <w:bottom w:val="single" w:color="auto" w:sz="4" w:space="0"/>
              <w:right w:val="single" w:color="auto" w:sz="4" w:space="0"/>
            </w:tcBorders>
          </w:tcPr>
          <w:p w14:paraId="2D1EF33E">
            <w:pPr>
              <w:spacing w:line="300" w:lineRule="exact"/>
              <w:rPr>
                <w:rFonts w:ascii="宋体" w:hAnsi="宋体"/>
                <w:szCs w:val="21"/>
              </w:rPr>
            </w:pPr>
            <w:r>
              <w:rPr>
                <w:rFonts w:hint="eastAsia" w:ascii="宋体" w:hAnsi="宋体"/>
                <w:szCs w:val="21"/>
              </w:rPr>
              <w:t>正偏离（负偏离或无偏离）</w:t>
            </w:r>
          </w:p>
          <w:p w14:paraId="6D83BE14">
            <w:pPr>
              <w:spacing w:line="300" w:lineRule="exact"/>
              <w:rPr>
                <w:rFonts w:ascii="宋体" w:hAnsi="宋体"/>
                <w:szCs w:val="21"/>
              </w:rPr>
            </w:pPr>
          </w:p>
        </w:tc>
      </w:tr>
      <w:tr w14:paraId="109A8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tcPr>
          <w:p w14:paraId="2FC40B93">
            <w:pPr>
              <w:spacing w:line="340" w:lineRule="exact"/>
              <w:rPr>
                <w:rFonts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bl>
    <w:p w14:paraId="3063B93C">
      <w:pPr>
        <w:pStyle w:val="18"/>
        <w:spacing w:line="360" w:lineRule="auto"/>
        <w:ind w:left="-708" w:leftChars="-337"/>
        <w:rPr>
          <w:rFonts w:ascii="Times New Roman" w:hAnsi="Times New Roman"/>
        </w:rPr>
      </w:pPr>
    </w:p>
    <w:p w14:paraId="0AE05D14">
      <w:pPr>
        <w:pStyle w:val="18"/>
        <w:spacing w:line="360" w:lineRule="auto"/>
        <w:ind w:left="-708" w:leftChars="-337"/>
        <w:rPr>
          <w:rFonts w:ascii="Times New Roman" w:hAnsi="Times New Roman"/>
        </w:rPr>
      </w:pPr>
      <w:r>
        <w:rPr>
          <w:rFonts w:hint="eastAsia" w:ascii="Times New Roman" w:hAnsi="Times New Roman"/>
        </w:rPr>
        <w:t>注：</w:t>
      </w:r>
    </w:p>
    <w:p w14:paraId="2B6B4F2C">
      <w:pPr>
        <w:pStyle w:val="18"/>
        <w:spacing w:line="360" w:lineRule="auto"/>
        <w:ind w:left="-708" w:leftChars="-337" w:firstLine="420" w:firstLineChars="200"/>
        <w:rPr>
          <w:rFonts w:ascii="Times New Roman" w:hAnsi="Times New Roman"/>
        </w:rPr>
      </w:pPr>
      <w:r>
        <w:rPr>
          <w:rFonts w:ascii="Times New Roman" w:hAnsi="Times New Roman"/>
        </w:rPr>
        <w:t>1.</w:t>
      </w:r>
      <w:r>
        <w:rPr>
          <w:rFonts w:hint="eastAsia" w:ascii="Times New Roman" w:hAnsi="Times New Roman"/>
        </w:rPr>
        <w:t>表格内容均需按要求填写并盖章，不得留空，否则按投标无效处理。</w:t>
      </w:r>
    </w:p>
    <w:p w14:paraId="3149D273">
      <w:pPr>
        <w:pStyle w:val="18"/>
        <w:spacing w:line="360" w:lineRule="auto"/>
        <w:ind w:left="-603" w:leftChars="-287" w:firstLine="315" w:firstLineChars="150"/>
        <w:rPr>
          <w:rFonts w:ascii="Times New Roman" w:hAnsi="Times New Roman"/>
        </w:rPr>
      </w:pPr>
      <w:r>
        <w:rPr>
          <w:rFonts w:ascii="Times New Roman" w:hAnsi="Times New Roman"/>
        </w:rPr>
        <w:t>2.</w:t>
      </w:r>
      <w:r>
        <w:rPr>
          <w:rFonts w:hint="eastAsia" w:ascii="Times New Roman" w:hAnsi="Times New Roman"/>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200D0B7A">
      <w:pPr>
        <w:pStyle w:val="18"/>
        <w:spacing w:line="360" w:lineRule="auto"/>
        <w:ind w:left="-603" w:leftChars="-287" w:firstLine="315" w:firstLineChars="150"/>
        <w:rPr>
          <w:rFonts w:ascii="Times New Roman" w:hAnsi="Times New Roman"/>
        </w:rPr>
      </w:pPr>
      <w:r>
        <w:rPr>
          <w:rFonts w:ascii="Times New Roman" w:hAnsi="Times New Roman"/>
        </w:rPr>
        <w:t>3.</w:t>
      </w:r>
      <w:r>
        <w:rPr>
          <w:rFonts w:hint="eastAsia" w:ascii="Times New Roman" w:hAnsi="Times New Roman"/>
        </w:rPr>
        <w:t>当投标文件的商务内容低于招标文件要求时，投标人应当如实写明“负偏离”，否则视为虚假应标。</w:t>
      </w:r>
    </w:p>
    <w:p w14:paraId="4DE70AA4">
      <w:pPr>
        <w:pStyle w:val="18"/>
        <w:spacing w:line="360" w:lineRule="auto"/>
        <w:ind w:left="-708" w:leftChars="-337" w:firstLine="420" w:firstLineChars="200"/>
        <w:rPr>
          <w:rFonts w:ascii="Times New Roman" w:hAnsi="Times New Roman"/>
        </w:rPr>
      </w:pPr>
      <w:r>
        <w:rPr>
          <w:rFonts w:hint="eastAsia" w:hAnsi="宋体" w:cs="宋体"/>
          <w:szCs w:val="21"/>
        </w:rPr>
        <w:t>4.采购需求中带“▲”及“★”的条款，也要分别在本表“</w:t>
      </w:r>
      <w:r>
        <w:rPr>
          <w:rFonts w:hint="eastAsia" w:hAnsi="宋体"/>
          <w:szCs w:val="21"/>
        </w:rPr>
        <w:t>投标文件的商务需求</w:t>
      </w:r>
      <w:r>
        <w:rPr>
          <w:rFonts w:hint="eastAsia" w:hAnsi="宋体" w:cs="宋体"/>
          <w:szCs w:val="21"/>
        </w:rPr>
        <w:t>”、“</w:t>
      </w:r>
      <w:r>
        <w:rPr>
          <w:rFonts w:hint="eastAsia" w:hAnsi="宋体"/>
          <w:szCs w:val="21"/>
        </w:rPr>
        <w:t>投标文件承诺的商务条款</w:t>
      </w:r>
      <w:r>
        <w:rPr>
          <w:rFonts w:hint="eastAsia" w:hAnsi="宋体" w:cs="宋体"/>
          <w:szCs w:val="21"/>
        </w:rPr>
        <w:t>”中标记。</w:t>
      </w:r>
    </w:p>
    <w:p w14:paraId="06A16C94">
      <w:pPr>
        <w:snapToGrid w:val="0"/>
        <w:spacing w:before="50" w:after="50"/>
        <w:rPr>
          <w:rFonts w:ascii="宋体" w:hAnsi="宋体"/>
          <w:sz w:val="24"/>
        </w:rPr>
      </w:pPr>
    </w:p>
    <w:p w14:paraId="5EF44270">
      <w:pPr>
        <w:snapToGrid w:val="0"/>
        <w:spacing w:line="360" w:lineRule="auto"/>
        <w:ind w:firstLine="5640" w:firstLineChars="235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248F6789">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1A5011B8">
      <w:pPr>
        <w:widowControl/>
        <w:jc w:val="left"/>
        <w:rPr>
          <w:rFonts w:ascii="宋体" w:hAnsi="宋体"/>
          <w:szCs w:val="21"/>
        </w:rPr>
        <w:sectPr>
          <w:pgSz w:w="11906" w:h="16838"/>
          <w:pgMar w:top="1440" w:right="1797" w:bottom="1440" w:left="1797" w:header="851" w:footer="992" w:gutter="0"/>
          <w:cols w:space="720" w:num="1"/>
        </w:sectPr>
      </w:pPr>
    </w:p>
    <w:p w14:paraId="0D0C2675">
      <w:pPr>
        <w:snapToGrid w:val="0"/>
        <w:spacing w:beforeLines="50" w:after="50"/>
        <w:ind w:firstLine="602" w:firstLineChars="200"/>
        <w:jc w:val="center"/>
        <w:rPr>
          <w:b/>
          <w:bCs/>
          <w:sz w:val="30"/>
          <w:szCs w:val="30"/>
        </w:rPr>
      </w:pPr>
      <w:bookmarkStart w:id="316" w:name="_Toc19686839"/>
      <w:bookmarkStart w:id="317" w:name="_Toc187761575"/>
      <w:r>
        <w:rPr>
          <w:rFonts w:hint="eastAsia"/>
          <w:b/>
          <w:bCs/>
          <w:sz w:val="30"/>
          <w:szCs w:val="30"/>
        </w:rPr>
        <w:t>五、投标人情况介绍</w:t>
      </w:r>
    </w:p>
    <w:p w14:paraId="6B5BE9B9">
      <w:pPr>
        <w:spacing w:line="360" w:lineRule="auto"/>
        <w:jc w:val="center"/>
        <w:rPr>
          <w:rFonts w:ascii="仿宋_GB2312" w:hAnsi="仿宋" w:eastAsia="仿宋_GB2312" w:cs="仿宋_GB2312"/>
          <w:kern w:val="0"/>
          <w:sz w:val="24"/>
        </w:rPr>
      </w:pPr>
      <w:r>
        <w:rPr>
          <w:rFonts w:hint="eastAsia" w:ascii="宋体" w:hAnsi="宋体"/>
          <w:sz w:val="24"/>
        </w:rPr>
        <w:t>（由投标人根据采购需求及招标文件要求编制，格式自拟）</w:t>
      </w:r>
    </w:p>
    <w:p w14:paraId="32538D5E">
      <w:pPr>
        <w:snapToGrid w:val="0"/>
        <w:spacing w:line="360" w:lineRule="auto"/>
        <w:ind w:firstLine="4935" w:firstLineChars="2350"/>
        <w:rPr>
          <w:rFonts w:hAnsi="宋体"/>
          <w:szCs w:val="21"/>
        </w:rPr>
      </w:pPr>
    </w:p>
    <w:p w14:paraId="6628185D">
      <w:pPr>
        <w:snapToGrid w:val="0"/>
        <w:spacing w:line="360" w:lineRule="auto"/>
        <w:ind w:firstLine="4935" w:firstLineChars="2350"/>
        <w:rPr>
          <w:rFonts w:hAnsi="宋体"/>
          <w:szCs w:val="21"/>
        </w:rPr>
      </w:pPr>
    </w:p>
    <w:p w14:paraId="39F4EE81">
      <w:pPr>
        <w:snapToGrid w:val="0"/>
        <w:spacing w:line="360" w:lineRule="auto"/>
        <w:ind w:firstLine="4935" w:firstLineChars="2350"/>
        <w:rPr>
          <w:rFonts w:hAnsi="宋体"/>
          <w:szCs w:val="21"/>
        </w:rPr>
      </w:pPr>
    </w:p>
    <w:p w14:paraId="16421401">
      <w:pPr>
        <w:snapToGrid w:val="0"/>
        <w:spacing w:line="360" w:lineRule="auto"/>
        <w:ind w:firstLine="4935" w:firstLineChars="2350"/>
        <w:rPr>
          <w:rFonts w:hAnsi="宋体"/>
          <w:szCs w:val="21"/>
        </w:rPr>
      </w:pPr>
    </w:p>
    <w:p w14:paraId="4AA400AC">
      <w:pPr>
        <w:snapToGrid w:val="0"/>
        <w:spacing w:line="360" w:lineRule="auto"/>
        <w:ind w:firstLine="5640" w:firstLineChars="235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7835A278">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2B07B84D">
      <w:pPr>
        <w:pStyle w:val="2"/>
        <w:rPr>
          <w:rFonts w:ascii="仿宋_GB2312" w:hAnsi="仿宋" w:eastAsia="仿宋_GB2312" w:cs="仿宋_GB2312"/>
          <w:kern w:val="0"/>
          <w:lang w:val="zh-CN"/>
        </w:rPr>
      </w:pPr>
    </w:p>
    <w:p w14:paraId="3311A362">
      <w:pPr>
        <w:rPr>
          <w:rFonts w:ascii="仿宋_GB2312" w:hAnsi="仿宋" w:eastAsia="仿宋_GB2312" w:cs="仿宋_GB2312"/>
          <w:kern w:val="0"/>
          <w:sz w:val="24"/>
          <w:lang w:val="zh-CN"/>
        </w:rPr>
      </w:pPr>
    </w:p>
    <w:p w14:paraId="4B3FC73E">
      <w:pPr>
        <w:pStyle w:val="2"/>
        <w:rPr>
          <w:rFonts w:ascii="仿宋_GB2312" w:hAnsi="仿宋" w:eastAsia="仿宋_GB2312" w:cs="仿宋_GB2312"/>
          <w:kern w:val="0"/>
          <w:lang w:val="zh-CN"/>
        </w:rPr>
      </w:pPr>
    </w:p>
    <w:p w14:paraId="467D6073">
      <w:pPr>
        <w:rPr>
          <w:rFonts w:ascii="仿宋_GB2312" w:hAnsi="仿宋" w:eastAsia="仿宋_GB2312" w:cs="仿宋_GB2312"/>
          <w:kern w:val="0"/>
          <w:sz w:val="24"/>
          <w:lang w:val="zh-CN"/>
        </w:rPr>
      </w:pPr>
    </w:p>
    <w:p w14:paraId="23B85EED">
      <w:pPr>
        <w:pStyle w:val="2"/>
        <w:rPr>
          <w:rFonts w:ascii="仿宋_GB2312" w:hAnsi="仿宋" w:eastAsia="仿宋_GB2312" w:cs="仿宋_GB2312"/>
          <w:kern w:val="0"/>
          <w:lang w:val="zh-CN"/>
        </w:rPr>
      </w:pPr>
    </w:p>
    <w:p w14:paraId="2DA842D8">
      <w:pPr>
        <w:rPr>
          <w:rFonts w:ascii="仿宋_GB2312" w:hAnsi="仿宋" w:eastAsia="仿宋_GB2312" w:cs="仿宋_GB2312"/>
          <w:kern w:val="0"/>
          <w:sz w:val="24"/>
          <w:lang w:val="zh-CN"/>
        </w:rPr>
      </w:pPr>
    </w:p>
    <w:p w14:paraId="7B91E567">
      <w:pPr>
        <w:pStyle w:val="2"/>
        <w:rPr>
          <w:rFonts w:ascii="仿宋_GB2312" w:hAnsi="仿宋" w:eastAsia="仿宋_GB2312" w:cs="仿宋_GB2312"/>
          <w:kern w:val="0"/>
          <w:lang w:val="zh-CN"/>
        </w:rPr>
      </w:pPr>
    </w:p>
    <w:p w14:paraId="76C1F031">
      <w:pPr>
        <w:rPr>
          <w:rFonts w:ascii="仿宋_GB2312" w:hAnsi="仿宋" w:eastAsia="仿宋_GB2312" w:cs="仿宋_GB2312"/>
          <w:kern w:val="0"/>
          <w:sz w:val="24"/>
          <w:lang w:val="zh-CN"/>
        </w:rPr>
      </w:pPr>
    </w:p>
    <w:p w14:paraId="09185467">
      <w:pPr>
        <w:pStyle w:val="2"/>
        <w:rPr>
          <w:rFonts w:ascii="仿宋_GB2312" w:hAnsi="仿宋" w:eastAsia="仿宋_GB2312" w:cs="仿宋_GB2312"/>
          <w:kern w:val="0"/>
          <w:lang w:val="zh-CN"/>
        </w:rPr>
      </w:pPr>
    </w:p>
    <w:p w14:paraId="283FDA20">
      <w:pPr>
        <w:rPr>
          <w:rFonts w:ascii="仿宋_GB2312" w:hAnsi="仿宋" w:eastAsia="仿宋_GB2312" w:cs="仿宋_GB2312"/>
          <w:kern w:val="0"/>
          <w:sz w:val="24"/>
          <w:lang w:val="zh-CN"/>
        </w:rPr>
      </w:pPr>
    </w:p>
    <w:p w14:paraId="76A98036">
      <w:pPr>
        <w:pStyle w:val="2"/>
        <w:rPr>
          <w:rFonts w:ascii="仿宋_GB2312" w:hAnsi="仿宋" w:eastAsia="仿宋_GB2312" w:cs="仿宋_GB2312"/>
          <w:kern w:val="0"/>
          <w:lang w:val="zh-CN"/>
        </w:rPr>
      </w:pPr>
    </w:p>
    <w:p w14:paraId="63B1223E">
      <w:pPr>
        <w:rPr>
          <w:rFonts w:ascii="仿宋_GB2312" w:hAnsi="仿宋" w:eastAsia="仿宋_GB2312" w:cs="仿宋_GB2312"/>
          <w:kern w:val="0"/>
          <w:sz w:val="24"/>
          <w:lang w:val="zh-CN"/>
        </w:rPr>
      </w:pPr>
    </w:p>
    <w:p w14:paraId="29B7E3DE">
      <w:pPr>
        <w:pStyle w:val="2"/>
        <w:rPr>
          <w:rFonts w:ascii="仿宋_GB2312" w:hAnsi="仿宋" w:eastAsia="仿宋_GB2312" w:cs="仿宋_GB2312"/>
          <w:kern w:val="0"/>
          <w:lang w:val="zh-CN"/>
        </w:rPr>
      </w:pPr>
    </w:p>
    <w:p w14:paraId="4B2647DB">
      <w:pPr>
        <w:rPr>
          <w:rFonts w:ascii="仿宋_GB2312" w:hAnsi="仿宋" w:eastAsia="仿宋_GB2312" w:cs="仿宋_GB2312"/>
          <w:kern w:val="0"/>
          <w:sz w:val="24"/>
          <w:lang w:val="zh-CN"/>
        </w:rPr>
      </w:pPr>
    </w:p>
    <w:p w14:paraId="263DBCFF">
      <w:pPr>
        <w:pStyle w:val="2"/>
        <w:rPr>
          <w:rFonts w:ascii="仿宋_GB2312" w:hAnsi="仿宋" w:eastAsia="仿宋_GB2312" w:cs="仿宋_GB2312"/>
          <w:kern w:val="0"/>
          <w:lang w:val="zh-CN"/>
        </w:rPr>
      </w:pPr>
    </w:p>
    <w:p w14:paraId="4D6F038F">
      <w:pPr>
        <w:rPr>
          <w:rFonts w:ascii="仿宋_GB2312" w:hAnsi="仿宋" w:eastAsia="仿宋_GB2312" w:cs="仿宋_GB2312"/>
          <w:kern w:val="0"/>
          <w:sz w:val="24"/>
          <w:lang w:val="zh-CN"/>
        </w:rPr>
      </w:pPr>
    </w:p>
    <w:p w14:paraId="627ED1CA">
      <w:pPr>
        <w:pStyle w:val="2"/>
        <w:rPr>
          <w:rFonts w:ascii="仿宋_GB2312" w:hAnsi="仿宋" w:eastAsia="仿宋_GB2312" w:cs="仿宋_GB2312"/>
          <w:kern w:val="0"/>
          <w:lang w:val="zh-CN"/>
        </w:rPr>
      </w:pPr>
    </w:p>
    <w:p w14:paraId="70B71C60">
      <w:pPr>
        <w:rPr>
          <w:rFonts w:ascii="仿宋_GB2312" w:hAnsi="仿宋" w:eastAsia="仿宋_GB2312" w:cs="仿宋_GB2312"/>
          <w:kern w:val="0"/>
          <w:sz w:val="24"/>
          <w:lang w:val="zh-CN"/>
        </w:rPr>
      </w:pPr>
    </w:p>
    <w:p w14:paraId="30D29CF0">
      <w:pPr>
        <w:pStyle w:val="2"/>
        <w:rPr>
          <w:lang w:val="zh-CN"/>
        </w:rPr>
      </w:pPr>
    </w:p>
    <w:p w14:paraId="1DB81CF7">
      <w:pPr>
        <w:snapToGrid w:val="0"/>
        <w:spacing w:beforeLines="50" w:after="50"/>
        <w:ind w:firstLine="602" w:firstLineChars="200"/>
        <w:jc w:val="center"/>
        <w:rPr>
          <w:b/>
          <w:bCs/>
          <w:sz w:val="30"/>
          <w:szCs w:val="30"/>
        </w:rPr>
      </w:pPr>
    </w:p>
    <w:p w14:paraId="2A75E463">
      <w:pPr>
        <w:snapToGrid w:val="0"/>
        <w:spacing w:beforeLines="50" w:after="50"/>
        <w:ind w:firstLine="602" w:firstLineChars="200"/>
        <w:jc w:val="center"/>
        <w:rPr>
          <w:b/>
          <w:bCs/>
          <w:sz w:val="30"/>
          <w:szCs w:val="30"/>
        </w:rPr>
        <w:sectPr>
          <w:pgSz w:w="11906" w:h="16838"/>
          <w:pgMar w:top="1134" w:right="1134" w:bottom="1134" w:left="1134" w:header="720" w:footer="720" w:gutter="0"/>
          <w:cols w:space="720" w:num="1"/>
          <w:docGrid w:type="lines" w:linePitch="331" w:charSpace="0"/>
        </w:sectPr>
      </w:pPr>
    </w:p>
    <w:p w14:paraId="3E8803AF">
      <w:pPr>
        <w:snapToGrid w:val="0"/>
        <w:spacing w:beforeLines="50" w:after="50"/>
        <w:ind w:firstLine="602" w:firstLineChars="200"/>
        <w:jc w:val="center"/>
        <w:rPr>
          <w:b/>
          <w:bCs/>
          <w:sz w:val="30"/>
          <w:szCs w:val="30"/>
        </w:rPr>
      </w:pPr>
      <w:r>
        <w:rPr>
          <w:rFonts w:hint="eastAsia"/>
          <w:b/>
          <w:bCs/>
          <w:sz w:val="30"/>
          <w:szCs w:val="30"/>
        </w:rPr>
        <w:t>六、实力信誉及业绩</w:t>
      </w:r>
    </w:p>
    <w:p w14:paraId="09962D55">
      <w:pPr>
        <w:snapToGrid w:val="0"/>
        <w:spacing w:beforeLines="50" w:after="50"/>
        <w:ind w:firstLine="602" w:firstLineChars="200"/>
        <w:jc w:val="center"/>
        <w:rPr>
          <w:b/>
          <w:bCs/>
          <w:sz w:val="30"/>
          <w:szCs w:val="30"/>
        </w:rPr>
      </w:pPr>
      <w:r>
        <w:rPr>
          <w:rFonts w:hint="eastAsia"/>
          <w:b/>
          <w:bCs/>
          <w:sz w:val="30"/>
          <w:szCs w:val="30"/>
        </w:rPr>
        <w:t>投标人类似的业绩证明文件</w:t>
      </w:r>
    </w:p>
    <w:p w14:paraId="5419CFE3">
      <w:pPr>
        <w:pStyle w:val="27"/>
        <w:snapToGrid w:val="0"/>
        <w:ind w:left="480" w:hanging="480"/>
        <w:rPr>
          <w:rFonts w:ascii="宋体" w:hAnsi="宋体"/>
          <w:sz w:val="24"/>
        </w:rPr>
      </w:pPr>
    </w:p>
    <w:p w14:paraId="2906AAA9">
      <w:pPr>
        <w:autoSpaceDE w:val="0"/>
        <w:autoSpaceDN w:val="0"/>
        <w:spacing w:line="360" w:lineRule="auto"/>
        <w:ind w:firstLine="120"/>
        <w:rPr>
          <w:rFonts w:ascii="宋体" w:hAnsi="宋体"/>
          <w:sz w:val="24"/>
        </w:rPr>
      </w:pPr>
      <w:r>
        <w:rPr>
          <w:rFonts w:hint="eastAsia" w:ascii="仿宋_GB2312" w:hAnsi="仿宋" w:eastAsia="仿宋_GB2312" w:cs="仿宋_GB2312"/>
          <w:b/>
          <w:sz w:val="24"/>
        </w:rPr>
        <w:t>附表 :相关项目业绩一览表（投标人同类项目合同复印件、用户验收报告、用户评价意见格式自拟）</w:t>
      </w:r>
    </w:p>
    <w:tbl>
      <w:tblPr>
        <w:tblStyle w:val="32"/>
        <w:tblW w:w="0" w:type="auto"/>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1559"/>
        <w:gridCol w:w="1559"/>
        <w:gridCol w:w="1418"/>
        <w:gridCol w:w="2268"/>
      </w:tblGrid>
      <w:tr w14:paraId="78F1E1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14:paraId="4DD0A7A5">
            <w:pPr>
              <w:snapToGrid w:val="0"/>
              <w:spacing w:line="240" w:lineRule="exact"/>
              <w:jc w:val="center"/>
              <w:rPr>
                <w:rFonts w:ascii="宋体" w:hAnsi="宋体"/>
                <w:sz w:val="24"/>
              </w:rPr>
            </w:pPr>
            <w:r>
              <w:rPr>
                <w:rFonts w:hint="eastAsia" w:ascii="宋体" w:hAnsi="宋体"/>
                <w:sz w:val="24"/>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14:paraId="3124B8BB">
            <w:pPr>
              <w:snapToGrid w:val="0"/>
              <w:spacing w:line="240" w:lineRule="exact"/>
              <w:jc w:val="center"/>
              <w:rPr>
                <w:rFonts w:ascii="宋体" w:hAnsi="宋体"/>
                <w:sz w:val="24"/>
              </w:rPr>
            </w:pPr>
            <w:r>
              <w:rPr>
                <w:rFonts w:hint="eastAsia" w:ascii="宋体" w:hAnsi="宋体"/>
                <w:sz w:val="24"/>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14:paraId="3479ABB9">
            <w:pPr>
              <w:snapToGrid w:val="0"/>
              <w:spacing w:line="240" w:lineRule="exact"/>
              <w:jc w:val="center"/>
              <w:rPr>
                <w:rFonts w:ascii="宋体" w:hAnsi="宋体"/>
                <w:sz w:val="24"/>
              </w:rPr>
            </w:pPr>
            <w:r>
              <w:rPr>
                <w:rFonts w:hint="eastAsia" w:ascii="宋体" w:hAnsi="宋体"/>
                <w:sz w:val="24"/>
              </w:rPr>
              <w:t>合同</w:t>
            </w:r>
          </w:p>
          <w:p w14:paraId="66A7FF19">
            <w:pPr>
              <w:snapToGrid w:val="0"/>
              <w:spacing w:line="240" w:lineRule="exact"/>
              <w:jc w:val="center"/>
              <w:rPr>
                <w:rFonts w:ascii="宋体" w:hAnsi="宋体"/>
                <w:sz w:val="24"/>
              </w:rPr>
            </w:pPr>
            <w:r>
              <w:rPr>
                <w:rFonts w:hint="eastAsia" w:ascii="宋体" w:hAnsi="宋体"/>
                <w:sz w:val="24"/>
              </w:rPr>
              <w:t>金额</w:t>
            </w:r>
          </w:p>
          <w:p w14:paraId="077AD03C">
            <w:pPr>
              <w:snapToGrid w:val="0"/>
              <w:spacing w:line="240" w:lineRule="exact"/>
              <w:jc w:val="center"/>
              <w:rPr>
                <w:rFonts w:ascii="宋体" w:hAnsi="宋体"/>
                <w:sz w:val="24"/>
              </w:rPr>
            </w:pPr>
            <w:r>
              <w:rPr>
                <w:rFonts w:hint="eastAsia" w:ascii="宋体" w:hAnsi="宋体"/>
                <w:sz w:val="24"/>
              </w:rPr>
              <w:t>（万元）</w:t>
            </w:r>
          </w:p>
        </w:tc>
        <w:tc>
          <w:tcPr>
            <w:tcW w:w="4536" w:type="dxa"/>
            <w:gridSpan w:val="3"/>
            <w:tcBorders>
              <w:top w:val="single" w:color="auto" w:sz="4" w:space="0"/>
              <w:left w:val="single" w:color="auto" w:sz="4" w:space="0"/>
              <w:bottom w:val="single" w:color="auto" w:sz="4" w:space="0"/>
              <w:right w:val="single" w:color="auto" w:sz="4" w:space="0"/>
            </w:tcBorders>
            <w:vAlign w:val="center"/>
          </w:tcPr>
          <w:p w14:paraId="64526A17">
            <w:pPr>
              <w:snapToGrid w:val="0"/>
              <w:spacing w:line="240" w:lineRule="exact"/>
              <w:jc w:val="center"/>
              <w:rPr>
                <w:rFonts w:ascii="宋体" w:hAnsi="宋体"/>
                <w:sz w:val="24"/>
              </w:rPr>
            </w:pPr>
            <w:r>
              <w:rPr>
                <w:rFonts w:hint="eastAsia" w:ascii="宋体" w:hAnsi="宋体"/>
                <w:sz w:val="24"/>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14:paraId="1C3CE76B">
            <w:pPr>
              <w:snapToGrid w:val="0"/>
              <w:spacing w:line="240" w:lineRule="exact"/>
              <w:jc w:val="center"/>
              <w:rPr>
                <w:rFonts w:ascii="宋体" w:hAnsi="宋体"/>
                <w:sz w:val="24"/>
              </w:rPr>
            </w:pPr>
            <w:r>
              <w:rPr>
                <w:rFonts w:hint="eastAsia" w:ascii="宋体" w:hAnsi="宋体"/>
                <w:sz w:val="24"/>
              </w:rPr>
              <w:t>采购人联系人及</w:t>
            </w:r>
          </w:p>
          <w:p w14:paraId="5C91C5FD">
            <w:pPr>
              <w:snapToGrid w:val="0"/>
              <w:spacing w:line="240" w:lineRule="exact"/>
              <w:jc w:val="center"/>
              <w:rPr>
                <w:rFonts w:ascii="宋体" w:hAnsi="宋体"/>
                <w:sz w:val="24"/>
              </w:rPr>
            </w:pPr>
            <w:r>
              <w:rPr>
                <w:rFonts w:hint="eastAsia" w:ascii="宋体" w:hAnsi="宋体"/>
                <w:sz w:val="24"/>
              </w:rPr>
              <w:t>联系电话</w:t>
            </w:r>
          </w:p>
        </w:tc>
      </w:tr>
      <w:tr w14:paraId="00AEE4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14:paraId="20156E6D">
            <w:pPr>
              <w:widowControl/>
              <w:jc w:val="left"/>
              <w:rPr>
                <w:rFonts w:ascii="宋体" w:hAnsi="宋体"/>
                <w:sz w:val="24"/>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14:paraId="0A5B97A1">
            <w:pPr>
              <w:widowControl/>
              <w:jc w:val="left"/>
              <w:rPr>
                <w:rFonts w:ascii="宋体" w:hAnsi="宋体"/>
                <w:sz w:val="24"/>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14:paraId="10BABB24">
            <w:pPr>
              <w:widowControl/>
              <w:jc w:val="left"/>
              <w:rPr>
                <w:rFonts w:ascii="宋体" w:hAnsi="宋体"/>
                <w:sz w:val="24"/>
              </w:rPr>
            </w:pPr>
          </w:p>
        </w:tc>
        <w:tc>
          <w:tcPr>
            <w:tcW w:w="1559" w:type="dxa"/>
            <w:tcBorders>
              <w:top w:val="single" w:color="auto" w:sz="4" w:space="0"/>
              <w:left w:val="single" w:color="auto" w:sz="4" w:space="0"/>
              <w:bottom w:val="single" w:color="auto" w:sz="4" w:space="0"/>
              <w:right w:val="single" w:color="auto" w:sz="4" w:space="0"/>
            </w:tcBorders>
            <w:vAlign w:val="center"/>
          </w:tcPr>
          <w:p w14:paraId="42BC6865">
            <w:pPr>
              <w:snapToGrid w:val="0"/>
              <w:spacing w:line="240" w:lineRule="exact"/>
              <w:jc w:val="center"/>
              <w:rPr>
                <w:rFonts w:ascii="宋体" w:hAnsi="宋体"/>
                <w:sz w:val="24"/>
              </w:rPr>
            </w:pPr>
            <w:r>
              <w:rPr>
                <w:rFonts w:hint="eastAsia" w:ascii="宋体" w:hAnsi="宋体"/>
                <w:sz w:val="24"/>
              </w:rPr>
              <w:t>合同</w:t>
            </w:r>
          </w:p>
        </w:tc>
        <w:tc>
          <w:tcPr>
            <w:tcW w:w="1559" w:type="dxa"/>
            <w:tcBorders>
              <w:top w:val="single" w:color="auto" w:sz="4" w:space="0"/>
              <w:left w:val="single" w:color="auto" w:sz="4" w:space="0"/>
              <w:bottom w:val="single" w:color="auto" w:sz="4" w:space="0"/>
              <w:right w:val="single" w:color="auto" w:sz="4" w:space="0"/>
            </w:tcBorders>
            <w:vAlign w:val="center"/>
          </w:tcPr>
          <w:p w14:paraId="3EB685E1">
            <w:pPr>
              <w:snapToGrid w:val="0"/>
              <w:spacing w:line="240" w:lineRule="exact"/>
              <w:jc w:val="center"/>
              <w:rPr>
                <w:rFonts w:ascii="宋体" w:hAnsi="宋体"/>
                <w:sz w:val="24"/>
              </w:rPr>
            </w:pPr>
            <w:r>
              <w:rPr>
                <w:rFonts w:hint="eastAsia" w:ascii="宋体" w:hAnsi="宋体"/>
                <w:sz w:val="24"/>
              </w:rPr>
              <w:t>验收报告</w:t>
            </w:r>
          </w:p>
        </w:tc>
        <w:tc>
          <w:tcPr>
            <w:tcW w:w="1418" w:type="dxa"/>
            <w:tcBorders>
              <w:top w:val="single" w:color="auto" w:sz="4" w:space="0"/>
              <w:left w:val="single" w:color="auto" w:sz="4" w:space="0"/>
              <w:bottom w:val="single" w:color="auto" w:sz="4" w:space="0"/>
              <w:right w:val="single" w:color="auto" w:sz="4" w:space="0"/>
            </w:tcBorders>
            <w:vAlign w:val="center"/>
          </w:tcPr>
          <w:p w14:paraId="0FBEB7A8">
            <w:pPr>
              <w:snapToGrid w:val="0"/>
              <w:spacing w:line="240" w:lineRule="exact"/>
              <w:jc w:val="center"/>
              <w:rPr>
                <w:rFonts w:ascii="宋体" w:hAnsi="宋体"/>
                <w:sz w:val="24"/>
              </w:rPr>
            </w:pPr>
            <w:r>
              <w:rPr>
                <w:rFonts w:hint="eastAsia" w:ascii="宋体" w:hAnsi="宋体"/>
                <w:sz w:val="24"/>
              </w:rPr>
              <w:t>用户评价</w:t>
            </w:r>
          </w:p>
        </w:tc>
        <w:tc>
          <w:tcPr>
            <w:tcW w:w="2268" w:type="dxa"/>
            <w:vMerge w:val="continue"/>
            <w:tcBorders>
              <w:top w:val="single" w:color="auto" w:sz="4" w:space="0"/>
              <w:left w:val="single" w:color="auto" w:sz="4" w:space="0"/>
              <w:bottom w:val="single" w:color="auto" w:sz="4" w:space="0"/>
              <w:right w:val="single" w:color="auto" w:sz="4" w:space="0"/>
            </w:tcBorders>
            <w:vAlign w:val="center"/>
          </w:tcPr>
          <w:p w14:paraId="656A2553">
            <w:pPr>
              <w:widowControl/>
              <w:jc w:val="left"/>
              <w:rPr>
                <w:rFonts w:ascii="宋体" w:hAnsi="宋体"/>
                <w:sz w:val="24"/>
              </w:rPr>
            </w:pPr>
          </w:p>
        </w:tc>
      </w:tr>
      <w:tr w14:paraId="2010FF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14:paraId="3382CB83">
            <w:pPr>
              <w:snapToGrid w:val="0"/>
              <w:spacing w:line="240" w:lineRule="exact"/>
              <w:jc w:val="left"/>
              <w:rPr>
                <w:rFonts w:ascii="宋体" w:hAnsi="宋体"/>
                <w:sz w:val="24"/>
              </w:rPr>
            </w:pPr>
          </w:p>
        </w:tc>
        <w:tc>
          <w:tcPr>
            <w:tcW w:w="3420" w:type="dxa"/>
            <w:tcBorders>
              <w:top w:val="single" w:color="auto" w:sz="4" w:space="0"/>
              <w:left w:val="single" w:color="auto" w:sz="4" w:space="0"/>
              <w:bottom w:val="single" w:color="auto" w:sz="4" w:space="0"/>
              <w:right w:val="single" w:color="auto" w:sz="4" w:space="0"/>
            </w:tcBorders>
          </w:tcPr>
          <w:p w14:paraId="552514AE">
            <w:pPr>
              <w:snapToGrid w:val="0"/>
              <w:spacing w:line="240" w:lineRule="exact"/>
              <w:jc w:val="left"/>
              <w:rPr>
                <w:rFonts w:ascii="宋体" w:hAnsi="宋体"/>
                <w:sz w:val="24"/>
              </w:rPr>
            </w:pPr>
          </w:p>
        </w:tc>
        <w:tc>
          <w:tcPr>
            <w:tcW w:w="1715" w:type="dxa"/>
            <w:tcBorders>
              <w:top w:val="single" w:color="auto" w:sz="4" w:space="0"/>
              <w:left w:val="single" w:color="auto" w:sz="4" w:space="0"/>
              <w:bottom w:val="single" w:color="auto" w:sz="4" w:space="0"/>
              <w:right w:val="single" w:color="auto" w:sz="4" w:space="0"/>
            </w:tcBorders>
          </w:tcPr>
          <w:p w14:paraId="43EC975C">
            <w:pPr>
              <w:snapToGrid w:val="0"/>
              <w:spacing w:line="240" w:lineRule="exact"/>
              <w:jc w:val="left"/>
              <w:rPr>
                <w:rFonts w:ascii="宋体" w:hAnsi="宋体"/>
                <w:sz w:val="24"/>
              </w:rPr>
            </w:pPr>
          </w:p>
        </w:tc>
        <w:tc>
          <w:tcPr>
            <w:tcW w:w="1559" w:type="dxa"/>
            <w:tcBorders>
              <w:top w:val="single" w:color="auto" w:sz="4" w:space="0"/>
              <w:left w:val="single" w:color="auto" w:sz="4" w:space="0"/>
              <w:bottom w:val="single" w:color="auto" w:sz="4" w:space="0"/>
              <w:right w:val="single" w:color="auto" w:sz="4" w:space="0"/>
            </w:tcBorders>
          </w:tcPr>
          <w:p w14:paraId="1A0758E2">
            <w:pPr>
              <w:snapToGrid w:val="0"/>
              <w:spacing w:line="240" w:lineRule="exact"/>
              <w:jc w:val="left"/>
              <w:rPr>
                <w:rFonts w:ascii="宋体" w:hAnsi="宋体"/>
                <w:sz w:val="24"/>
              </w:rPr>
            </w:pPr>
          </w:p>
        </w:tc>
        <w:tc>
          <w:tcPr>
            <w:tcW w:w="1559" w:type="dxa"/>
            <w:tcBorders>
              <w:top w:val="single" w:color="auto" w:sz="4" w:space="0"/>
              <w:left w:val="single" w:color="auto" w:sz="4" w:space="0"/>
              <w:bottom w:val="single" w:color="auto" w:sz="4" w:space="0"/>
              <w:right w:val="single" w:color="auto" w:sz="4" w:space="0"/>
            </w:tcBorders>
          </w:tcPr>
          <w:p w14:paraId="350332BA">
            <w:pPr>
              <w:snapToGrid w:val="0"/>
              <w:spacing w:line="240" w:lineRule="exact"/>
              <w:jc w:val="left"/>
              <w:rPr>
                <w:rFonts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0EB6D98D">
            <w:pPr>
              <w:snapToGrid w:val="0"/>
              <w:spacing w:line="240" w:lineRule="exact"/>
              <w:jc w:val="left"/>
              <w:rPr>
                <w:rFonts w:ascii="宋体" w:hAnsi="宋体"/>
                <w:sz w:val="24"/>
              </w:rPr>
            </w:pPr>
          </w:p>
        </w:tc>
        <w:tc>
          <w:tcPr>
            <w:tcW w:w="2268" w:type="dxa"/>
            <w:tcBorders>
              <w:top w:val="single" w:color="auto" w:sz="4" w:space="0"/>
              <w:left w:val="single" w:color="auto" w:sz="4" w:space="0"/>
              <w:bottom w:val="single" w:color="auto" w:sz="4" w:space="0"/>
              <w:right w:val="single" w:color="auto" w:sz="4" w:space="0"/>
            </w:tcBorders>
          </w:tcPr>
          <w:p w14:paraId="0B14E99E">
            <w:pPr>
              <w:snapToGrid w:val="0"/>
              <w:spacing w:line="240" w:lineRule="exact"/>
              <w:jc w:val="left"/>
              <w:rPr>
                <w:rFonts w:ascii="宋体" w:hAnsi="宋体"/>
                <w:sz w:val="24"/>
              </w:rPr>
            </w:pPr>
          </w:p>
        </w:tc>
      </w:tr>
      <w:tr w14:paraId="677E50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4945472B">
            <w:pPr>
              <w:snapToGrid w:val="0"/>
              <w:spacing w:before="50" w:afterLines="50" w:line="400" w:lineRule="exact"/>
              <w:jc w:val="left"/>
              <w:rPr>
                <w:rFonts w:ascii="宋体" w:hAnsi="宋体"/>
                <w:sz w:val="24"/>
              </w:rPr>
            </w:pPr>
          </w:p>
        </w:tc>
        <w:tc>
          <w:tcPr>
            <w:tcW w:w="3420" w:type="dxa"/>
            <w:tcBorders>
              <w:top w:val="single" w:color="auto" w:sz="4" w:space="0"/>
              <w:left w:val="single" w:color="auto" w:sz="4" w:space="0"/>
              <w:bottom w:val="single" w:color="auto" w:sz="4" w:space="0"/>
              <w:right w:val="single" w:color="auto" w:sz="4" w:space="0"/>
            </w:tcBorders>
          </w:tcPr>
          <w:p w14:paraId="13DC141C">
            <w:pPr>
              <w:snapToGrid w:val="0"/>
              <w:spacing w:before="50" w:afterLines="50" w:line="400" w:lineRule="exact"/>
              <w:jc w:val="left"/>
              <w:rPr>
                <w:rFonts w:ascii="宋体" w:hAnsi="宋体"/>
                <w:sz w:val="24"/>
              </w:rPr>
            </w:pPr>
          </w:p>
        </w:tc>
        <w:tc>
          <w:tcPr>
            <w:tcW w:w="1715" w:type="dxa"/>
            <w:tcBorders>
              <w:top w:val="single" w:color="auto" w:sz="4" w:space="0"/>
              <w:left w:val="single" w:color="auto" w:sz="4" w:space="0"/>
              <w:bottom w:val="single" w:color="auto" w:sz="4" w:space="0"/>
              <w:right w:val="single" w:color="auto" w:sz="4" w:space="0"/>
            </w:tcBorders>
          </w:tcPr>
          <w:p w14:paraId="28A0BF40">
            <w:pPr>
              <w:snapToGrid w:val="0"/>
              <w:spacing w:before="50" w:afterLines="50" w:line="400" w:lineRule="exact"/>
              <w:jc w:val="left"/>
              <w:rPr>
                <w:rFonts w:ascii="宋体" w:hAnsi="宋体"/>
                <w:sz w:val="24"/>
              </w:rPr>
            </w:pPr>
          </w:p>
        </w:tc>
        <w:tc>
          <w:tcPr>
            <w:tcW w:w="1559" w:type="dxa"/>
            <w:tcBorders>
              <w:top w:val="single" w:color="auto" w:sz="4" w:space="0"/>
              <w:left w:val="single" w:color="auto" w:sz="4" w:space="0"/>
              <w:bottom w:val="single" w:color="auto" w:sz="4" w:space="0"/>
              <w:right w:val="single" w:color="auto" w:sz="4" w:space="0"/>
            </w:tcBorders>
          </w:tcPr>
          <w:p w14:paraId="7BA8228D">
            <w:pPr>
              <w:snapToGrid w:val="0"/>
              <w:spacing w:before="50" w:afterLines="50" w:line="400" w:lineRule="exact"/>
              <w:jc w:val="left"/>
              <w:rPr>
                <w:rFonts w:ascii="宋体" w:hAnsi="宋体"/>
                <w:sz w:val="24"/>
              </w:rPr>
            </w:pPr>
          </w:p>
        </w:tc>
        <w:tc>
          <w:tcPr>
            <w:tcW w:w="1559" w:type="dxa"/>
            <w:tcBorders>
              <w:top w:val="single" w:color="auto" w:sz="4" w:space="0"/>
              <w:left w:val="single" w:color="auto" w:sz="4" w:space="0"/>
              <w:bottom w:val="single" w:color="auto" w:sz="4" w:space="0"/>
              <w:right w:val="single" w:color="auto" w:sz="4" w:space="0"/>
            </w:tcBorders>
          </w:tcPr>
          <w:p w14:paraId="43C18BB6">
            <w:pPr>
              <w:snapToGrid w:val="0"/>
              <w:spacing w:before="50" w:afterLines="50" w:line="400" w:lineRule="exact"/>
              <w:jc w:val="left"/>
              <w:rPr>
                <w:rFonts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3DFAB51B">
            <w:pPr>
              <w:snapToGrid w:val="0"/>
              <w:spacing w:before="50" w:afterLines="50" w:line="400" w:lineRule="exact"/>
              <w:jc w:val="left"/>
              <w:rPr>
                <w:rFonts w:ascii="宋体" w:hAnsi="宋体"/>
                <w:sz w:val="24"/>
              </w:rPr>
            </w:pPr>
          </w:p>
        </w:tc>
        <w:tc>
          <w:tcPr>
            <w:tcW w:w="2268" w:type="dxa"/>
            <w:tcBorders>
              <w:top w:val="single" w:color="auto" w:sz="4" w:space="0"/>
              <w:left w:val="single" w:color="auto" w:sz="4" w:space="0"/>
              <w:bottom w:val="single" w:color="auto" w:sz="4" w:space="0"/>
              <w:right w:val="single" w:color="auto" w:sz="4" w:space="0"/>
            </w:tcBorders>
          </w:tcPr>
          <w:p w14:paraId="479729BD">
            <w:pPr>
              <w:snapToGrid w:val="0"/>
              <w:spacing w:before="50" w:afterLines="50" w:line="400" w:lineRule="exact"/>
              <w:jc w:val="left"/>
              <w:rPr>
                <w:rFonts w:ascii="宋体" w:hAnsi="宋体"/>
                <w:sz w:val="24"/>
              </w:rPr>
            </w:pPr>
          </w:p>
        </w:tc>
      </w:tr>
      <w:tr w14:paraId="34C76C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14:paraId="5E487869">
            <w:pPr>
              <w:snapToGrid w:val="0"/>
              <w:spacing w:before="50" w:afterLines="50" w:line="400" w:lineRule="exact"/>
              <w:jc w:val="left"/>
              <w:rPr>
                <w:rFonts w:ascii="宋体" w:hAnsi="宋体"/>
                <w:sz w:val="24"/>
              </w:rPr>
            </w:pPr>
          </w:p>
        </w:tc>
        <w:tc>
          <w:tcPr>
            <w:tcW w:w="3420" w:type="dxa"/>
            <w:tcBorders>
              <w:top w:val="single" w:color="auto" w:sz="4" w:space="0"/>
              <w:left w:val="single" w:color="auto" w:sz="4" w:space="0"/>
              <w:bottom w:val="single" w:color="auto" w:sz="4" w:space="0"/>
              <w:right w:val="single" w:color="auto" w:sz="4" w:space="0"/>
            </w:tcBorders>
          </w:tcPr>
          <w:p w14:paraId="04FCB8F0">
            <w:pPr>
              <w:snapToGrid w:val="0"/>
              <w:spacing w:before="50" w:afterLines="50" w:line="400" w:lineRule="exact"/>
              <w:jc w:val="left"/>
              <w:rPr>
                <w:rFonts w:ascii="宋体" w:hAnsi="宋体"/>
                <w:sz w:val="24"/>
              </w:rPr>
            </w:pPr>
          </w:p>
        </w:tc>
        <w:tc>
          <w:tcPr>
            <w:tcW w:w="1715" w:type="dxa"/>
            <w:tcBorders>
              <w:top w:val="single" w:color="auto" w:sz="4" w:space="0"/>
              <w:left w:val="single" w:color="auto" w:sz="4" w:space="0"/>
              <w:bottom w:val="single" w:color="auto" w:sz="4" w:space="0"/>
              <w:right w:val="single" w:color="auto" w:sz="4" w:space="0"/>
            </w:tcBorders>
          </w:tcPr>
          <w:p w14:paraId="17486025">
            <w:pPr>
              <w:snapToGrid w:val="0"/>
              <w:spacing w:before="50" w:afterLines="50" w:line="400" w:lineRule="exact"/>
              <w:jc w:val="left"/>
              <w:rPr>
                <w:rFonts w:ascii="宋体" w:hAnsi="宋体"/>
                <w:sz w:val="24"/>
              </w:rPr>
            </w:pPr>
          </w:p>
        </w:tc>
        <w:tc>
          <w:tcPr>
            <w:tcW w:w="1559" w:type="dxa"/>
            <w:tcBorders>
              <w:top w:val="single" w:color="auto" w:sz="4" w:space="0"/>
              <w:left w:val="single" w:color="auto" w:sz="4" w:space="0"/>
              <w:bottom w:val="single" w:color="auto" w:sz="4" w:space="0"/>
              <w:right w:val="single" w:color="auto" w:sz="4" w:space="0"/>
            </w:tcBorders>
          </w:tcPr>
          <w:p w14:paraId="181236E7">
            <w:pPr>
              <w:snapToGrid w:val="0"/>
              <w:spacing w:before="50" w:afterLines="50" w:line="400" w:lineRule="exact"/>
              <w:jc w:val="left"/>
              <w:rPr>
                <w:rFonts w:ascii="宋体" w:hAnsi="宋体"/>
                <w:sz w:val="24"/>
              </w:rPr>
            </w:pPr>
          </w:p>
        </w:tc>
        <w:tc>
          <w:tcPr>
            <w:tcW w:w="1559" w:type="dxa"/>
            <w:tcBorders>
              <w:top w:val="single" w:color="auto" w:sz="4" w:space="0"/>
              <w:left w:val="single" w:color="auto" w:sz="4" w:space="0"/>
              <w:bottom w:val="single" w:color="auto" w:sz="4" w:space="0"/>
              <w:right w:val="single" w:color="auto" w:sz="4" w:space="0"/>
            </w:tcBorders>
          </w:tcPr>
          <w:p w14:paraId="5D1856BE">
            <w:pPr>
              <w:snapToGrid w:val="0"/>
              <w:spacing w:before="50" w:afterLines="50" w:line="400" w:lineRule="exact"/>
              <w:jc w:val="left"/>
              <w:rPr>
                <w:rFonts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7F3AC866">
            <w:pPr>
              <w:snapToGrid w:val="0"/>
              <w:spacing w:before="50" w:afterLines="50" w:line="400" w:lineRule="exact"/>
              <w:jc w:val="left"/>
              <w:rPr>
                <w:rFonts w:ascii="宋体" w:hAnsi="宋体"/>
                <w:sz w:val="24"/>
              </w:rPr>
            </w:pPr>
          </w:p>
        </w:tc>
        <w:tc>
          <w:tcPr>
            <w:tcW w:w="2268" w:type="dxa"/>
            <w:tcBorders>
              <w:top w:val="single" w:color="auto" w:sz="4" w:space="0"/>
              <w:left w:val="single" w:color="auto" w:sz="4" w:space="0"/>
              <w:bottom w:val="single" w:color="auto" w:sz="4" w:space="0"/>
              <w:right w:val="single" w:color="auto" w:sz="4" w:space="0"/>
            </w:tcBorders>
          </w:tcPr>
          <w:p w14:paraId="29149738">
            <w:pPr>
              <w:snapToGrid w:val="0"/>
              <w:spacing w:before="50" w:afterLines="50" w:line="400" w:lineRule="exact"/>
              <w:jc w:val="left"/>
              <w:rPr>
                <w:rFonts w:ascii="宋体" w:hAnsi="宋体"/>
                <w:sz w:val="24"/>
              </w:rPr>
            </w:pPr>
          </w:p>
        </w:tc>
      </w:tr>
      <w:tr w14:paraId="07E9CF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758BDE5B">
            <w:pPr>
              <w:snapToGrid w:val="0"/>
              <w:spacing w:before="50" w:afterLines="50" w:line="400" w:lineRule="exact"/>
              <w:jc w:val="left"/>
              <w:rPr>
                <w:rFonts w:ascii="宋体" w:hAnsi="宋体"/>
                <w:sz w:val="24"/>
              </w:rPr>
            </w:pPr>
          </w:p>
        </w:tc>
        <w:tc>
          <w:tcPr>
            <w:tcW w:w="3420" w:type="dxa"/>
            <w:tcBorders>
              <w:top w:val="single" w:color="auto" w:sz="4" w:space="0"/>
              <w:left w:val="single" w:color="auto" w:sz="4" w:space="0"/>
              <w:bottom w:val="single" w:color="auto" w:sz="4" w:space="0"/>
              <w:right w:val="single" w:color="auto" w:sz="4" w:space="0"/>
            </w:tcBorders>
          </w:tcPr>
          <w:p w14:paraId="3A1E8609">
            <w:pPr>
              <w:snapToGrid w:val="0"/>
              <w:spacing w:before="50" w:afterLines="50" w:line="400" w:lineRule="exact"/>
              <w:jc w:val="left"/>
              <w:rPr>
                <w:rFonts w:ascii="宋体" w:hAnsi="宋体"/>
                <w:sz w:val="24"/>
              </w:rPr>
            </w:pPr>
          </w:p>
        </w:tc>
        <w:tc>
          <w:tcPr>
            <w:tcW w:w="1715" w:type="dxa"/>
            <w:tcBorders>
              <w:top w:val="single" w:color="auto" w:sz="4" w:space="0"/>
              <w:left w:val="single" w:color="auto" w:sz="4" w:space="0"/>
              <w:bottom w:val="single" w:color="auto" w:sz="4" w:space="0"/>
              <w:right w:val="single" w:color="auto" w:sz="4" w:space="0"/>
            </w:tcBorders>
          </w:tcPr>
          <w:p w14:paraId="10D5E8AF">
            <w:pPr>
              <w:snapToGrid w:val="0"/>
              <w:spacing w:before="50" w:afterLines="50" w:line="400" w:lineRule="exact"/>
              <w:jc w:val="left"/>
              <w:rPr>
                <w:rFonts w:ascii="宋体" w:hAnsi="宋体"/>
                <w:sz w:val="24"/>
              </w:rPr>
            </w:pPr>
          </w:p>
        </w:tc>
        <w:tc>
          <w:tcPr>
            <w:tcW w:w="1559" w:type="dxa"/>
            <w:tcBorders>
              <w:top w:val="single" w:color="auto" w:sz="4" w:space="0"/>
              <w:left w:val="single" w:color="auto" w:sz="4" w:space="0"/>
              <w:bottom w:val="single" w:color="auto" w:sz="4" w:space="0"/>
              <w:right w:val="single" w:color="auto" w:sz="4" w:space="0"/>
            </w:tcBorders>
          </w:tcPr>
          <w:p w14:paraId="1EA14846">
            <w:pPr>
              <w:snapToGrid w:val="0"/>
              <w:spacing w:before="50" w:afterLines="50" w:line="400" w:lineRule="exact"/>
              <w:jc w:val="left"/>
              <w:rPr>
                <w:rFonts w:ascii="宋体" w:hAnsi="宋体"/>
                <w:sz w:val="24"/>
              </w:rPr>
            </w:pPr>
          </w:p>
        </w:tc>
        <w:tc>
          <w:tcPr>
            <w:tcW w:w="1559" w:type="dxa"/>
            <w:tcBorders>
              <w:top w:val="single" w:color="auto" w:sz="4" w:space="0"/>
              <w:left w:val="single" w:color="auto" w:sz="4" w:space="0"/>
              <w:bottom w:val="single" w:color="auto" w:sz="4" w:space="0"/>
              <w:right w:val="single" w:color="auto" w:sz="4" w:space="0"/>
            </w:tcBorders>
          </w:tcPr>
          <w:p w14:paraId="2E77EE09">
            <w:pPr>
              <w:snapToGrid w:val="0"/>
              <w:spacing w:before="50" w:afterLines="50" w:line="400" w:lineRule="exact"/>
              <w:jc w:val="left"/>
              <w:rPr>
                <w:rFonts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5D4E4D79">
            <w:pPr>
              <w:snapToGrid w:val="0"/>
              <w:spacing w:before="50" w:afterLines="50" w:line="400" w:lineRule="exact"/>
              <w:jc w:val="left"/>
              <w:rPr>
                <w:rFonts w:ascii="宋体" w:hAnsi="宋体"/>
                <w:sz w:val="24"/>
              </w:rPr>
            </w:pPr>
          </w:p>
        </w:tc>
        <w:tc>
          <w:tcPr>
            <w:tcW w:w="2268" w:type="dxa"/>
            <w:tcBorders>
              <w:top w:val="single" w:color="auto" w:sz="4" w:space="0"/>
              <w:left w:val="single" w:color="auto" w:sz="4" w:space="0"/>
              <w:bottom w:val="single" w:color="auto" w:sz="4" w:space="0"/>
              <w:right w:val="single" w:color="auto" w:sz="4" w:space="0"/>
            </w:tcBorders>
          </w:tcPr>
          <w:p w14:paraId="00D7341E">
            <w:pPr>
              <w:snapToGrid w:val="0"/>
              <w:spacing w:before="50" w:afterLines="50" w:line="400" w:lineRule="exact"/>
              <w:jc w:val="left"/>
              <w:rPr>
                <w:rFonts w:ascii="宋体" w:hAnsi="宋体"/>
                <w:sz w:val="24"/>
              </w:rPr>
            </w:pPr>
          </w:p>
        </w:tc>
      </w:tr>
      <w:tr w14:paraId="1C3DB1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1C8A1E58">
            <w:pPr>
              <w:snapToGrid w:val="0"/>
              <w:spacing w:before="50" w:afterLines="50" w:line="400" w:lineRule="exact"/>
              <w:jc w:val="left"/>
              <w:rPr>
                <w:rFonts w:ascii="宋体" w:hAnsi="宋体"/>
                <w:sz w:val="24"/>
              </w:rPr>
            </w:pPr>
          </w:p>
        </w:tc>
        <w:tc>
          <w:tcPr>
            <w:tcW w:w="3420" w:type="dxa"/>
            <w:tcBorders>
              <w:top w:val="single" w:color="auto" w:sz="4" w:space="0"/>
              <w:left w:val="single" w:color="auto" w:sz="4" w:space="0"/>
              <w:bottom w:val="single" w:color="auto" w:sz="4" w:space="0"/>
              <w:right w:val="single" w:color="auto" w:sz="4" w:space="0"/>
            </w:tcBorders>
          </w:tcPr>
          <w:p w14:paraId="2DAA9007">
            <w:pPr>
              <w:snapToGrid w:val="0"/>
              <w:spacing w:before="50" w:afterLines="50" w:line="400" w:lineRule="exact"/>
              <w:jc w:val="left"/>
              <w:rPr>
                <w:rFonts w:ascii="宋体" w:hAnsi="宋体"/>
                <w:sz w:val="24"/>
              </w:rPr>
            </w:pPr>
          </w:p>
        </w:tc>
        <w:tc>
          <w:tcPr>
            <w:tcW w:w="1715" w:type="dxa"/>
            <w:tcBorders>
              <w:top w:val="single" w:color="auto" w:sz="4" w:space="0"/>
              <w:left w:val="single" w:color="auto" w:sz="4" w:space="0"/>
              <w:bottom w:val="single" w:color="auto" w:sz="4" w:space="0"/>
              <w:right w:val="single" w:color="auto" w:sz="4" w:space="0"/>
            </w:tcBorders>
          </w:tcPr>
          <w:p w14:paraId="72FD92B5">
            <w:pPr>
              <w:snapToGrid w:val="0"/>
              <w:spacing w:before="50" w:afterLines="50" w:line="400" w:lineRule="exact"/>
              <w:jc w:val="left"/>
              <w:rPr>
                <w:rFonts w:ascii="宋体" w:hAnsi="宋体"/>
                <w:sz w:val="24"/>
              </w:rPr>
            </w:pPr>
          </w:p>
        </w:tc>
        <w:tc>
          <w:tcPr>
            <w:tcW w:w="1559" w:type="dxa"/>
            <w:tcBorders>
              <w:top w:val="single" w:color="auto" w:sz="4" w:space="0"/>
              <w:left w:val="single" w:color="auto" w:sz="4" w:space="0"/>
              <w:bottom w:val="single" w:color="auto" w:sz="4" w:space="0"/>
              <w:right w:val="single" w:color="auto" w:sz="4" w:space="0"/>
            </w:tcBorders>
          </w:tcPr>
          <w:p w14:paraId="3DDCE3B5">
            <w:pPr>
              <w:snapToGrid w:val="0"/>
              <w:spacing w:before="50" w:afterLines="50" w:line="400" w:lineRule="exact"/>
              <w:jc w:val="left"/>
              <w:rPr>
                <w:rFonts w:ascii="宋体" w:hAnsi="宋体"/>
                <w:sz w:val="24"/>
              </w:rPr>
            </w:pPr>
          </w:p>
        </w:tc>
        <w:tc>
          <w:tcPr>
            <w:tcW w:w="1559" w:type="dxa"/>
            <w:tcBorders>
              <w:top w:val="single" w:color="auto" w:sz="4" w:space="0"/>
              <w:left w:val="single" w:color="auto" w:sz="4" w:space="0"/>
              <w:bottom w:val="single" w:color="auto" w:sz="4" w:space="0"/>
              <w:right w:val="single" w:color="auto" w:sz="4" w:space="0"/>
            </w:tcBorders>
          </w:tcPr>
          <w:p w14:paraId="3F43D579">
            <w:pPr>
              <w:snapToGrid w:val="0"/>
              <w:spacing w:before="50" w:afterLines="50" w:line="400" w:lineRule="exact"/>
              <w:jc w:val="left"/>
              <w:rPr>
                <w:rFonts w:ascii="宋体" w:hAnsi="宋体"/>
                <w:sz w:val="24"/>
              </w:rPr>
            </w:pPr>
          </w:p>
        </w:tc>
        <w:tc>
          <w:tcPr>
            <w:tcW w:w="1418" w:type="dxa"/>
            <w:tcBorders>
              <w:top w:val="single" w:color="auto" w:sz="4" w:space="0"/>
              <w:left w:val="single" w:color="auto" w:sz="4" w:space="0"/>
              <w:bottom w:val="single" w:color="auto" w:sz="4" w:space="0"/>
              <w:right w:val="single" w:color="auto" w:sz="4" w:space="0"/>
            </w:tcBorders>
          </w:tcPr>
          <w:p w14:paraId="1F3D0F81">
            <w:pPr>
              <w:snapToGrid w:val="0"/>
              <w:spacing w:before="50" w:afterLines="50" w:line="400" w:lineRule="exact"/>
              <w:jc w:val="left"/>
              <w:rPr>
                <w:rFonts w:ascii="宋体" w:hAnsi="宋体"/>
                <w:sz w:val="24"/>
              </w:rPr>
            </w:pPr>
          </w:p>
        </w:tc>
        <w:tc>
          <w:tcPr>
            <w:tcW w:w="2268" w:type="dxa"/>
            <w:tcBorders>
              <w:top w:val="single" w:color="auto" w:sz="4" w:space="0"/>
              <w:left w:val="single" w:color="auto" w:sz="4" w:space="0"/>
              <w:bottom w:val="single" w:color="auto" w:sz="4" w:space="0"/>
              <w:right w:val="single" w:color="auto" w:sz="4" w:space="0"/>
            </w:tcBorders>
          </w:tcPr>
          <w:p w14:paraId="0B3C6464">
            <w:pPr>
              <w:snapToGrid w:val="0"/>
              <w:spacing w:before="50" w:afterLines="50" w:line="400" w:lineRule="exact"/>
              <w:jc w:val="left"/>
              <w:rPr>
                <w:rFonts w:ascii="宋体" w:hAnsi="宋体"/>
                <w:sz w:val="24"/>
              </w:rPr>
            </w:pPr>
          </w:p>
        </w:tc>
      </w:tr>
    </w:tbl>
    <w:p w14:paraId="6E6BC75B">
      <w:pPr>
        <w:pStyle w:val="18"/>
        <w:spacing w:line="360" w:lineRule="auto"/>
        <w:ind w:left="72"/>
        <w:rPr>
          <w:rFonts w:ascii="Times New Roman" w:hAnsi="Times New Roman"/>
        </w:rPr>
      </w:pPr>
      <w:r>
        <w:rPr>
          <w:rFonts w:hint="eastAsia" w:ascii="Times New Roman" w:hAnsi="Times New Roman"/>
        </w:rPr>
        <w:t>注：投标人可按上述的格式自行编制，须随表提交相应的合同复印件和用户单位验收证明并注明所在投标人商务技术文件页码。</w:t>
      </w:r>
    </w:p>
    <w:p w14:paraId="40908642">
      <w:pPr>
        <w:snapToGrid w:val="0"/>
        <w:spacing w:line="360" w:lineRule="auto"/>
        <w:ind w:firstLine="4935" w:firstLineChars="2350"/>
        <w:rPr>
          <w:rFonts w:hAnsi="宋体"/>
          <w:szCs w:val="21"/>
        </w:rPr>
      </w:pPr>
    </w:p>
    <w:p w14:paraId="7926D900">
      <w:pPr>
        <w:snapToGrid w:val="0"/>
        <w:spacing w:line="360" w:lineRule="auto"/>
        <w:ind w:firstLine="4935" w:firstLineChars="2350"/>
        <w:rPr>
          <w:rFonts w:hAnsi="宋体"/>
          <w:szCs w:val="21"/>
        </w:rPr>
      </w:pPr>
    </w:p>
    <w:p w14:paraId="3B783C56">
      <w:pPr>
        <w:snapToGrid w:val="0"/>
        <w:spacing w:line="360" w:lineRule="auto"/>
        <w:ind w:firstLine="11520" w:firstLineChars="48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4632F5E8">
      <w:pPr>
        <w:snapToGrid w:val="0"/>
        <w:spacing w:line="360" w:lineRule="auto"/>
        <w:ind w:firstLine="10080" w:firstLineChars="42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0D2EACF5">
      <w:pPr>
        <w:widowControl/>
        <w:spacing w:line="360" w:lineRule="auto"/>
        <w:jc w:val="left"/>
        <w:rPr>
          <w:rFonts w:ascii="仿宋_GB2312" w:hAnsi="仿宋" w:eastAsia="仿宋_GB2312" w:cs="仿宋_GB2312"/>
          <w:kern w:val="0"/>
          <w:sz w:val="24"/>
          <w:lang w:val="zh-CN"/>
        </w:rPr>
        <w:sectPr>
          <w:pgSz w:w="16838" w:h="11906" w:orient="landscape"/>
          <w:pgMar w:top="1134" w:right="1134" w:bottom="1134" w:left="1134" w:header="720" w:footer="720" w:gutter="0"/>
          <w:cols w:space="0" w:num="1"/>
          <w:docGrid w:type="lines" w:linePitch="332" w:charSpace="0"/>
        </w:sectPr>
      </w:pPr>
    </w:p>
    <w:p w14:paraId="1F83BB0B">
      <w:pPr>
        <w:snapToGrid w:val="0"/>
        <w:spacing w:beforeLines="50" w:after="50"/>
        <w:ind w:firstLine="602" w:firstLineChars="200"/>
        <w:jc w:val="center"/>
        <w:rPr>
          <w:b/>
          <w:bCs/>
          <w:sz w:val="30"/>
          <w:szCs w:val="30"/>
        </w:rPr>
      </w:pPr>
      <w:r>
        <w:rPr>
          <w:rFonts w:hint="eastAsia"/>
          <w:b/>
          <w:bCs/>
          <w:sz w:val="30"/>
          <w:szCs w:val="30"/>
        </w:rPr>
        <w:t>七、售后服务方案</w:t>
      </w:r>
    </w:p>
    <w:p w14:paraId="41DCDC28">
      <w:pPr>
        <w:snapToGrid w:val="0"/>
        <w:spacing w:line="360" w:lineRule="auto"/>
        <w:jc w:val="center"/>
        <w:rPr>
          <w:rFonts w:hAnsi="宋体"/>
          <w:szCs w:val="21"/>
        </w:rPr>
      </w:pPr>
      <w:r>
        <w:rPr>
          <w:rFonts w:hint="eastAsia" w:ascii="宋体" w:hAnsi="宋体"/>
          <w:sz w:val="24"/>
        </w:rPr>
        <w:t>（由投标人根据采购需求及招标文件要求编制）</w:t>
      </w:r>
    </w:p>
    <w:p w14:paraId="529EB611">
      <w:pPr>
        <w:snapToGrid w:val="0"/>
        <w:spacing w:beforeLines="50" w:after="50"/>
        <w:ind w:left="142"/>
        <w:jc w:val="center"/>
        <w:rPr>
          <w:rFonts w:ascii="宋体" w:hAnsi="宋体"/>
          <w:b/>
          <w:sz w:val="32"/>
          <w:szCs w:val="32"/>
        </w:rPr>
      </w:pPr>
      <w:r>
        <w:rPr>
          <w:rFonts w:hint="eastAsia" w:ascii="宋体" w:hAnsi="宋体"/>
          <w:b/>
          <w:sz w:val="32"/>
          <w:szCs w:val="32"/>
        </w:rPr>
        <w:t>1、售后服务承诺</w:t>
      </w:r>
    </w:p>
    <w:p w14:paraId="1263AC8C">
      <w:pPr>
        <w:autoSpaceDE w:val="0"/>
        <w:autoSpaceDN w:val="0"/>
        <w:spacing w:line="360" w:lineRule="auto"/>
        <w:rPr>
          <w:rFonts w:ascii="仿宋_GB2312" w:hAnsi="仿宋" w:eastAsia="仿宋_GB2312" w:cs="仿宋_GB2312"/>
          <w:b/>
          <w:sz w:val="24"/>
        </w:rPr>
      </w:pPr>
      <w:r>
        <w:rPr>
          <w:rFonts w:hint="eastAsia" w:ascii="仿宋_GB2312" w:hAnsi="仿宋" w:eastAsia="仿宋_GB2312" w:cs="仿宋_GB2312"/>
          <w:b/>
          <w:sz w:val="24"/>
        </w:rPr>
        <w:t>附表A:售后服务机构情况表</w:t>
      </w:r>
      <w:r>
        <w:rPr>
          <w:rFonts w:hint="eastAsia" w:ascii="仿宋_GB2312" w:hAnsi="仿宋" w:eastAsia="仿宋_GB2312" w:cs="仿宋_GB2312"/>
          <w:sz w:val="24"/>
        </w:rPr>
        <w:t>（按此格式自制）</w:t>
      </w:r>
    </w:p>
    <w:tbl>
      <w:tblPr>
        <w:tblStyle w:val="3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44"/>
        <w:gridCol w:w="1291"/>
        <w:gridCol w:w="1245"/>
        <w:gridCol w:w="2284"/>
        <w:gridCol w:w="1417"/>
      </w:tblGrid>
      <w:tr w14:paraId="6BBE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0EBF6165">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序号</w:t>
            </w:r>
          </w:p>
        </w:tc>
        <w:tc>
          <w:tcPr>
            <w:tcW w:w="2144" w:type="dxa"/>
            <w:tcBorders>
              <w:top w:val="single" w:color="auto" w:sz="4" w:space="0"/>
              <w:left w:val="single" w:color="auto" w:sz="4" w:space="0"/>
              <w:bottom w:val="single" w:color="auto" w:sz="4" w:space="0"/>
              <w:right w:val="single" w:color="auto" w:sz="4" w:space="0"/>
            </w:tcBorders>
          </w:tcPr>
          <w:p w14:paraId="321EDB57">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机构名称</w:t>
            </w:r>
          </w:p>
        </w:tc>
        <w:tc>
          <w:tcPr>
            <w:tcW w:w="1291" w:type="dxa"/>
            <w:tcBorders>
              <w:top w:val="single" w:color="auto" w:sz="4" w:space="0"/>
              <w:left w:val="single" w:color="auto" w:sz="4" w:space="0"/>
              <w:bottom w:val="single" w:color="auto" w:sz="4" w:space="0"/>
              <w:right w:val="single" w:color="auto" w:sz="4" w:space="0"/>
            </w:tcBorders>
          </w:tcPr>
          <w:p w14:paraId="643775C4">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机构性质</w:t>
            </w:r>
          </w:p>
        </w:tc>
        <w:tc>
          <w:tcPr>
            <w:tcW w:w="1245" w:type="dxa"/>
            <w:tcBorders>
              <w:top w:val="single" w:color="auto" w:sz="4" w:space="0"/>
              <w:left w:val="single" w:color="auto" w:sz="4" w:space="0"/>
              <w:bottom w:val="single" w:color="auto" w:sz="4" w:space="0"/>
              <w:right w:val="single" w:color="auto" w:sz="4" w:space="0"/>
            </w:tcBorders>
          </w:tcPr>
          <w:p w14:paraId="6DF49BE8">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注册地址</w:t>
            </w:r>
          </w:p>
        </w:tc>
        <w:tc>
          <w:tcPr>
            <w:tcW w:w="2284" w:type="dxa"/>
            <w:tcBorders>
              <w:top w:val="single" w:color="auto" w:sz="4" w:space="0"/>
              <w:left w:val="single" w:color="auto" w:sz="4" w:space="0"/>
              <w:bottom w:val="single" w:color="auto" w:sz="4" w:space="0"/>
              <w:right w:val="single" w:color="auto" w:sz="4" w:space="0"/>
            </w:tcBorders>
          </w:tcPr>
          <w:p w14:paraId="597B15F3">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服务技术人员数量</w:t>
            </w:r>
          </w:p>
        </w:tc>
        <w:tc>
          <w:tcPr>
            <w:tcW w:w="1417" w:type="dxa"/>
            <w:tcBorders>
              <w:top w:val="single" w:color="auto" w:sz="4" w:space="0"/>
              <w:left w:val="single" w:color="auto" w:sz="4" w:space="0"/>
              <w:bottom w:val="single" w:color="auto" w:sz="4" w:space="0"/>
              <w:right w:val="single" w:color="auto" w:sz="4" w:space="0"/>
            </w:tcBorders>
          </w:tcPr>
          <w:p w14:paraId="7A4627AC">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联系电话</w:t>
            </w:r>
          </w:p>
        </w:tc>
      </w:tr>
      <w:tr w14:paraId="53B1B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1EA84ADA">
            <w:pPr>
              <w:autoSpaceDE w:val="0"/>
              <w:autoSpaceDN w:val="0"/>
              <w:spacing w:line="360" w:lineRule="auto"/>
              <w:jc w:val="center"/>
              <w:rPr>
                <w:rFonts w:ascii="仿宋_GB2312" w:hAnsi="仿宋" w:eastAsia="仿宋_GB2312" w:cs="仿宋_GB2312"/>
                <w:sz w:val="24"/>
              </w:rPr>
            </w:pPr>
          </w:p>
        </w:tc>
        <w:tc>
          <w:tcPr>
            <w:tcW w:w="2144" w:type="dxa"/>
            <w:tcBorders>
              <w:top w:val="single" w:color="auto" w:sz="4" w:space="0"/>
              <w:left w:val="single" w:color="auto" w:sz="4" w:space="0"/>
              <w:bottom w:val="single" w:color="auto" w:sz="4" w:space="0"/>
              <w:right w:val="single" w:color="auto" w:sz="4" w:space="0"/>
            </w:tcBorders>
          </w:tcPr>
          <w:p w14:paraId="316F9250">
            <w:pPr>
              <w:autoSpaceDE w:val="0"/>
              <w:autoSpaceDN w:val="0"/>
              <w:spacing w:line="360" w:lineRule="auto"/>
              <w:jc w:val="center"/>
              <w:rPr>
                <w:rFonts w:ascii="仿宋_GB2312" w:hAnsi="仿宋" w:eastAsia="仿宋_GB2312" w:cs="仿宋_GB2312"/>
                <w:sz w:val="24"/>
              </w:rPr>
            </w:pPr>
          </w:p>
        </w:tc>
        <w:tc>
          <w:tcPr>
            <w:tcW w:w="1291" w:type="dxa"/>
            <w:tcBorders>
              <w:top w:val="single" w:color="auto" w:sz="4" w:space="0"/>
              <w:left w:val="single" w:color="auto" w:sz="4" w:space="0"/>
              <w:bottom w:val="single" w:color="auto" w:sz="4" w:space="0"/>
              <w:right w:val="single" w:color="auto" w:sz="4" w:space="0"/>
            </w:tcBorders>
          </w:tcPr>
          <w:p w14:paraId="59460139">
            <w:pPr>
              <w:autoSpaceDE w:val="0"/>
              <w:autoSpaceDN w:val="0"/>
              <w:spacing w:line="360" w:lineRule="auto"/>
              <w:jc w:val="center"/>
              <w:rPr>
                <w:rFonts w:ascii="仿宋_GB2312" w:hAnsi="仿宋" w:eastAsia="仿宋_GB2312" w:cs="仿宋_GB2312"/>
                <w:sz w:val="24"/>
              </w:rPr>
            </w:pPr>
          </w:p>
        </w:tc>
        <w:tc>
          <w:tcPr>
            <w:tcW w:w="1245" w:type="dxa"/>
            <w:tcBorders>
              <w:top w:val="single" w:color="auto" w:sz="4" w:space="0"/>
              <w:left w:val="single" w:color="auto" w:sz="4" w:space="0"/>
              <w:bottom w:val="single" w:color="auto" w:sz="4" w:space="0"/>
              <w:right w:val="single" w:color="auto" w:sz="4" w:space="0"/>
            </w:tcBorders>
          </w:tcPr>
          <w:p w14:paraId="3E3CF81A">
            <w:pPr>
              <w:autoSpaceDE w:val="0"/>
              <w:autoSpaceDN w:val="0"/>
              <w:spacing w:line="360" w:lineRule="auto"/>
              <w:jc w:val="center"/>
              <w:rPr>
                <w:rFonts w:ascii="仿宋_GB2312" w:hAnsi="仿宋" w:eastAsia="仿宋_GB2312" w:cs="仿宋_GB2312"/>
                <w:sz w:val="24"/>
              </w:rPr>
            </w:pPr>
          </w:p>
        </w:tc>
        <w:tc>
          <w:tcPr>
            <w:tcW w:w="2284" w:type="dxa"/>
            <w:tcBorders>
              <w:top w:val="single" w:color="auto" w:sz="4" w:space="0"/>
              <w:left w:val="single" w:color="auto" w:sz="4" w:space="0"/>
              <w:bottom w:val="single" w:color="auto" w:sz="4" w:space="0"/>
              <w:right w:val="single" w:color="auto" w:sz="4" w:space="0"/>
            </w:tcBorders>
          </w:tcPr>
          <w:p w14:paraId="090A159E">
            <w:pPr>
              <w:autoSpaceDE w:val="0"/>
              <w:autoSpaceDN w:val="0"/>
              <w:spacing w:line="360" w:lineRule="auto"/>
              <w:jc w:val="center"/>
              <w:rPr>
                <w:rFonts w:ascii="仿宋_GB2312" w:hAnsi="仿宋" w:eastAsia="仿宋_GB2312" w:cs="仿宋_GB2312"/>
                <w:sz w:val="24"/>
              </w:rPr>
            </w:pPr>
          </w:p>
        </w:tc>
        <w:tc>
          <w:tcPr>
            <w:tcW w:w="1417" w:type="dxa"/>
            <w:tcBorders>
              <w:top w:val="single" w:color="auto" w:sz="4" w:space="0"/>
              <w:left w:val="single" w:color="auto" w:sz="4" w:space="0"/>
              <w:bottom w:val="single" w:color="auto" w:sz="4" w:space="0"/>
              <w:right w:val="single" w:color="auto" w:sz="4" w:space="0"/>
            </w:tcBorders>
          </w:tcPr>
          <w:p w14:paraId="5F2AB9FD">
            <w:pPr>
              <w:autoSpaceDE w:val="0"/>
              <w:autoSpaceDN w:val="0"/>
              <w:spacing w:line="360" w:lineRule="auto"/>
              <w:jc w:val="center"/>
              <w:rPr>
                <w:rFonts w:ascii="仿宋_GB2312" w:hAnsi="仿宋" w:eastAsia="仿宋_GB2312" w:cs="仿宋_GB2312"/>
                <w:sz w:val="24"/>
              </w:rPr>
            </w:pPr>
          </w:p>
        </w:tc>
      </w:tr>
      <w:tr w14:paraId="6E73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39ABCE78">
            <w:pPr>
              <w:autoSpaceDE w:val="0"/>
              <w:autoSpaceDN w:val="0"/>
              <w:spacing w:line="360" w:lineRule="auto"/>
              <w:jc w:val="center"/>
              <w:rPr>
                <w:rFonts w:ascii="仿宋_GB2312" w:hAnsi="仿宋" w:eastAsia="仿宋_GB2312" w:cs="仿宋_GB2312"/>
                <w:sz w:val="24"/>
              </w:rPr>
            </w:pPr>
          </w:p>
        </w:tc>
        <w:tc>
          <w:tcPr>
            <w:tcW w:w="2144" w:type="dxa"/>
            <w:tcBorders>
              <w:top w:val="single" w:color="auto" w:sz="4" w:space="0"/>
              <w:left w:val="single" w:color="auto" w:sz="4" w:space="0"/>
              <w:bottom w:val="single" w:color="auto" w:sz="4" w:space="0"/>
              <w:right w:val="single" w:color="auto" w:sz="4" w:space="0"/>
            </w:tcBorders>
          </w:tcPr>
          <w:p w14:paraId="1EE5CFA6">
            <w:pPr>
              <w:autoSpaceDE w:val="0"/>
              <w:autoSpaceDN w:val="0"/>
              <w:spacing w:line="360" w:lineRule="auto"/>
              <w:jc w:val="center"/>
              <w:rPr>
                <w:rFonts w:ascii="仿宋_GB2312" w:hAnsi="仿宋" w:eastAsia="仿宋_GB2312" w:cs="仿宋_GB2312"/>
                <w:sz w:val="24"/>
              </w:rPr>
            </w:pPr>
          </w:p>
        </w:tc>
        <w:tc>
          <w:tcPr>
            <w:tcW w:w="1291" w:type="dxa"/>
            <w:tcBorders>
              <w:top w:val="single" w:color="auto" w:sz="4" w:space="0"/>
              <w:left w:val="single" w:color="auto" w:sz="4" w:space="0"/>
              <w:bottom w:val="single" w:color="auto" w:sz="4" w:space="0"/>
              <w:right w:val="single" w:color="auto" w:sz="4" w:space="0"/>
            </w:tcBorders>
          </w:tcPr>
          <w:p w14:paraId="414FF1C0">
            <w:pPr>
              <w:autoSpaceDE w:val="0"/>
              <w:autoSpaceDN w:val="0"/>
              <w:spacing w:line="360" w:lineRule="auto"/>
              <w:jc w:val="center"/>
              <w:rPr>
                <w:rFonts w:ascii="仿宋_GB2312" w:hAnsi="仿宋" w:eastAsia="仿宋_GB2312" w:cs="仿宋_GB2312"/>
                <w:sz w:val="24"/>
              </w:rPr>
            </w:pPr>
          </w:p>
        </w:tc>
        <w:tc>
          <w:tcPr>
            <w:tcW w:w="1245" w:type="dxa"/>
            <w:tcBorders>
              <w:top w:val="single" w:color="auto" w:sz="4" w:space="0"/>
              <w:left w:val="single" w:color="auto" w:sz="4" w:space="0"/>
              <w:bottom w:val="single" w:color="auto" w:sz="4" w:space="0"/>
              <w:right w:val="single" w:color="auto" w:sz="4" w:space="0"/>
            </w:tcBorders>
          </w:tcPr>
          <w:p w14:paraId="3079C3A2">
            <w:pPr>
              <w:autoSpaceDE w:val="0"/>
              <w:autoSpaceDN w:val="0"/>
              <w:spacing w:line="360" w:lineRule="auto"/>
              <w:jc w:val="center"/>
              <w:rPr>
                <w:rFonts w:ascii="仿宋_GB2312" w:hAnsi="仿宋" w:eastAsia="仿宋_GB2312" w:cs="仿宋_GB2312"/>
                <w:sz w:val="24"/>
              </w:rPr>
            </w:pPr>
          </w:p>
        </w:tc>
        <w:tc>
          <w:tcPr>
            <w:tcW w:w="2284" w:type="dxa"/>
            <w:tcBorders>
              <w:top w:val="single" w:color="auto" w:sz="4" w:space="0"/>
              <w:left w:val="single" w:color="auto" w:sz="4" w:space="0"/>
              <w:bottom w:val="single" w:color="auto" w:sz="4" w:space="0"/>
              <w:right w:val="single" w:color="auto" w:sz="4" w:space="0"/>
            </w:tcBorders>
          </w:tcPr>
          <w:p w14:paraId="55A9F1CD">
            <w:pPr>
              <w:autoSpaceDE w:val="0"/>
              <w:autoSpaceDN w:val="0"/>
              <w:spacing w:line="360" w:lineRule="auto"/>
              <w:jc w:val="center"/>
              <w:rPr>
                <w:rFonts w:ascii="仿宋_GB2312" w:hAnsi="仿宋" w:eastAsia="仿宋_GB2312" w:cs="仿宋_GB2312"/>
                <w:sz w:val="24"/>
              </w:rPr>
            </w:pPr>
          </w:p>
        </w:tc>
        <w:tc>
          <w:tcPr>
            <w:tcW w:w="1417" w:type="dxa"/>
            <w:tcBorders>
              <w:top w:val="single" w:color="auto" w:sz="4" w:space="0"/>
              <w:left w:val="single" w:color="auto" w:sz="4" w:space="0"/>
              <w:bottom w:val="single" w:color="auto" w:sz="4" w:space="0"/>
              <w:right w:val="single" w:color="auto" w:sz="4" w:space="0"/>
            </w:tcBorders>
          </w:tcPr>
          <w:p w14:paraId="7613C604">
            <w:pPr>
              <w:autoSpaceDE w:val="0"/>
              <w:autoSpaceDN w:val="0"/>
              <w:spacing w:line="360" w:lineRule="auto"/>
              <w:jc w:val="center"/>
              <w:rPr>
                <w:rFonts w:ascii="仿宋_GB2312" w:hAnsi="仿宋" w:eastAsia="仿宋_GB2312" w:cs="仿宋_GB2312"/>
                <w:sz w:val="24"/>
              </w:rPr>
            </w:pPr>
          </w:p>
        </w:tc>
      </w:tr>
      <w:tr w14:paraId="71AA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21F4A16E">
            <w:pPr>
              <w:autoSpaceDE w:val="0"/>
              <w:autoSpaceDN w:val="0"/>
              <w:spacing w:line="360" w:lineRule="auto"/>
              <w:jc w:val="center"/>
              <w:rPr>
                <w:rFonts w:ascii="仿宋_GB2312" w:hAnsi="仿宋" w:eastAsia="仿宋_GB2312" w:cs="仿宋_GB2312"/>
                <w:sz w:val="24"/>
              </w:rPr>
            </w:pPr>
          </w:p>
        </w:tc>
        <w:tc>
          <w:tcPr>
            <w:tcW w:w="2144" w:type="dxa"/>
            <w:tcBorders>
              <w:top w:val="single" w:color="auto" w:sz="4" w:space="0"/>
              <w:left w:val="single" w:color="auto" w:sz="4" w:space="0"/>
              <w:bottom w:val="single" w:color="auto" w:sz="4" w:space="0"/>
              <w:right w:val="single" w:color="auto" w:sz="4" w:space="0"/>
            </w:tcBorders>
          </w:tcPr>
          <w:p w14:paraId="53F16F5D">
            <w:pPr>
              <w:autoSpaceDE w:val="0"/>
              <w:autoSpaceDN w:val="0"/>
              <w:spacing w:line="360" w:lineRule="auto"/>
              <w:jc w:val="center"/>
              <w:rPr>
                <w:rFonts w:ascii="仿宋_GB2312" w:hAnsi="仿宋" w:eastAsia="仿宋_GB2312" w:cs="仿宋_GB2312"/>
                <w:sz w:val="24"/>
              </w:rPr>
            </w:pPr>
          </w:p>
        </w:tc>
        <w:tc>
          <w:tcPr>
            <w:tcW w:w="1291" w:type="dxa"/>
            <w:tcBorders>
              <w:top w:val="single" w:color="auto" w:sz="4" w:space="0"/>
              <w:left w:val="single" w:color="auto" w:sz="4" w:space="0"/>
              <w:bottom w:val="single" w:color="auto" w:sz="4" w:space="0"/>
              <w:right w:val="single" w:color="auto" w:sz="4" w:space="0"/>
            </w:tcBorders>
          </w:tcPr>
          <w:p w14:paraId="4AAAC44B">
            <w:pPr>
              <w:autoSpaceDE w:val="0"/>
              <w:autoSpaceDN w:val="0"/>
              <w:spacing w:line="360" w:lineRule="auto"/>
              <w:jc w:val="center"/>
              <w:rPr>
                <w:rFonts w:ascii="仿宋_GB2312" w:hAnsi="仿宋" w:eastAsia="仿宋_GB2312" w:cs="仿宋_GB2312"/>
                <w:sz w:val="24"/>
              </w:rPr>
            </w:pPr>
          </w:p>
        </w:tc>
        <w:tc>
          <w:tcPr>
            <w:tcW w:w="1245" w:type="dxa"/>
            <w:tcBorders>
              <w:top w:val="single" w:color="auto" w:sz="4" w:space="0"/>
              <w:left w:val="single" w:color="auto" w:sz="4" w:space="0"/>
              <w:bottom w:val="single" w:color="auto" w:sz="4" w:space="0"/>
              <w:right w:val="single" w:color="auto" w:sz="4" w:space="0"/>
            </w:tcBorders>
          </w:tcPr>
          <w:p w14:paraId="2E2860E0">
            <w:pPr>
              <w:autoSpaceDE w:val="0"/>
              <w:autoSpaceDN w:val="0"/>
              <w:spacing w:line="360" w:lineRule="auto"/>
              <w:jc w:val="center"/>
              <w:rPr>
                <w:rFonts w:ascii="仿宋_GB2312" w:hAnsi="仿宋" w:eastAsia="仿宋_GB2312" w:cs="仿宋_GB2312"/>
                <w:sz w:val="24"/>
              </w:rPr>
            </w:pPr>
          </w:p>
        </w:tc>
        <w:tc>
          <w:tcPr>
            <w:tcW w:w="2284" w:type="dxa"/>
            <w:tcBorders>
              <w:top w:val="single" w:color="auto" w:sz="4" w:space="0"/>
              <w:left w:val="single" w:color="auto" w:sz="4" w:space="0"/>
              <w:bottom w:val="single" w:color="auto" w:sz="4" w:space="0"/>
              <w:right w:val="single" w:color="auto" w:sz="4" w:space="0"/>
            </w:tcBorders>
          </w:tcPr>
          <w:p w14:paraId="6AFF68AA">
            <w:pPr>
              <w:autoSpaceDE w:val="0"/>
              <w:autoSpaceDN w:val="0"/>
              <w:spacing w:line="360" w:lineRule="auto"/>
              <w:jc w:val="center"/>
              <w:rPr>
                <w:rFonts w:ascii="仿宋_GB2312" w:hAnsi="仿宋" w:eastAsia="仿宋_GB2312" w:cs="仿宋_GB2312"/>
                <w:sz w:val="24"/>
              </w:rPr>
            </w:pPr>
          </w:p>
        </w:tc>
        <w:tc>
          <w:tcPr>
            <w:tcW w:w="1417" w:type="dxa"/>
            <w:tcBorders>
              <w:top w:val="single" w:color="auto" w:sz="4" w:space="0"/>
              <w:left w:val="single" w:color="auto" w:sz="4" w:space="0"/>
              <w:bottom w:val="single" w:color="auto" w:sz="4" w:space="0"/>
              <w:right w:val="single" w:color="auto" w:sz="4" w:space="0"/>
            </w:tcBorders>
          </w:tcPr>
          <w:p w14:paraId="18642E73">
            <w:pPr>
              <w:autoSpaceDE w:val="0"/>
              <w:autoSpaceDN w:val="0"/>
              <w:spacing w:line="360" w:lineRule="auto"/>
              <w:jc w:val="center"/>
              <w:rPr>
                <w:rFonts w:ascii="仿宋_GB2312" w:hAnsi="仿宋" w:eastAsia="仿宋_GB2312" w:cs="仿宋_GB2312"/>
                <w:sz w:val="24"/>
              </w:rPr>
            </w:pPr>
          </w:p>
        </w:tc>
      </w:tr>
    </w:tbl>
    <w:p w14:paraId="5AE08B4F">
      <w:pPr>
        <w:autoSpaceDE w:val="0"/>
        <w:autoSpaceDN w:val="0"/>
        <w:spacing w:line="360" w:lineRule="auto"/>
        <w:rPr>
          <w:rFonts w:ascii="仿宋_GB2312" w:hAnsi="仿宋" w:eastAsia="仿宋_GB2312" w:cs="仿宋_GB2312"/>
          <w:b/>
          <w:sz w:val="24"/>
        </w:rPr>
      </w:pPr>
      <w:r>
        <w:rPr>
          <w:rFonts w:hint="eastAsia" w:ascii="仿宋_GB2312" w:hAnsi="仿宋" w:eastAsia="仿宋_GB2312" w:cs="仿宋_GB2312"/>
          <w:b/>
          <w:sz w:val="24"/>
        </w:rPr>
        <w:t>注：关于项目涉及的所有售后服务机构均在本表注明，包括投标人本单位和符合条件的第三方服务机构；</w:t>
      </w:r>
    </w:p>
    <w:p w14:paraId="45BBC608">
      <w:pPr>
        <w:autoSpaceDE w:val="0"/>
        <w:autoSpaceDN w:val="0"/>
        <w:spacing w:line="360" w:lineRule="auto"/>
        <w:rPr>
          <w:rFonts w:ascii="仿宋_GB2312" w:hAnsi="仿宋" w:eastAsia="仿宋_GB2312" w:cs="仿宋_GB2312"/>
          <w:kern w:val="0"/>
          <w:sz w:val="24"/>
        </w:rPr>
      </w:pPr>
    </w:p>
    <w:p w14:paraId="0AA49C65">
      <w:pPr>
        <w:autoSpaceDE w:val="0"/>
        <w:autoSpaceDN w:val="0"/>
        <w:spacing w:line="360" w:lineRule="auto"/>
        <w:rPr>
          <w:rFonts w:ascii="仿宋_GB2312" w:hAnsi="仿宋" w:eastAsia="仿宋_GB2312" w:cs="仿宋_GB2312"/>
          <w:kern w:val="0"/>
          <w:sz w:val="24"/>
        </w:rPr>
      </w:pPr>
      <w:r>
        <w:rPr>
          <w:rFonts w:hint="eastAsia" w:ascii="仿宋_GB2312" w:hAnsi="仿宋" w:eastAsia="仿宋_GB2312" w:cs="仿宋_GB2312"/>
          <w:b/>
          <w:kern w:val="0"/>
          <w:sz w:val="24"/>
        </w:rPr>
        <w:t>附表B：售后服务人员情况表</w:t>
      </w:r>
      <w:r>
        <w:rPr>
          <w:rFonts w:hint="eastAsia" w:ascii="仿宋_GB2312" w:hAnsi="仿宋" w:eastAsia="仿宋_GB2312" w:cs="仿宋_GB2312"/>
          <w:sz w:val="24"/>
        </w:rPr>
        <w:t>（按此格式自制）</w:t>
      </w:r>
    </w:p>
    <w:tbl>
      <w:tblPr>
        <w:tblStyle w:val="32"/>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309C4D95">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14:paraId="19830EFD">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序号</w:t>
            </w:r>
          </w:p>
          <w:p w14:paraId="4AE8FAAC">
            <w:pPr>
              <w:autoSpaceDE w:val="0"/>
              <w:autoSpaceDN w:val="0"/>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vAlign w:val="center"/>
          </w:tcPr>
          <w:p w14:paraId="5B521682">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3E567D9">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70A333F">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CC8BF83">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4898512">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08F22DA">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C539AC9">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BEE42F9">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607ECA5">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4012B1F1">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到达现场时间</w:t>
            </w:r>
          </w:p>
        </w:tc>
      </w:tr>
      <w:tr w14:paraId="166E93F6">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5EF74334">
            <w:pPr>
              <w:autoSpaceDE w:val="0"/>
              <w:autoSpaceDN w:val="0"/>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48A64AE">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4BD19F1">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F6C2565">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56332C9">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51BF98C">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C245F42">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87F2013">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3E6EC7C">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E0F3D8E">
            <w:pPr>
              <w:autoSpaceDE w:val="0"/>
              <w:autoSpaceDN w:val="0"/>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14:paraId="109BCB28">
            <w:pPr>
              <w:autoSpaceDE w:val="0"/>
              <w:autoSpaceDN w:val="0"/>
              <w:spacing w:line="360" w:lineRule="auto"/>
              <w:rPr>
                <w:rFonts w:ascii="仿宋_GB2312" w:hAnsi="仿宋" w:eastAsia="仿宋_GB2312" w:cs="仿宋_GB2312"/>
                <w:sz w:val="24"/>
              </w:rPr>
            </w:pPr>
          </w:p>
        </w:tc>
      </w:tr>
      <w:tr w14:paraId="39B93501">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5D6EE954">
            <w:pPr>
              <w:autoSpaceDE w:val="0"/>
              <w:autoSpaceDN w:val="0"/>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724D481">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46F059B">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D5A4D2B">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CB85591">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EC77C0F">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24B93D0">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DC3632A">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F4FBC69">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F32C844">
            <w:pPr>
              <w:autoSpaceDE w:val="0"/>
              <w:autoSpaceDN w:val="0"/>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14:paraId="1DE43DB8">
            <w:pPr>
              <w:autoSpaceDE w:val="0"/>
              <w:autoSpaceDN w:val="0"/>
              <w:spacing w:line="360" w:lineRule="auto"/>
              <w:rPr>
                <w:rFonts w:ascii="仿宋_GB2312" w:hAnsi="仿宋" w:eastAsia="仿宋_GB2312" w:cs="仿宋_GB2312"/>
                <w:sz w:val="24"/>
              </w:rPr>
            </w:pPr>
          </w:p>
        </w:tc>
      </w:tr>
      <w:tr w14:paraId="6621A1EE">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57E4D037">
            <w:pPr>
              <w:autoSpaceDE w:val="0"/>
              <w:autoSpaceDN w:val="0"/>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441DA38">
            <w:pPr>
              <w:autoSpaceDE w:val="0"/>
              <w:autoSpaceDN w:val="0"/>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30AF21CC">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056BAA0">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E2DFC50">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A9877CB">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94B1A10">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62FDB0A">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D9FED51">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E527AA2">
            <w:pPr>
              <w:autoSpaceDE w:val="0"/>
              <w:autoSpaceDN w:val="0"/>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14:paraId="4CF94423">
            <w:pPr>
              <w:autoSpaceDE w:val="0"/>
              <w:autoSpaceDN w:val="0"/>
              <w:spacing w:line="360" w:lineRule="auto"/>
              <w:rPr>
                <w:rFonts w:ascii="仿宋_GB2312" w:hAnsi="仿宋" w:eastAsia="仿宋_GB2312" w:cs="仿宋_GB2312"/>
                <w:sz w:val="24"/>
              </w:rPr>
            </w:pPr>
          </w:p>
        </w:tc>
      </w:tr>
      <w:tr w14:paraId="49727F4E">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7EB86CFE">
            <w:pPr>
              <w:autoSpaceDE w:val="0"/>
              <w:autoSpaceDN w:val="0"/>
              <w:spacing w:line="360" w:lineRule="auto"/>
              <w:jc w:val="center"/>
              <w:rPr>
                <w:rFonts w:ascii="仿宋_GB2312" w:hAnsi="仿宋"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603B42A">
            <w:pPr>
              <w:autoSpaceDE w:val="0"/>
              <w:autoSpaceDN w:val="0"/>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7CE6681C">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E5E94F6">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91FB1C3">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7FAF72C">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C6196A1">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C9F74EE">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F750A90">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882B0D2">
            <w:pPr>
              <w:autoSpaceDE w:val="0"/>
              <w:autoSpaceDN w:val="0"/>
              <w:spacing w:line="360" w:lineRule="auto"/>
              <w:rPr>
                <w:rFonts w:ascii="仿宋_GB2312" w:hAnsi="仿宋" w:eastAsia="仿宋_GB2312" w:cs="仿宋_GB2312"/>
                <w:sz w:val="24"/>
              </w:rPr>
            </w:pPr>
          </w:p>
        </w:tc>
        <w:tc>
          <w:tcPr>
            <w:tcW w:w="1111" w:type="dxa"/>
            <w:tcBorders>
              <w:top w:val="single" w:color="auto" w:sz="6" w:space="0"/>
              <w:left w:val="single" w:color="auto" w:sz="6" w:space="0"/>
              <w:bottom w:val="single" w:color="auto" w:sz="6" w:space="0"/>
              <w:right w:val="single" w:color="auto" w:sz="6" w:space="0"/>
            </w:tcBorders>
          </w:tcPr>
          <w:p w14:paraId="62F5CB18">
            <w:pPr>
              <w:autoSpaceDE w:val="0"/>
              <w:autoSpaceDN w:val="0"/>
              <w:spacing w:line="360" w:lineRule="auto"/>
              <w:rPr>
                <w:rFonts w:ascii="仿宋_GB2312" w:hAnsi="仿宋" w:eastAsia="仿宋_GB2312" w:cs="仿宋_GB2312"/>
                <w:sz w:val="24"/>
              </w:rPr>
            </w:pPr>
          </w:p>
        </w:tc>
      </w:tr>
    </w:tbl>
    <w:p w14:paraId="7D0DF94C">
      <w:pPr>
        <w:snapToGrid w:val="0"/>
        <w:spacing w:beforeLines="50" w:after="50"/>
        <w:ind w:left="142"/>
        <w:jc w:val="center"/>
        <w:rPr>
          <w:rFonts w:ascii="宋体" w:hAnsi="宋体"/>
          <w:b/>
          <w:sz w:val="32"/>
          <w:szCs w:val="32"/>
        </w:rPr>
      </w:pPr>
    </w:p>
    <w:p w14:paraId="6EE6FC4F">
      <w:pPr>
        <w:snapToGrid w:val="0"/>
        <w:spacing w:beforeLines="50" w:line="360" w:lineRule="auto"/>
        <w:ind w:right="480" w:firstLine="3967" w:firstLineChars="1653"/>
        <w:rPr>
          <w:rFonts w:ascii="宋体" w:hAnsi="宋体"/>
          <w:sz w:val="24"/>
        </w:rPr>
      </w:pPr>
    </w:p>
    <w:p w14:paraId="55C31B33">
      <w:pPr>
        <w:snapToGrid w:val="0"/>
        <w:spacing w:line="360" w:lineRule="auto"/>
        <w:ind w:firstLine="5160" w:firstLineChars="215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5A424E96">
      <w:pPr>
        <w:snapToGrid w:val="0"/>
        <w:spacing w:line="360" w:lineRule="auto"/>
        <w:ind w:firstLine="5160" w:firstLineChars="2150"/>
        <w:rPr>
          <w:b/>
          <w:bCs/>
          <w:sz w:val="30"/>
          <w:szCs w:val="30"/>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3631D437">
      <w:pPr>
        <w:snapToGrid w:val="0"/>
        <w:spacing w:beforeLines="50" w:after="50"/>
        <w:ind w:firstLine="602" w:firstLineChars="200"/>
        <w:jc w:val="center"/>
        <w:rPr>
          <w:b/>
          <w:bCs/>
          <w:sz w:val="30"/>
          <w:szCs w:val="30"/>
        </w:rPr>
      </w:pPr>
    </w:p>
    <w:p w14:paraId="4D62A038"/>
    <w:p w14:paraId="4B919A11">
      <w:pPr>
        <w:snapToGrid w:val="0"/>
        <w:spacing w:beforeLines="50" w:after="50"/>
        <w:ind w:firstLine="602" w:firstLineChars="200"/>
        <w:jc w:val="center"/>
        <w:rPr>
          <w:b/>
          <w:bCs/>
          <w:sz w:val="30"/>
          <w:szCs w:val="30"/>
        </w:rPr>
      </w:pPr>
      <w:r>
        <w:rPr>
          <w:rFonts w:hint="eastAsia"/>
          <w:b/>
          <w:bCs/>
          <w:sz w:val="30"/>
          <w:szCs w:val="30"/>
        </w:rPr>
        <w:t>八、专业服务及服务时限</w:t>
      </w:r>
    </w:p>
    <w:p w14:paraId="5D8140A2">
      <w:pPr>
        <w:snapToGrid w:val="0"/>
        <w:spacing w:line="360" w:lineRule="auto"/>
        <w:jc w:val="center"/>
        <w:rPr>
          <w:rFonts w:hAnsi="宋体"/>
          <w:szCs w:val="21"/>
        </w:rPr>
      </w:pPr>
      <w:r>
        <w:rPr>
          <w:rFonts w:hint="eastAsia" w:ascii="宋体" w:hAnsi="宋体"/>
          <w:sz w:val="24"/>
        </w:rPr>
        <w:t>（由投标人根据采购需求及招标文件要求编制，格式自拟）</w:t>
      </w:r>
    </w:p>
    <w:p w14:paraId="0420E552">
      <w:pPr>
        <w:spacing w:line="360" w:lineRule="auto"/>
        <w:ind w:firstLine="4048" w:firstLineChars="1687"/>
        <w:rPr>
          <w:rFonts w:ascii="仿宋_GB2312" w:hAnsi="仿宋" w:eastAsia="仿宋_GB2312" w:cs="仿宋_GB2312"/>
          <w:kern w:val="0"/>
          <w:sz w:val="24"/>
        </w:rPr>
      </w:pPr>
    </w:p>
    <w:p w14:paraId="597BF1FE">
      <w:pPr>
        <w:snapToGrid w:val="0"/>
        <w:spacing w:line="360" w:lineRule="auto"/>
        <w:ind w:firstLine="4935" w:firstLineChars="2350"/>
        <w:rPr>
          <w:rFonts w:hAnsi="宋体"/>
          <w:szCs w:val="21"/>
        </w:rPr>
      </w:pPr>
    </w:p>
    <w:p w14:paraId="6F17CB06">
      <w:pPr>
        <w:snapToGrid w:val="0"/>
        <w:spacing w:line="360" w:lineRule="auto"/>
        <w:ind w:firstLine="4935" w:firstLineChars="2350"/>
        <w:rPr>
          <w:rFonts w:hAnsi="宋体"/>
          <w:szCs w:val="21"/>
        </w:rPr>
      </w:pPr>
    </w:p>
    <w:p w14:paraId="1FDB4FB9">
      <w:pPr>
        <w:snapToGrid w:val="0"/>
        <w:spacing w:line="360" w:lineRule="auto"/>
        <w:ind w:firstLine="4935" w:firstLineChars="2350"/>
        <w:rPr>
          <w:rFonts w:hAnsi="宋体"/>
          <w:szCs w:val="21"/>
        </w:rPr>
      </w:pPr>
    </w:p>
    <w:p w14:paraId="4716D586">
      <w:pPr>
        <w:snapToGrid w:val="0"/>
        <w:spacing w:line="360" w:lineRule="auto"/>
        <w:ind w:firstLine="4935" w:firstLineChars="2350"/>
        <w:rPr>
          <w:rFonts w:hAnsi="宋体"/>
          <w:szCs w:val="21"/>
        </w:rPr>
      </w:pPr>
    </w:p>
    <w:p w14:paraId="792D8807">
      <w:pPr>
        <w:snapToGrid w:val="0"/>
        <w:spacing w:line="360" w:lineRule="auto"/>
        <w:ind w:firstLine="5640" w:firstLineChars="235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45DB43CB">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2BF9DD5A">
      <w:pPr>
        <w:snapToGrid w:val="0"/>
        <w:spacing w:beforeLines="50" w:after="50"/>
        <w:ind w:firstLine="602" w:firstLineChars="200"/>
        <w:jc w:val="center"/>
        <w:rPr>
          <w:b/>
          <w:bCs/>
          <w:sz w:val="30"/>
          <w:szCs w:val="30"/>
        </w:rPr>
      </w:pPr>
    </w:p>
    <w:p w14:paraId="79CBF4AD">
      <w:pPr>
        <w:snapToGrid w:val="0"/>
        <w:spacing w:beforeLines="50" w:after="50"/>
        <w:ind w:firstLine="602" w:firstLineChars="200"/>
        <w:jc w:val="center"/>
        <w:rPr>
          <w:b/>
          <w:bCs/>
          <w:sz w:val="30"/>
          <w:szCs w:val="30"/>
        </w:rPr>
      </w:pPr>
    </w:p>
    <w:p w14:paraId="73BBC348">
      <w:pPr>
        <w:snapToGrid w:val="0"/>
        <w:spacing w:beforeLines="50" w:after="50"/>
        <w:ind w:firstLine="602" w:firstLineChars="200"/>
        <w:jc w:val="center"/>
        <w:rPr>
          <w:b/>
          <w:bCs/>
          <w:sz w:val="30"/>
          <w:szCs w:val="30"/>
        </w:rPr>
      </w:pPr>
    </w:p>
    <w:p w14:paraId="75652D46">
      <w:pPr>
        <w:snapToGrid w:val="0"/>
        <w:spacing w:beforeLines="50" w:after="50"/>
        <w:ind w:firstLine="602" w:firstLineChars="200"/>
        <w:jc w:val="center"/>
        <w:rPr>
          <w:b/>
          <w:bCs/>
          <w:sz w:val="30"/>
          <w:szCs w:val="30"/>
        </w:rPr>
      </w:pPr>
    </w:p>
    <w:p w14:paraId="5D689743">
      <w:pPr>
        <w:snapToGrid w:val="0"/>
        <w:spacing w:beforeLines="50" w:after="50"/>
        <w:ind w:firstLine="602" w:firstLineChars="200"/>
        <w:jc w:val="center"/>
        <w:rPr>
          <w:b/>
          <w:bCs/>
          <w:sz w:val="30"/>
          <w:szCs w:val="30"/>
        </w:rPr>
      </w:pPr>
    </w:p>
    <w:p w14:paraId="607F49E9">
      <w:pPr>
        <w:snapToGrid w:val="0"/>
        <w:spacing w:beforeLines="50" w:after="50"/>
        <w:ind w:firstLine="602" w:firstLineChars="200"/>
        <w:jc w:val="center"/>
        <w:rPr>
          <w:b/>
          <w:bCs/>
          <w:sz w:val="30"/>
          <w:szCs w:val="30"/>
        </w:rPr>
      </w:pPr>
    </w:p>
    <w:p w14:paraId="5A91A5B5">
      <w:pPr>
        <w:snapToGrid w:val="0"/>
        <w:spacing w:beforeLines="50" w:after="50"/>
        <w:ind w:firstLine="602" w:firstLineChars="200"/>
        <w:jc w:val="center"/>
        <w:rPr>
          <w:b/>
          <w:bCs/>
          <w:sz w:val="30"/>
          <w:szCs w:val="30"/>
        </w:rPr>
      </w:pPr>
    </w:p>
    <w:p w14:paraId="110642D1">
      <w:pPr>
        <w:snapToGrid w:val="0"/>
        <w:spacing w:beforeLines="50" w:after="50"/>
        <w:ind w:firstLine="602" w:firstLineChars="200"/>
        <w:jc w:val="center"/>
        <w:rPr>
          <w:b/>
          <w:bCs/>
          <w:sz w:val="30"/>
          <w:szCs w:val="30"/>
        </w:rPr>
      </w:pPr>
    </w:p>
    <w:p w14:paraId="41893B89">
      <w:pPr>
        <w:snapToGrid w:val="0"/>
        <w:spacing w:beforeLines="50" w:after="50"/>
        <w:ind w:firstLine="602" w:firstLineChars="200"/>
        <w:jc w:val="center"/>
        <w:rPr>
          <w:b/>
          <w:bCs/>
          <w:sz w:val="30"/>
          <w:szCs w:val="30"/>
        </w:rPr>
      </w:pPr>
    </w:p>
    <w:p w14:paraId="6C12FAB6">
      <w:pPr>
        <w:snapToGrid w:val="0"/>
        <w:spacing w:beforeLines="50" w:after="50"/>
        <w:ind w:firstLine="602" w:firstLineChars="200"/>
        <w:jc w:val="center"/>
        <w:rPr>
          <w:b/>
          <w:bCs/>
          <w:sz w:val="30"/>
          <w:szCs w:val="30"/>
        </w:rPr>
      </w:pPr>
    </w:p>
    <w:p w14:paraId="4D92915B">
      <w:pPr>
        <w:snapToGrid w:val="0"/>
        <w:spacing w:beforeLines="50" w:after="50"/>
        <w:ind w:firstLine="602" w:firstLineChars="200"/>
        <w:jc w:val="center"/>
        <w:rPr>
          <w:b/>
          <w:bCs/>
          <w:sz w:val="30"/>
          <w:szCs w:val="30"/>
        </w:rPr>
      </w:pPr>
    </w:p>
    <w:p w14:paraId="146F4004">
      <w:pPr>
        <w:snapToGrid w:val="0"/>
        <w:spacing w:beforeLines="50" w:after="50"/>
        <w:ind w:firstLine="602" w:firstLineChars="200"/>
        <w:jc w:val="center"/>
        <w:rPr>
          <w:b/>
          <w:bCs/>
          <w:sz w:val="30"/>
          <w:szCs w:val="30"/>
        </w:rPr>
      </w:pPr>
    </w:p>
    <w:p w14:paraId="084BC3CB">
      <w:pPr>
        <w:snapToGrid w:val="0"/>
        <w:spacing w:beforeLines="50" w:after="50"/>
        <w:ind w:firstLine="602" w:firstLineChars="200"/>
        <w:jc w:val="center"/>
        <w:rPr>
          <w:b/>
          <w:bCs/>
          <w:sz w:val="30"/>
          <w:szCs w:val="30"/>
        </w:rPr>
      </w:pPr>
    </w:p>
    <w:p w14:paraId="713F5CCA">
      <w:pPr>
        <w:snapToGrid w:val="0"/>
        <w:spacing w:beforeLines="50" w:after="50"/>
        <w:ind w:firstLine="602" w:firstLineChars="200"/>
        <w:jc w:val="center"/>
        <w:rPr>
          <w:b/>
          <w:bCs/>
          <w:sz w:val="30"/>
          <w:szCs w:val="30"/>
        </w:rPr>
      </w:pPr>
    </w:p>
    <w:p w14:paraId="5B37138F">
      <w:pPr>
        <w:snapToGrid w:val="0"/>
        <w:spacing w:beforeLines="50" w:after="50"/>
        <w:ind w:firstLine="602" w:firstLineChars="200"/>
        <w:jc w:val="center"/>
        <w:rPr>
          <w:b/>
          <w:bCs/>
          <w:sz w:val="30"/>
          <w:szCs w:val="30"/>
        </w:rPr>
      </w:pPr>
    </w:p>
    <w:p w14:paraId="27E8451F">
      <w:pPr>
        <w:snapToGrid w:val="0"/>
        <w:spacing w:beforeLines="50" w:after="50"/>
        <w:ind w:firstLine="602" w:firstLineChars="200"/>
        <w:jc w:val="center"/>
        <w:rPr>
          <w:b/>
          <w:bCs/>
          <w:sz w:val="30"/>
          <w:szCs w:val="30"/>
        </w:rPr>
      </w:pPr>
    </w:p>
    <w:p w14:paraId="4499869F">
      <w:pPr>
        <w:snapToGrid w:val="0"/>
        <w:spacing w:beforeLines="50" w:after="50"/>
        <w:ind w:firstLine="602" w:firstLineChars="200"/>
        <w:jc w:val="center"/>
        <w:rPr>
          <w:b/>
          <w:bCs/>
          <w:sz w:val="30"/>
          <w:szCs w:val="30"/>
        </w:rPr>
      </w:pPr>
    </w:p>
    <w:p w14:paraId="2D2CC9B6">
      <w:pPr>
        <w:snapToGrid w:val="0"/>
        <w:spacing w:beforeLines="50" w:after="50"/>
        <w:ind w:firstLine="602" w:firstLineChars="200"/>
        <w:jc w:val="center"/>
        <w:rPr>
          <w:b/>
          <w:bCs/>
          <w:sz w:val="30"/>
          <w:szCs w:val="30"/>
        </w:rPr>
      </w:pPr>
    </w:p>
    <w:p w14:paraId="0359A4A7">
      <w:pPr>
        <w:snapToGrid w:val="0"/>
        <w:spacing w:beforeLines="50" w:after="50"/>
        <w:ind w:firstLine="602" w:firstLineChars="200"/>
        <w:jc w:val="center"/>
        <w:rPr>
          <w:b/>
          <w:bCs/>
          <w:sz w:val="30"/>
          <w:szCs w:val="30"/>
        </w:rPr>
      </w:pPr>
    </w:p>
    <w:p w14:paraId="5A5E1936">
      <w:pPr>
        <w:snapToGrid w:val="0"/>
        <w:spacing w:beforeLines="50" w:after="50"/>
        <w:ind w:firstLine="602" w:firstLineChars="200"/>
        <w:jc w:val="center"/>
        <w:rPr>
          <w:b/>
          <w:bCs/>
          <w:sz w:val="30"/>
          <w:szCs w:val="30"/>
        </w:rPr>
      </w:pPr>
    </w:p>
    <w:p w14:paraId="41BC0BF5">
      <w:pPr>
        <w:snapToGrid w:val="0"/>
        <w:spacing w:beforeLines="50" w:after="50"/>
        <w:ind w:firstLine="602" w:firstLineChars="200"/>
        <w:jc w:val="center"/>
        <w:rPr>
          <w:b/>
          <w:bCs/>
          <w:sz w:val="30"/>
          <w:szCs w:val="30"/>
        </w:rPr>
      </w:pPr>
    </w:p>
    <w:p w14:paraId="3C8D71FE">
      <w:pPr>
        <w:widowControl/>
        <w:jc w:val="left"/>
        <w:rPr>
          <w:b/>
          <w:bCs/>
          <w:sz w:val="30"/>
          <w:szCs w:val="30"/>
        </w:rPr>
        <w:sectPr>
          <w:pgSz w:w="11906" w:h="16838"/>
          <w:pgMar w:top="1134" w:right="1134" w:bottom="1134" w:left="1134" w:header="720" w:footer="720" w:gutter="0"/>
          <w:cols w:space="0" w:num="1"/>
          <w:docGrid w:type="lines" w:linePitch="332" w:charSpace="0"/>
        </w:sectPr>
      </w:pPr>
    </w:p>
    <w:p w14:paraId="28A4B342">
      <w:pPr>
        <w:numPr>
          <w:ilvl w:val="0"/>
          <w:numId w:val="5"/>
        </w:numPr>
        <w:snapToGrid w:val="0"/>
        <w:spacing w:beforeLines="50" w:after="50"/>
        <w:ind w:firstLine="602" w:firstLineChars="200"/>
        <w:jc w:val="center"/>
        <w:rPr>
          <w:b/>
          <w:bCs/>
          <w:sz w:val="30"/>
          <w:szCs w:val="30"/>
        </w:rPr>
      </w:pPr>
      <w:r>
        <w:rPr>
          <w:rFonts w:hint="eastAsia"/>
          <w:b/>
          <w:bCs/>
          <w:sz w:val="30"/>
          <w:szCs w:val="30"/>
        </w:rPr>
        <w:t>其他商务文件或说明</w:t>
      </w:r>
    </w:p>
    <w:p w14:paraId="50652D2E">
      <w:pPr>
        <w:snapToGrid w:val="0"/>
        <w:spacing w:beforeLines="50" w:after="50"/>
        <w:jc w:val="center"/>
        <w:rPr>
          <w:b/>
          <w:bCs/>
          <w:sz w:val="30"/>
          <w:szCs w:val="30"/>
        </w:rPr>
      </w:pPr>
    </w:p>
    <w:p w14:paraId="75542953">
      <w:pPr>
        <w:snapToGrid w:val="0"/>
        <w:spacing w:beforeLines="50" w:after="50"/>
        <w:jc w:val="center"/>
        <w:rPr>
          <w:b/>
          <w:bCs/>
          <w:sz w:val="30"/>
          <w:szCs w:val="30"/>
        </w:rPr>
      </w:pPr>
    </w:p>
    <w:p w14:paraId="235CDA99">
      <w:pPr>
        <w:snapToGrid w:val="0"/>
        <w:spacing w:beforeLines="50" w:after="50"/>
        <w:jc w:val="center"/>
        <w:rPr>
          <w:b/>
          <w:bCs/>
          <w:sz w:val="30"/>
          <w:szCs w:val="30"/>
        </w:rPr>
      </w:pPr>
    </w:p>
    <w:p w14:paraId="20599A52">
      <w:pPr>
        <w:snapToGrid w:val="0"/>
        <w:spacing w:beforeLines="50" w:after="50"/>
        <w:jc w:val="center"/>
        <w:rPr>
          <w:b/>
          <w:bCs/>
          <w:sz w:val="30"/>
          <w:szCs w:val="30"/>
        </w:rPr>
      </w:pPr>
    </w:p>
    <w:p w14:paraId="03C82547">
      <w:pPr>
        <w:snapToGrid w:val="0"/>
        <w:spacing w:beforeLines="50" w:after="50"/>
        <w:jc w:val="center"/>
        <w:rPr>
          <w:b/>
          <w:bCs/>
          <w:sz w:val="30"/>
          <w:szCs w:val="30"/>
        </w:rPr>
      </w:pPr>
    </w:p>
    <w:p w14:paraId="3941F3CA">
      <w:pPr>
        <w:snapToGrid w:val="0"/>
        <w:spacing w:beforeLines="50" w:after="50"/>
        <w:jc w:val="center"/>
        <w:rPr>
          <w:b/>
          <w:bCs/>
          <w:sz w:val="30"/>
          <w:szCs w:val="30"/>
        </w:rPr>
      </w:pPr>
    </w:p>
    <w:p w14:paraId="50356D5F">
      <w:pPr>
        <w:snapToGrid w:val="0"/>
        <w:spacing w:beforeLines="50" w:after="50"/>
        <w:jc w:val="center"/>
        <w:rPr>
          <w:b/>
          <w:bCs/>
          <w:sz w:val="30"/>
          <w:szCs w:val="30"/>
        </w:rPr>
      </w:pPr>
    </w:p>
    <w:p w14:paraId="7F2EAD97">
      <w:pPr>
        <w:snapToGrid w:val="0"/>
        <w:spacing w:beforeLines="50" w:after="50"/>
        <w:jc w:val="center"/>
        <w:rPr>
          <w:b/>
          <w:bCs/>
          <w:sz w:val="30"/>
          <w:szCs w:val="30"/>
        </w:rPr>
      </w:pPr>
    </w:p>
    <w:p w14:paraId="2D344C80">
      <w:pPr>
        <w:snapToGrid w:val="0"/>
        <w:spacing w:beforeLines="50" w:after="50"/>
        <w:jc w:val="center"/>
        <w:rPr>
          <w:b/>
          <w:bCs/>
          <w:sz w:val="30"/>
          <w:szCs w:val="30"/>
        </w:rPr>
      </w:pPr>
    </w:p>
    <w:p w14:paraId="62728763">
      <w:pPr>
        <w:snapToGrid w:val="0"/>
        <w:spacing w:beforeLines="50" w:after="50"/>
        <w:jc w:val="center"/>
        <w:rPr>
          <w:b/>
          <w:bCs/>
          <w:sz w:val="30"/>
          <w:szCs w:val="30"/>
        </w:rPr>
      </w:pPr>
    </w:p>
    <w:p w14:paraId="32FA553F">
      <w:pPr>
        <w:snapToGrid w:val="0"/>
        <w:spacing w:beforeLines="50" w:after="50"/>
        <w:jc w:val="center"/>
        <w:rPr>
          <w:b/>
          <w:bCs/>
          <w:sz w:val="30"/>
          <w:szCs w:val="30"/>
        </w:rPr>
      </w:pPr>
    </w:p>
    <w:p w14:paraId="25310A51">
      <w:pPr>
        <w:snapToGrid w:val="0"/>
        <w:spacing w:beforeLines="50" w:after="50"/>
        <w:jc w:val="center"/>
        <w:rPr>
          <w:b/>
          <w:bCs/>
          <w:sz w:val="30"/>
          <w:szCs w:val="30"/>
        </w:rPr>
      </w:pPr>
    </w:p>
    <w:p w14:paraId="55795C95">
      <w:pPr>
        <w:snapToGrid w:val="0"/>
        <w:spacing w:beforeLines="50" w:after="50"/>
        <w:jc w:val="center"/>
        <w:rPr>
          <w:b/>
          <w:bCs/>
          <w:sz w:val="30"/>
          <w:szCs w:val="30"/>
        </w:rPr>
      </w:pPr>
    </w:p>
    <w:p w14:paraId="5A9BD7CE">
      <w:pPr>
        <w:snapToGrid w:val="0"/>
        <w:spacing w:beforeLines="50" w:after="50"/>
        <w:jc w:val="center"/>
        <w:rPr>
          <w:b/>
          <w:bCs/>
          <w:sz w:val="30"/>
          <w:szCs w:val="30"/>
        </w:rPr>
      </w:pPr>
    </w:p>
    <w:p w14:paraId="44DAF20C">
      <w:pPr>
        <w:snapToGrid w:val="0"/>
        <w:spacing w:beforeLines="50" w:after="50"/>
        <w:jc w:val="center"/>
        <w:rPr>
          <w:b/>
          <w:bCs/>
          <w:sz w:val="30"/>
          <w:szCs w:val="30"/>
        </w:rPr>
      </w:pPr>
    </w:p>
    <w:p w14:paraId="30773130">
      <w:pPr>
        <w:snapToGrid w:val="0"/>
        <w:spacing w:beforeLines="50" w:after="50"/>
        <w:jc w:val="center"/>
        <w:rPr>
          <w:b/>
          <w:bCs/>
          <w:sz w:val="30"/>
          <w:szCs w:val="30"/>
        </w:rPr>
      </w:pPr>
    </w:p>
    <w:p w14:paraId="69E26E07">
      <w:pPr>
        <w:snapToGrid w:val="0"/>
        <w:spacing w:beforeLines="50" w:after="50"/>
        <w:jc w:val="center"/>
        <w:rPr>
          <w:b/>
          <w:bCs/>
          <w:sz w:val="30"/>
          <w:szCs w:val="30"/>
        </w:rPr>
      </w:pPr>
    </w:p>
    <w:p w14:paraId="3A8E32E1">
      <w:pPr>
        <w:snapToGrid w:val="0"/>
        <w:spacing w:beforeLines="50" w:after="50"/>
        <w:jc w:val="center"/>
        <w:rPr>
          <w:b/>
          <w:bCs/>
          <w:sz w:val="30"/>
          <w:szCs w:val="30"/>
        </w:rPr>
      </w:pPr>
    </w:p>
    <w:p w14:paraId="79C3B8C4">
      <w:pPr>
        <w:snapToGrid w:val="0"/>
        <w:spacing w:beforeLines="50" w:after="50"/>
        <w:jc w:val="center"/>
        <w:rPr>
          <w:b/>
          <w:bCs/>
          <w:sz w:val="30"/>
          <w:szCs w:val="30"/>
        </w:rPr>
      </w:pPr>
    </w:p>
    <w:p w14:paraId="05175A08">
      <w:pPr>
        <w:snapToGrid w:val="0"/>
        <w:spacing w:beforeLines="50" w:after="50"/>
        <w:jc w:val="center"/>
        <w:rPr>
          <w:b/>
          <w:bCs/>
          <w:sz w:val="30"/>
          <w:szCs w:val="30"/>
        </w:rPr>
      </w:pPr>
    </w:p>
    <w:p w14:paraId="4C1468A2">
      <w:pPr>
        <w:snapToGrid w:val="0"/>
        <w:spacing w:beforeLines="50" w:after="50"/>
        <w:jc w:val="center"/>
        <w:rPr>
          <w:b/>
          <w:bCs/>
          <w:sz w:val="30"/>
          <w:szCs w:val="30"/>
        </w:rPr>
      </w:pPr>
    </w:p>
    <w:p w14:paraId="1F2EC10F">
      <w:pPr>
        <w:snapToGrid w:val="0"/>
        <w:spacing w:beforeLines="50" w:after="50"/>
        <w:jc w:val="center"/>
        <w:rPr>
          <w:b/>
          <w:bCs/>
          <w:sz w:val="30"/>
          <w:szCs w:val="30"/>
        </w:rPr>
      </w:pPr>
    </w:p>
    <w:p w14:paraId="2AC440EC">
      <w:pPr>
        <w:snapToGrid w:val="0"/>
        <w:spacing w:beforeLines="50" w:after="50"/>
        <w:jc w:val="center"/>
        <w:rPr>
          <w:b/>
          <w:bCs/>
          <w:sz w:val="30"/>
          <w:szCs w:val="30"/>
        </w:rPr>
      </w:pPr>
    </w:p>
    <w:p w14:paraId="55AE16C7">
      <w:pPr>
        <w:snapToGrid w:val="0"/>
        <w:spacing w:beforeLines="50" w:after="50"/>
        <w:jc w:val="center"/>
        <w:rPr>
          <w:b/>
          <w:bCs/>
          <w:sz w:val="30"/>
          <w:szCs w:val="30"/>
        </w:rPr>
      </w:pPr>
    </w:p>
    <w:p w14:paraId="5855EFE3">
      <w:pPr>
        <w:snapToGrid w:val="0"/>
        <w:spacing w:beforeLines="50" w:after="50"/>
        <w:jc w:val="center"/>
        <w:rPr>
          <w:b/>
          <w:bCs/>
          <w:sz w:val="30"/>
          <w:szCs w:val="30"/>
        </w:rPr>
      </w:pPr>
    </w:p>
    <w:p w14:paraId="3B27C720">
      <w:pPr>
        <w:snapToGrid w:val="0"/>
        <w:spacing w:beforeLines="50" w:after="50"/>
        <w:jc w:val="center"/>
        <w:rPr>
          <w:b/>
          <w:bCs/>
          <w:sz w:val="30"/>
          <w:szCs w:val="30"/>
        </w:rPr>
      </w:pPr>
    </w:p>
    <w:p w14:paraId="1443471C">
      <w:pPr>
        <w:snapToGrid w:val="0"/>
        <w:spacing w:beforeLines="50" w:after="50"/>
        <w:jc w:val="center"/>
        <w:rPr>
          <w:b/>
          <w:bCs/>
          <w:sz w:val="30"/>
          <w:szCs w:val="30"/>
        </w:rPr>
      </w:pPr>
    </w:p>
    <w:p w14:paraId="2F107024">
      <w:pPr>
        <w:pStyle w:val="18"/>
        <w:jc w:val="center"/>
        <w:outlineLvl w:val="1"/>
        <w:rPr>
          <w:rFonts w:hAnsi="宋体"/>
          <w:b/>
          <w:bCs/>
          <w:sz w:val="28"/>
          <w:szCs w:val="28"/>
        </w:rPr>
      </w:pPr>
      <w:r>
        <w:rPr>
          <w:rFonts w:hint="eastAsia" w:hAnsi="宋体"/>
          <w:b/>
          <w:bCs/>
          <w:sz w:val="28"/>
          <w:szCs w:val="28"/>
        </w:rPr>
        <w:t>第四节 技术文件格式</w:t>
      </w:r>
      <w:bookmarkEnd w:id="316"/>
      <w:bookmarkEnd w:id="317"/>
    </w:p>
    <w:p w14:paraId="3F862D4B">
      <w:pPr>
        <w:snapToGrid w:val="0"/>
        <w:spacing w:beforeLines="50" w:after="50"/>
        <w:rPr>
          <w:rFonts w:ascii="宋体" w:hAnsi="宋体"/>
          <w:bCs/>
          <w:sz w:val="32"/>
          <w:szCs w:val="20"/>
        </w:rPr>
      </w:pPr>
      <w:r>
        <w:rPr>
          <w:rFonts w:hint="eastAsia" w:ascii="宋体" w:hAnsi="宋体"/>
          <w:bCs/>
        </w:rPr>
        <w:t>电子投标文件</w:t>
      </w:r>
    </w:p>
    <w:p w14:paraId="53C55CBB">
      <w:pPr>
        <w:snapToGrid w:val="0"/>
        <w:spacing w:beforeLines="50" w:after="50"/>
        <w:rPr>
          <w:rFonts w:ascii="宋体" w:hAnsi="宋体"/>
          <w:sz w:val="24"/>
          <w:szCs w:val="20"/>
        </w:rPr>
      </w:pPr>
    </w:p>
    <w:p w14:paraId="6A39FE20">
      <w:pPr>
        <w:snapToGrid w:val="0"/>
        <w:spacing w:beforeLines="50" w:after="50"/>
        <w:jc w:val="center"/>
        <w:rPr>
          <w:rFonts w:ascii="宋体" w:hAnsi="宋体"/>
          <w:b/>
          <w:bCs/>
          <w:sz w:val="32"/>
          <w:szCs w:val="32"/>
        </w:rPr>
      </w:pPr>
    </w:p>
    <w:p w14:paraId="6F3F33D8">
      <w:pPr>
        <w:snapToGrid w:val="0"/>
        <w:spacing w:beforeLines="50" w:after="50"/>
        <w:jc w:val="center"/>
        <w:rPr>
          <w:rFonts w:ascii="宋体" w:hAnsi="宋体"/>
          <w:b/>
          <w:bCs/>
          <w:sz w:val="32"/>
          <w:szCs w:val="32"/>
        </w:rPr>
      </w:pPr>
    </w:p>
    <w:p w14:paraId="7EB98410">
      <w:pPr>
        <w:snapToGrid w:val="0"/>
        <w:spacing w:beforeLines="50" w:after="50"/>
        <w:jc w:val="center"/>
        <w:rPr>
          <w:rFonts w:ascii="宋体" w:hAnsi="宋体"/>
          <w:b/>
          <w:bCs/>
          <w:sz w:val="32"/>
          <w:szCs w:val="32"/>
        </w:rPr>
      </w:pPr>
    </w:p>
    <w:p w14:paraId="43FB4F5D">
      <w:pPr>
        <w:snapToGrid w:val="0"/>
        <w:spacing w:beforeLines="50" w:after="50"/>
        <w:jc w:val="center"/>
        <w:rPr>
          <w:rFonts w:ascii="宋体" w:hAnsi="宋体"/>
          <w:b/>
          <w:bCs/>
          <w:sz w:val="32"/>
          <w:szCs w:val="32"/>
        </w:rPr>
      </w:pPr>
      <w:r>
        <w:rPr>
          <w:rFonts w:hint="eastAsia" w:ascii="宋体" w:hAnsi="宋体"/>
          <w:b/>
          <w:bCs/>
          <w:sz w:val="32"/>
          <w:szCs w:val="32"/>
        </w:rPr>
        <w:t>技术文件（封面）</w:t>
      </w:r>
    </w:p>
    <w:p w14:paraId="2BF688A1">
      <w:pPr>
        <w:snapToGrid w:val="0"/>
        <w:spacing w:beforeLines="50" w:after="50"/>
        <w:rPr>
          <w:rFonts w:ascii="宋体" w:hAnsi="宋体"/>
          <w:bCs/>
          <w:sz w:val="24"/>
          <w:szCs w:val="20"/>
        </w:rPr>
      </w:pPr>
    </w:p>
    <w:p w14:paraId="0BDCD612">
      <w:pPr>
        <w:snapToGrid w:val="0"/>
        <w:spacing w:beforeLines="50" w:after="50" w:line="400" w:lineRule="exact"/>
        <w:ind w:firstLine="360" w:firstLineChars="150"/>
        <w:rPr>
          <w:rFonts w:ascii="宋体" w:hAnsi="宋体"/>
          <w:bCs/>
          <w:sz w:val="24"/>
          <w:szCs w:val="20"/>
        </w:rPr>
      </w:pPr>
      <w:r>
        <w:rPr>
          <w:rFonts w:hint="eastAsia" w:ascii="宋体" w:hAnsi="宋体"/>
          <w:bCs/>
          <w:sz w:val="24"/>
        </w:rPr>
        <w:t xml:space="preserve">项目名称： </w:t>
      </w:r>
      <w:bookmarkStart w:id="318" w:name="PO_3000001866_PM002_8"/>
      <w:r>
        <w:rPr>
          <w:rFonts w:hint="eastAsia" w:ascii="宋体" w:hAnsi="宋体"/>
          <w:bCs/>
          <w:sz w:val="24"/>
        </w:rPr>
        <w:t>[项目采购-项目名称]</w:t>
      </w:r>
      <w:bookmarkEnd w:id="318"/>
    </w:p>
    <w:p w14:paraId="7821FBF2">
      <w:pPr>
        <w:snapToGrid w:val="0"/>
        <w:spacing w:beforeLines="50" w:after="50" w:line="400" w:lineRule="exact"/>
        <w:ind w:firstLine="360" w:firstLineChars="150"/>
        <w:rPr>
          <w:rFonts w:ascii="宋体" w:hAnsi="宋体"/>
          <w:bCs/>
          <w:sz w:val="24"/>
        </w:rPr>
      </w:pPr>
      <w:r>
        <w:rPr>
          <w:rFonts w:hint="eastAsia" w:ascii="宋体" w:hAnsi="宋体"/>
          <w:bCs/>
          <w:sz w:val="24"/>
        </w:rPr>
        <w:t xml:space="preserve">项目编号： </w:t>
      </w:r>
      <w:bookmarkStart w:id="319" w:name="PO_3000001866_PM001_6"/>
      <w:r>
        <w:rPr>
          <w:rFonts w:hint="eastAsia" w:ascii="宋体" w:hAnsi="宋体"/>
          <w:bCs/>
          <w:sz w:val="24"/>
        </w:rPr>
        <w:t>[项目采购-项目编号]</w:t>
      </w:r>
      <w:bookmarkEnd w:id="319"/>
    </w:p>
    <w:p w14:paraId="7490742B">
      <w:pPr>
        <w:snapToGrid w:val="0"/>
        <w:spacing w:beforeLines="50" w:after="50" w:line="400" w:lineRule="exact"/>
        <w:ind w:firstLine="360" w:firstLineChars="150"/>
        <w:rPr>
          <w:rFonts w:ascii="宋体" w:hAnsi="宋体"/>
          <w:bCs/>
          <w:sz w:val="24"/>
        </w:rPr>
      </w:pPr>
      <w:r>
        <w:rPr>
          <w:rFonts w:hint="eastAsia" w:ascii="宋体" w:hAnsi="宋体"/>
          <w:bCs/>
          <w:sz w:val="24"/>
        </w:rPr>
        <w:t>所投分标：</w:t>
      </w:r>
    </w:p>
    <w:p w14:paraId="3E5C54DE">
      <w:pPr>
        <w:snapToGrid w:val="0"/>
        <w:spacing w:beforeLines="50" w:after="50" w:line="400" w:lineRule="exact"/>
        <w:ind w:firstLine="360" w:firstLineChars="150"/>
        <w:rPr>
          <w:rFonts w:ascii="宋体" w:hAnsi="宋体"/>
          <w:bCs/>
          <w:sz w:val="24"/>
        </w:rPr>
      </w:pPr>
      <w:r>
        <w:rPr>
          <w:rFonts w:hint="eastAsia" w:ascii="宋体" w:hAnsi="宋体"/>
          <w:bCs/>
          <w:sz w:val="24"/>
        </w:rPr>
        <w:t>投标人名称：</w:t>
      </w:r>
    </w:p>
    <w:p w14:paraId="1FFEAA97">
      <w:pPr>
        <w:snapToGrid w:val="0"/>
        <w:spacing w:beforeLines="50" w:after="50" w:line="400" w:lineRule="exact"/>
        <w:ind w:firstLine="360" w:firstLineChars="150"/>
        <w:rPr>
          <w:rFonts w:ascii="宋体" w:hAnsi="宋体"/>
          <w:bCs/>
          <w:sz w:val="24"/>
        </w:rPr>
      </w:pPr>
      <w:r>
        <w:rPr>
          <w:rFonts w:hint="eastAsia" w:ascii="宋体" w:hAnsi="宋体"/>
          <w:bCs/>
          <w:sz w:val="24"/>
        </w:rPr>
        <w:t>投标人地址：</w:t>
      </w:r>
    </w:p>
    <w:p w14:paraId="654140B1">
      <w:pPr>
        <w:snapToGrid w:val="0"/>
        <w:spacing w:beforeLines="50" w:after="50"/>
        <w:ind w:firstLine="645"/>
        <w:jc w:val="center"/>
        <w:rPr>
          <w:rFonts w:ascii="宋体" w:hAnsi="宋体"/>
          <w:sz w:val="24"/>
        </w:rPr>
      </w:pPr>
      <w:r>
        <w:rPr>
          <w:rFonts w:hint="eastAsia" w:ascii="宋体" w:hAnsi="宋体"/>
          <w:sz w:val="24"/>
        </w:rPr>
        <w:t xml:space="preserve">                        年    月    日</w:t>
      </w:r>
    </w:p>
    <w:p w14:paraId="6F3F2D1C">
      <w:pPr>
        <w:snapToGrid w:val="0"/>
        <w:spacing w:beforeLines="50" w:after="50"/>
        <w:ind w:firstLine="645"/>
        <w:jc w:val="center"/>
        <w:rPr>
          <w:rFonts w:ascii="宋体" w:hAnsi="宋体"/>
          <w:sz w:val="24"/>
          <w:szCs w:val="20"/>
        </w:rPr>
      </w:pPr>
    </w:p>
    <w:p w14:paraId="2694A1CE">
      <w:pPr>
        <w:jc w:val="center"/>
        <w:rPr>
          <w:rFonts w:ascii="仿宋_GB2312" w:hAnsi="仿宋" w:eastAsia="仿宋_GB2312" w:cs="仿宋_GB2312"/>
          <w:b/>
          <w:kern w:val="0"/>
          <w:sz w:val="28"/>
          <w:szCs w:val="28"/>
        </w:rPr>
      </w:pPr>
      <w:r>
        <w:rPr>
          <w:rFonts w:hint="eastAsia" w:ascii="宋体" w:hAnsi="宋体"/>
          <w:b/>
          <w:bCs/>
          <w:sz w:val="24"/>
        </w:rPr>
        <w:br w:type="page"/>
      </w:r>
      <w:r>
        <w:rPr>
          <w:rFonts w:hint="eastAsia" w:ascii="仿宋_GB2312" w:hAnsi="仿宋" w:eastAsia="仿宋_GB2312" w:cs="仿宋_GB2312"/>
          <w:b/>
          <w:kern w:val="0"/>
          <w:sz w:val="28"/>
          <w:szCs w:val="28"/>
        </w:rPr>
        <w:t>技术文件目录</w:t>
      </w:r>
    </w:p>
    <w:p w14:paraId="4BC1EC2A">
      <w:pPr>
        <w:pStyle w:val="85"/>
        <w:spacing w:line="360" w:lineRule="auto"/>
        <w:rPr>
          <w:rFonts w:cs="仿宋_GB2312"/>
        </w:rPr>
      </w:pPr>
      <w:r>
        <w:rPr>
          <w:rFonts w:hint="eastAsia" w:cs="仿宋_GB2312"/>
        </w:rPr>
        <w:t>一、投标服务技术需求偏离表…………………………………………………（页码）</w:t>
      </w:r>
    </w:p>
    <w:p w14:paraId="21695EFE">
      <w:pPr>
        <w:pStyle w:val="85"/>
        <w:spacing w:line="360" w:lineRule="auto"/>
        <w:rPr>
          <w:rFonts w:cs="仿宋_GB2312"/>
        </w:rPr>
      </w:pPr>
      <w:r>
        <w:rPr>
          <w:rFonts w:hint="eastAsia" w:cs="仿宋_GB2312"/>
        </w:rPr>
        <w:t>二、项目检测总体工作方案…………………（页码）</w:t>
      </w:r>
    </w:p>
    <w:p w14:paraId="18863644">
      <w:pPr>
        <w:pStyle w:val="85"/>
        <w:spacing w:line="360" w:lineRule="auto"/>
        <w:rPr>
          <w:rFonts w:cs="仿宋_GB2312"/>
        </w:rPr>
      </w:pPr>
      <w:r>
        <w:rPr>
          <w:rFonts w:hint="eastAsia" w:cs="仿宋_GB2312"/>
        </w:rPr>
        <w:t>三、项目检测总体工作保障措施……………………（页码）</w:t>
      </w:r>
    </w:p>
    <w:p w14:paraId="684CA1AE">
      <w:pPr>
        <w:pStyle w:val="85"/>
        <w:spacing w:line="360" w:lineRule="auto"/>
        <w:rPr>
          <w:rFonts w:cs="仿宋_GB2312"/>
        </w:rPr>
      </w:pPr>
      <w:r>
        <w:rPr>
          <w:rFonts w:hint="eastAsia" w:cs="仿宋_GB2312"/>
        </w:rPr>
        <w:t>四、</w:t>
      </w:r>
      <w:r>
        <w:rPr>
          <w:rFonts w:hint="eastAsia" w:cs="仿宋_GB2312"/>
          <w:lang w:val="zh-CN"/>
        </w:rPr>
        <w:t>投标时需提供的具体检测方案</w:t>
      </w:r>
      <w:r>
        <w:rPr>
          <w:rFonts w:hint="eastAsia" w:cs="仿宋_GB2312"/>
        </w:rPr>
        <w:t>……（页码）</w:t>
      </w:r>
    </w:p>
    <w:p w14:paraId="3799AA98">
      <w:pPr>
        <w:pStyle w:val="85"/>
        <w:spacing w:line="360" w:lineRule="auto"/>
        <w:rPr>
          <w:rFonts w:cs="仿宋_GB2312"/>
        </w:rPr>
      </w:pPr>
      <w:r>
        <w:rPr>
          <w:rFonts w:hint="eastAsia" w:cs="仿宋_GB2312"/>
        </w:rPr>
        <w:t>五、项目负责人、技术负责人2022年1月以来参加过（或正从事）同类服务的业绩（桥梁检测类）</w:t>
      </w:r>
      <w:r>
        <w:rPr>
          <w:rFonts w:hint="eastAsia" w:cs="仿宋_GB2312"/>
          <w:lang w:val="zh-CN"/>
        </w:rPr>
        <w:t>…………………………………………</w:t>
      </w:r>
      <w:r>
        <w:rPr>
          <w:rFonts w:hint="eastAsia" w:cs="仿宋_GB2312"/>
        </w:rPr>
        <w:t>………（页码）</w:t>
      </w:r>
    </w:p>
    <w:p w14:paraId="5F38AE42">
      <w:pPr>
        <w:pStyle w:val="85"/>
        <w:spacing w:line="360" w:lineRule="auto"/>
        <w:rPr>
          <w:rFonts w:cs="仿宋_GB2312"/>
        </w:rPr>
      </w:pPr>
      <w:r>
        <w:rPr>
          <w:rFonts w:hint="eastAsia" w:cs="仿宋_GB2312"/>
        </w:rPr>
        <w:t>六、投标人对本项目的合理化建议和改进措施</w:t>
      </w:r>
      <w:r>
        <w:rPr>
          <w:rFonts w:hint="eastAsia" w:cs="仿宋_GB2312"/>
          <w:lang w:val="zh-CN"/>
        </w:rPr>
        <w:t>…………………………</w:t>
      </w:r>
      <w:r>
        <w:rPr>
          <w:rFonts w:hint="eastAsia" w:cs="仿宋_GB2312"/>
        </w:rPr>
        <w:t>……</w:t>
      </w:r>
      <w:r>
        <w:rPr>
          <w:rFonts w:hint="eastAsia" w:cs="仿宋_GB2312"/>
          <w:lang w:val="zh-CN"/>
        </w:rPr>
        <w:t>…</w:t>
      </w:r>
      <w:r>
        <w:rPr>
          <w:rFonts w:hint="eastAsia" w:cs="仿宋_GB2312"/>
        </w:rPr>
        <w:t>（页码）</w:t>
      </w:r>
    </w:p>
    <w:p w14:paraId="4A59B63F">
      <w:pPr>
        <w:pStyle w:val="85"/>
        <w:spacing w:line="360" w:lineRule="auto"/>
        <w:rPr>
          <w:rFonts w:cs="仿宋_GB2312"/>
        </w:rPr>
      </w:pPr>
      <w:r>
        <w:rPr>
          <w:rFonts w:hint="eastAsia" w:cs="仿宋_GB2312"/>
        </w:rPr>
        <w:t>七、认为需要的其他技术文件或说明（如有）</w:t>
      </w:r>
      <w:r>
        <w:rPr>
          <w:rFonts w:hint="eastAsia" w:cs="仿宋_GB2312"/>
          <w:lang w:val="zh-CN"/>
        </w:rPr>
        <w:t>………………………………</w:t>
      </w:r>
      <w:r>
        <w:rPr>
          <w:rFonts w:hint="eastAsia" w:cs="仿宋_GB2312"/>
        </w:rPr>
        <w:t>（页码）</w:t>
      </w:r>
    </w:p>
    <w:p w14:paraId="4EB6F98D">
      <w:pPr>
        <w:spacing w:line="360" w:lineRule="auto"/>
        <w:rPr>
          <w:rFonts w:ascii="仿宋_GB2312" w:hAnsi="仿宋" w:eastAsia="仿宋_GB2312" w:cs="仿宋_GB2312"/>
          <w:b/>
          <w:bCs/>
          <w:sz w:val="24"/>
        </w:rPr>
      </w:pPr>
      <w:r>
        <w:rPr>
          <w:rFonts w:hint="eastAsia" w:ascii="仿宋_GB2312" w:hAnsi="仿宋" w:eastAsia="仿宋_GB2312" w:cs="仿宋_GB2312"/>
          <w:b/>
          <w:bCs/>
          <w:sz w:val="24"/>
        </w:rPr>
        <w:t>注：以上目录是基本格式要求，各投标人可根据自身情况进一步向下增加内容或细化。</w:t>
      </w:r>
    </w:p>
    <w:p w14:paraId="08AB4E43">
      <w:pPr>
        <w:snapToGrid w:val="0"/>
        <w:spacing w:beforeLines="50" w:after="50"/>
        <w:ind w:left="143" w:leftChars="68" w:firstLine="472" w:firstLineChars="196"/>
        <w:jc w:val="left"/>
        <w:rPr>
          <w:rFonts w:ascii="宋体" w:hAnsi="宋体"/>
          <w:b/>
          <w:sz w:val="24"/>
        </w:rPr>
      </w:pPr>
    </w:p>
    <w:p w14:paraId="3B5E6FCC">
      <w:pPr>
        <w:snapToGrid w:val="0"/>
        <w:spacing w:beforeLines="50" w:after="50"/>
        <w:ind w:left="143" w:leftChars="68" w:firstLine="472" w:firstLineChars="196"/>
        <w:jc w:val="left"/>
        <w:rPr>
          <w:rFonts w:ascii="宋体" w:hAnsi="宋体"/>
          <w:b/>
          <w:sz w:val="24"/>
        </w:rPr>
      </w:pPr>
      <w:r>
        <w:rPr>
          <w:rFonts w:hint="eastAsia" w:ascii="宋体" w:hAnsi="宋体"/>
          <w:b/>
          <w:sz w:val="24"/>
        </w:rPr>
        <w:br w:type="page"/>
      </w:r>
    </w:p>
    <w:p w14:paraId="5F2848E6">
      <w:pPr>
        <w:pStyle w:val="18"/>
        <w:spacing w:line="500" w:lineRule="exact"/>
        <w:jc w:val="center"/>
        <w:rPr>
          <w:rFonts w:ascii="Times New Roman" w:hAnsi="Times New Roman"/>
          <w:b/>
          <w:bCs/>
          <w:sz w:val="30"/>
          <w:szCs w:val="30"/>
        </w:rPr>
      </w:pPr>
      <w:r>
        <w:rPr>
          <w:rFonts w:hint="eastAsia" w:ascii="Times New Roman" w:hAnsi="Times New Roman"/>
          <w:b/>
          <w:bCs/>
          <w:sz w:val="30"/>
          <w:szCs w:val="30"/>
        </w:rPr>
        <w:t>一、投标服务技术需求偏离表</w:t>
      </w:r>
    </w:p>
    <w:p w14:paraId="4F6E1222">
      <w:pPr>
        <w:pStyle w:val="18"/>
        <w:spacing w:line="440" w:lineRule="exact"/>
        <w:ind w:firstLine="420" w:firstLineChars="200"/>
      </w:pPr>
    </w:p>
    <w:p w14:paraId="07BA369E">
      <w:pPr>
        <w:pStyle w:val="18"/>
        <w:spacing w:line="600" w:lineRule="exact"/>
        <w:ind w:firstLine="480" w:firstLineChars="200"/>
        <w:rPr>
          <w:rFonts w:hAnsi="宋体"/>
          <w:sz w:val="24"/>
          <w:szCs w:val="24"/>
        </w:rPr>
      </w:pPr>
      <w:r>
        <w:rPr>
          <w:rFonts w:hint="eastAsia" w:hAnsi="宋体"/>
          <w:sz w:val="24"/>
          <w:szCs w:val="24"/>
        </w:rPr>
        <w:t>请根据所投服务的实际技术参数，</w:t>
      </w:r>
      <w:r>
        <w:rPr>
          <w:rFonts w:hint="eastAsia" w:hAnsi="宋体"/>
          <w:b/>
          <w:sz w:val="28"/>
          <w:szCs w:val="28"/>
        </w:rPr>
        <w:t>逐条对应</w:t>
      </w:r>
      <w:r>
        <w:rPr>
          <w:rFonts w:hint="eastAsia" w:hAnsi="宋体"/>
          <w:sz w:val="24"/>
          <w:szCs w:val="24"/>
        </w:rPr>
        <w:t>本项目招标文件第二章“服务需求一览表”中的</w:t>
      </w:r>
      <w:r>
        <w:rPr>
          <w:rFonts w:hint="eastAsia" w:hAnsi="宋体"/>
          <w:b/>
          <w:sz w:val="28"/>
          <w:szCs w:val="28"/>
        </w:rPr>
        <w:t>服务名称及服务参数</w:t>
      </w:r>
      <w:r>
        <w:rPr>
          <w:rFonts w:hint="eastAsia" w:hAnsi="宋体"/>
          <w:sz w:val="24"/>
          <w:szCs w:val="24"/>
        </w:rPr>
        <w:t>详细填写相应的具体内容。“偏离说明”一栏应当选择“正偏离”、“负偏离”或“无偏离”进行填写。</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69E2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0868229E">
            <w:pPr>
              <w:rPr>
                <w:rFonts w:ascii="宋体" w:hAnsi="宋体"/>
                <w:szCs w:val="21"/>
              </w:rPr>
            </w:pPr>
            <w:r>
              <w:rPr>
                <w:rFonts w:hint="eastAsia" w:ascii="宋体" w:hAnsi="宋体"/>
                <w:szCs w:val="21"/>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350AD2AA">
            <w:pPr>
              <w:jc w:val="center"/>
              <w:rPr>
                <w:rFonts w:ascii="宋体" w:hAnsi="宋体"/>
                <w:szCs w:val="21"/>
              </w:rPr>
            </w:pPr>
            <w:r>
              <w:rPr>
                <w:rFonts w:hint="eastAsia" w:ascii="宋体" w:hAnsi="宋体"/>
                <w:szCs w:val="21"/>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595B5D9D">
            <w:pPr>
              <w:jc w:val="center"/>
              <w:rPr>
                <w:rFonts w:ascii="宋体" w:hAnsi="宋体"/>
                <w:szCs w:val="21"/>
              </w:rPr>
            </w:pPr>
            <w:r>
              <w:rPr>
                <w:rFonts w:hint="eastAsia" w:ascii="宋体" w:hAnsi="宋体"/>
                <w:szCs w:val="21"/>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4C6B81F6">
            <w:pPr>
              <w:rPr>
                <w:rFonts w:ascii="宋体" w:hAnsi="宋体"/>
                <w:szCs w:val="21"/>
              </w:rPr>
            </w:pPr>
            <w:r>
              <w:rPr>
                <w:rFonts w:hint="eastAsia" w:ascii="宋体" w:hAnsi="宋体"/>
                <w:szCs w:val="21"/>
              </w:rPr>
              <w:t>偏离说明</w:t>
            </w:r>
          </w:p>
        </w:tc>
      </w:tr>
      <w:tr w14:paraId="6BE7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0185" w:type="dxa"/>
            <w:vMerge w:val="continue"/>
            <w:tcBorders>
              <w:top w:val="single" w:color="auto" w:sz="4" w:space="0"/>
              <w:left w:val="single" w:color="auto" w:sz="4" w:space="0"/>
              <w:bottom w:val="single" w:color="auto" w:sz="4" w:space="0"/>
              <w:right w:val="single" w:color="auto" w:sz="4" w:space="0"/>
            </w:tcBorders>
            <w:vAlign w:val="center"/>
          </w:tcPr>
          <w:p w14:paraId="0F130BC6">
            <w:pPr>
              <w:widowControl/>
              <w:jc w:val="left"/>
              <w:rPr>
                <w:rFonts w:ascii="宋体" w:hAnsi="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6F4C6E97">
            <w:pPr>
              <w:jc w:val="center"/>
              <w:rPr>
                <w:rFonts w:ascii="宋体" w:hAnsi="宋体"/>
                <w:szCs w:val="21"/>
              </w:rPr>
            </w:pPr>
            <w:r>
              <w:rPr>
                <w:rFonts w:hint="eastAsia" w:ascii="宋体" w:hAnsi="宋体"/>
                <w:szCs w:val="21"/>
              </w:rPr>
              <w:t>服务名称</w:t>
            </w:r>
          </w:p>
        </w:tc>
        <w:tc>
          <w:tcPr>
            <w:tcW w:w="2310" w:type="dxa"/>
            <w:tcBorders>
              <w:top w:val="single" w:color="auto" w:sz="4" w:space="0"/>
              <w:left w:val="single" w:color="auto" w:sz="4" w:space="0"/>
              <w:bottom w:val="single" w:color="auto" w:sz="4" w:space="0"/>
              <w:right w:val="single" w:color="auto" w:sz="4" w:space="0"/>
            </w:tcBorders>
            <w:vAlign w:val="center"/>
          </w:tcPr>
          <w:p w14:paraId="7E0BD836">
            <w:pPr>
              <w:jc w:val="center"/>
              <w:rPr>
                <w:rFonts w:ascii="宋体" w:hAnsi="宋体"/>
                <w:szCs w:val="21"/>
              </w:rPr>
            </w:pPr>
            <w:r>
              <w:rPr>
                <w:rFonts w:hint="eastAsia" w:ascii="宋体" w:hAnsi="宋体"/>
                <w:szCs w:val="21"/>
              </w:rPr>
              <w:t>服务参数</w:t>
            </w:r>
          </w:p>
        </w:tc>
        <w:tc>
          <w:tcPr>
            <w:tcW w:w="1516" w:type="dxa"/>
            <w:tcBorders>
              <w:top w:val="single" w:color="auto" w:sz="4" w:space="0"/>
              <w:left w:val="single" w:color="auto" w:sz="4" w:space="0"/>
              <w:bottom w:val="single" w:color="auto" w:sz="4" w:space="0"/>
              <w:right w:val="single" w:color="auto" w:sz="4" w:space="0"/>
            </w:tcBorders>
            <w:vAlign w:val="center"/>
          </w:tcPr>
          <w:p w14:paraId="00A2DD23">
            <w:pPr>
              <w:jc w:val="center"/>
              <w:rPr>
                <w:rFonts w:ascii="宋体" w:hAnsi="宋体"/>
                <w:szCs w:val="21"/>
              </w:rPr>
            </w:pPr>
            <w:r>
              <w:rPr>
                <w:rFonts w:hint="eastAsia" w:ascii="宋体" w:hAnsi="宋体"/>
                <w:szCs w:val="21"/>
              </w:rPr>
              <w:t>服务名称</w:t>
            </w:r>
          </w:p>
        </w:tc>
        <w:tc>
          <w:tcPr>
            <w:tcW w:w="3297" w:type="dxa"/>
            <w:tcBorders>
              <w:top w:val="single" w:color="auto" w:sz="4" w:space="0"/>
              <w:left w:val="single" w:color="auto" w:sz="4" w:space="0"/>
              <w:bottom w:val="single" w:color="auto" w:sz="4" w:space="0"/>
              <w:right w:val="single" w:color="auto" w:sz="4" w:space="0"/>
            </w:tcBorders>
            <w:vAlign w:val="center"/>
          </w:tcPr>
          <w:p w14:paraId="41F85851">
            <w:pPr>
              <w:jc w:val="center"/>
              <w:rPr>
                <w:rFonts w:ascii="宋体" w:hAnsi="宋体"/>
                <w:szCs w:val="21"/>
              </w:rPr>
            </w:pPr>
            <w:r>
              <w:rPr>
                <w:rFonts w:hint="eastAsia" w:ascii="宋体" w:hAnsi="宋体"/>
                <w:szCs w:val="21"/>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64985D5D">
            <w:pPr>
              <w:widowControl/>
              <w:jc w:val="left"/>
              <w:rPr>
                <w:rFonts w:ascii="宋体" w:hAnsi="宋体"/>
                <w:szCs w:val="21"/>
              </w:rPr>
            </w:pPr>
          </w:p>
        </w:tc>
      </w:tr>
      <w:tr w14:paraId="55B99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578C50FD">
            <w:pPr>
              <w:rPr>
                <w:rFonts w:ascii="宋体" w:hAnsi="宋体"/>
                <w:szCs w:val="21"/>
              </w:rPr>
            </w:pPr>
            <w:r>
              <w:rPr>
                <w:rFonts w:hint="eastAsia" w:ascii="宋体" w:hAnsi="宋体"/>
                <w:szCs w:val="21"/>
              </w:rPr>
              <w:t>1</w:t>
            </w:r>
          </w:p>
        </w:tc>
        <w:tc>
          <w:tcPr>
            <w:tcW w:w="1260" w:type="dxa"/>
            <w:tcBorders>
              <w:top w:val="single" w:color="auto" w:sz="4" w:space="0"/>
              <w:left w:val="single" w:color="auto" w:sz="4" w:space="0"/>
              <w:bottom w:val="single" w:color="auto" w:sz="4" w:space="0"/>
              <w:right w:val="single" w:color="auto" w:sz="4" w:space="0"/>
            </w:tcBorders>
            <w:vAlign w:val="center"/>
          </w:tcPr>
          <w:p w14:paraId="369FE1F9">
            <w:pPr>
              <w:rPr>
                <w:rFonts w:ascii="宋体" w:hAnsi="宋体"/>
                <w:szCs w:val="21"/>
              </w:rPr>
            </w:pPr>
            <w:r>
              <w:rPr>
                <w:rFonts w:hint="eastAsia" w:ascii="宋体" w:hAnsi="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4DBE52D8">
            <w:pPr>
              <w:rPr>
                <w:rFonts w:ascii="宋体" w:hAnsi="宋体"/>
                <w:szCs w:val="21"/>
              </w:rPr>
            </w:pPr>
            <w:r>
              <w:rPr>
                <w:rFonts w:hint="eastAsia" w:ascii="宋体" w:hAnsi="宋体"/>
                <w:szCs w:val="21"/>
              </w:rPr>
              <w:t>1  ……</w:t>
            </w:r>
          </w:p>
          <w:p w14:paraId="39ED005B">
            <w:pPr>
              <w:rPr>
                <w:rFonts w:ascii="宋体" w:hAnsi="宋体"/>
                <w:szCs w:val="21"/>
              </w:rPr>
            </w:pPr>
            <w:r>
              <w:rPr>
                <w:rFonts w:hint="eastAsia" w:ascii="宋体" w:hAnsi="宋体"/>
                <w:szCs w:val="21"/>
              </w:rPr>
              <w:t>2  ……</w:t>
            </w:r>
          </w:p>
          <w:p w14:paraId="2C9DCF3D">
            <w:pPr>
              <w:rPr>
                <w:rFonts w:ascii="宋体" w:hAnsi="宋体"/>
                <w:szCs w:val="21"/>
              </w:rPr>
            </w:pPr>
            <w:r>
              <w:rPr>
                <w:rFonts w:hint="eastAsia" w:ascii="宋体" w:hAnsi="宋体"/>
                <w:szCs w:val="21"/>
              </w:rPr>
              <w:t>3  ……</w:t>
            </w:r>
          </w:p>
          <w:p w14:paraId="6E58E8B6">
            <w:pPr>
              <w:rPr>
                <w:rFonts w:ascii="宋体" w:hAnsi="宋体"/>
                <w:szCs w:val="21"/>
              </w:rPr>
            </w:pPr>
            <w:r>
              <w:rPr>
                <w:rFonts w:hint="eastAsia" w:ascii="宋体" w:hAnsi="宋体"/>
                <w:szCs w:val="21"/>
              </w:rPr>
              <w:t>……</w:t>
            </w:r>
          </w:p>
        </w:tc>
        <w:tc>
          <w:tcPr>
            <w:tcW w:w="1516" w:type="dxa"/>
            <w:tcBorders>
              <w:top w:val="single" w:color="auto" w:sz="4" w:space="0"/>
              <w:left w:val="single" w:color="auto" w:sz="4" w:space="0"/>
              <w:bottom w:val="single" w:color="auto" w:sz="4" w:space="0"/>
              <w:right w:val="single" w:color="auto" w:sz="4" w:space="0"/>
            </w:tcBorders>
            <w:vAlign w:val="center"/>
          </w:tcPr>
          <w:p w14:paraId="1CFDC85E">
            <w:pPr>
              <w:rPr>
                <w:rFonts w:ascii="宋体" w:hAnsi="宋体"/>
                <w:szCs w:val="21"/>
              </w:rPr>
            </w:pPr>
            <w:r>
              <w:rPr>
                <w:rFonts w:hint="eastAsia" w:ascii="宋体" w:hAnsi="宋体"/>
                <w:szCs w:val="21"/>
              </w:rPr>
              <w:t>……</w:t>
            </w:r>
          </w:p>
        </w:tc>
        <w:tc>
          <w:tcPr>
            <w:tcW w:w="3297" w:type="dxa"/>
            <w:tcBorders>
              <w:top w:val="single" w:color="auto" w:sz="4" w:space="0"/>
              <w:left w:val="single" w:color="auto" w:sz="4" w:space="0"/>
              <w:bottom w:val="single" w:color="auto" w:sz="4" w:space="0"/>
              <w:right w:val="single" w:color="auto" w:sz="4" w:space="0"/>
            </w:tcBorders>
            <w:vAlign w:val="center"/>
          </w:tcPr>
          <w:p w14:paraId="325318F0">
            <w:pPr>
              <w:rPr>
                <w:rFonts w:ascii="宋体" w:hAnsi="宋体"/>
                <w:szCs w:val="21"/>
              </w:rPr>
            </w:pPr>
            <w:r>
              <w:rPr>
                <w:rFonts w:hint="eastAsia" w:ascii="宋体" w:hAnsi="宋体"/>
                <w:szCs w:val="21"/>
              </w:rPr>
              <w:t>1  ……</w:t>
            </w:r>
          </w:p>
          <w:p w14:paraId="563582B8">
            <w:pPr>
              <w:rPr>
                <w:rFonts w:ascii="宋体" w:hAnsi="宋体"/>
                <w:szCs w:val="21"/>
              </w:rPr>
            </w:pPr>
            <w:r>
              <w:rPr>
                <w:rFonts w:hint="eastAsia" w:ascii="宋体" w:hAnsi="宋体"/>
                <w:szCs w:val="21"/>
              </w:rPr>
              <w:t>2  ……</w:t>
            </w:r>
          </w:p>
          <w:p w14:paraId="6787F2C0">
            <w:pPr>
              <w:rPr>
                <w:rFonts w:ascii="宋体" w:hAnsi="宋体"/>
                <w:szCs w:val="21"/>
              </w:rPr>
            </w:pPr>
            <w:r>
              <w:rPr>
                <w:rFonts w:hint="eastAsia" w:ascii="宋体" w:hAnsi="宋体"/>
                <w:szCs w:val="21"/>
              </w:rPr>
              <w:t>3  ……</w:t>
            </w:r>
          </w:p>
          <w:p w14:paraId="66439F38">
            <w:pPr>
              <w:rPr>
                <w:rFonts w:ascii="宋体" w:hAnsi="宋体"/>
                <w:szCs w:val="21"/>
              </w:rPr>
            </w:pPr>
            <w:r>
              <w:rPr>
                <w:rFonts w:hint="eastAsia" w:ascii="宋体" w:hAnsi="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4D83596A">
            <w:pPr>
              <w:rPr>
                <w:rFonts w:ascii="宋体" w:hAnsi="宋体"/>
                <w:szCs w:val="21"/>
              </w:rPr>
            </w:pPr>
            <w:r>
              <w:rPr>
                <w:rFonts w:hint="eastAsia" w:ascii="宋体" w:hAnsi="宋体"/>
                <w:szCs w:val="21"/>
              </w:rPr>
              <w:t>正偏离（负偏离或无偏离）</w:t>
            </w:r>
          </w:p>
        </w:tc>
      </w:tr>
      <w:tr w14:paraId="4CCE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5E080898">
            <w:pPr>
              <w:rPr>
                <w:rFonts w:ascii="宋体" w:hAnsi="宋体"/>
                <w:szCs w:val="21"/>
              </w:rPr>
            </w:pPr>
            <w:r>
              <w:rPr>
                <w:rFonts w:hint="eastAsia" w:ascii="宋体" w:hAnsi="宋体"/>
                <w:szCs w:val="21"/>
              </w:rPr>
              <w:t>2</w:t>
            </w:r>
          </w:p>
        </w:tc>
        <w:tc>
          <w:tcPr>
            <w:tcW w:w="1260" w:type="dxa"/>
            <w:tcBorders>
              <w:top w:val="single" w:color="auto" w:sz="4" w:space="0"/>
              <w:left w:val="single" w:color="auto" w:sz="4" w:space="0"/>
              <w:bottom w:val="single" w:color="auto" w:sz="4" w:space="0"/>
              <w:right w:val="single" w:color="auto" w:sz="4" w:space="0"/>
            </w:tcBorders>
            <w:vAlign w:val="center"/>
          </w:tcPr>
          <w:p w14:paraId="79265B06">
            <w:pPr>
              <w:rPr>
                <w:rFonts w:ascii="宋体" w:hAnsi="宋体"/>
                <w:szCs w:val="21"/>
              </w:rPr>
            </w:pPr>
            <w:r>
              <w:rPr>
                <w:rFonts w:hint="eastAsia" w:ascii="宋体" w:hAnsi="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14:paraId="145F3266">
            <w:pPr>
              <w:rPr>
                <w:rFonts w:ascii="宋体" w:hAnsi="宋体"/>
                <w:szCs w:val="21"/>
              </w:rPr>
            </w:pPr>
            <w:r>
              <w:rPr>
                <w:rFonts w:hint="eastAsia" w:ascii="宋体" w:hAnsi="宋体"/>
                <w:szCs w:val="21"/>
              </w:rPr>
              <w:t>1  ……</w:t>
            </w:r>
          </w:p>
          <w:p w14:paraId="0787E64A">
            <w:pPr>
              <w:rPr>
                <w:rFonts w:ascii="宋体" w:hAnsi="宋体"/>
                <w:szCs w:val="21"/>
              </w:rPr>
            </w:pPr>
            <w:r>
              <w:rPr>
                <w:rFonts w:hint="eastAsia" w:ascii="宋体" w:hAnsi="宋体"/>
                <w:szCs w:val="21"/>
              </w:rPr>
              <w:t>2  ……</w:t>
            </w:r>
          </w:p>
          <w:p w14:paraId="7CA161BB">
            <w:pPr>
              <w:rPr>
                <w:rFonts w:ascii="宋体" w:hAnsi="宋体"/>
                <w:szCs w:val="21"/>
              </w:rPr>
            </w:pPr>
            <w:r>
              <w:rPr>
                <w:rFonts w:hint="eastAsia" w:ascii="宋体" w:hAnsi="宋体"/>
                <w:szCs w:val="21"/>
              </w:rPr>
              <w:t>3  ……</w:t>
            </w:r>
          </w:p>
          <w:p w14:paraId="43D8D677">
            <w:pPr>
              <w:rPr>
                <w:rFonts w:ascii="宋体" w:hAnsi="宋体"/>
                <w:szCs w:val="21"/>
              </w:rPr>
            </w:pPr>
            <w:r>
              <w:rPr>
                <w:rFonts w:hint="eastAsia" w:ascii="宋体" w:hAnsi="宋体"/>
                <w:szCs w:val="21"/>
              </w:rPr>
              <w:t>……</w:t>
            </w:r>
          </w:p>
        </w:tc>
        <w:tc>
          <w:tcPr>
            <w:tcW w:w="1516" w:type="dxa"/>
            <w:tcBorders>
              <w:top w:val="single" w:color="auto" w:sz="4" w:space="0"/>
              <w:left w:val="single" w:color="auto" w:sz="4" w:space="0"/>
              <w:bottom w:val="single" w:color="auto" w:sz="4" w:space="0"/>
              <w:right w:val="single" w:color="auto" w:sz="4" w:space="0"/>
            </w:tcBorders>
            <w:vAlign w:val="center"/>
          </w:tcPr>
          <w:p w14:paraId="6410D991">
            <w:pPr>
              <w:rPr>
                <w:rFonts w:ascii="宋体" w:hAnsi="宋体"/>
                <w:szCs w:val="21"/>
              </w:rPr>
            </w:pPr>
            <w:r>
              <w:rPr>
                <w:rFonts w:hint="eastAsia" w:ascii="宋体" w:hAnsi="宋体"/>
                <w:szCs w:val="21"/>
              </w:rPr>
              <w:t>……</w:t>
            </w:r>
          </w:p>
        </w:tc>
        <w:tc>
          <w:tcPr>
            <w:tcW w:w="3297" w:type="dxa"/>
            <w:tcBorders>
              <w:top w:val="single" w:color="auto" w:sz="4" w:space="0"/>
              <w:left w:val="single" w:color="auto" w:sz="4" w:space="0"/>
              <w:bottom w:val="single" w:color="auto" w:sz="4" w:space="0"/>
              <w:right w:val="single" w:color="auto" w:sz="4" w:space="0"/>
            </w:tcBorders>
            <w:vAlign w:val="center"/>
          </w:tcPr>
          <w:p w14:paraId="279A2859">
            <w:pPr>
              <w:rPr>
                <w:rFonts w:ascii="宋体" w:hAnsi="宋体"/>
                <w:szCs w:val="21"/>
              </w:rPr>
            </w:pPr>
            <w:r>
              <w:rPr>
                <w:rFonts w:hint="eastAsia" w:ascii="宋体" w:hAnsi="宋体"/>
                <w:szCs w:val="21"/>
              </w:rPr>
              <w:t>1  ……</w:t>
            </w:r>
          </w:p>
          <w:p w14:paraId="06684C57">
            <w:pPr>
              <w:rPr>
                <w:rFonts w:ascii="宋体" w:hAnsi="宋体"/>
                <w:szCs w:val="21"/>
              </w:rPr>
            </w:pPr>
            <w:r>
              <w:rPr>
                <w:rFonts w:hint="eastAsia" w:ascii="宋体" w:hAnsi="宋体"/>
                <w:szCs w:val="21"/>
              </w:rPr>
              <w:t>2  ……</w:t>
            </w:r>
          </w:p>
          <w:p w14:paraId="3EE06B98">
            <w:pPr>
              <w:rPr>
                <w:rFonts w:ascii="宋体" w:hAnsi="宋体"/>
                <w:szCs w:val="21"/>
              </w:rPr>
            </w:pPr>
            <w:r>
              <w:rPr>
                <w:rFonts w:hint="eastAsia" w:ascii="宋体" w:hAnsi="宋体"/>
                <w:szCs w:val="21"/>
              </w:rPr>
              <w:t>3  ……</w:t>
            </w:r>
          </w:p>
          <w:p w14:paraId="61107A22">
            <w:pPr>
              <w:rPr>
                <w:rFonts w:ascii="宋体" w:hAnsi="宋体"/>
                <w:szCs w:val="21"/>
              </w:rPr>
            </w:pPr>
            <w:r>
              <w:rPr>
                <w:rFonts w:hint="eastAsia" w:ascii="宋体" w:hAnsi="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14:paraId="59524C1E">
            <w:pPr>
              <w:rPr>
                <w:rFonts w:ascii="宋体" w:hAnsi="宋体"/>
                <w:szCs w:val="21"/>
              </w:rPr>
            </w:pPr>
            <w:r>
              <w:rPr>
                <w:rFonts w:hint="eastAsia" w:ascii="宋体" w:hAnsi="宋体"/>
                <w:szCs w:val="21"/>
              </w:rPr>
              <w:t>正偏离（负偏离或无偏离）</w:t>
            </w:r>
          </w:p>
        </w:tc>
      </w:tr>
      <w:tr w14:paraId="6C40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193DE7C6">
            <w:pPr>
              <w:rPr>
                <w:rFonts w:ascii="宋体" w:hAnsi="宋体"/>
                <w:szCs w:val="21"/>
              </w:rPr>
            </w:pPr>
            <w:r>
              <w:rPr>
                <w:rFonts w:hint="eastAsia" w:ascii="宋体" w:hAnsi="宋体"/>
                <w:szCs w:val="21"/>
              </w:rPr>
              <w:t>...</w:t>
            </w:r>
          </w:p>
        </w:tc>
        <w:tc>
          <w:tcPr>
            <w:tcW w:w="1260" w:type="dxa"/>
            <w:tcBorders>
              <w:top w:val="single" w:color="auto" w:sz="4" w:space="0"/>
              <w:left w:val="single" w:color="auto" w:sz="4" w:space="0"/>
              <w:bottom w:val="single" w:color="auto" w:sz="4" w:space="0"/>
              <w:right w:val="single" w:color="auto" w:sz="4" w:space="0"/>
            </w:tcBorders>
            <w:vAlign w:val="center"/>
          </w:tcPr>
          <w:p w14:paraId="444F27FB">
            <w:pPr>
              <w:rPr>
                <w:rFonts w:ascii="宋体" w:hAnsi="宋体"/>
                <w:szCs w:val="21"/>
              </w:rPr>
            </w:pPr>
          </w:p>
        </w:tc>
        <w:tc>
          <w:tcPr>
            <w:tcW w:w="2310" w:type="dxa"/>
            <w:tcBorders>
              <w:top w:val="single" w:color="auto" w:sz="4" w:space="0"/>
              <w:left w:val="single" w:color="auto" w:sz="4" w:space="0"/>
              <w:bottom w:val="single" w:color="auto" w:sz="4" w:space="0"/>
              <w:right w:val="single" w:color="auto" w:sz="4" w:space="0"/>
            </w:tcBorders>
            <w:vAlign w:val="center"/>
          </w:tcPr>
          <w:p w14:paraId="6BC40A3B">
            <w:pPr>
              <w:rPr>
                <w:rFonts w:ascii="宋体" w:hAnsi="宋体"/>
                <w:szCs w:val="21"/>
              </w:rPr>
            </w:pPr>
          </w:p>
        </w:tc>
        <w:tc>
          <w:tcPr>
            <w:tcW w:w="1516" w:type="dxa"/>
            <w:tcBorders>
              <w:top w:val="single" w:color="auto" w:sz="4" w:space="0"/>
              <w:left w:val="single" w:color="auto" w:sz="4" w:space="0"/>
              <w:bottom w:val="single" w:color="auto" w:sz="4" w:space="0"/>
              <w:right w:val="single" w:color="auto" w:sz="4" w:space="0"/>
            </w:tcBorders>
            <w:vAlign w:val="center"/>
          </w:tcPr>
          <w:p w14:paraId="46C33B73">
            <w:pPr>
              <w:rPr>
                <w:rFonts w:ascii="宋体" w:hAnsi="宋体"/>
                <w:szCs w:val="21"/>
              </w:rPr>
            </w:pPr>
          </w:p>
        </w:tc>
        <w:tc>
          <w:tcPr>
            <w:tcW w:w="3297" w:type="dxa"/>
            <w:tcBorders>
              <w:top w:val="single" w:color="auto" w:sz="4" w:space="0"/>
              <w:left w:val="single" w:color="auto" w:sz="4" w:space="0"/>
              <w:bottom w:val="single" w:color="auto" w:sz="4" w:space="0"/>
              <w:right w:val="single" w:color="auto" w:sz="4" w:space="0"/>
            </w:tcBorders>
            <w:vAlign w:val="center"/>
          </w:tcPr>
          <w:p w14:paraId="00A4E2E4">
            <w:pPr>
              <w:rPr>
                <w:rFonts w:ascii="宋体" w:hAnsi="宋体"/>
                <w:szCs w:val="21"/>
              </w:rPr>
            </w:pPr>
          </w:p>
        </w:tc>
        <w:tc>
          <w:tcPr>
            <w:tcW w:w="1168" w:type="dxa"/>
            <w:tcBorders>
              <w:top w:val="single" w:color="auto" w:sz="4" w:space="0"/>
              <w:left w:val="single" w:color="auto" w:sz="4" w:space="0"/>
              <w:bottom w:val="single" w:color="auto" w:sz="4" w:space="0"/>
              <w:right w:val="single" w:color="auto" w:sz="4" w:space="0"/>
            </w:tcBorders>
            <w:vAlign w:val="center"/>
          </w:tcPr>
          <w:p w14:paraId="3BFC5134">
            <w:pPr>
              <w:rPr>
                <w:rFonts w:ascii="宋体" w:hAnsi="宋体"/>
                <w:szCs w:val="21"/>
              </w:rPr>
            </w:pPr>
          </w:p>
        </w:tc>
      </w:tr>
      <w:tr w14:paraId="2F90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375081AD">
            <w:pPr>
              <w:rPr>
                <w:rFonts w:ascii="宋体" w:hAnsi="宋体"/>
                <w:szCs w:val="21"/>
              </w:rPr>
            </w:pPr>
            <w:r>
              <w:rPr>
                <w:rFonts w:hint="eastAsia" w:ascii="宋体" w:hAnsi="宋体"/>
                <w:szCs w:val="21"/>
                <w:u w:val="single"/>
              </w:rPr>
              <w:t>　　</w:t>
            </w:r>
            <w:r>
              <w:rPr>
                <w:rFonts w:hint="eastAsia" w:ascii="宋体" w:hAnsi="宋体"/>
                <w:szCs w:val="21"/>
              </w:rPr>
              <w:t>分标（此处有分标时填写具体分标号，无分标时填写“无”）</w:t>
            </w:r>
          </w:p>
        </w:tc>
      </w:tr>
    </w:tbl>
    <w:p w14:paraId="745656A0">
      <w:pPr>
        <w:pStyle w:val="18"/>
        <w:spacing w:line="360" w:lineRule="auto"/>
        <w:rPr>
          <w:rFonts w:hAnsi="宋体"/>
          <w:szCs w:val="21"/>
        </w:rPr>
      </w:pPr>
      <w:r>
        <w:rPr>
          <w:rFonts w:hint="eastAsia" w:hAnsi="宋体"/>
          <w:szCs w:val="21"/>
        </w:rPr>
        <w:t>注：</w:t>
      </w:r>
    </w:p>
    <w:p w14:paraId="73757AA2">
      <w:pPr>
        <w:pStyle w:val="18"/>
        <w:spacing w:line="360" w:lineRule="auto"/>
        <w:rPr>
          <w:rFonts w:hAnsi="宋体"/>
          <w:szCs w:val="21"/>
        </w:rPr>
      </w:pPr>
      <w:r>
        <w:rPr>
          <w:rFonts w:hint="eastAsia" w:hAnsi="宋体" w:cs="宋体"/>
          <w:szCs w:val="21"/>
        </w:rPr>
        <w:t>1.</w:t>
      </w:r>
      <w:r>
        <w:rPr>
          <w:rFonts w:hint="eastAsia" w:hAnsi="宋体"/>
          <w:szCs w:val="21"/>
        </w:rPr>
        <w:t>表格内容均需按要求填写并盖章，不得留空，</w:t>
      </w:r>
      <w:r>
        <w:rPr>
          <w:rFonts w:hint="eastAsia" w:hAnsi="宋体"/>
          <w:bCs/>
          <w:szCs w:val="21"/>
        </w:rPr>
        <w:t>否则按投标无效处理</w:t>
      </w:r>
      <w:r>
        <w:rPr>
          <w:rFonts w:hint="eastAsia" w:hAnsi="宋体"/>
          <w:szCs w:val="21"/>
        </w:rPr>
        <w:t>。</w:t>
      </w:r>
    </w:p>
    <w:p w14:paraId="49878FAA">
      <w:pPr>
        <w:pStyle w:val="18"/>
        <w:spacing w:line="360" w:lineRule="auto"/>
        <w:rPr>
          <w:rFonts w:hAnsi="宋体"/>
          <w:szCs w:val="21"/>
        </w:rPr>
      </w:pPr>
      <w:r>
        <w:rPr>
          <w:rFonts w:hint="eastAsia" w:hAnsi="宋体"/>
          <w:bCs/>
          <w:szCs w:val="21"/>
        </w:rPr>
        <w:t>2.当投标文件的服务内容低于招标文件要求时，投标人应当如实写明“负偏离”，否则视为虚假应标。</w:t>
      </w:r>
    </w:p>
    <w:p w14:paraId="02924971">
      <w:pPr>
        <w:pStyle w:val="18"/>
        <w:spacing w:line="360" w:lineRule="auto"/>
      </w:pPr>
      <w:r>
        <w:rPr>
          <w:rFonts w:hint="eastAsia"/>
        </w:rPr>
        <w:t>3.</w:t>
      </w:r>
      <w:r>
        <w:rPr>
          <w:rFonts w:hint="eastAsia" w:hAnsi="宋体" w:cs="宋体"/>
          <w:szCs w:val="21"/>
        </w:rPr>
        <w:t>采购需求中带“▲”及“★”的条款，也要分别在本表“</w:t>
      </w:r>
      <w:r>
        <w:rPr>
          <w:rFonts w:hint="eastAsia" w:hAnsi="宋体"/>
          <w:szCs w:val="21"/>
        </w:rPr>
        <w:t>服务参数</w:t>
      </w:r>
      <w:r>
        <w:rPr>
          <w:rFonts w:hint="eastAsia" w:hAnsi="宋体" w:cs="宋体"/>
          <w:szCs w:val="21"/>
        </w:rPr>
        <w:t>”、“</w:t>
      </w:r>
      <w:r>
        <w:rPr>
          <w:rFonts w:hint="eastAsia" w:hAnsi="宋体"/>
          <w:szCs w:val="21"/>
        </w:rPr>
        <w:t>所提供服务的内容</w:t>
      </w:r>
      <w:r>
        <w:rPr>
          <w:rFonts w:hint="eastAsia" w:hAnsi="宋体" w:cs="宋体"/>
          <w:szCs w:val="21"/>
        </w:rPr>
        <w:t>”中标记。</w:t>
      </w:r>
    </w:p>
    <w:p w14:paraId="2688D3B9">
      <w:pPr>
        <w:snapToGrid w:val="0"/>
        <w:spacing w:line="360" w:lineRule="auto"/>
        <w:ind w:firstLine="5640" w:firstLineChars="2350"/>
        <w:rPr>
          <w:rFonts w:ascii="仿宋_GB2312" w:hAnsi="仿宋" w:eastAsia="仿宋_GB2312" w:cs="仿宋_GB2312"/>
          <w:kern w:val="0"/>
          <w:sz w:val="24"/>
          <w:lang w:val="zh-CN"/>
        </w:rPr>
      </w:pPr>
    </w:p>
    <w:p w14:paraId="574881A3">
      <w:pPr>
        <w:snapToGrid w:val="0"/>
        <w:spacing w:line="360" w:lineRule="auto"/>
        <w:ind w:firstLine="5640" w:firstLineChars="235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07307407">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4BA6CFB2">
      <w:pPr>
        <w:widowControl/>
        <w:jc w:val="left"/>
        <w:rPr>
          <w:rFonts w:ascii="宋体" w:hAnsi="宋体"/>
          <w:sz w:val="30"/>
          <w:szCs w:val="20"/>
        </w:rPr>
        <w:sectPr>
          <w:pgSz w:w="11906" w:h="16838"/>
          <w:pgMar w:top="1134" w:right="1134" w:bottom="1134" w:left="1134" w:header="720" w:footer="720" w:gutter="0"/>
          <w:cols w:space="720" w:num="1"/>
          <w:docGrid w:type="lines" w:linePitch="331" w:charSpace="0"/>
        </w:sectPr>
      </w:pPr>
    </w:p>
    <w:p w14:paraId="71786463">
      <w:pPr>
        <w:snapToGrid w:val="0"/>
        <w:spacing w:beforeLines="50" w:after="50"/>
        <w:jc w:val="center"/>
        <w:rPr>
          <w:b/>
          <w:bCs/>
          <w:sz w:val="30"/>
          <w:szCs w:val="30"/>
        </w:rPr>
      </w:pPr>
      <w:r>
        <w:rPr>
          <w:rFonts w:hint="eastAsia"/>
          <w:b/>
          <w:bCs/>
          <w:sz w:val="30"/>
          <w:szCs w:val="30"/>
        </w:rPr>
        <w:t>二、项目检测总体工作方案</w:t>
      </w:r>
    </w:p>
    <w:p w14:paraId="17B3E9A5">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（包括但不限于检测措施、拟制定的总进度计划，投入人员、仪器和设备，由投标人根据采购需求及招标文件要求编制，格式自拟）</w:t>
      </w:r>
    </w:p>
    <w:p w14:paraId="605AFEE1">
      <w:pPr>
        <w:pStyle w:val="18"/>
        <w:rPr>
          <w:sz w:val="24"/>
          <w:szCs w:val="24"/>
        </w:rPr>
      </w:pPr>
      <w:r>
        <w:rPr>
          <w:rFonts w:hint="eastAsia"/>
          <w:sz w:val="24"/>
          <w:szCs w:val="24"/>
        </w:rPr>
        <w:t>所投分标：分标</w:t>
      </w:r>
    </w:p>
    <w:p w14:paraId="081AB3A3">
      <w:pPr>
        <w:keepNext/>
        <w:autoSpaceDE w:val="0"/>
        <w:autoSpaceDN w:val="0"/>
        <w:spacing w:line="360" w:lineRule="auto"/>
        <w:ind w:firstLine="477"/>
        <w:rPr>
          <w:rFonts w:ascii="仿宋_GB2312" w:hAnsi="仿宋" w:eastAsia="仿宋_GB2312" w:cs="仿宋_GB2312"/>
          <w:b/>
          <w:sz w:val="24"/>
        </w:rPr>
      </w:pPr>
      <w:r>
        <w:rPr>
          <w:rFonts w:hint="eastAsia" w:ascii="仿宋_GB2312" w:hAnsi="仿宋" w:eastAsia="仿宋_GB2312" w:cs="仿宋_GB2312"/>
          <w:b/>
          <w:sz w:val="24"/>
        </w:rPr>
        <w:t>附表A:本项目的项目经理情况表</w:t>
      </w:r>
    </w:p>
    <w:tbl>
      <w:tblPr>
        <w:tblStyle w:val="32"/>
        <w:tblW w:w="0" w:type="auto"/>
        <w:tblInd w:w="116" w:type="dxa"/>
        <w:tblLayout w:type="fixed"/>
        <w:tblCellMar>
          <w:top w:w="0" w:type="dxa"/>
          <w:left w:w="108" w:type="dxa"/>
          <w:bottom w:w="0" w:type="dxa"/>
          <w:right w:w="108" w:type="dxa"/>
        </w:tblCellMar>
      </w:tblPr>
      <w:tblGrid>
        <w:gridCol w:w="2061"/>
        <w:gridCol w:w="2003"/>
        <w:gridCol w:w="1691"/>
        <w:gridCol w:w="3818"/>
      </w:tblGrid>
      <w:tr w14:paraId="4E3F59F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CEA43A9">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姓名</w:t>
            </w:r>
          </w:p>
        </w:tc>
        <w:tc>
          <w:tcPr>
            <w:tcW w:w="2003" w:type="dxa"/>
            <w:tcBorders>
              <w:top w:val="single" w:color="auto" w:sz="6" w:space="0"/>
              <w:left w:val="single" w:color="auto" w:sz="6" w:space="0"/>
              <w:bottom w:val="single" w:color="auto" w:sz="6" w:space="0"/>
              <w:right w:val="single" w:color="auto" w:sz="4" w:space="0"/>
            </w:tcBorders>
            <w:shd w:val="clear" w:color="auto" w:fill="B3B3B3"/>
            <w:vAlign w:val="center"/>
          </w:tcPr>
          <w:p w14:paraId="2E1705B5">
            <w:pPr>
              <w:autoSpaceDE w:val="0"/>
              <w:autoSpaceDN w:val="0"/>
              <w:spacing w:line="360" w:lineRule="auto"/>
              <w:jc w:val="center"/>
              <w:rPr>
                <w:rFonts w:ascii="仿宋_GB2312" w:hAnsi="仿宋" w:eastAsia="仿宋_GB2312" w:cs="仿宋_GB2312"/>
                <w:sz w:val="24"/>
              </w:rPr>
            </w:pPr>
          </w:p>
        </w:tc>
        <w:tc>
          <w:tcPr>
            <w:tcW w:w="1691" w:type="dxa"/>
            <w:tcBorders>
              <w:top w:val="single" w:color="auto" w:sz="6" w:space="0"/>
              <w:left w:val="single" w:color="auto" w:sz="4" w:space="0"/>
              <w:bottom w:val="single" w:color="auto" w:sz="6" w:space="0"/>
              <w:right w:val="single" w:color="auto" w:sz="6" w:space="0"/>
            </w:tcBorders>
            <w:vAlign w:val="center"/>
          </w:tcPr>
          <w:p w14:paraId="139C8658">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3818" w:type="dxa"/>
            <w:tcBorders>
              <w:top w:val="single" w:color="auto" w:sz="6" w:space="0"/>
              <w:left w:val="single" w:color="auto" w:sz="6" w:space="0"/>
              <w:bottom w:val="single" w:color="auto" w:sz="6" w:space="0"/>
              <w:right w:val="single" w:color="auto" w:sz="6" w:space="0"/>
            </w:tcBorders>
            <w:vAlign w:val="center"/>
          </w:tcPr>
          <w:p w14:paraId="60335E1E">
            <w:pPr>
              <w:autoSpaceDE w:val="0"/>
              <w:autoSpaceDN w:val="0"/>
              <w:spacing w:line="360" w:lineRule="auto"/>
              <w:rPr>
                <w:rFonts w:ascii="仿宋_GB2312" w:hAnsi="仿宋" w:eastAsia="仿宋_GB2312" w:cs="仿宋_GB2312"/>
                <w:sz w:val="24"/>
              </w:rPr>
            </w:pPr>
            <w:r>
              <w:rPr>
                <w:rFonts w:hint="eastAsia" w:ascii="仿宋_GB2312" w:hAnsi="仿宋" w:eastAsia="仿宋_GB2312" w:cs="仿宋_GB2312"/>
                <w:sz w:val="24"/>
              </w:rPr>
              <w:t>投标截止时间前三年业绩及承担的主要工作情况，曾担任项目经理的项目应列明细</w:t>
            </w:r>
          </w:p>
        </w:tc>
      </w:tr>
      <w:tr w14:paraId="74DC67D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BE4E1F4">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性别</w:t>
            </w:r>
          </w:p>
        </w:tc>
        <w:tc>
          <w:tcPr>
            <w:tcW w:w="2003" w:type="dxa"/>
            <w:tcBorders>
              <w:top w:val="single" w:color="auto" w:sz="6" w:space="0"/>
              <w:left w:val="single" w:color="auto" w:sz="6" w:space="0"/>
              <w:bottom w:val="single" w:color="auto" w:sz="6" w:space="0"/>
              <w:right w:val="single" w:color="auto" w:sz="4" w:space="0"/>
            </w:tcBorders>
            <w:shd w:val="clear" w:color="auto" w:fill="auto"/>
            <w:vAlign w:val="center"/>
          </w:tcPr>
          <w:p w14:paraId="44B8871D">
            <w:pPr>
              <w:autoSpaceDE w:val="0"/>
              <w:autoSpaceDN w:val="0"/>
              <w:spacing w:line="360" w:lineRule="auto"/>
              <w:jc w:val="center"/>
              <w:rPr>
                <w:rFonts w:ascii="仿宋_GB2312" w:hAnsi="仿宋" w:eastAsia="仿宋_GB2312" w:cs="仿宋_GB2312"/>
                <w:sz w:val="24"/>
              </w:rPr>
            </w:pPr>
          </w:p>
        </w:tc>
        <w:tc>
          <w:tcPr>
            <w:tcW w:w="1691" w:type="dxa"/>
            <w:tcBorders>
              <w:top w:val="single" w:color="auto" w:sz="6" w:space="0"/>
              <w:left w:val="single" w:color="auto" w:sz="4" w:space="0"/>
              <w:bottom w:val="single" w:color="auto" w:sz="6" w:space="0"/>
              <w:right w:val="single" w:color="auto" w:sz="6" w:space="0"/>
            </w:tcBorders>
            <w:shd w:val="clear" w:color="auto" w:fill="B3B3B3"/>
            <w:vAlign w:val="center"/>
          </w:tcPr>
          <w:p w14:paraId="49381E82">
            <w:pPr>
              <w:autoSpaceDE w:val="0"/>
              <w:autoSpaceDN w:val="0"/>
              <w:spacing w:line="360" w:lineRule="auto"/>
              <w:jc w:val="center"/>
              <w:rPr>
                <w:rFonts w:ascii="仿宋_GB2312" w:hAnsi="仿宋" w:eastAsia="仿宋_GB2312" w:cs="仿宋_GB2312"/>
                <w:sz w:val="24"/>
              </w:rPr>
            </w:pPr>
          </w:p>
        </w:tc>
        <w:tc>
          <w:tcPr>
            <w:tcW w:w="3818" w:type="dxa"/>
            <w:vMerge w:val="restart"/>
            <w:tcBorders>
              <w:top w:val="single" w:color="auto" w:sz="6" w:space="0"/>
              <w:left w:val="single" w:color="auto" w:sz="6" w:space="0"/>
              <w:bottom w:val="single" w:color="auto" w:sz="6" w:space="0"/>
              <w:right w:val="single" w:color="auto" w:sz="6" w:space="0"/>
            </w:tcBorders>
            <w:vAlign w:val="center"/>
          </w:tcPr>
          <w:p w14:paraId="3E37E3BC">
            <w:pPr>
              <w:autoSpaceDE w:val="0"/>
              <w:autoSpaceDN w:val="0"/>
              <w:spacing w:line="360" w:lineRule="auto"/>
              <w:jc w:val="center"/>
              <w:rPr>
                <w:rFonts w:ascii="仿宋_GB2312" w:hAnsi="仿宋" w:eastAsia="仿宋_GB2312" w:cs="仿宋_GB2312"/>
                <w:sz w:val="24"/>
              </w:rPr>
            </w:pPr>
          </w:p>
        </w:tc>
      </w:tr>
      <w:tr w14:paraId="43F66808">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7E1E37A">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年龄</w:t>
            </w:r>
          </w:p>
        </w:tc>
        <w:tc>
          <w:tcPr>
            <w:tcW w:w="2003" w:type="dxa"/>
            <w:tcBorders>
              <w:top w:val="single" w:color="auto" w:sz="6" w:space="0"/>
              <w:left w:val="single" w:color="auto" w:sz="6" w:space="0"/>
              <w:bottom w:val="single" w:color="auto" w:sz="6" w:space="0"/>
              <w:right w:val="single" w:color="auto" w:sz="4" w:space="0"/>
            </w:tcBorders>
            <w:shd w:val="clear" w:color="auto" w:fill="auto"/>
            <w:vAlign w:val="center"/>
          </w:tcPr>
          <w:p w14:paraId="7758F738">
            <w:pPr>
              <w:autoSpaceDE w:val="0"/>
              <w:autoSpaceDN w:val="0"/>
              <w:spacing w:line="360" w:lineRule="auto"/>
              <w:jc w:val="center"/>
              <w:rPr>
                <w:rFonts w:ascii="仿宋_GB2312" w:hAnsi="仿宋" w:eastAsia="仿宋_GB2312" w:cs="仿宋_GB2312"/>
                <w:sz w:val="24"/>
              </w:rPr>
            </w:pPr>
          </w:p>
        </w:tc>
        <w:tc>
          <w:tcPr>
            <w:tcW w:w="1691" w:type="dxa"/>
            <w:tcBorders>
              <w:top w:val="single" w:color="auto" w:sz="6" w:space="0"/>
              <w:left w:val="single" w:color="auto" w:sz="4" w:space="0"/>
              <w:bottom w:val="single" w:color="auto" w:sz="6" w:space="0"/>
              <w:right w:val="single" w:color="auto" w:sz="6" w:space="0"/>
            </w:tcBorders>
            <w:shd w:val="clear" w:color="auto" w:fill="B3B3B3"/>
            <w:vAlign w:val="center"/>
          </w:tcPr>
          <w:p w14:paraId="347FE01F">
            <w:pPr>
              <w:autoSpaceDE w:val="0"/>
              <w:autoSpaceDN w:val="0"/>
              <w:spacing w:line="360" w:lineRule="auto"/>
              <w:jc w:val="center"/>
              <w:rPr>
                <w:rFonts w:ascii="仿宋_GB2312" w:hAnsi="仿宋" w:eastAsia="仿宋_GB2312" w:cs="仿宋_GB2312"/>
                <w:sz w:val="24"/>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30016B69">
            <w:pPr>
              <w:widowControl/>
              <w:jc w:val="left"/>
              <w:rPr>
                <w:rFonts w:ascii="仿宋_GB2312" w:hAnsi="仿宋" w:eastAsia="仿宋_GB2312" w:cs="仿宋_GB2312"/>
                <w:sz w:val="24"/>
              </w:rPr>
            </w:pPr>
          </w:p>
        </w:tc>
      </w:tr>
      <w:tr w14:paraId="12F2F83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1530F81">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职称</w:t>
            </w:r>
          </w:p>
        </w:tc>
        <w:tc>
          <w:tcPr>
            <w:tcW w:w="2003" w:type="dxa"/>
            <w:tcBorders>
              <w:top w:val="single" w:color="auto" w:sz="6" w:space="0"/>
              <w:left w:val="single" w:color="auto" w:sz="6" w:space="0"/>
              <w:bottom w:val="single" w:color="auto" w:sz="6" w:space="0"/>
              <w:right w:val="single" w:color="auto" w:sz="4" w:space="0"/>
            </w:tcBorders>
            <w:vAlign w:val="center"/>
          </w:tcPr>
          <w:p w14:paraId="53EF72AD">
            <w:pPr>
              <w:autoSpaceDE w:val="0"/>
              <w:autoSpaceDN w:val="0"/>
              <w:spacing w:line="360" w:lineRule="auto"/>
              <w:jc w:val="center"/>
              <w:rPr>
                <w:rFonts w:ascii="仿宋_GB2312" w:hAnsi="仿宋" w:eastAsia="仿宋_GB2312" w:cs="仿宋_GB2312"/>
                <w:sz w:val="24"/>
              </w:rPr>
            </w:pPr>
          </w:p>
        </w:tc>
        <w:tc>
          <w:tcPr>
            <w:tcW w:w="1691" w:type="dxa"/>
            <w:tcBorders>
              <w:top w:val="single" w:color="auto" w:sz="6" w:space="0"/>
              <w:left w:val="single" w:color="auto" w:sz="4" w:space="0"/>
              <w:bottom w:val="single" w:color="auto" w:sz="6" w:space="0"/>
              <w:right w:val="single" w:color="auto" w:sz="6" w:space="0"/>
            </w:tcBorders>
            <w:vAlign w:val="center"/>
          </w:tcPr>
          <w:p w14:paraId="7C15F35D">
            <w:pPr>
              <w:autoSpaceDE w:val="0"/>
              <w:autoSpaceDN w:val="0"/>
              <w:spacing w:line="360" w:lineRule="auto"/>
              <w:jc w:val="center"/>
              <w:rPr>
                <w:rFonts w:ascii="仿宋_GB2312" w:hAnsi="仿宋" w:eastAsia="仿宋_GB2312" w:cs="仿宋_GB2312"/>
                <w:sz w:val="24"/>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05AA2F30">
            <w:pPr>
              <w:widowControl/>
              <w:jc w:val="left"/>
              <w:rPr>
                <w:rFonts w:ascii="仿宋_GB2312" w:hAnsi="仿宋" w:eastAsia="仿宋_GB2312" w:cs="仿宋_GB2312"/>
                <w:sz w:val="24"/>
              </w:rPr>
            </w:pPr>
          </w:p>
        </w:tc>
      </w:tr>
      <w:tr w14:paraId="7D96CDC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9121938">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毕业时间</w:t>
            </w:r>
          </w:p>
        </w:tc>
        <w:tc>
          <w:tcPr>
            <w:tcW w:w="2003" w:type="dxa"/>
            <w:tcBorders>
              <w:top w:val="single" w:color="auto" w:sz="6" w:space="0"/>
              <w:left w:val="single" w:color="auto" w:sz="6" w:space="0"/>
              <w:bottom w:val="single" w:color="auto" w:sz="6" w:space="0"/>
              <w:right w:val="single" w:color="auto" w:sz="4" w:space="0"/>
            </w:tcBorders>
            <w:vAlign w:val="center"/>
          </w:tcPr>
          <w:p w14:paraId="48CF1565">
            <w:pPr>
              <w:autoSpaceDE w:val="0"/>
              <w:autoSpaceDN w:val="0"/>
              <w:spacing w:line="360" w:lineRule="auto"/>
              <w:jc w:val="center"/>
              <w:rPr>
                <w:rFonts w:ascii="仿宋_GB2312" w:hAnsi="仿宋" w:eastAsia="仿宋_GB2312" w:cs="仿宋_GB2312"/>
                <w:sz w:val="24"/>
              </w:rPr>
            </w:pPr>
          </w:p>
        </w:tc>
        <w:tc>
          <w:tcPr>
            <w:tcW w:w="1691" w:type="dxa"/>
            <w:tcBorders>
              <w:top w:val="single" w:color="auto" w:sz="6" w:space="0"/>
              <w:left w:val="single" w:color="auto" w:sz="4" w:space="0"/>
              <w:bottom w:val="single" w:color="auto" w:sz="6" w:space="0"/>
              <w:right w:val="single" w:color="auto" w:sz="6" w:space="0"/>
            </w:tcBorders>
            <w:vAlign w:val="center"/>
          </w:tcPr>
          <w:p w14:paraId="55A3AAE9">
            <w:pPr>
              <w:autoSpaceDE w:val="0"/>
              <w:autoSpaceDN w:val="0"/>
              <w:spacing w:line="360" w:lineRule="auto"/>
              <w:jc w:val="center"/>
              <w:rPr>
                <w:rFonts w:ascii="仿宋_GB2312" w:hAnsi="仿宋" w:eastAsia="仿宋_GB2312" w:cs="仿宋_GB2312"/>
                <w:sz w:val="24"/>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5BF3D856">
            <w:pPr>
              <w:widowControl/>
              <w:jc w:val="left"/>
              <w:rPr>
                <w:rFonts w:ascii="仿宋_GB2312" w:hAnsi="仿宋" w:eastAsia="仿宋_GB2312" w:cs="仿宋_GB2312"/>
                <w:sz w:val="24"/>
              </w:rPr>
            </w:pPr>
          </w:p>
        </w:tc>
      </w:tr>
      <w:tr w14:paraId="3504E4D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68D3BFD">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所学专业</w:t>
            </w:r>
          </w:p>
        </w:tc>
        <w:tc>
          <w:tcPr>
            <w:tcW w:w="2003" w:type="dxa"/>
            <w:tcBorders>
              <w:top w:val="single" w:color="auto" w:sz="6" w:space="0"/>
              <w:left w:val="single" w:color="auto" w:sz="6" w:space="0"/>
              <w:bottom w:val="single" w:color="auto" w:sz="6" w:space="0"/>
              <w:right w:val="single" w:color="auto" w:sz="4" w:space="0"/>
            </w:tcBorders>
            <w:vAlign w:val="center"/>
          </w:tcPr>
          <w:p w14:paraId="57FD4789">
            <w:pPr>
              <w:autoSpaceDE w:val="0"/>
              <w:autoSpaceDN w:val="0"/>
              <w:spacing w:line="360" w:lineRule="auto"/>
              <w:jc w:val="center"/>
              <w:rPr>
                <w:rFonts w:ascii="仿宋_GB2312" w:hAnsi="仿宋" w:eastAsia="仿宋_GB2312" w:cs="仿宋_GB2312"/>
                <w:sz w:val="24"/>
              </w:rPr>
            </w:pPr>
          </w:p>
        </w:tc>
        <w:tc>
          <w:tcPr>
            <w:tcW w:w="1691" w:type="dxa"/>
            <w:tcBorders>
              <w:top w:val="single" w:color="auto" w:sz="6" w:space="0"/>
              <w:left w:val="single" w:color="auto" w:sz="4" w:space="0"/>
              <w:bottom w:val="single" w:color="auto" w:sz="6" w:space="0"/>
              <w:right w:val="single" w:color="auto" w:sz="6" w:space="0"/>
            </w:tcBorders>
            <w:vAlign w:val="center"/>
          </w:tcPr>
          <w:p w14:paraId="3484F64D">
            <w:pPr>
              <w:autoSpaceDE w:val="0"/>
              <w:autoSpaceDN w:val="0"/>
              <w:spacing w:line="360" w:lineRule="auto"/>
              <w:jc w:val="center"/>
              <w:rPr>
                <w:rFonts w:ascii="仿宋_GB2312" w:hAnsi="仿宋" w:eastAsia="仿宋_GB2312" w:cs="仿宋_GB2312"/>
                <w:sz w:val="24"/>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313A2817">
            <w:pPr>
              <w:widowControl/>
              <w:jc w:val="left"/>
              <w:rPr>
                <w:rFonts w:ascii="仿宋_GB2312" w:hAnsi="仿宋" w:eastAsia="仿宋_GB2312" w:cs="仿宋_GB2312"/>
                <w:sz w:val="24"/>
              </w:rPr>
            </w:pPr>
          </w:p>
        </w:tc>
      </w:tr>
      <w:tr w14:paraId="4245861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6D3BD36">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学历</w:t>
            </w:r>
          </w:p>
        </w:tc>
        <w:tc>
          <w:tcPr>
            <w:tcW w:w="2003" w:type="dxa"/>
            <w:tcBorders>
              <w:top w:val="single" w:color="auto" w:sz="6" w:space="0"/>
              <w:left w:val="single" w:color="auto" w:sz="6" w:space="0"/>
              <w:bottom w:val="single" w:color="auto" w:sz="6" w:space="0"/>
              <w:right w:val="single" w:color="auto" w:sz="4" w:space="0"/>
            </w:tcBorders>
            <w:vAlign w:val="center"/>
          </w:tcPr>
          <w:p w14:paraId="48B3022F">
            <w:pPr>
              <w:autoSpaceDE w:val="0"/>
              <w:autoSpaceDN w:val="0"/>
              <w:spacing w:line="360" w:lineRule="auto"/>
              <w:jc w:val="center"/>
              <w:rPr>
                <w:rFonts w:ascii="仿宋_GB2312" w:hAnsi="仿宋" w:eastAsia="仿宋_GB2312" w:cs="仿宋_GB2312"/>
                <w:sz w:val="24"/>
              </w:rPr>
            </w:pPr>
          </w:p>
        </w:tc>
        <w:tc>
          <w:tcPr>
            <w:tcW w:w="1691" w:type="dxa"/>
            <w:tcBorders>
              <w:top w:val="single" w:color="auto" w:sz="6" w:space="0"/>
              <w:left w:val="single" w:color="auto" w:sz="4" w:space="0"/>
              <w:bottom w:val="single" w:color="auto" w:sz="6" w:space="0"/>
              <w:right w:val="single" w:color="auto" w:sz="6" w:space="0"/>
            </w:tcBorders>
            <w:vAlign w:val="center"/>
          </w:tcPr>
          <w:p w14:paraId="29CE2C41">
            <w:pPr>
              <w:autoSpaceDE w:val="0"/>
              <w:autoSpaceDN w:val="0"/>
              <w:spacing w:line="360" w:lineRule="auto"/>
              <w:jc w:val="center"/>
              <w:rPr>
                <w:rFonts w:ascii="仿宋_GB2312" w:hAnsi="仿宋" w:eastAsia="仿宋_GB2312" w:cs="仿宋_GB2312"/>
                <w:sz w:val="24"/>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505496CE">
            <w:pPr>
              <w:widowControl/>
              <w:jc w:val="left"/>
              <w:rPr>
                <w:rFonts w:ascii="仿宋_GB2312" w:hAnsi="仿宋" w:eastAsia="仿宋_GB2312" w:cs="仿宋_GB2312"/>
                <w:sz w:val="24"/>
              </w:rPr>
            </w:pPr>
          </w:p>
        </w:tc>
      </w:tr>
      <w:tr w14:paraId="0558CDB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27D87AE">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资质证书编号</w:t>
            </w:r>
          </w:p>
        </w:tc>
        <w:tc>
          <w:tcPr>
            <w:tcW w:w="2003" w:type="dxa"/>
            <w:tcBorders>
              <w:top w:val="single" w:color="auto" w:sz="6" w:space="0"/>
              <w:left w:val="single" w:color="auto" w:sz="6" w:space="0"/>
              <w:bottom w:val="single" w:color="auto" w:sz="6" w:space="0"/>
              <w:right w:val="single" w:color="auto" w:sz="4" w:space="0"/>
            </w:tcBorders>
            <w:vAlign w:val="center"/>
          </w:tcPr>
          <w:p w14:paraId="690D3BB3">
            <w:pPr>
              <w:autoSpaceDE w:val="0"/>
              <w:autoSpaceDN w:val="0"/>
              <w:spacing w:line="360" w:lineRule="auto"/>
              <w:jc w:val="center"/>
              <w:rPr>
                <w:rFonts w:ascii="仿宋_GB2312" w:hAnsi="仿宋" w:eastAsia="仿宋_GB2312" w:cs="仿宋_GB2312"/>
                <w:sz w:val="24"/>
              </w:rPr>
            </w:pPr>
          </w:p>
        </w:tc>
        <w:tc>
          <w:tcPr>
            <w:tcW w:w="1691" w:type="dxa"/>
            <w:tcBorders>
              <w:top w:val="single" w:color="auto" w:sz="6" w:space="0"/>
              <w:left w:val="single" w:color="auto" w:sz="4" w:space="0"/>
              <w:bottom w:val="single" w:color="auto" w:sz="6" w:space="0"/>
              <w:right w:val="single" w:color="auto" w:sz="6" w:space="0"/>
            </w:tcBorders>
            <w:vAlign w:val="center"/>
          </w:tcPr>
          <w:p w14:paraId="47261466">
            <w:pPr>
              <w:autoSpaceDE w:val="0"/>
              <w:autoSpaceDN w:val="0"/>
              <w:spacing w:line="360" w:lineRule="auto"/>
              <w:jc w:val="center"/>
              <w:rPr>
                <w:rFonts w:ascii="仿宋_GB2312" w:hAnsi="仿宋" w:eastAsia="仿宋_GB2312" w:cs="仿宋_GB2312"/>
                <w:sz w:val="24"/>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1F492A33">
            <w:pPr>
              <w:widowControl/>
              <w:jc w:val="left"/>
              <w:rPr>
                <w:rFonts w:ascii="仿宋_GB2312" w:hAnsi="仿宋" w:eastAsia="仿宋_GB2312" w:cs="仿宋_GB2312"/>
                <w:sz w:val="24"/>
              </w:rPr>
            </w:pPr>
          </w:p>
        </w:tc>
      </w:tr>
      <w:tr w14:paraId="1337923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B450582">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其他资质情况</w:t>
            </w:r>
          </w:p>
        </w:tc>
        <w:tc>
          <w:tcPr>
            <w:tcW w:w="2003" w:type="dxa"/>
            <w:tcBorders>
              <w:top w:val="single" w:color="auto" w:sz="6" w:space="0"/>
              <w:left w:val="single" w:color="auto" w:sz="6" w:space="0"/>
              <w:bottom w:val="single" w:color="auto" w:sz="6" w:space="0"/>
              <w:right w:val="single" w:color="auto" w:sz="4" w:space="0"/>
            </w:tcBorders>
            <w:vAlign w:val="center"/>
          </w:tcPr>
          <w:p w14:paraId="5B735B29">
            <w:pPr>
              <w:autoSpaceDE w:val="0"/>
              <w:autoSpaceDN w:val="0"/>
              <w:spacing w:line="360" w:lineRule="auto"/>
              <w:jc w:val="center"/>
              <w:rPr>
                <w:rFonts w:ascii="仿宋_GB2312" w:hAnsi="仿宋" w:eastAsia="仿宋_GB2312" w:cs="仿宋_GB2312"/>
                <w:sz w:val="24"/>
              </w:rPr>
            </w:pPr>
          </w:p>
        </w:tc>
        <w:tc>
          <w:tcPr>
            <w:tcW w:w="1691" w:type="dxa"/>
            <w:tcBorders>
              <w:top w:val="single" w:color="auto" w:sz="6" w:space="0"/>
              <w:left w:val="single" w:color="auto" w:sz="4" w:space="0"/>
              <w:bottom w:val="single" w:color="auto" w:sz="6" w:space="0"/>
              <w:right w:val="single" w:color="auto" w:sz="6" w:space="0"/>
            </w:tcBorders>
            <w:vAlign w:val="center"/>
          </w:tcPr>
          <w:p w14:paraId="486DD2CB">
            <w:pPr>
              <w:autoSpaceDE w:val="0"/>
              <w:autoSpaceDN w:val="0"/>
              <w:spacing w:line="360" w:lineRule="auto"/>
              <w:jc w:val="center"/>
              <w:rPr>
                <w:rFonts w:ascii="仿宋_GB2312" w:hAnsi="仿宋" w:eastAsia="仿宋_GB2312" w:cs="仿宋_GB2312"/>
                <w:sz w:val="24"/>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6DE1EDF8">
            <w:pPr>
              <w:widowControl/>
              <w:jc w:val="left"/>
              <w:rPr>
                <w:rFonts w:ascii="仿宋_GB2312" w:hAnsi="仿宋" w:eastAsia="仿宋_GB2312" w:cs="仿宋_GB2312"/>
                <w:sz w:val="24"/>
              </w:rPr>
            </w:pPr>
          </w:p>
        </w:tc>
      </w:tr>
      <w:tr w14:paraId="7A36444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1A8C731">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联系电话</w:t>
            </w:r>
          </w:p>
        </w:tc>
        <w:tc>
          <w:tcPr>
            <w:tcW w:w="2003" w:type="dxa"/>
            <w:tcBorders>
              <w:top w:val="single" w:color="auto" w:sz="6" w:space="0"/>
              <w:left w:val="single" w:color="auto" w:sz="6" w:space="0"/>
              <w:bottom w:val="single" w:color="auto" w:sz="6" w:space="0"/>
              <w:right w:val="single" w:color="auto" w:sz="4" w:space="0"/>
            </w:tcBorders>
            <w:shd w:val="clear" w:color="auto" w:fill="auto"/>
            <w:vAlign w:val="center"/>
          </w:tcPr>
          <w:p w14:paraId="6EDB6C21">
            <w:pPr>
              <w:autoSpaceDE w:val="0"/>
              <w:autoSpaceDN w:val="0"/>
              <w:spacing w:line="360" w:lineRule="auto"/>
              <w:jc w:val="center"/>
              <w:rPr>
                <w:rFonts w:ascii="仿宋_GB2312" w:hAnsi="仿宋" w:eastAsia="仿宋_GB2312" w:cs="仿宋_GB2312"/>
                <w:sz w:val="24"/>
              </w:rPr>
            </w:pPr>
          </w:p>
        </w:tc>
        <w:tc>
          <w:tcPr>
            <w:tcW w:w="1691" w:type="dxa"/>
            <w:tcBorders>
              <w:top w:val="single" w:color="auto" w:sz="6" w:space="0"/>
              <w:left w:val="single" w:color="auto" w:sz="4" w:space="0"/>
              <w:bottom w:val="single" w:color="auto" w:sz="6" w:space="0"/>
              <w:right w:val="single" w:color="auto" w:sz="6" w:space="0"/>
            </w:tcBorders>
            <w:shd w:val="clear" w:color="auto" w:fill="B3B3B3"/>
            <w:vAlign w:val="center"/>
          </w:tcPr>
          <w:p w14:paraId="65020D53">
            <w:pPr>
              <w:autoSpaceDE w:val="0"/>
              <w:autoSpaceDN w:val="0"/>
              <w:spacing w:line="360" w:lineRule="auto"/>
              <w:jc w:val="center"/>
              <w:rPr>
                <w:rFonts w:ascii="仿宋_GB2312" w:hAnsi="仿宋" w:eastAsia="仿宋_GB2312" w:cs="仿宋_GB2312"/>
                <w:sz w:val="24"/>
              </w:rPr>
            </w:pPr>
          </w:p>
        </w:tc>
        <w:tc>
          <w:tcPr>
            <w:tcW w:w="3818" w:type="dxa"/>
            <w:vMerge w:val="continue"/>
            <w:tcBorders>
              <w:top w:val="single" w:color="auto" w:sz="6" w:space="0"/>
              <w:left w:val="single" w:color="auto" w:sz="6" w:space="0"/>
              <w:bottom w:val="single" w:color="auto" w:sz="6" w:space="0"/>
              <w:right w:val="single" w:color="auto" w:sz="6" w:space="0"/>
            </w:tcBorders>
            <w:vAlign w:val="center"/>
          </w:tcPr>
          <w:p w14:paraId="417FF8D4">
            <w:pPr>
              <w:widowControl/>
              <w:jc w:val="left"/>
              <w:rPr>
                <w:rFonts w:ascii="仿宋_GB2312" w:hAnsi="仿宋" w:eastAsia="仿宋_GB2312" w:cs="仿宋_GB2312"/>
                <w:sz w:val="24"/>
              </w:rPr>
            </w:pPr>
          </w:p>
        </w:tc>
      </w:tr>
    </w:tbl>
    <w:p w14:paraId="570F7591">
      <w:pPr>
        <w:autoSpaceDE w:val="0"/>
        <w:autoSpaceDN w:val="0"/>
        <w:spacing w:line="360" w:lineRule="auto"/>
        <w:rPr>
          <w:rFonts w:ascii="仿宋_GB2312" w:hAnsi="仿宋" w:eastAsia="仿宋_GB2312" w:cs="仿宋_GB2312"/>
          <w:b/>
          <w:sz w:val="24"/>
        </w:rPr>
      </w:pPr>
      <w:r>
        <w:rPr>
          <w:rFonts w:hint="eastAsia" w:ascii="仿宋_GB2312" w:hAnsi="仿宋" w:eastAsia="仿宋_GB2312" w:cs="仿宋_GB2312"/>
          <w:b/>
          <w:sz w:val="24"/>
        </w:rPr>
        <w:t>注：须随表提交相应的证书复印件并注明所在投标技术文件页码。</w:t>
      </w:r>
    </w:p>
    <w:p w14:paraId="5F93760B">
      <w:pPr>
        <w:autoSpaceDE w:val="0"/>
        <w:autoSpaceDN w:val="0"/>
        <w:spacing w:line="360" w:lineRule="auto"/>
        <w:rPr>
          <w:rFonts w:ascii="仿宋_GB2312" w:hAnsi="仿宋" w:eastAsia="仿宋_GB2312" w:cs="仿宋_GB2312"/>
          <w:b/>
          <w:sz w:val="24"/>
        </w:rPr>
      </w:pPr>
      <w:r>
        <w:rPr>
          <w:rFonts w:hint="eastAsia" w:ascii="仿宋_GB2312" w:hAnsi="仿宋" w:eastAsia="仿宋_GB2312" w:cs="仿宋_GB2312"/>
          <w:b/>
          <w:sz w:val="24"/>
        </w:rPr>
        <w:t>附表B:本项目的项目小组人员情况表</w:t>
      </w:r>
      <w:r>
        <w:rPr>
          <w:rFonts w:hint="eastAsia" w:ascii="仿宋_GB2312" w:hAnsi="仿宋" w:eastAsia="仿宋_GB2312" w:cs="仿宋_GB2312"/>
          <w:sz w:val="24"/>
        </w:rPr>
        <w:t>（按此格式自制）</w:t>
      </w:r>
    </w:p>
    <w:tbl>
      <w:tblPr>
        <w:tblStyle w:val="3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82D450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0D266A6">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9DF64BF">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250477D">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9F636CA">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9AFCD51">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学历</w:t>
            </w:r>
          </w:p>
          <w:p w14:paraId="2A65C4C6">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3593021">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专业</w:t>
            </w:r>
          </w:p>
          <w:p w14:paraId="4A55FF59">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074C97B">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职称</w:t>
            </w:r>
          </w:p>
          <w:p w14:paraId="23168815">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1595FB3">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CE49B13">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C55376C">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参与本项目的到位情况</w:t>
            </w:r>
          </w:p>
        </w:tc>
      </w:tr>
      <w:tr w14:paraId="3CF6F69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37D1322">
            <w:pPr>
              <w:autoSpaceDE w:val="0"/>
              <w:autoSpaceDN w:val="0"/>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643C989F">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4960DA3">
            <w:pPr>
              <w:autoSpaceDE w:val="0"/>
              <w:autoSpaceDN w:val="0"/>
              <w:spacing w:line="360" w:lineRule="auto"/>
              <w:rPr>
                <w:rFonts w:ascii="仿宋_GB2312" w:hAnsi="仿宋"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FA9A425">
            <w:pPr>
              <w:autoSpaceDE w:val="0"/>
              <w:autoSpaceDN w:val="0"/>
              <w:spacing w:line="360" w:lineRule="auto"/>
              <w:rPr>
                <w:rFonts w:ascii="仿宋_GB2312" w:hAnsi="仿宋"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2659ED7D">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FD95E8E">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6EA37F9">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420E722">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65968D7">
            <w:pPr>
              <w:autoSpaceDE w:val="0"/>
              <w:autoSpaceDN w:val="0"/>
              <w:spacing w:line="360" w:lineRule="auto"/>
              <w:rPr>
                <w:rFonts w:ascii="仿宋_GB2312" w:hAnsi="仿宋"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57BC1C8A">
            <w:pPr>
              <w:autoSpaceDE w:val="0"/>
              <w:autoSpaceDN w:val="0"/>
              <w:spacing w:line="360" w:lineRule="auto"/>
              <w:rPr>
                <w:rFonts w:ascii="仿宋_GB2312" w:hAnsi="仿宋" w:eastAsia="仿宋_GB2312" w:cs="仿宋_GB2312"/>
                <w:sz w:val="24"/>
              </w:rPr>
            </w:pPr>
          </w:p>
        </w:tc>
      </w:tr>
      <w:tr w14:paraId="653D23C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31218F8">
            <w:pPr>
              <w:autoSpaceDE w:val="0"/>
              <w:autoSpaceDN w:val="0"/>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03A707AF">
            <w:pPr>
              <w:autoSpaceDE w:val="0"/>
              <w:autoSpaceDN w:val="0"/>
              <w:spacing w:line="360" w:lineRule="auto"/>
              <w:rPr>
                <w:rFonts w:ascii="仿宋_GB2312" w:hAnsi="仿宋"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91ECE61">
            <w:pPr>
              <w:autoSpaceDE w:val="0"/>
              <w:autoSpaceDN w:val="0"/>
              <w:spacing w:line="360" w:lineRule="auto"/>
              <w:rPr>
                <w:rFonts w:ascii="仿宋_GB2312" w:hAnsi="仿宋"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931051F">
            <w:pPr>
              <w:autoSpaceDE w:val="0"/>
              <w:autoSpaceDN w:val="0"/>
              <w:spacing w:line="360" w:lineRule="auto"/>
              <w:rPr>
                <w:rFonts w:ascii="仿宋_GB2312" w:hAnsi="仿宋"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EAC3AA4">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0D95461">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4769389">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C009BCF">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345DA44">
            <w:pPr>
              <w:autoSpaceDE w:val="0"/>
              <w:autoSpaceDN w:val="0"/>
              <w:spacing w:line="360" w:lineRule="auto"/>
              <w:rPr>
                <w:rFonts w:ascii="仿宋_GB2312" w:hAnsi="仿宋"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30482A37">
            <w:pPr>
              <w:autoSpaceDE w:val="0"/>
              <w:autoSpaceDN w:val="0"/>
              <w:spacing w:line="360" w:lineRule="auto"/>
              <w:rPr>
                <w:rFonts w:ascii="仿宋_GB2312" w:hAnsi="仿宋" w:eastAsia="仿宋_GB2312" w:cs="仿宋_GB2312"/>
                <w:sz w:val="24"/>
              </w:rPr>
            </w:pPr>
          </w:p>
        </w:tc>
      </w:tr>
    </w:tbl>
    <w:p w14:paraId="42EB52CD">
      <w:pPr>
        <w:spacing w:line="360" w:lineRule="auto"/>
        <w:rPr>
          <w:rFonts w:ascii="仿宋_GB2312" w:hAnsi="仿宋" w:eastAsia="仿宋_GB2312" w:cs="仿宋_GB2312"/>
          <w:b/>
          <w:bCs/>
          <w:sz w:val="24"/>
        </w:rPr>
      </w:pPr>
      <w:r>
        <w:rPr>
          <w:rFonts w:hint="eastAsia" w:ascii="仿宋_GB2312" w:hAnsi="仿宋" w:eastAsia="仿宋_GB2312" w:cs="仿宋_GB2312"/>
          <w:b/>
          <w:sz w:val="24"/>
        </w:rPr>
        <w:t>注：投标人可按上述的格式自行编制，须随表提交相应的证书复印件并注明所在投标技术文件页码。</w:t>
      </w:r>
    </w:p>
    <w:p w14:paraId="6480FF5D">
      <w:pPr>
        <w:snapToGrid w:val="0"/>
        <w:spacing w:line="360" w:lineRule="auto"/>
        <w:ind w:firstLine="4320" w:firstLineChars="18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197310C7">
      <w:pPr>
        <w:ind w:firstLine="4560" w:firstLineChars="1900"/>
        <w:rPr>
          <w:rFonts w:ascii="仿宋_GB2312" w:hAnsi="仿宋" w:eastAsia="仿宋_GB2312" w:cs="仿宋_GB2312"/>
          <w:b/>
          <w:bCs/>
          <w:kern w:val="0"/>
          <w:sz w:val="24"/>
          <w:lang w:val="zh-CN"/>
        </w:rPr>
      </w:pPr>
      <w:r>
        <w:rPr>
          <w:rFonts w:hint="eastAsia" w:ascii="仿宋_GB2312" w:hAnsi="仿宋" w:eastAsia="仿宋_GB2312" w:cs="仿宋_GB2312"/>
          <w:kern w:val="0"/>
          <w:sz w:val="24"/>
          <w:lang w:val="zh-CN"/>
        </w:rPr>
        <w:t>日期：  年  月   日</w:t>
      </w:r>
    </w:p>
    <w:p w14:paraId="70EEBE97">
      <w:pPr>
        <w:rPr>
          <w:rFonts w:ascii="仿宋_GB2312" w:hAnsi="仿宋" w:eastAsia="仿宋_GB2312" w:cs="仿宋_GB2312"/>
          <w:b/>
          <w:bCs/>
          <w:kern w:val="0"/>
          <w:sz w:val="24"/>
          <w:lang w:val="zh-CN"/>
        </w:rPr>
      </w:pPr>
    </w:p>
    <w:p w14:paraId="63355681">
      <w:pPr>
        <w:snapToGrid w:val="0"/>
        <w:spacing w:line="360" w:lineRule="auto"/>
        <w:ind w:firstLine="4935" w:firstLineChars="2350"/>
        <w:rPr>
          <w:rFonts w:hAnsi="宋体"/>
          <w:szCs w:val="21"/>
        </w:rPr>
      </w:pPr>
    </w:p>
    <w:p w14:paraId="0E1FDB69">
      <w:pPr>
        <w:snapToGrid w:val="0"/>
        <w:spacing w:beforeLines="50" w:after="50"/>
        <w:jc w:val="center"/>
        <w:rPr>
          <w:b/>
          <w:bCs/>
          <w:sz w:val="30"/>
          <w:szCs w:val="30"/>
        </w:rPr>
      </w:pPr>
      <w:r>
        <w:rPr>
          <w:rFonts w:hint="eastAsia"/>
          <w:b/>
          <w:bCs/>
          <w:sz w:val="30"/>
          <w:szCs w:val="30"/>
        </w:rPr>
        <w:t>三、项目检测总体工作保障措施</w:t>
      </w:r>
    </w:p>
    <w:p w14:paraId="4ECAC263">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（包括但不限于质量保障、工期进度保障、交通组织保障、安全生产保障，由投标人根据采购需求及招标文件要求编制，格式自拟）</w:t>
      </w:r>
    </w:p>
    <w:p w14:paraId="15D08DE2">
      <w:pPr>
        <w:snapToGrid w:val="0"/>
        <w:spacing w:beforeLines="50" w:line="360" w:lineRule="auto"/>
        <w:ind w:right="480" w:firstLine="3967" w:firstLineChars="1653"/>
        <w:rPr>
          <w:rFonts w:ascii="宋体" w:hAnsi="宋体"/>
          <w:sz w:val="24"/>
        </w:rPr>
      </w:pPr>
    </w:p>
    <w:p w14:paraId="4BE30194">
      <w:pPr>
        <w:snapToGrid w:val="0"/>
        <w:spacing w:line="360" w:lineRule="auto"/>
        <w:ind w:firstLine="5160" w:firstLineChars="215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69EC4DB3">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5580FE13">
      <w:pPr>
        <w:widowControl/>
        <w:spacing w:line="360" w:lineRule="auto"/>
        <w:jc w:val="left"/>
        <w:rPr>
          <w:rFonts w:ascii="宋体" w:hAnsi="宋体"/>
          <w:sz w:val="24"/>
        </w:rPr>
      </w:pPr>
    </w:p>
    <w:p w14:paraId="757B35B0">
      <w:pPr>
        <w:snapToGrid w:val="0"/>
        <w:spacing w:beforeLines="50" w:after="50"/>
        <w:jc w:val="center"/>
        <w:rPr>
          <w:b/>
          <w:bCs/>
          <w:sz w:val="30"/>
          <w:szCs w:val="30"/>
        </w:rPr>
      </w:pPr>
      <w:r>
        <w:rPr>
          <w:rFonts w:hint="eastAsia"/>
          <w:b/>
          <w:bCs/>
          <w:sz w:val="30"/>
          <w:szCs w:val="30"/>
        </w:rPr>
        <w:t>四、投标时需提供的具体检测方案</w:t>
      </w:r>
    </w:p>
    <w:p w14:paraId="48AE180D">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（包括但不限于常规定期检测、结构定期检测，由投标人根据采购需求及招标文件要求编制，格式自拟）</w:t>
      </w:r>
    </w:p>
    <w:p w14:paraId="225326C1">
      <w:pPr>
        <w:snapToGrid w:val="0"/>
        <w:spacing w:beforeLines="50" w:line="360" w:lineRule="auto"/>
        <w:ind w:right="480" w:firstLine="3967" w:firstLineChars="1653"/>
        <w:rPr>
          <w:rFonts w:ascii="宋体" w:hAnsi="宋体"/>
          <w:sz w:val="24"/>
        </w:rPr>
      </w:pPr>
    </w:p>
    <w:p w14:paraId="2757E16F">
      <w:pPr>
        <w:snapToGrid w:val="0"/>
        <w:spacing w:line="360" w:lineRule="auto"/>
        <w:ind w:firstLine="5160" w:firstLineChars="215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1EEC06E4">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365A2303">
      <w:pPr>
        <w:pStyle w:val="2"/>
      </w:pPr>
    </w:p>
    <w:p w14:paraId="479DED7E">
      <w:pPr>
        <w:snapToGrid w:val="0"/>
        <w:spacing w:beforeLines="50" w:after="50"/>
        <w:ind w:left="142"/>
        <w:jc w:val="center"/>
        <w:rPr>
          <w:rFonts w:ascii="宋体" w:hAnsi="宋体"/>
          <w:b/>
          <w:sz w:val="32"/>
          <w:szCs w:val="32"/>
        </w:rPr>
      </w:pPr>
      <w:r>
        <w:rPr>
          <w:rFonts w:hint="eastAsia" w:ascii="宋体" w:hAnsi="宋体"/>
          <w:b/>
          <w:sz w:val="32"/>
          <w:szCs w:val="32"/>
        </w:rPr>
        <w:t>五、项目负责人、技术负责人2022年1月以来参加过（或正从事）同类服务的业绩（桥梁检测类）</w:t>
      </w:r>
    </w:p>
    <w:p w14:paraId="71BF96B6">
      <w:pPr>
        <w:spacing w:line="360" w:lineRule="auto"/>
        <w:jc w:val="center"/>
        <w:rPr>
          <w:rFonts w:ascii="仿宋_GB2312" w:hAnsi="仿宋" w:eastAsia="仿宋_GB2312" w:cs="仿宋_GB2312"/>
          <w:b/>
          <w:bCs/>
          <w:sz w:val="24"/>
        </w:rPr>
      </w:pPr>
      <w:r>
        <w:rPr>
          <w:rFonts w:hint="eastAsia" w:ascii="仿宋_GB2312" w:hAnsi="仿宋" w:eastAsia="仿宋_GB2312" w:cs="仿宋_GB2312"/>
          <w:sz w:val="24"/>
        </w:rPr>
        <w:t>（由投标人根据采购需求及招标文件要求编制</w:t>
      </w:r>
      <w:r>
        <w:rPr>
          <w:rFonts w:hint="eastAsia" w:ascii="仿宋_GB2312" w:hAnsi="仿宋" w:eastAsia="仿宋_GB2312" w:cs="仿宋_GB2312"/>
          <w:sz w:val="24"/>
          <w:lang w:eastAsia="zh-CN"/>
        </w:rPr>
        <w:t>，</w:t>
      </w:r>
      <w:r>
        <w:rPr>
          <w:rFonts w:hint="eastAsia" w:ascii="仿宋_GB2312" w:hAnsi="仿宋" w:eastAsia="仿宋_GB2312" w:cs="仿宋_GB2312"/>
          <w:sz w:val="24"/>
          <w:lang w:val="en-US" w:eastAsia="zh-CN"/>
        </w:rPr>
        <w:t>格式自拟</w:t>
      </w:r>
      <w:r>
        <w:rPr>
          <w:rFonts w:hint="eastAsia" w:ascii="仿宋_GB2312" w:hAnsi="仿宋" w:eastAsia="仿宋_GB2312" w:cs="仿宋_GB2312"/>
          <w:sz w:val="24"/>
        </w:rPr>
        <w:t>）</w:t>
      </w:r>
    </w:p>
    <w:p w14:paraId="431970C8">
      <w:pPr>
        <w:spacing w:line="360" w:lineRule="auto"/>
        <w:jc w:val="center"/>
        <w:rPr>
          <w:rFonts w:ascii="宋体" w:hAnsi="宋体"/>
          <w:b/>
          <w:sz w:val="32"/>
          <w:szCs w:val="32"/>
        </w:rPr>
      </w:pPr>
    </w:p>
    <w:p w14:paraId="228FB548">
      <w:pPr>
        <w:spacing w:line="360" w:lineRule="auto"/>
        <w:jc w:val="center"/>
        <w:rPr>
          <w:rFonts w:ascii="宋体" w:hAnsi="宋体"/>
          <w:b/>
          <w:sz w:val="32"/>
          <w:szCs w:val="32"/>
        </w:rPr>
      </w:pPr>
    </w:p>
    <w:p w14:paraId="068FA190">
      <w:pPr>
        <w:pStyle w:val="2"/>
      </w:pPr>
    </w:p>
    <w:p w14:paraId="76BB81CD">
      <w:pPr>
        <w:spacing w:line="360" w:lineRule="auto"/>
        <w:jc w:val="center"/>
        <w:rPr>
          <w:rFonts w:ascii="宋体" w:hAnsi="宋体"/>
          <w:b/>
          <w:sz w:val="32"/>
          <w:szCs w:val="32"/>
        </w:rPr>
      </w:pPr>
      <w:r>
        <w:rPr>
          <w:rFonts w:hint="eastAsia" w:ascii="宋体" w:hAnsi="宋体"/>
          <w:b/>
          <w:sz w:val="32"/>
          <w:szCs w:val="32"/>
        </w:rPr>
        <w:t>六、投标人对项目的合理化建议和改进措施</w:t>
      </w:r>
    </w:p>
    <w:p w14:paraId="027361D3">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（由投标人根据采购需求及招标文件要求编制，格式自拟）</w:t>
      </w:r>
    </w:p>
    <w:p w14:paraId="617D9611">
      <w:pPr>
        <w:spacing w:line="360" w:lineRule="auto"/>
        <w:jc w:val="center"/>
        <w:rPr>
          <w:rFonts w:ascii="仿宋_GB2312" w:hAnsi="仿宋" w:eastAsia="仿宋_GB2312" w:cs="仿宋_GB2312"/>
          <w:sz w:val="18"/>
          <w:szCs w:val="18"/>
        </w:rPr>
      </w:pPr>
    </w:p>
    <w:p w14:paraId="63A34B9B">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4B20B861">
      <w:pPr>
        <w:snapToGrid w:val="0"/>
        <w:spacing w:line="360" w:lineRule="auto"/>
        <w:ind w:firstLine="5160" w:firstLineChars="2150"/>
        <w:rPr>
          <w:rFonts w:ascii="仿宋_GB2312" w:hAnsi="仿宋" w:eastAsia="仿宋_GB2312" w:cs="仿宋_GB2312"/>
          <w:kern w:val="0"/>
          <w:sz w:val="24"/>
          <w:lang w:val="zh-CN"/>
        </w:rPr>
      </w:pPr>
    </w:p>
    <w:p w14:paraId="52306355">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61429044">
      <w:pPr>
        <w:autoSpaceDE w:val="0"/>
        <w:autoSpaceDN w:val="0"/>
        <w:spacing w:line="360" w:lineRule="auto"/>
        <w:ind w:firstLine="120"/>
        <w:rPr>
          <w:rFonts w:ascii="仿宋_GB2312" w:hAnsi="仿宋" w:eastAsia="仿宋_GB2312" w:cs="仿宋_GB2312"/>
          <w:sz w:val="24"/>
        </w:rPr>
      </w:pPr>
    </w:p>
    <w:p w14:paraId="17CCA457">
      <w:pPr>
        <w:spacing w:line="360" w:lineRule="auto"/>
        <w:jc w:val="center"/>
        <w:rPr>
          <w:rFonts w:ascii="宋体" w:hAnsi="宋体"/>
          <w:b/>
          <w:sz w:val="32"/>
          <w:szCs w:val="32"/>
        </w:rPr>
      </w:pPr>
      <w:r>
        <w:rPr>
          <w:rFonts w:hint="eastAsia" w:ascii="宋体" w:hAnsi="宋体"/>
          <w:b/>
          <w:sz w:val="32"/>
          <w:szCs w:val="32"/>
        </w:rPr>
        <w:t>七、认为需要的其他技术文件或说明</w:t>
      </w:r>
    </w:p>
    <w:p w14:paraId="10D16D49">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（由投标人根据采购需求及招标文件要求编制，格式自拟）</w:t>
      </w:r>
    </w:p>
    <w:p w14:paraId="7023149D">
      <w:pPr>
        <w:spacing w:line="360" w:lineRule="auto"/>
        <w:jc w:val="center"/>
        <w:rPr>
          <w:rFonts w:ascii="仿宋_GB2312" w:hAnsi="仿宋" w:eastAsia="仿宋_GB2312" w:cs="仿宋_GB2312"/>
          <w:sz w:val="24"/>
        </w:rPr>
      </w:pPr>
    </w:p>
    <w:p w14:paraId="455FAE59">
      <w:pPr>
        <w:autoSpaceDE w:val="0"/>
        <w:autoSpaceDN w:val="0"/>
        <w:spacing w:line="360" w:lineRule="auto"/>
        <w:ind w:firstLine="4800" w:firstLineChars="2000"/>
        <w:rPr>
          <w:rFonts w:ascii="仿宋_GB2312" w:hAnsi="仿宋" w:eastAsia="仿宋_GB2312" w:cs="仿宋_GB2312"/>
          <w:sz w:val="24"/>
        </w:rPr>
      </w:pPr>
      <w:r>
        <w:rPr>
          <w:rFonts w:hint="eastAsia" w:ascii="仿宋_GB2312" w:hAnsi="仿宋" w:eastAsia="仿宋_GB2312" w:cs="仿宋_GB2312"/>
          <w:kern w:val="0"/>
          <w:sz w:val="24"/>
        </w:rPr>
        <w:t>投标人名称（电子</w:t>
      </w:r>
      <w:r>
        <w:rPr>
          <w:rFonts w:hint="eastAsia" w:ascii="仿宋_GB2312" w:hAnsi="仿宋" w:eastAsia="仿宋_GB2312" w:cs="仿宋_GB2312"/>
          <w:kern w:val="0"/>
          <w:sz w:val="24"/>
          <w:lang w:val="zh-CN"/>
        </w:rPr>
        <w:t>签章</w:t>
      </w:r>
      <w:r>
        <w:rPr>
          <w:rFonts w:hint="eastAsia" w:ascii="仿宋_GB2312" w:hAnsi="仿宋" w:eastAsia="仿宋_GB2312" w:cs="仿宋_GB2312"/>
          <w:kern w:val="0"/>
          <w:sz w:val="24"/>
        </w:rPr>
        <w:t xml:space="preserve">）：                       </w:t>
      </w:r>
    </w:p>
    <w:p w14:paraId="7D6EC3AA">
      <w:pPr>
        <w:autoSpaceDE w:val="0"/>
        <w:autoSpaceDN w:val="0"/>
        <w:spacing w:line="360" w:lineRule="auto"/>
        <w:ind w:firstLine="5040" w:firstLineChars="2100"/>
        <w:rPr>
          <w:rFonts w:ascii="仿宋_GB2312" w:hAnsi="仿宋" w:eastAsia="仿宋_GB2312" w:cs="仿宋_GB2312"/>
          <w:b/>
          <w:bCs/>
          <w:sz w:val="30"/>
          <w:szCs w:val="30"/>
        </w:rPr>
      </w:pPr>
      <w:r>
        <w:rPr>
          <w:rFonts w:hint="eastAsia" w:ascii="仿宋_GB2312" w:hAnsi="仿宋" w:eastAsia="仿宋_GB2312" w:cs="仿宋_GB2312"/>
          <w:kern w:val="0"/>
          <w:sz w:val="24"/>
          <w:lang w:val="zh-CN"/>
        </w:rPr>
        <w:t>日期：  年  月   日</w:t>
      </w:r>
    </w:p>
    <w:p w14:paraId="67751F11">
      <w:pPr>
        <w:widowControl/>
        <w:jc w:val="left"/>
        <w:rPr>
          <w:rFonts w:ascii="宋体" w:hAnsi="宋体"/>
          <w:b/>
          <w:bCs/>
          <w:sz w:val="24"/>
        </w:rPr>
        <w:sectPr>
          <w:pgSz w:w="11906" w:h="16838"/>
          <w:pgMar w:top="1134" w:right="1134" w:bottom="1134" w:left="1134" w:header="720" w:footer="720" w:gutter="0"/>
          <w:cols w:space="0" w:num="1"/>
          <w:docGrid w:type="lines" w:linePitch="332" w:charSpace="0"/>
        </w:sectPr>
      </w:pPr>
    </w:p>
    <w:p w14:paraId="7ADB2E31">
      <w:pPr>
        <w:pStyle w:val="18"/>
        <w:jc w:val="center"/>
        <w:outlineLvl w:val="1"/>
        <w:rPr>
          <w:rFonts w:hAnsi="宋体"/>
          <w:b/>
          <w:bCs/>
          <w:sz w:val="28"/>
          <w:szCs w:val="28"/>
        </w:rPr>
      </w:pPr>
      <w:bookmarkStart w:id="320" w:name="_Toc187761576"/>
      <w:r>
        <w:rPr>
          <w:rFonts w:hint="eastAsia" w:hAnsi="宋体"/>
          <w:b/>
          <w:bCs/>
          <w:sz w:val="28"/>
          <w:szCs w:val="28"/>
        </w:rPr>
        <w:t>第五节 报价文件格式</w:t>
      </w:r>
      <w:bookmarkEnd w:id="320"/>
    </w:p>
    <w:p w14:paraId="31AE6CB2">
      <w:pPr>
        <w:snapToGrid w:val="0"/>
        <w:spacing w:beforeLines="50" w:after="50" w:line="400" w:lineRule="exact"/>
        <w:rPr>
          <w:rFonts w:ascii="宋体" w:hAnsi="宋体"/>
          <w:bCs/>
          <w:sz w:val="32"/>
          <w:szCs w:val="20"/>
        </w:rPr>
      </w:pPr>
      <w:r>
        <w:rPr>
          <w:rFonts w:hint="eastAsia" w:ascii="宋体" w:hAnsi="宋体"/>
          <w:bCs/>
        </w:rPr>
        <w:t>电子投标文件</w:t>
      </w:r>
    </w:p>
    <w:p w14:paraId="33EBA9C2">
      <w:pPr>
        <w:snapToGrid w:val="0"/>
        <w:spacing w:beforeLines="50" w:after="50" w:line="400" w:lineRule="exact"/>
        <w:jc w:val="center"/>
        <w:rPr>
          <w:rFonts w:ascii="宋体" w:hAnsi="宋体"/>
          <w:bCs/>
          <w:sz w:val="24"/>
          <w:szCs w:val="20"/>
        </w:rPr>
      </w:pPr>
    </w:p>
    <w:p w14:paraId="1F38A51A">
      <w:pPr>
        <w:snapToGrid w:val="0"/>
        <w:spacing w:beforeLines="50" w:after="50" w:line="400" w:lineRule="exact"/>
        <w:jc w:val="center"/>
        <w:rPr>
          <w:rFonts w:ascii="宋体" w:hAnsi="宋体"/>
          <w:b/>
          <w:bCs/>
          <w:sz w:val="32"/>
          <w:szCs w:val="32"/>
        </w:rPr>
      </w:pPr>
      <w:r>
        <w:rPr>
          <w:rFonts w:hint="eastAsia" w:ascii="宋体" w:hAnsi="宋体"/>
          <w:b/>
          <w:bCs/>
          <w:sz w:val="32"/>
          <w:szCs w:val="32"/>
        </w:rPr>
        <w:t>报价文件（封面）</w:t>
      </w:r>
    </w:p>
    <w:p w14:paraId="39594C0A">
      <w:pPr>
        <w:snapToGrid w:val="0"/>
        <w:spacing w:beforeLines="50" w:after="50" w:line="400" w:lineRule="exact"/>
        <w:rPr>
          <w:rFonts w:ascii="宋体" w:hAnsi="宋体"/>
          <w:bCs/>
          <w:sz w:val="24"/>
          <w:szCs w:val="20"/>
        </w:rPr>
      </w:pPr>
    </w:p>
    <w:p w14:paraId="092F1DC8">
      <w:pPr>
        <w:snapToGrid w:val="0"/>
        <w:spacing w:beforeLines="50" w:after="50" w:line="400" w:lineRule="exact"/>
        <w:rPr>
          <w:rFonts w:ascii="宋体" w:hAnsi="宋体"/>
          <w:bCs/>
          <w:sz w:val="24"/>
          <w:szCs w:val="20"/>
        </w:rPr>
      </w:pPr>
    </w:p>
    <w:p w14:paraId="72D314C9">
      <w:pPr>
        <w:snapToGrid w:val="0"/>
        <w:spacing w:beforeLines="50" w:after="50" w:line="400" w:lineRule="exact"/>
        <w:rPr>
          <w:rFonts w:ascii="宋体" w:hAnsi="宋体"/>
          <w:bCs/>
          <w:sz w:val="24"/>
          <w:szCs w:val="20"/>
        </w:rPr>
      </w:pPr>
    </w:p>
    <w:p w14:paraId="20D91C5A">
      <w:pPr>
        <w:snapToGrid w:val="0"/>
        <w:spacing w:beforeLines="50" w:after="50" w:line="400" w:lineRule="exact"/>
        <w:rPr>
          <w:rFonts w:ascii="宋体" w:hAnsi="宋体"/>
          <w:bCs/>
          <w:sz w:val="24"/>
          <w:szCs w:val="20"/>
        </w:rPr>
      </w:pPr>
    </w:p>
    <w:p w14:paraId="2A6A0E66">
      <w:pPr>
        <w:snapToGrid w:val="0"/>
        <w:spacing w:beforeLines="50" w:after="50" w:line="400" w:lineRule="exact"/>
        <w:ind w:firstLine="360" w:firstLineChars="150"/>
        <w:rPr>
          <w:rFonts w:ascii="宋体" w:hAnsi="宋体"/>
          <w:bCs/>
          <w:sz w:val="24"/>
        </w:rPr>
      </w:pPr>
      <w:r>
        <w:rPr>
          <w:rFonts w:hint="eastAsia" w:ascii="宋体" w:hAnsi="宋体"/>
          <w:bCs/>
          <w:sz w:val="24"/>
        </w:rPr>
        <w:t xml:space="preserve">项目名称： </w:t>
      </w:r>
      <w:bookmarkStart w:id="321" w:name="PO_3000001866_PM002_10"/>
      <w:r>
        <w:rPr>
          <w:rFonts w:hint="eastAsia" w:ascii="宋体" w:hAnsi="宋体"/>
          <w:bCs/>
          <w:sz w:val="24"/>
        </w:rPr>
        <w:t>[项目采购-项目名称]</w:t>
      </w:r>
      <w:bookmarkEnd w:id="321"/>
    </w:p>
    <w:p w14:paraId="38167C17">
      <w:pPr>
        <w:snapToGrid w:val="0"/>
        <w:spacing w:beforeLines="50" w:after="50" w:line="400" w:lineRule="exact"/>
        <w:ind w:firstLine="360" w:firstLineChars="150"/>
        <w:rPr>
          <w:rFonts w:ascii="宋体" w:hAnsi="宋体"/>
          <w:bCs/>
          <w:sz w:val="24"/>
        </w:rPr>
      </w:pPr>
    </w:p>
    <w:p w14:paraId="163E4CAB">
      <w:pPr>
        <w:snapToGrid w:val="0"/>
        <w:spacing w:beforeLines="50" w:after="50" w:line="400" w:lineRule="exact"/>
        <w:ind w:firstLine="360" w:firstLineChars="150"/>
        <w:rPr>
          <w:rFonts w:ascii="宋体" w:hAnsi="宋体"/>
          <w:bCs/>
          <w:sz w:val="24"/>
        </w:rPr>
      </w:pPr>
      <w:r>
        <w:rPr>
          <w:rFonts w:hint="eastAsia" w:ascii="宋体" w:hAnsi="宋体"/>
          <w:bCs/>
          <w:sz w:val="24"/>
        </w:rPr>
        <w:t xml:space="preserve">项目编号： </w:t>
      </w:r>
      <w:bookmarkStart w:id="322" w:name="PO_3000001866_PM001_7"/>
      <w:r>
        <w:rPr>
          <w:rFonts w:hint="eastAsia" w:ascii="宋体" w:hAnsi="宋体"/>
          <w:bCs/>
          <w:sz w:val="24"/>
        </w:rPr>
        <w:t>[项目采购-项目编号]</w:t>
      </w:r>
      <w:bookmarkEnd w:id="322"/>
    </w:p>
    <w:p w14:paraId="2284B06D">
      <w:pPr>
        <w:snapToGrid w:val="0"/>
        <w:spacing w:beforeLines="50" w:after="50" w:line="400" w:lineRule="exact"/>
        <w:ind w:firstLine="360" w:firstLineChars="150"/>
        <w:rPr>
          <w:rFonts w:ascii="宋体" w:hAnsi="宋体"/>
          <w:bCs/>
          <w:sz w:val="24"/>
        </w:rPr>
      </w:pPr>
    </w:p>
    <w:p w14:paraId="0D038680">
      <w:pPr>
        <w:snapToGrid w:val="0"/>
        <w:spacing w:beforeLines="50" w:after="50" w:line="400" w:lineRule="exact"/>
        <w:ind w:firstLine="360" w:firstLineChars="150"/>
        <w:rPr>
          <w:rFonts w:ascii="宋体" w:hAnsi="宋体"/>
          <w:bCs/>
          <w:sz w:val="24"/>
        </w:rPr>
      </w:pPr>
      <w:r>
        <w:rPr>
          <w:rFonts w:hint="eastAsia" w:ascii="宋体" w:hAnsi="宋体"/>
          <w:bCs/>
          <w:sz w:val="24"/>
        </w:rPr>
        <w:t>所投分标：</w:t>
      </w:r>
    </w:p>
    <w:p w14:paraId="4B9DC157">
      <w:pPr>
        <w:snapToGrid w:val="0"/>
        <w:spacing w:beforeLines="50" w:after="50" w:line="400" w:lineRule="exact"/>
        <w:ind w:firstLine="360" w:firstLineChars="150"/>
        <w:rPr>
          <w:rFonts w:ascii="宋体" w:hAnsi="宋体"/>
          <w:bCs/>
          <w:sz w:val="24"/>
        </w:rPr>
      </w:pPr>
    </w:p>
    <w:p w14:paraId="41658BD1">
      <w:pPr>
        <w:snapToGrid w:val="0"/>
        <w:spacing w:beforeLines="50" w:after="50" w:line="400" w:lineRule="exact"/>
        <w:ind w:firstLine="360" w:firstLineChars="150"/>
        <w:rPr>
          <w:rFonts w:ascii="宋体" w:hAnsi="宋体"/>
          <w:bCs/>
          <w:sz w:val="24"/>
        </w:rPr>
      </w:pPr>
      <w:r>
        <w:rPr>
          <w:rFonts w:hint="eastAsia" w:ascii="宋体" w:hAnsi="宋体"/>
          <w:bCs/>
          <w:sz w:val="24"/>
        </w:rPr>
        <w:t>投标人名称：</w:t>
      </w:r>
    </w:p>
    <w:p w14:paraId="177937CD">
      <w:pPr>
        <w:snapToGrid w:val="0"/>
        <w:spacing w:beforeLines="50" w:after="50" w:line="400" w:lineRule="exact"/>
        <w:ind w:firstLine="360" w:firstLineChars="150"/>
        <w:rPr>
          <w:rFonts w:ascii="宋体" w:hAnsi="宋体"/>
          <w:bCs/>
          <w:sz w:val="24"/>
        </w:rPr>
      </w:pPr>
    </w:p>
    <w:p w14:paraId="0745C822">
      <w:pPr>
        <w:snapToGrid w:val="0"/>
        <w:spacing w:beforeLines="50" w:after="50" w:line="400" w:lineRule="exact"/>
        <w:ind w:firstLine="360" w:firstLineChars="150"/>
        <w:rPr>
          <w:rFonts w:ascii="宋体" w:hAnsi="宋体"/>
          <w:bCs/>
          <w:sz w:val="24"/>
        </w:rPr>
      </w:pPr>
      <w:r>
        <w:rPr>
          <w:rFonts w:hint="eastAsia" w:ascii="宋体" w:hAnsi="宋体"/>
          <w:bCs/>
          <w:sz w:val="24"/>
        </w:rPr>
        <w:t>投标人地址：</w:t>
      </w:r>
    </w:p>
    <w:p w14:paraId="4F2F2A1C">
      <w:pPr>
        <w:pStyle w:val="9"/>
        <w:snapToGrid w:val="0"/>
        <w:spacing w:before="50" w:after="50" w:line="400" w:lineRule="exact"/>
        <w:ind w:firstLine="960" w:firstLineChars="400"/>
        <w:rPr>
          <w:rFonts w:ascii="宋体" w:hAnsi="宋体"/>
          <w:bCs/>
          <w:sz w:val="24"/>
          <w:szCs w:val="24"/>
        </w:rPr>
      </w:pPr>
    </w:p>
    <w:p w14:paraId="6E0A65CB">
      <w:pPr>
        <w:snapToGrid w:val="0"/>
        <w:spacing w:beforeLines="50" w:after="50" w:line="400" w:lineRule="exact"/>
        <w:rPr>
          <w:rFonts w:ascii="宋体" w:hAnsi="宋体"/>
          <w:sz w:val="24"/>
        </w:rPr>
      </w:pPr>
      <w:r>
        <w:rPr>
          <w:rFonts w:hint="eastAsia" w:ascii="宋体" w:hAnsi="宋体"/>
          <w:sz w:val="24"/>
        </w:rPr>
        <w:t xml:space="preserve">                                                       年  月  日</w:t>
      </w:r>
    </w:p>
    <w:p w14:paraId="1A87D904">
      <w:pPr>
        <w:widowControl/>
        <w:jc w:val="left"/>
        <w:rPr>
          <w:rFonts w:ascii="宋体" w:hAnsi="宋体"/>
          <w:sz w:val="24"/>
        </w:rPr>
        <w:sectPr>
          <w:pgSz w:w="11906" w:h="16838"/>
          <w:pgMar w:top="1134" w:right="1134" w:bottom="1134" w:left="1134" w:header="720" w:footer="720" w:gutter="0"/>
          <w:cols w:space="720" w:num="1"/>
          <w:docGrid w:type="lines" w:linePitch="331" w:charSpace="0"/>
        </w:sectPr>
      </w:pPr>
    </w:p>
    <w:p w14:paraId="2053079F">
      <w:pPr>
        <w:rPr>
          <w:rFonts w:ascii="宋体" w:hAnsi="宋体" w:cs="宋体"/>
        </w:rPr>
      </w:pPr>
    </w:p>
    <w:p w14:paraId="3311116C">
      <w:pPr>
        <w:snapToGrid w:val="0"/>
        <w:spacing w:beforeLines="50" w:after="50" w:line="400" w:lineRule="exact"/>
        <w:jc w:val="center"/>
        <w:rPr>
          <w:rFonts w:ascii="宋体" w:hAnsi="宋体"/>
          <w:b/>
          <w:bCs/>
          <w:sz w:val="32"/>
          <w:szCs w:val="32"/>
        </w:rPr>
      </w:pPr>
      <w:r>
        <w:rPr>
          <w:rFonts w:hint="eastAsia" w:ascii="宋体" w:hAnsi="宋体"/>
          <w:b/>
          <w:bCs/>
          <w:sz w:val="32"/>
          <w:szCs w:val="32"/>
        </w:rPr>
        <w:t>报价文件目录</w:t>
      </w:r>
    </w:p>
    <w:p w14:paraId="019839FF">
      <w:pPr>
        <w:rPr>
          <w:rFonts w:ascii="宋体" w:hAnsi="宋体" w:cs="宋体"/>
        </w:rPr>
      </w:pPr>
    </w:p>
    <w:p w14:paraId="04A1AFBF">
      <w:pPr>
        <w:rPr>
          <w:rFonts w:ascii="仿宋_GB2312" w:hAnsi="仿宋" w:eastAsia="仿宋_GB2312" w:cs="仿宋_GB2312"/>
          <w:kern w:val="0"/>
          <w:sz w:val="24"/>
        </w:rPr>
      </w:pPr>
      <w:r>
        <w:rPr>
          <w:rFonts w:hint="eastAsia" w:ascii="仿宋_GB2312" w:hAnsi="仿宋" w:eastAsia="仿宋_GB2312" w:cs="仿宋_GB2312"/>
          <w:kern w:val="0"/>
          <w:sz w:val="24"/>
        </w:rPr>
        <w:t>一、投标函………………………………………………………（页码）</w:t>
      </w:r>
    </w:p>
    <w:p w14:paraId="16D1FB01">
      <w:pPr>
        <w:rPr>
          <w:rFonts w:ascii="仿宋_GB2312" w:hAnsi="仿宋" w:eastAsia="仿宋_GB2312" w:cs="仿宋_GB2312"/>
          <w:kern w:val="0"/>
          <w:sz w:val="24"/>
        </w:rPr>
      </w:pPr>
      <w:r>
        <w:rPr>
          <w:rFonts w:hint="eastAsia" w:ascii="仿宋_GB2312" w:hAnsi="仿宋" w:eastAsia="仿宋_GB2312" w:cs="仿宋_GB2312"/>
          <w:kern w:val="0"/>
          <w:sz w:val="24"/>
        </w:rPr>
        <w:t>二、开标一览表…………………………………………………（页码）</w:t>
      </w:r>
    </w:p>
    <w:p w14:paraId="04799FDF">
      <w:pPr>
        <w:rPr>
          <w:rFonts w:ascii="仿宋_GB2312" w:hAnsi="仿宋" w:eastAsia="仿宋_GB2312" w:cs="仿宋_GB2312"/>
          <w:kern w:val="0"/>
          <w:sz w:val="24"/>
        </w:rPr>
      </w:pPr>
      <w:r>
        <w:rPr>
          <w:rFonts w:hint="eastAsia" w:ascii="仿宋_GB2312" w:hAnsi="仿宋" w:eastAsia="仿宋_GB2312" w:cs="仿宋_GB2312"/>
          <w:kern w:val="0"/>
          <w:sz w:val="24"/>
        </w:rPr>
        <w:t>三、中小企业声明函……………………………………………（页码）</w:t>
      </w:r>
    </w:p>
    <w:p w14:paraId="384D3A57">
      <w:pPr>
        <w:rPr>
          <w:rFonts w:ascii="仿宋_GB2312" w:hAnsi="仿宋" w:eastAsia="仿宋_GB2312" w:cs="仿宋_GB2312"/>
          <w:kern w:val="0"/>
          <w:sz w:val="24"/>
        </w:rPr>
      </w:pPr>
      <w:r>
        <w:rPr>
          <w:rFonts w:hint="eastAsia" w:ascii="仿宋_GB2312" w:hAnsi="仿宋" w:eastAsia="仿宋_GB2312" w:cs="仿宋_GB2312"/>
          <w:kern w:val="0"/>
          <w:sz w:val="24"/>
        </w:rPr>
        <w:t>四、投标人针对报价需要说明的其他文件和说明……………（页码）</w:t>
      </w:r>
    </w:p>
    <w:p w14:paraId="27F1613F">
      <w:pPr>
        <w:spacing w:line="360" w:lineRule="auto"/>
        <w:rPr>
          <w:rFonts w:ascii="仿宋_GB2312" w:hAnsi="仿宋" w:eastAsia="仿宋_GB2312" w:cs="仿宋_GB2312"/>
          <w:kern w:val="0"/>
          <w:sz w:val="24"/>
        </w:rPr>
      </w:pPr>
    </w:p>
    <w:p w14:paraId="3A1E7B25">
      <w:pPr>
        <w:widowControl/>
        <w:jc w:val="left"/>
        <w:rPr>
          <w:rFonts w:ascii="宋体" w:hAnsi="宋体"/>
          <w:sz w:val="30"/>
          <w:szCs w:val="20"/>
        </w:rPr>
        <w:sectPr>
          <w:pgSz w:w="11906" w:h="16838"/>
          <w:pgMar w:top="1134" w:right="1134" w:bottom="1134" w:left="1134" w:header="720" w:footer="720" w:gutter="0"/>
          <w:cols w:space="720" w:num="1"/>
          <w:docGrid w:type="lines" w:linePitch="331" w:charSpace="0"/>
        </w:sectPr>
      </w:pPr>
    </w:p>
    <w:p w14:paraId="4702427E">
      <w:pPr>
        <w:pStyle w:val="18"/>
        <w:spacing w:line="500" w:lineRule="exact"/>
        <w:jc w:val="center"/>
        <w:rPr>
          <w:rFonts w:ascii="Times New Roman" w:hAnsi="Times New Roman"/>
          <w:b/>
          <w:bCs/>
          <w:sz w:val="30"/>
          <w:szCs w:val="30"/>
        </w:rPr>
      </w:pPr>
      <w:r>
        <w:rPr>
          <w:rFonts w:hint="eastAsia" w:ascii="Times New Roman" w:hAnsi="Times New Roman"/>
          <w:b/>
          <w:bCs/>
          <w:sz w:val="30"/>
          <w:szCs w:val="30"/>
        </w:rPr>
        <w:t>一、投标函</w:t>
      </w:r>
    </w:p>
    <w:p w14:paraId="12956ED9">
      <w:pPr>
        <w:pStyle w:val="18"/>
        <w:spacing w:line="440" w:lineRule="exact"/>
        <w:ind w:firstLine="420" w:firstLineChars="200"/>
        <w:rPr>
          <w:rFonts w:ascii="Times New Roman" w:hAnsi="Times New Roman"/>
        </w:rPr>
      </w:pPr>
      <w:r>
        <w:rPr>
          <w:rFonts w:hint="eastAsia" w:ascii="Times New Roman" w:hAnsi="Times New Roman"/>
        </w:rPr>
        <w:t>致：</w:t>
      </w:r>
      <w:bookmarkStart w:id="323" w:name="PO_3000001866_PM031_4"/>
      <w:r>
        <w:rPr>
          <w:rFonts w:ascii="Times New Roman" w:hAnsi="Times New Roman"/>
          <w:u w:val="single"/>
        </w:rPr>
        <w:t>[</w:t>
      </w:r>
      <w:r>
        <w:rPr>
          <w:rFonts w:hint="eastAsia" w:ascii="Times New Roman" w:hAnsi="Times New Roman"/>
          <w:u w:val="single"/>
        </w:rPr>
        <w:t>项目采购</w:t>
      </w:r>
      <w:r>
        <w:rPr>
          <w:rFonts w:ascii="Times New Roman" w:hAnsi="Times New Roman"/>
          <w:u w:val="single"/>
        </w:rPr>
        <w:t>-</w:t>
      </w:r>
      <w:r>
        <w:rPr>
          <w:rFonts w:hint="eastAsia" w:ascii="Times New Roman" w:hAnsi="Times New Roman"/>
          <w:u w:val="single"/>
        </w:rPr>
        <w:t>采购组织机构</w:t>
      </w:r>
      <w:r>
        <w:rPr>
          <w:rFonts w:ascii="Times New Roman" w:hAnsi="Times New Roman"/>
          <w:u w:val="single"/>
        </w:rPr>
        <w:t>_]</w:t>
      </w:r>
      <w:bookmarkEnd w:id="323"/>
    </w:p>
    <w:p w14:paraId="66D2F8DD">
      <w:pPr>
        <w:pStyle w:val="18"/>
        <w:spacing w:line="440" w:lineRule="exact"/>
        <w:ind w:firstLine="420" w:firstLineChars="200"/>
      </w:pPr>
      <w:r>
        <w:rPr>
          <w:rFonts w:hint="eastAsia"/>
        </w:rPr>
        <w:t>我方已仔细阅读了贵方组织的</w:t>
      </w:r>
      <w:bookmarkStart w:id="324" w:name="PO_3000001866_PM002_3"/>
      <w:r>
        <w:rPr>
          <w:rFonts w:ascii="Times New Roman" w:hAnsi="Times New Roman"/>
          <w:u w:val="single"/>
        </w:rPr>
        <w:t>[</w:t>
      </w:r>
      <w:r>
        <w:rPr>
          <w:rFonts w:hint="eastAsia" w:ascii="Times New Roman" w:hAnsi="Times New Roman"/>
          <w:u w:val="single"/>
        </w:rPr>
        <w:t>项目采购</w:t>
      </w:r>
      <w:r>
        <w:rPr>
          <w:rFonts w:ascii="Times New Roman" w:hAnsi="Times New Roman"/>
          <w:u w:val="single"/>
        </w:rPr>
        <w:t>-</w:t>
      </w:r>
      <w:r>
        <w:rPr>
          <w:rFonts w:hint="eastAsia" w:ascii="Times New Roman" w:hAnsi="Times New Roman"/>
          <w:u w:val="single"/>
        </w:rPr>
        <w:t>项目名称</w:t>
      </w:r>
      <w:r>
        <w:rPr>
          <w:rFonts w:ascii="Times New Roman" w:hAnsi="Times New Roman"/>
          <w:u w:val="single"/>
        </w:rPr>
        <w:t>_]</w:t>
      </w:r>
      <w:bookmarkEnd w:id="324"/>
      <w:r>
        <w:rPr>
          <w:rFonts w:hint="eastAsia"/>
        </w:rPr>
        <w:t>项目（项目编号：</w:t>
      </w:r>
      <w:bookmarkStart w:id="325" w:name="PO_3000001866_PM001_3"/>
      <w:r>
        <w:rPr>
          <w:rFonts w:hint="eastAsia"/>
        </w:rPr>
        <w:t>[项目采购-项目编号_]</w:t>
      </w:r>
      <w:bookmarkEnd w:id="325"/>
      <w:r>
        <w:rPr>
          <w:rFonts w:hint="eastAsia"/>
        </w:rPr>
        <w:t xml:space="preserve">）的招标文件的全部内容，授权(全权代表姓名) (职务、职称)为全权代表，现正式递交下述文件参加贵方组织的本次政府采购活动： </w:t>
      </w:r>
    </w:p>
    <w:p w14:paraId="2ABEDCB5">
      <w:pPr>
        <w:pStyle w:val="18"/>
        <w:spacing w:line="440" w:lineRule="exact"/>
        <w:ind w:firstLine="420" w:firstLineChars="200"/>
      </w:pPr>
      <w:r>
        <w:rPr>
          <w:rFonts w:hint="eastAsia"/>
        </w:rPr>
        <w:t>一、报价文件电子版一份（包含按投标人须知前附表要求提交的全部文件）；</w:t>
      </w:r>
    </w:p>
    <w:p w14:paraId="75E05A22">
      <w:pPr>
        <w:pStyle w:val="18"/>
        <w:spacing w:line="440" w:lineRule="exact"/>
        <w:ind w:firstLine="482"/>
      </w:pPr>
      <w:r>
        <w:rPr>
          <w:rFonts w:hint="eastAsia"/>
        </w:rPr>
        <w:t>二、资格文件电子版一份（包含按投标人须知前附表要求提交的全部文件）；</w:t>
      </w:r>
    </w:p>
    <w:p w14:paraId="2E4BF318">
      <w:pPr>
        <w:pStyle w:val="18"/>
        <w:spacing w:line="440" w:lineRule="exact"/>
        <w:ind w:firstLine="482"/>
      </w:pPr>
      <w:r>
        <w:rPr>
          <w:rFonts w:hint="eastAsia"/>
        </w:rPr>
        <w:t>三、</w:t>
      </w:r>
      <w:r>
        <w:rPr>
          <w:rFonts w:hint="eastAsia" w:hAnsi="宋体"/>
        </w:rPr>
        <w:t>技术</w:t>
      </w:r>
      <w:r>
        <w:rPr>
          <w:rFonts w:hint="eastAsia"/>
        </w:rPr>
        <w:t>文件电子版一份（包含按投标人须知前附表要求提交的全部文件）；</w:t>
      </w:r>
    </w:p>
    <w:p w14:paraId="386ED246">
      <w:pPr>
        <w:pStyle w:val="18"/>
        <w:spacing w:line="440" w:lineRule="exact"/>
        <w:ind w:firstLine="482"/>
      </w:pPr>
      <w:r>
        <w:rPr>
          <w:rFonts w:hint="eastAsia" w:hAnsi="宋体"/>
        </w:rPr>
        <w:t>四、</w:t>
      </w:r>
      <w:r>
        <w:rPr>
          <w:rFonts w:hint="eastAsia"/>
        </w:rPr>
        <w:t>商务</w:t>
      </w:r>
      <w:r>
        <w:rPr>
          <w:rFonts w:hint="eastAsia" w:hAnsi="宋体"/>
        </w:rPr>
        <w:t>文件</w:t>
      </w:r>
      <w:r>
        <w:rPr>
          <w:rFonts w:hint="eastAsia"/>
        </w:rPr>
        <w:t>电子版一份（包含按投标人须知前附表要求提交的全部文件）；</w:t>
      </w:r>
    </w:p>
    <w:p w14:paraId="08A8D311">
      <w:pPr>
        <w:pStyle w:val="18"/>
        <w:spacing w:line="440" w:lineRule="exact"/>
        <w:ind w:firstLine="482"/>
        <w:rPr>
          <w:rFonts w:ascii="Times New Roman" w:hAnsi="Times New Roman"/>
        </w:rPr>
      </w:pPr>
      <w:r>
        <w:rPr>
          <w:rFonts w:hint="eastAsia"/>
        </w:rPr>
        <w:t>据此函，签字人兹宣布：</w:t>
      </w:r>
    </w:p>
    <w:p w14:paraId="74FDF4B5">
      <w:pPr>
        <w:pStyle w:val="18"/>
        <w:spacing w:line="440" w:lineRule="exact"/>
        <w:ind w:firstLine="420" w:firstLineChars="200"/>
        <w:rPr>
          <w:rFonts w:ascii="Times New Roman" w:hAnsi="Times New Roman"/>
        </w:rPr>
      </w:pPr>
      <w:r>
        <w:rPr>
          <w:rFonts w:hint="eastAsia"/>
        </w:rPr>
        <w:t>1、我方愿意以（大写）人民币</w:t>
      </w:r>
      <w:r>
        <w:rPr>
          <w:rFonts w:hint="eastAsia"/>
          <w:u w:val="single"/>
        </w:rPr>
        <w:t xml:space="preserve">      </w:t>
      </w:r>
      <w:r>
        <w:rPr>
          <w:rFonts w:hint="eastAsia"/>
        </w:rPr>
        <w:t>元 (￥</w:t>
      </w:r>
      <w:r>
        <w:rPr>
          <w:rFonts w:hint="eastAsia"/>
          <w:u w:val="single"/>
        </w:rPr>
        <w:t xml:space="preserve">         </w:t>
      </w:r>
      <w:r>
        <w:rPr>
          <w:rFonts w:hint="eastAsia"/>
        </w:rPr>
        <w:t>元)的投标总报价，提交服务成果时间</w:t>
      </w:r>
      <w:r>
        <w:rPr>
          <w:rFonts w:hint="eastAsia"/>
          <w:u w:val="single"/>
        </w:rPr>
        <w:t xml:space="preserve">        </w:t>
      </w:r>
      <w:r>
        <w:rPr>
          <w:rFonts w:hint="eastAsia"/>
        </w:rPr>
        <w:t>，提供本项目招标文件第二章“服务需求”中的相应的采购内容。</w:t>
      </w:r>
    </w:p>
    <w:p w14:paraId="5C3E2FD2">
      <w:pPr>
        <w:pStyle w:val="18"/>
        <w:spacing w:line="360" w:lineRule="exact"/>
        <w:ind w:firstLine="420" w:firstLineChars="200"/>
        <w:rPr>
          <w:u w:val="single"/>
        </w:rPr>
      </w:pPr>
      <w:r>
        <w:rPr>
          <w:rFonts w:hint="eastAsia"/>
        </w:rPr>
        <w:t>2、我方同意自本项目招标文件“第三章 投标人须知”第一节 投标人须知前附表 第21.2项规定的投标截止时间（开标时间）起遵循</w:t>
      </w:r>
      <w:r>
        <w:rPr>
          <w:rFonts w:hint="eastAsia" w:hAnsi="宋体"/>
        </w:rPr>
        <w:t>本投标函</w:t>
      </w:r>
      <w:r>
        <w:rPr>
          <w:rFonts w:hint="eastAsia"/>
        </w:rPr>
        <w:t>，并承诺在“投标人须知前附表”第17.2项规定的投标有效期内不修改、撤销投标文件。</w:t>
      </w:r>
    </w:p>
    <w:p w14:paraId="372759C9">
      <w:pPr>
        <w:pStyle w:val="18"/>
        <w:spacing w:line="360" w:lineRule="exact"/>
        <w:ind w:firstLine="420" w:firstLineChars="200"/>
        <w:rPr>
          <w:u w:val="single"/>
        </w:rPr>
      </w:pPr>
      <w:r>
        <w:rPr>
          <w:rFonts w:hint="eastAsia"/>
        </w:rPr>
        <w:t>3、我方所递交的投标文件及有关资料都是内容完整、真实和准确的。</w:t>
      </w:r>
    </w:p>
    <w:p w14:paraId="2DD138B1">
      <w:pPr>
        <w:pStyle w:val="18"/>
        <w:spacing w:line="440" w:lineRule="exact"/>
        <w:ind w:firstLine="482"/>
      </w:pPr>
      <w:r>
        <w:rPr>
          <w:rFonts w:hint="eastAsia"/>
        </w:rPr>
        <w:t>4、</w:t>
      </w:r>
      <w:r>
        <w:rPr>
          <w:rFonts w:hint="eastAsia"/>
          <w:szCs w:val="21"/>
        </w:rPr>
        <w:t>如本项目采购内容涉及须符合国家强制规定的，我方承诺我方本次投标（包括资格条件和所投产品）均符合国家有关强制规定。</w:t>
      </w:r>
    </w:p>
    <w:p w14:paraId="6E8BCB4B">
      <w:pPr>
        <w:pStyle w:val="18"/>
        <w:spacing w:line="440" w:lineRule="exact"/>
        <w:ind w:firstLine="420" w:firstLineChars="200"/>
      </w:pPr>
      <w:r>
        <w:rPr>
          <w:rFonts w:hint="eastAsia"/>
        </w:rPr>
        <w:t>5、如我方中标，我方承诺在收到中标通知书后，在中标通知书规定的期限内，</w:t>
      </w:r>
      <w:r>
        <w:rPr>
          <w:rFonts w:hint="eastAsia" w:hAnsi="宋体"/>
        </w:rPr>
        <w:t>根据招标文件、我方的投标文件及有关澄清承诺书的要求按第五章“拟签订的合同文本”与采购人订立书面合同，并按照合同约定</w:t>
      </w:r>
      <w:r>
        <w:rPr>
          <w:rFonts w:hint="eastAsia"/>
        </w:rPr>
        <w:t>承担完成合同的责任和义务。</w:t>
      </w:r>
    </w:p>
    <w:p w14:paraId="2E968E7A">
      <w:pPr>
        <w:pStyle w:val="18"/>
        <w:spacing w:line="440" w:lineRule="exact"/>
        <w:ind w:firstLine="420" w:firstLineChars="200"/>
      </w:pPr>
      <w:r>
        <w:rPr>
          <w:rFonts w:hint="eastAsia"/>
        </w:rPr>
        <w:t>6、我方已详细审核招标文件，我方知道必须放弃提出含糊不清或误解问题的权利。</w:t>
      </w:r>
    </w:p>
    <w:p w14:paraId="55D82BCB">
      <w:pPr>
        <w:pStyle w:val="18"/>
        <w:spacing w:line="440" w:lineRule="exact"/>
        <w:ind w:firstLine="420" w:firstLineChars="200"/>
      </w:pPr>
      <w:r>
        <w:rPr>
          <w:rFonts w:hint="eastAsia"/>
        </w:rPr>
        <w:t>7、我方同意应贵方要求提供与本投标有关的任何数据或资料。若贵方需要，我方愿意提供我方作出的一切承诺的证明材料。</w:t>
      </w:r>
    </w:p>
    <w:p w14:paraId="17052E74">
      <w:pPr>
        <w:pStyle w:val="18"/>
        <w:spacing w:line="440" w:lineRule="exact"/>
        <w:ind w:firstLine="420" w:firstLineChars="200"/>
      </w:pPr>
      <w:r>
        <w:rPr>
          <w:rFonts w:hint="eastAsia"/>
        </w:rPr>
        <w:t>8、我方完全理解贵方不一定接受投标报价最低的投标人为中标供应商的行为。</w:t>
      </w:r>
    </w:p>
    <w:p w14:paraId="10ED71E2">
      <w:pPr>
        <w:pStyle w:val="18"/>
        <w:spacing w:line="440" w:lineRule="exact"/>
        <w:ind w:firstLine="420" w:firstLineChars="200"/>
      </w:pPr>
      <w:r>
        <w:rPr>
          <w:rFonts w:hint="eastAsia"/>
        </w:rPr>
        <w:t>9、我方将严格遵守《中华人民共和国政府采购法》第七十七条的规定，即供应商有下列情形之一的，处以采购金额千分之五以上千分之十</w:t>
      </w:r>
      <w:r>
        <w:rPr>
          <w:rFonts w:hint="eastAsia" w:hAnsi="宋体"/>
        </w:rPr>
        <w:t>以下的罚款，列入不良行为记录名单，在一至三年内禁止参加政府采购活动，有违法所得的，并处没收违法所得，情节严重的，由工商行政管理机关吊销营业执照；构成犯罪的，依法追究刑事责任：</w:t>
      </w:r>
    </w:p>
    <w:p w14:paraId="41B32164">
      <w:pPr>
        <w:pStyle w:val="18"/>
        <w:numPr>
          <w:ilvl w:val="0"/>
          <w:numId w:val="6"/>
        </w:numPr>
        <w:spacing w:line="440" w:lineRule="exact"/>
        <w:rPr>
          <w:rFonts w:hAnsi="宋体"/>
        </w:rPr>
      </w:pPr>
      <w:r>
        <w:rPr>
          <w:rFonts w:hint="eastAsia" w:hAnsi="宋体"/>
        </w:rPr>
        <w:t>提供虚假材料谋取中标、成交的；</w:t>
      </w:r>
    </w:p>
    <w:p w14:paraId="2CFF752F">
      <w:pPr>
        <w:pStyle w:val="18"/>
        <w:numPr>
          <w:ilvl w:val="0"/>
          <w:numId w:val="6"/>
        </w:numPr>
        <w:spacing w:line="440" w:lineRule="exact"/>
        <w:rPr>
          <w:rFonts w:hAnsi="宋体"/>
        </w:rPr>
      </w:pPr>
      <w:r>
        <w:rPr>
          <w:rFonts w:hint="eastAsia" w:hAnsi="宋体"/>
        </w:rPr>
        <w:t>采取不正当手段诋毁、排挤其他供应商的；</w:t>
      </w:r>
    </w:p>
    <w:p w14:paraId="392FBD92">
      <w:pPr>
        <w:pStyle w:val="18"/>
        <w:numPr>
          <w:ilvl w:val="0"/>
          <w:numId w:val="6"/>
        </w:numPr>
        <w:spacing w:line="440" w:lineRule="exact"/>
      </w:pPr>
      <w:r>
        <w:rPr>
          <w:rFonts w:hint="eastAsia" w:hAnsi="宋体"/>
        </w:rPr>
        <w:t>与采购人、其他供应商或者采购代理机构恶意串通的；</w:t>
      </w:r>
    </w:p>
    <w:p w14:paraId="45813E24">
      <w:pPr>
        <w:pStyle w:val="18"/>
        <w:numPr>
          <w:ilvl w:val="0"/>
          <w:numId w:val="6"/>
        </w:numPr>
        <w:spacing w:line="440" w:lineRule="exact"/>
      </w:pPr>
      <w:r>
        <w:rPr>
          <w:rFonts w:hint="eastAsia" w:hAnsi="宋体"/>
        </w:rPr>
        <w:t>向采购人、采购代理机构行贿或者提供其他不正当利益的；</w:t>
      </w:r>
    </w:p>
    <w:p w14:paraId="2FD11B7A">
      <w:pPr>
        <w:pStyle w:val="18"/>
        <w:numPr>
          <w:ilvl w:val="0"/>
          <w:numId w:val="6"/>
        </w:numPr>
        <w:spacing w:line="440" w:lineRule="exact"/>
      </w:pPr>
      <w:r>
        <w:rPr>
          <w:rFonts w:hint="eastAsia" w:hAnsi="宋体"/>
        </w:rPr>
        <w:t>在招标采购过程中与采购人进行协商谈判的；</w:t>
      </w:r>
    </w:p>
    <w:p w14:paraId="1B7A22C7">
      <w:pPr>
        <w:pStyle w:val="18"/>
        <w:numPr>
          <w:ilvl w:val="0"/>
          <w:numId w:val="6"/>
        </w:numPr>
        <w:spacing w:line="440" w:lineRule="exact"/>
      </w:pPr>
      <w:r>
        <w:rPr>
          <w:rFonts w:hint="eastAsia" w:hAnsi="宋体"/>
        </w:rPr>
        <w:t>拒绝有关部门监督检查或提供虚假情况的。</w:t>
      </w:r>
    </w:p>
    <w:p w14:paraId="034740B6">
      <w:pPr>
        <w:pStyle w:val="18"/>
        <w:spacing w:line="440" w:lineRule="exact"/>
        <w:ind w:left="420"/>
      </w:pPr>
      <w:r>
        <w:rPr>
          <w:rFonts w:hint="eastAsia"/>
        </w:rPr>
        <w:t>10、我方及由本人担任法定代表人的其他机构最近三年内被处罚的违法行为有：</w:t>
      </w:r>
    </w:p>
    <w:p w14:paraId="36223683">
      <w:pPr>
        <w:pStyle w:val="18"/>
        <w:spacing w:line="440" w:lineRule="exact"/>
        <w:ind w:left="420"/>
      </w:pPr>
    </w:p>
    <w:p w14:paraId="225FF9CB">
      <w:pPr>
        <w:pStyle w:val="18"/>
        <w:spacing w:line="360" w:lineRule="auto"/>
        <w:ind w:firstLine="420"/>
      </w:pPr>
      <w:r>
        <w:rPr>
          <w:rFonts w:hint="eastAsia"/>
        </w:rPr>
        <w:t>11、以上事项如有虚假或隐瞒，我方愿意承担一切后果，并不再寻求任何旨在减轻或免除法律责任的辩解。</w:t>
      </w:r>
    </w:p>
    <w:p w14:paraId="357FE63E">
      <w:pPr>
        <w:pStyle w:val="18"/>
        <w:spacing w:line="360" w:lineRule="auto"/>
        <w:ind w:firstLine="420"/>
      </w:pPr>
      <w:r>
        <w:rPr>
          <w:rFonts w:hint="eastAsia"/>
        </w:rPr>
        <w:t>12、与本投标有关的一切正式往来信函请寄：</w:t>
      </w:r>
    </w:p>
    <w:p w14:paraId="68F9F43B">
      <w:pPr>
        <w:pStyle w:val="18"/>
        <w:spacing w:line="360" w:lineRule="auto"/>
        <w:ind w:firstLine="420"/>
      </w:pPr>
      <w:r>
        <w:rPr>
          <w:rFonts w:hint="eastAsia"/>
        </w:rPr>
        <w:t>地址：</w:t>
      </w:r>
    </w:p>
    <w:p w14:paraId="7F27F432">
      <w:pPr>
        <w:pStyle w:val="18"/>
        <w:spacing w:line="360" w:lineRule="auto"/>
        <w:ind w:firstLine="420"/>
        <w:rPr>
          <w:u w:val="single"/>
        </w:rPr>
      </w:pPr>
      <w:r>
        <w:rPr>
          <w:rFonts w:hint="eastAsia"/>
        </w:rPr>
        <w:t>电话：</w:t>
      </w:r>
      <w:r>
        <w:rPr>
          <w:rFonts w:hint="eastAsia"/>
          <w:u w:val="single"/>
        </w:rPr>
        <w:t xml:space="preserve">                                      　　　　　　　　　</w:t>
      </w:r>
    </w:p>
    <w:p w14:paraId="4B4AB2CD">
      <w:pPr>
        <w:pStyle w:val="18"/>
        <w:spacing w:line="360" w:lineRule="auto"/>
        <w:ind w:firstLine="420"/>
      </w:pPr>
      <w:r>
        <w:rPr>
          <w:rFonts w:hint="eastAsia"/>
        </w:rPr>
        <w:t>传真：</w:t>
      </w:r>
      <w:r>
        <w:rPr>
          <w:rFonts w:hint="eastAsia"/>
          <w:u w:val="single"/>
        </w:rPr>
        <w:t>　　　　　　　　　　　　　　　　　　　　　　　　　　　　</w:t>
      </w:r>
    </w:p>
    <w:p w14:paraId="14BA93E4">
      <w:pPr>
        <w:pStyle w:val="18"/>
        <w:spacing w:line="360" w:lineRule="auto"/>
        <w:ind w:firstLine="420"/>
        <w:rPr>
          <w:u w:val="single"/>
        </w:rPr>
      </w:pPr>
      <w:r>
        <w:rPr>
          <w:rFonts w:hint="eastAsia"/>
        </w:rPr>
        <w:t>邮政编码：</w:t>
      </w:r>
    </w:p>
    <w:p w14:paraId="3208A8EC">
      <w:pPr>
        <w:pStyle w:val="18"/>
        <w:spacing w:line="360" w:lineRule="auto"/>
        <w:ind w:firstLine="420"/>
        <w:rPr>
          <w:u w:val="single"/>
        </w:rPr>
      </w:pPr>
      <w:r>
        <w:rPr>
          <w:rFonts w:hint="eastAsia"/>
        </w:rPr>
        <w:t>开户名称：</w:t>
      </w:r>
    </w:p>
    <w:p w14:paraId="4CF5111E">
      <w:pPr>
        <w:pStyle w:val="18"/>
        <w:spacing w:line="360" w:lineRule="auto"/>
        <w:ind w:firstLine="420"/>
        <w:rPr>
          <w:u w:val="single"/>
        </w:rPr>
      </w:pPr>
      <w:r>
        <w:rPr>
          <w:rFonts w:hint="eastAsia"/>
        </w:rPr>
        <w:t>开户银行：</w:t>
      </w:r>
    </w:p>
    <w:p w14:paraId="3027B1BD">
      <w:pPr>
        <w:pStyle w:val="18"/>
        <w:spacing w:line="360" w:lineRule="auto"/>
        <w:ind w:firstLine="420"/>
        <w:rPr>
          <w:u w:val="single"/>
        </w:rPr>
      </w:pPr>
      <w:r>
        <w:rPr>
          <w:rFonts w:hint="eastAsia"/>
        </w:rPr>
        <w:t>银行账号：</w:t>
      </w:r>
    </w:p>
    <w:p w14:paraId="4EFA39D8">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054F8607">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70123614">
      <w:pPr>
        <w:widowControl/>
        <w:spacing w:line="360" w:lineRule="auto"/>
        <w:jc w:val="left"/>
        <w:rPr>
          <w:rFonts w:ascii="仿宋_GB2312" w:hAnsi="仿宋" w:eastAsia="仿宋_GB2312" w:cs="仿宋_GB2312"/>
          <w:kern w:val="0"/>
          <w:sz w:val="24"/>
          <w:lang w:val="zh-CN"/>
        </w:rPr>
        <w:sectPr>
          <w:pgSz w:w="11906" w:h="16838"/>
          <w:pgMar w:top="1134" w:right="1134" w:bottom="1134" w:left="1134" w:header="720" w:footer="720" w:gutter="0"/>
          <w:cols w:space="720" w:num="1"/>
          <w:docGrid w:type="lines" w:linePitch="331" w:charSpace="0"/>
        </w:sectPr>
      </w:pPr>
    </w:p>
    <w:p w14:paraId="4FF426DE">
      <w:pPr>
        <w:pStyle w:val="18"/>
        <w:spacing w:line="360" w:lineRule="auto"/>
        <w:jc w:val="center"/>
        <w:rPr>
          <w:b/>
          <w:sz w:val="30"/>
          <w:szCs w:val="30"/>
        </w:rPr>
      </w:pPr>
      <w:r>
        <w:rPr>
          <w:rFonts w:hint="eastAsia" w:hAnsi="宋体"/>
          <w:sz w:val="30"/>
        </w:rPr>
        <w:t>二、</w:t>
      </w:r>
      <w:r>
        <w:rPr>
          <w:rFonts w:hint="eastAsia"/>
          <w:b/>
          <w:sz w:val="30"/>
          <w:szCs w:val="30"/>
        </w:rPr>
        <w:t>开标一览表</w:t>
      </w:r>
      <w:r>
        <w:rPr>
          <w:rFonts w:hint="eastAsia" w:ascii="仿宋_GB2312" w:hAnsi="仿宋" w:eastAsia="仿宋_GB2312" w:cs="仿宋_GB2312"/>
          <w:b/>
          <w:kern w:val="0"/>
          <w:sz w:val="24"/>
          <w:lang w:val="zh-CN"/>
        </w:rPr>
        <w:t>(单位均为人民币元)</w:t>
      </w:r>
    </w:p>
    <w:p w14:paraId="0886EE2C">
      <w:pPr>
        <w:snapToGrid w:val="0"/>
        <w:spacing w:before="50" w:after="50" w:line="360" w:lineRule="auto"/>
        <w:rPr>
          <w:rFonts w:ascii="宋体" w:hAnsi="宋体"/>
          <w:sz w:val="24"/>
          <w:u w:val="single"/>
        </w:rPr>
      </w:pPr>
      <w:r>
        <w:rPr>
          <w:rFonts w:hint="eastAsia" w:ascii="宋体" w:hAnsi="宋体"/>
          <w:sz w:val="24"/>
        </w:rPr>
        <w:t>项目名称：</w:t>
      </w:r>
      <w:bookmarkStart w:id="326" w:name="PO_3000001866_PM002_7"/>
      <w:r>
        <w:rPr>
          <w:rFonts w:hint="eastAsia" w:ascii="宋体" w:hAnsi="宋体"/>
          <w:sz w:val="24"/>
          <w:u w:val="single"/>
        </w:rPr>
        <w:t>[项目采购-项目名称]</w:t>
      </w:r>
      <w:bookmarkEnd w:id="326"/>
      <w:r>
        <w:rPr>
          <w:rFonts w:hint="eastAsia" w:ascii="宋体" w:hAnsi="宋体"/>
          <w:sz w:val="24"/>
        </w:rPr>
        <w:t xml:space="preserve">  项目编号：</w:t>
      </w:r>
      <w:bookmarkStart w:id="327" w:name="PO_3000001866_PM001_4"/>
      <w:r>
        <w:rPr>
          <w:rFonts w:hint="eastAsia" w:ascii="宋体" w:hAnsi="宋体"/>
          <w:sz w:val="24"/>
          <w:u w:val="single"/>
        </w:rPr>
        <w:t>[项目采购-项目编号_]</w:t>
      </w:r>
      <w:bookmarkEnd w:id="327"/>
      <w:r>
        <w:rPr>
          <w:rFonts w:hint="eastAsia" w:ascii="宋体" w:hAnsi="宋体"/>
          <w:sz w:val="24"/>
        </w:rPr>
        <w:t xml:space="preserve"> 分标：</w:t>
      </w:r>
    </w:p>
    <w:p w14:paraId="30957E85">
      <w:pPr>
        <w:pStyle w:val="18"/>
        <w:spacing w:line="360" w:lineRule="auto"/>
        <w:rPr>
          <w:b/>
          <w:sz w:val="32"/>
        </w:rPr>
      </w:pPr>
      <w:r>
        <w:rPr>
          <w:rFonts w:hint="eastAsia" w:hAnsi="宋体"/>
          <w:sz w:val="24"/>
        </w:rPr>
        <w:t>投标人名称：</w:t>
      </w:r>
    </w:p>
    <w:tbl>
      <w:tblPr>
        <w:tblStyle w:val="32"/>
        <w:tblW w:w="981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3573"/>
        <w:gridCol w:w="993"/>
        <w:gridCol w:w="1417"/>
        <w:gridCol w:w="1851"/>
      </w:tblGrid>
      <w:tr w14:paraId="1F98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14:paraId="00D0AC58">
            <w:pPr>
              <w:rPr>
                <w:rFonts w:ascii="宋体" w:hAnsi="宋体"/>
                <w:szCs w:val="22"/>
              </w:rPr>
            </w:pPr>
            <w:r>
              <w:rPr>
                <w:rFonts w:hint="eastAsia" w:ascii="宋体" w:hAnsi="宋体"/>
                <w:szCs w:val="22"/>
              </w:rPr>
              <w:t>序号</w:t>
            </w:r>
          </w:p>
        </w:tc>
        <w:tc>
          <w:tcPr>
            <w:tcW w:w="1260" w:type="dxa"/>
            <w:tcBorders>
              <w:top w:val="single" w:color="auto" w:sz="4" w:space="0"/>
              <w:left w:val="single" w:color="auto" w:sz="4" w:space="0"/>
              <w:bottom w:val="single" w:color="auto" w:sz="4" w:space="0"/>
              <w:right w:val="single" w:color="auto" w:sz="4" w:space="0"/>
            </w:tcBorders>
            <w:vAlign w:val="center"/>
          </w:tcPr>
          <w:p w14:paraId="5900B7B4">
            <w:pPr>
              <w:rPr>
                <w:rFonts w:ascii="宋体" w:hAnsi="宋体"/>
                <w:szCs w:val="22"/>
              </w:rPr>
            </w:pPr>
            <w:r>
              <w:rPr>
                <w:rFonts w:hint="eastAsia" w:ascii="宋体" w:hAnsi="宋体"/>
                <w:szCs w:val="22"/>
              </w:rPr>
              <w:t>服务名称</w:t>
            </w:r>
          </w:p>
        </w:tc>
        <w:tc>
          <w:tcPr>
            <w:tcW w:w="3573" w:type="dxa"/>
            <w:tcBorders>
              <w:top w:val="single" w:color="auto" w:sz="4" w:space="0"/>
              <w:left w:val="single" w:color="auto" w:sz="4" w:space="0"/>
              <w:bottom w:val="single" w:color="auto" w:sz="4" w:space="0"/>
              <w:right w:val="single" w:color="auto" w:sz="4" w:space="0"/>
            </w:tcBorders>
            <w:vAlign w:val="center"/>
          </w:tcPr>
          <w:p w14:paraId="23DAECE4">
            <w:pPr>
              <w:jc w:val="center"/>
              <w:rPr>
                <w:rFonts w:ascii="宋体" w:hAnsi="宋体"/>
                <w:szCs w:val="22"/>
              </w:rPr>
            </w:pPr>
            <w:r>
              <w:rPr>
                <w:rFonts w:hint="eastAsia" w:ascii="宋体" w:hAnsi="宋体"/>
                <w:szCs w:val="22"/>
              </w:rPr>
              <w:t>具体服务内容（含具体服务范围、服务时间、服务标准等内容）</w:t>
            </w:r>
          </w:p>
        </w:tc>
        <w:tc>
          <w:tcPr>
            <w:tcW w:w="993" w:type="dxa"/>
            <w:tcBorders>
              <w:top w:val="single" w:color="auto" w:sz="4" w:space="0"/>
              <w:left w:val="single" w:color="auto" w:sz="4" w:space="0"/>
              <w:bottom w:val="single" w:color="auto" w:sz="4" w:space="0"/>
              <w:right w:val="single" w:color="auto" w:sz="4" w:space="0"/>
            </w:tcBorders>
            <w:vAlign w:val="center"/>
          </w:tcPr>
          <w:p w14:paraId="7FB643DE">
            <w:pPr>
              <w:jc w:val="center"/>
              <w:rPr>
                <w:rFonts w:ascii="宋体" w:hAnsi="宋体"/>
                <w:szCs w:val="22"/>
              </w:rPr>
            </w:pPr>
            <w:r>
              <w:rPr>
                <w:rFonts w:hint="eastAsia" w:ascii="宋体" w:hAnsi="宋体"/>
                <w:szCs w:val="22"/>
              </w:rPr>
              <w:t>数量</w:t>
            </w:r>
          </w:p>
        </w:tc>
        <w:tc>
          <w:tcPr>
            <w:tcW w:w="1417" w:type="dxa"/>
            <w:tcBorders>
              <w:top w:val="single" w:color="auto" w:sz="4" w:space="0"/>
              <w:left w:val="single" w:color="auto" w:sz="4" w:space="0"/>
              <w:bottom w:val="single" w:color="auto" w:sz="4" w:space="0"/>
              <w:right w:val="single" w:color="auto" w:sz="4" w:space="0"/>
            </w:tcBorders>
            <w:vAlign w:val="center"/>
          </w:tcPr>
          <w:p w14:paraId="2C030F3E">
            <w:pPr>
              <w:jc w:val="center"/>
              <w:rPr>
                <w:rFonts w:ascii="宋体" w:hAnsi="宋体"/>
                <w:szCs w:val="22"/>
              </w:rPr>
            </w:pPr>
            <w:r>
              <w:rPr>
                <w:rFonts w:hint="eastAsia" w:ascii="宋体" w:hAnsi="宋体"/>
                <w:szCs w:val="22"/>
              </w:rPr>
              <w:t>投标报价</w:t>
            </w:r>
          </w:p>
          <w:p w14:paraId="37EAFA28">
            <w:pPr>
              <w:jc w:val="center"/>
              <w:rPr>
                <w:rFonts w:ascii="宋体" w:hAnsi="宋体"/>
                <w:szCs w:val="22"/>
              </w:rPr>
            </w:pPr>
            <w:r>
              <w:rPr>
                <w:rFonts w:hint="eastAsia" w:ascii="宋体" w:hAnsi="宋体"/>
                <w:szCs w:val="22"/>
              </w:rPr>
              <w:t>(元)</w:t>
            </w:r>
          </w:p>
        </w:tc>
        <w:tc>
          <w:tcPr>
            <w:tcW w:w="1851" w:type="dxa"/>
            <w:tcBorders>
              <w:top w:val="single" w:color="auto" w:sz="4" w:space="0"/>
              <w:left w:val="single" w:color="auto" w:sz="4" w:space="0"/>
              <w:bottom w:val="single" w:color="auto" w:sz="4" w:space="0"/>
              <w:right w:val="single" w:color="auto" w:sz="4" w:space="0"/>
            </w:tcBorders>
            <w:vAlign w:val="center"/>
          </w:tcPr>
          <w:p w14:paraId="4F7206F8">
            <w:pPr>
              <w:jc w:val="center"/>
              <w:rPr>
                <w:rFonts w:ascii="宋体" w:hAnsi="宋体"/>
                <w:szCs w:val="22"/>
              </w:rPr>
            </w:pPr>
            <w:r>
              <w:rPr>
                <w:rFonts w:hint="eastAsia" w:ascii="宋体" w:hAnsi="宋体"/>
                <w:szCs w:val="22"/>
              </w:rPr>
              <w:t>备注</w:t>
            </w:r>
          </w:p>
        </w:tc>
      </w:tr>
      <w:tr w14:paraId="3EAB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14:paraId="40D30834">
            <w:pPr>
              <w:rPr>
                <w:rFonts w:ascii="宋体" w:hAnsi="宋体"/>
                <w:szCs w:val="22"/>
              </w:rPr>
            </w:pPr>
            <w:r>
              <w:rPr>
                <w:rFonts w:hint="eastAsia" w:ascii="宋体" w:hAnsi="宋体"/>
                <w:szCs w:val="22"/>
              </w:rPr>
              <w:t>1</w:t>
            </w:r>
          </w:p>
        </w:tc>
        <w:tc>
          <w:tcPr>
            <w:tcW w:w="1260" w:type="dxa"/>
            <w:tcBorders>
              <w:top w:val="single" w:color="auto" w:sz="4" w:space="0"/>
              <w:left w:val="single" w:color="auto" w:sz="4" w:space="0"/>
              <w:bottom w:val="single" w:color="auto" w:sz="4" w:space="0"/>
              <w:right w:val="single" w:color="auto" w:sz="4" w:space="0"/>
            </w:tcBorders>
            <w:vAlign w:val="center"/>
          </w:tcPr>
          <w:p w14:paraId="184416F8">
            <w:pPr>
              <w:rPr>
                <w:rFonts w:ascii="宋体" w:hAnsi="宋体"/>
                <w:szCs w:val="22"/>
              </w:rPr>
            </w:pPr>
          </w:p>
        </w:tc>
        <w:tc>
          <w:tcPr>
            <w:tcW w:w="3573" w:type="dxa"/>
            <w:tcBorders>
              <w:top w:val="single" w:color="auto" w:sz="4" w:space="0"/>
              <w:left w:val="single" w:color="auto" w:sz="4" w:space="0"/>
              <w:bottom w:val="single" w:color="auto" w:sz="4" w:space="0"/>
              <w:right w:val="single" w:color="auto" w:sz="4" w:space="0"/>
            </w:tcBorders>
            <w:vAlign w:val="center"/>
          </w:tcPr>
          <w:p w14:paraId="31BAB976">
            <w:pPr>
              <w:rPr>
                <w:rFonts w:ascii="宋体" w:hAnsi="宋体"/>
                <w:szCs w:val="22"/>
              </w:rPr>
            </w:pPr>
          </w:p>
        </w:tc>
        <w:tc>
          <w:tcPr>
            <w:tcW w:w="993" w:type="dxa"/>
            <w:tcBorders>
              <w:top w:val="single" w:color="auto" w:sz="4" w:space="0"/>
              <w:left w:val="single" w:color="auto" w:sz="4" w:space="0"/>
              <w:bottom w:val="single" w:color="auto" w:sz="4" w:space="0"/>
              <w:right w:val="single" w:color="auto" w:sz="4" w:space="0"/>
            </w:tcBorders>
            <w:vAlign w:val="center"/>
          </w:tcPr>
          <w:p w14:paraId="3A61B3F0">
            <w:pPr>
              <w:rPr>
                <w:rFonts w:ascii="宋体" w:hAnsi="宋体"/>
                <w:szCs w:val="22"/>
              </w:rPr>
            </w:pPr>
          </w:p>
        </w:tc>
        <w:tc>
          <w:tcPr>
            <w:tcW w:w="1417" w:type="dxa"/>
            <w:tcBorders>
              <w:top w:val="single" w:color="auto" w:sz="4" w:space="0"/>
              <w:left w:val="single" w:color="auto" w:sz="4" w:space="0"/>
              <w:bottom w:val="single" w:color="auto" w:sz="4" w:space="0"/>
              <w:right w:val="single" w:color="auto" w:sz="4" w:space="0"/>
            </w:tcBorders>
            <w:vAlign w:val="center"/>
          </w:tcPr>
          <w:p w14:paraId="7076E113">
            <w:pPr>
              <w:rPr>
                <w:rFonts w:ascii="宋体" w:hAnsi="宋体"/>
                <w:szCs w:val="22"/>
              </w:rPr>
            </w:pPr>
          </w:p>
        </w:tc>
        <w:tc>
          <w:tcPr>
            <w:tcW w:w="1851" w:type="dxa"/>
            <w:tcBorders>
              <w:top w:val="single" w:color="auto" w:sz="4" w:space="0"/>
              <w:left w:val="single" w:color="auto" w:sz="4" w:space="0"/>
              <w:bottom w:val="single" w:color="auto" w:sz="4" w:space="0"/>
              <w:right w:val="single" w:color="auto" w:sz="4" w:space="0"/>
            </w:tcBorders>
            <w:vAlign w:val="center"/>
          </w:tcPr>
          <w:p w14:paraId="1E0D88EA">
            <w:pPr>
              <w:jc w:val="center"/>
              <w:rPr>
                <w:rFonts w:ascii="宋体" w:hAnsi="宋体"/>
                <w:szCs w:val="22"/>
              </w:rPr>
            </w:pPr>
          </w:p>
        </w:tc>
      </w:tr>
      <w:tr w14:paraId="5587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6"/>
            <w:tcBorders>
              <w:top w:val="single" w:color="auto" w:sz="4" w:space="0"/>
              <w:left w:val="single" w:color="auto" w:sz="4" w:space="0"/>
              <w:bottom w:val="single" w:color="auto" w:sz="4" w:space="0"/>
              <w:right w:val="single" w:color="auto" w:sz="4" w:space="0"/>
            </w:tcBorders>
          </w:tcPr>
          <w:p w14:paraId="77124644">
            <w:pPr>
              <w:rPr>
                <w:rFonts w:ascii="宋体" w:hAnsi="宋体"/>
                <w:szCs w:val="22"/>
              </w:rPr>
            </w:pPr>
            <w:r>
              <w:rPr>
                <w:rFonts w:hint="eastAsia" w:ascii="宋体" w:hAnsi="宋体"/>
                <w:szCs w:val="21"/>
                <w:u w:val="single"/>
              </w:rPr>
              <w:t>　　</w:t>
            </w:r>
            <w:r>
              <w:rPr>
                <w:rFonts w:hint="eastAsia" w:ascii="宋体" w:hAnsi="宋体"/>
                <w:szCs w:val="21"/>
              </w:rPr>
              <w:t>分标（此处有分标时填写具体分标号，无分标时填写“无”）</w:t>
            </w:r>
          </w:p>
        </w:tc>
      </w:tr>
      <w:tr w14:paraId="203D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6"/>
            <w:tcBorders>
              <w:top w:val="single" w:color="auto" w:sz="4" w:space="0"/>
              <w:left w:val="single" w:color="auto" w:sz="4" w:space="0"/>
              <w:bottom w:val="single" w:color="auto" w:sz="4" w:space="0"/>
              <w:right w:val="single" w:color="auto" w:sz="4" w:space="0"/>
            </w:tcBorders>
          </w:tcPr>
          <w:p w14:paraId="496BD911">
            <w:pPr>
              <w:rPr>
                <w:rFonts w:ascii="宋体" w:hAnsi="宋体"/>
                <w:szCs w:val="22"/>
              </w:rPr>
            </w:pPr>
            <w:r>
              <w:rPr>
                <w:rFonts w:hint="eastAsia" w:ascii="宋体" w:hAnsi="宋体"/>
                <w:szCs w:val="22"/>
              </w:rPr>
              <w:t>验收标准：</w:t>
            </w:r>
          </w:p>
        </w:tc>
      </w:tr>
      <w:tr w14:paraId="17BC4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6"/>
            <w:tcBorders>
              <w:top w:val="single" w:color="auto" w:sz="4" w:space="0"/>
              <w:left w:val="single" w:color="auto" w:sz="4" w:space="0"/>
              <w:bottom w:val="single" w:color="auto" w:sz="4" w:space="0"/>
              <w:right w:val="single" w:color="auto" w:sz="4" w:space="0"/>
            </w:tcBorders>
          </w:tcPr>
          <w:p w14:paraId="0E103C7C">
            <w:pPr>
              <w:rPr>
                <w:rFonts w:ascii="宋体" w:hAnsi="宋体"/>
                <w:szCs w:val="22"/>
              </w:rPr>
            </w:pPr>
            <w:r>
              <w:rPr>
                <w:rFonts w:hint="eastAsia" w:ascii="宋体" w:hAnsi="宋体"/>
                <w:szCs w:val="22"/>
              </w:rPr>
              <w:t>优惠及其它：</w:t>
            </w:r>
          </w:p>
        </w:tc>
      </w:tr>
    </w:tbl>
    <w:p w14:paraId="18D1ED96">
      <w:pPr>
        <w:snapToGrid w:val="0"/>
        <w:spacing w:before="50" w:after="50"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注： </w:t>
      </w:r>
    </w:p>
    <w:p w14:paraId="2EEF4704">
      <w:pPr>
        <w:snapToGrid w:val="0"/>
        <w:spacing w:before="50" w:after="50"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1、 投标人需按本表格式填写，不得自行更改，也不得留空, 如有多分标，按分标分别提供开标一览表，必须加盖投标人有效电子公章，</w:t>
      </w:r>
      <w:r>
        <w:rPr>
          <w:rFonts w:hint="eastAsia" w:ascii="仿宋_GB2312" w:hAnsi="仿宋" w:eastAsia="仿宋_GB2312" w:cs="仿宋_GB2312"/>
          <w:b/>
          <w:kern w:val="0"/>
          <w:sz w:val="24"/>
          <w:lang w:val="zh-CN"/>
        </w:rPr>
        <w:t>否则其投标作无效标处理。</w:t>
      </w:r>
    </w:p>
    <w:p w14:paraId="2643AE6D">
      <w:pPr>
        <w:snapToGrid w:val="0"/>
        <w:spacing w:before="50" w:after="50"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2、本表内容均不能涂改，</w:t>
      </w:r>
      <w:r>
        <w:rPr>
          <w:rFonts w:hint="eastAsia" w:ascii="仿宋_GB2312" w:hAnsi="仿宋" w:eastAsia="仿宋_GB2312" w:cs="仿宋_GB2312"/>
          <w:b/>
          <w:kern w:val="0"/>
          <w:sz w:val="24"/>
          <w:lang w:val="zh-CN"/>
        </w:rPr>
        <w:t>否则其投标作无效标处理。</w:t>
      </w:r>
    </w:p>
    <w:p w14:paraId="623B95BB">
      <w:pPr>
        <w:snapToGrid w:val="0"/>
        <w:spacing w:before="50" w:after="50" w:line="360" w:lineRule="auto"/>
        <w:ind w:firstLine="480" w:firstLineChars="200"/>
        <w:jc w:val="left"/>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3、如为联合体投标，“投标人名称”处必须列明联合体各方名称，并标注联合体牵头人名称，且盖章处须加盖联合体各方公章，</w:t>
      </w:r>
      <w:r>
        <w:rPr>
          <w:rFonts w:hint="eastAsia" w:ascii="仿宋_GB2312" w:hAnsi="仿宋" w:eastAsia="仿宋_GB2312" w:cs="仿宋_GB2312"/>
          <w:b/>
          <w:kern w:val="0"/>
          <w:sz w:val="24"/>
          <w:lang w:val="zh-CN"/>
        </w:rPr>
        <w:t>否则其投标作无效标处理。</w:t>
      </w:r>
    </w:p>
    <w:p w14:paraId="6A7179FE">
      <w:pPr>
        <w:snapToGrid w:val="0"/>
        <w:spacing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4、以上表格要求细分项目及报价，在“具体服务内容”一栏中，填写具体服务范围、服务时间、服务标准，</w:t>
      </w:r>
      <w:r>
        <w:rPr>
          <w:rFonts w:hint="eastAsia" w:ascii="仿宋_GB2312" w:hAnsi="仿宋" w:eastAsia="仿宋_GB2312" w:cs="仿宋_GB2312"/>
          <w:b/>
          <w:kern w:val="0"/>
          <w:sz w:val="24"/>
          <w:lang w:val="zh-CN"/>
        </w:rPr>
        <w:t>否则其投标作无效标处理。</w:t>
      </w:r>
    </w:p>
    <w:p w14:paraId="2299B710">
      <w:pPr>
        <w:snapToGrid w:val="0"/>
        <w:spacing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5、特别提示：采购机构将对项目名称和项目编号，中标供应商名称、地址和中标金额，主要中标标的的名称、服务范围、服务要求、服务时间、服务标准等予以公示。</w:t>
      </w:r>
    </w:p>
    <w:p w14:paraId="0EDAB647">
      <w:pPr>
        <w:snapToGrid w:val="0"/>
        <w:spacing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szCs w:val="22"/>
          <w:lang w:val="zh-CN"/>
        </w:rPr>
        <w:t>6、</w:t>
      </w:r>
      <w:r>
        <w:rPr>
          <w:rFonts w:hint="eastAsia" w:ascii="仿宋_GB2312" w:hAnsi="仿宋" w:eastAsia="仿宋_GB2312" w:cs="仿宋_GB2312"/>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B8D077B">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7158ADC2">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  日</w:t>
      </w:r>
    </w:p>
    <w:p w14:paraId="44494DC0">
      <w:pPr>
        <w:widowControl/>
        <w:jc w:val="left"/>
        <w:rPr>
          <w:rFonts w:ascii="宋体" w:hAnsi="宋体"/>
          <w:sz w:val="30"/>
          <w:szCs w:val="20"/>
        </w:rPr>
        <w:sectPr>
          <w:pgSz w:w="11906" w:h="16838"/>
          <w:pgMar w:top="1134" w:right="1134" w:bottom="1134" w:left="1134" w:header="720" w:footer="720" w:gutter="0"/>
          <w:cols w:space="720" w:num="1"/>
          <w:docGrid w:type="lines" w:linePitch="331" w:charSpace="0"/>
        </w:sectPr>
      </w:pPr>
    </w:p>
    <w:p w14:paraId="576EC1F0">
      <w:pPr>
        <w:pStyle w:val="18"/>
        <w:jc w:val="center"/>
        <w:rPr>
          <w:rFonts w:ascii="Times New Roman" w:hAnsi="Times New Roman"/>
          <w:b/>
          <w:sz w:val="30"/>
          <w:szCs w:val="30"/>
        </w:rPr>
      </w:pPr>
      <w:r>
        <w:rPr>
          <w:rFonts w:hint="eastAsia" w:ascii="Times New Roman" w:hAnsi="Times New Roman"/>
          <w:b/>
          <w:sz w:val="30"/>
          <w:szCs w:val="30"/>
        </w:rPr>
        <w:t>三、中小企业声明函</w:t>
      </w:r>
    </w:p>
    <w:p w14:paraId="6464F403">
      <w:pPr>
        <w:pStyle w:val="15"/>
        <w:spacing w:line="240" w:lineRule="auto"/>
        <w:ind w:firstLine="0"/>
        <w:rPr>
          <w:rFonts w:ascii="Times New Roman" w:hAnsi="Times New Roman"/>
          <w:sz w:val="21"/>
          <w:szCs w:val="21"/>
        </w:rPr>
      </w:pPr>
      <w:r>
        <w:rPr>
          <w:rFonts w:hint="eastAsia" w:ascii="Times New Roman" w:hAnsi="宋体"/>
          <w:sz w:val="21"/>
          <w:szCs w:val="21"/>
        </w:rPr>
        <w:t>说明：</w:t>
      </w:r>
    </w:p>
    <w:p w14:paraId="30832649">
      <w:pPr>
        <w:pStyle w:val="15"/>
        <w:spacing w:line="240" w:lineRule="auto"/>
        <w:ind w:firstLine="404" w:firstLineChars="200"/>
        <w:rPr>
          <w:rFonts w:ascii="Times New Roman" w:hAnsi="Times New Roman"/>
          <w:sz w:val="21"/>
          <w:szCs w:val="21"/>
        </w:rPr>
      </w:pPr>
      <w:r>
        <w:rPr>
          <w:rFonts w:ascii="Times New Roman" w:hAnsi="Times New Roman"/>
          <w:sz w:val="21"/>
          <w:szCs w:val="21"/>
        </w:rPr>
        <w:t>1</w:t>
      </w:r>
      <w:r>
        <w:rPr>
          <w:rFonts w:hint="eastAsia" w:ascii="Times New Roman" w:hAnsi="宋体"/>
          <w:sz w:val="21"/>
          <w:szCs w:val="21"/>
        </w:rPr>
        <w:t>、本声明函主要供参加政府采购活动的中小企业填写，非中小企业无需填写。</w:t>
      </w:r>
    </w:p>
    <w:p w14:paraId="79CFF27F">
      <w:pPr>
        <w:pStyle w:val="15"/>
        <w:spacing w:line="240" w:lineRule="auto"/>
        <w:ind w:firstLine="404" w:firstLineChars="200"/>
        <w:rPr>
          <w:rFonts w:ascii="Times New Roman" w:hAnsi="宋体"/>
          <w:sz w:val="21"/>
          <w:szCs w:val="21"/>
        </w:rPr>
      </w:pPr>
      <w:r>
        <w:rPr>
          <w:rFonts w:ascii="Times New Roman" w:hAnsi="Times New Roman"/>
          <w:sz w:val="21"/>
          <w:szCs w:val="21"/>
        </w:rPr>
        <w:t>2</w:t>
      </w:r>
      <w:r>
        <w:rPr>
          <w:rFonts w:hint="eastAsia" w:ascii="Times New Roman" w:hAnsi="宋体"/>
          <w:sz w:val="21"/>
          <w:szCs w:val="21"/>
        </w:rPr>
        <w:t>、小型、微型企业提供中型企业提供的服务的，视同为中型企业。</w:t>
      </w:r>
    </w:p>
    <w:p w14:paraId="083F030E">
      <w:pPr>
        <w:pStyle w:val="15"/>
        <w:spacing w:line="240" w:lineRule="auto"/>
        <w:ind w:firstLine="404" w:firstLineChars="200"/>
        <w:rPr>
          <w:rFonts w:ascii="Times New Roman" w:hAnsi="宋体"/>
          <w:sz w:val="21"/>
          <w:szCs w:val="21"/>
        </w:rPr>
      </w:pPr>
    </w:p>
    <w:p w14:paraId="4C5C1A67">
      <w:pPr>
        <w:pStyle w:val="14"/>
        <w:spacing w:line="500" w:lineRule="exact"/>
        <w:ind w:right="142" w:firstLine="420" w:firstLineChars="200"/>
        <w:rPr>
          <w:rFonts w:ascii="宋体" w:hAnsi="宋体"/>
        </w:rPr>
      </w:pPr>
      <w:r>
        <w:rPr>
          <w:rFonts w:hint="eastAsia" w:ascii="宋体" w:hAnsi="宋体"/>
        </w:rPr>
        <w:t>本公司（联合体）郑重声明，根据《政府采购促进中小企业发展管理办法》（财库﹝2020﹞46号）的规定，本公司（联合体）参加</w:t>
      </w:r>
      <w:bookmarkStart w:id="328" w:name="PO_3000001866_PM026_8"/>
      <w:r>
        <w:rPr>
          <w:rFonts w:hint="eastAsia" w:ascii="宋体" w:hAnsi="宋体"/>
          <w:u w:val="single"/>
        </w:rPr>
        <w:t>[项目采购-采购人_]</w:t>
      </w:r>
      <w:bookmarkEnd w:id="328"/>
      <w:r>
        <w:rPr>
          <w:rFonts w:hint="eastAsia" w:ascii="宋体" w:hAnsi="宋体"/>
        </w:rPr>
        <w:t>的</w:t>
      </w:r>
      <w:bookmarkStart w:id="329" w:name="PO_3000001866_PM002_4"/>
      <w:r>
        <w:rPr>
          <w:rFonts w:hint="eastAsia" w:ascii="宋体" w:hAnsi="宋体"/>
          <w:u w:val="single"/>
        </w:rPr>
        <w:t>[项目采购-项目名称]</w:t>
      </w:r>
      <w:bookmarkEnd w:id="329"/>
      <w:r>
        <w:rPr>
          <w:rFonts w:hint="eastAsia" w:ascii="宋体" w:hAnsi="宋体"/>
        </w:rPr>
        <w:t>采购活动，服务全部由符合政策要求的中小企业承接。相关企业（含联合体中的中小企业、签订分包意向协议的中小企业）的具体情况如下：</w:t>
      </w:r>
    </w:p>
    <w:p w14:paraId="1D6875C6">
      <w:pPr>
        <w:tabs>
          <w:tab w:val="left" w:pos="1384"/>
          <w:tab w:val="left" w:pos="4562"/>
          <w:tab w:val="left" w:pos="6803"/>
        </w:tabs>
        <w:spacing w:before="13" w:line="500" w:lineRule="exact"/>
        <w:ind w:right="142" w:firstLine="600" w:firstLineChars="286"/>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，属于</w:t>
      </w:r>
      <w:r>
        <w:rPr>
          <w:rFonts w:hint="eastAsia" w:ascii="宋体" w:hAnsi="宋体"/>
          <w:szCs w:val="21"/>
          <w:u w:val="single"/>
        </w:rPr>
        <w:t>（采购文件中明确的所属行业）</w:t>
      </w:r>
      <w:r>
        <w:rPr>
          <w:rFonts w:hint="eastAsia" w:ascii="宋体" w:hAnsi="宋体"/>
          <w:szCs w:val="21"/>
        </w:rPr>
        <w:t>；承接企业为</w:t>
      </w:r>
      <w:r>
        <w:rPr>
          <w:rFonts w:hint="eastAsia" w:ascii="宋体" w:hAnsi="宋体"/>
          <w:szCs w:val="21"/>
          <w:u w:val="single"/>
        </w:rPr>
        <w:t>（企业名称）</w:t>
      </w:r>
      <w:r>
        <w:rPr>
          <w:rFonts w:hint="eastAsia" w:ascii="宋体" w:hAnsi="宋体"/>
          <w:szCs w:val="21"/>
        </w:rPr>
        <w:t>，从业人员人，营业收入为万元，资产总额为万元，属于</w:t>
      </w:r>
      <w:r>
        <w:rPr>
          <w:rFonts w:hint="eastAsia" w:ascii="宋体" w:hAnsi="宋体"/>
          <w:szCs w:val="21"/>
          <w:u w:val="single"/>
        </w:rPr>
        <w:t>（中型企业、小型企业、微型企业）</w:t>
      </w:r>
      <w:r>
        <w:rPr>
          <w:rFonts w:hint="eastAsia" w:ascii="宋体" w:hAnsi="宋体"/>
          <w:szCs w:val="21"/>
        </w:rPr>
        <w:t>；</w:t>
      </w:r>
    </w:p>
    <w:p w14:paraId="73248314">
      <w:pPr>
        <w:tabs>
          <w:tab w:val="left" w:pos="1065"/>
          <w:tab w:val="left" w:pos="4262"/>
          <w:tab w:val="left" w:pos="6477"/>
        </w:tabs>
        <w:spacing w:before="20" w:line="500" w:lineRule="exact"/>
        <w:ind w:right="84" w:firstLine="600" w:firstLineChars="286"/>
        <w:rPr>
          <w:rFonts w:ascii="宋体" w:hAnsi="宋体"/>
          <w:szCs w:val="21"/>
          <w:u w:val="single"/>
        </w:rPr>
      </w:pPr>
      <w:r>
        <w:rPr>
          <w:rFonts w:hint="eastAsia" w:ascii="宋体" w:hAnsi="宋体"/>
          <w:szCs w:val="21"/>
        </w:rPr>
        <w:t>2.</w:t>
      </w:r>
      <w:r>
        <w:rPr>
          <w:rFonts w:hint="eastAsia" w:ascii="宋体" w:hAnsi="宋体"/>
          <w:szCs w:val="21"/>
          <w:u w:val="single"/>
        </w:rPr>
        <w:t>（标的名称）</w:t>
      </w:r>
      <w:r>
        <w:rPr>
          <w:rFonts w:hint="eastAsia" w:ascii="宋体" w:hAnsi="宋体"/>
          <w:szCs w:val="21"/>
        </w:rPr>
        <w:t>，属于</w:t>
      </w:r>
      <w:r>
        <w:rPr>
          <w:rFonts w:hint="eastAsia" w:ascii="宋体" w:hAnsi="宋体"/>
          <w:szCs w:val="21"/>
          <w:u w:val="single"/>
        </w:rPr>
        <w:t>（采购文件中明确的所属行业）</w:t>
      </w:r>
      <w:r>
        <w:rPr>
          <w:rFonts w:hint="eastAsia" w:ascii="宋体" w:hAnsi="宋体"/>
          <w:szCs w:val="21"/>
        </w:rPr>
        <w:t>；承接企业为</w:t>
      </w:r>
      <w:r>
        <w:rPr>
          <w:rFonts w:hint="eastAsia" w:ascii="宋体" w:hAnsi="宋体"/>
          <w:szCs w:val="21"/>
          <w:u w:val="single"/>
        </w:rPr>
        <w:t>（企业名称）</w:t>
      </w:r>
      <w:r>
        <w:rPr>
          <w:rFonts w:hint="eastAsia" w:ascii="宋体" w:hAnsi="宋体"/>
          <w:szCs w:val="21"/>
        </w:rPr>
        <w:t>，从业人员人，营业收入为万元，资产总额为万元，属于</w:t>
      </w:r>
      <w:r>
        <w:rPr>
          <w:rFonts w:hint="eastAsia" w:ascii="宋体" w:hAnsi="宋体"/>
          <w:szCs w:val="21"/>
          <w:u w:val="single"/>
        </w:rPr>
        <w:t>（中型企业、小型企业、微型企业）</w:t>
      </w:r>
      <w:r>
        <w:rPr>
          <w:rFonts w:hint="eastAsia" w:ascii="宋体" w:hAnsi="宋体"/>
          <w:szCs w:val="21"/>
        </w:rPr>
        <w:t>；</w:t>
      </w:r>
    </w:p>
    <w:p w14:paraId="56D9C5A2">
      <w:pPr>
        <w:pStyle w:val="14"/>
        <w:spacing w:before="34" w:line="500" w:lineRule="exact"/>
        <w:ind w:left="765" w:right="142" w:hanging="5"/>
        <w:rPr>
          <w:rFonts w:ascii="宋体" w:hAnsi="宋体"/>
        </w:rPr>
      </w:pPr>
      <w:r>
        <w:rPr>
          <w:rFonts w:hint="eastAsia" w:ascii="宋体" w:hAnsi="宋体"/>
        </w:rPr>
        <w:t xml:space="preserve">…… </w:t>
      </w:r>
    </w:p>
    <w:p w14:paraId="749A5686">
      <w:pPr>
        <w:pStyle w:val="14"/>
        <w:spacing w:before="34" w:line="500" w:lineRule="exact"/>
        <w:ind w:right="142" w:firstLine="420" w:firstLineChars="200"/>
        <w:rPr>
          <w:rFonts w:ascii="宋体" w:hAnsi="宋体"/>
        </w:rPr>
      </w:pPr>
      <w:r>
        <w:rPr>
          <w:rFonts w:hint="eastAsia" w:ascii="宋体" w:hAnsi="宋体"/>
        </w:rPr>
        <w:t>以上企业，不属于大企业的分支机构，不存在控股股东为大企业的情形，也不存在与大企业的负责人为同一人的情形。</w:t>
      </w:r>
    </w:p>
    <w:p w14:paraId="70636290">
      <w:pPr>
        <w:pStyle w:val="14"/>
        <w:spacing w:before="34" w:line="500" w:lineRule="exact"/>
        <w:ind w:right="142" w:firstLine="420" w:firstLineChars="200"/>
        <w:rPr>
          <w:rFonts w:ascii="宋体" w:hAnsi="宋体"/>
        </w:rPr>
      </w:pPr>
      <w:r>
        <w:rPr>
          <w:rFonts w:hint="eastAsia" w:ascii="宋体" w:hAnsi="宋体"/>
        </w:rPr>
        <w:t>本企业对上述声明内容的真实性负责。如有虚假，将依法承担相应责任。</w:t>
      </w:r>
    </w:p>
    <w:p w14:paraId="24F10CF1">
      <w:pPr>
        <w:pStyle w:val="18"/>
        <w:spacing w:line="360" w:lineRule="auto"/>
        <w:ind w:firstLine="420" w:firstLineChars="200"/>
        <w:rPr>
          <w:rFonts w:hAnsi="宋体"/>
          <w:szCs w:val="21"/>
        </w:rPr>
      </w:pPr>
    </w:p>
    <w:p w14:paraId="2FD7F10E">
      <w:pPr>
        <w:pStyle w:val="18"/>
        <w:spacing w:line="360" w:lineRule="auto"/>
        <w:ind w:firstLine="420" w:firstLineChars="200"/>
        <w:rPr>
          <w:rFonts w:hAnsi="宋体"/>
          <w:szCs w:val="21"/>
        </w:rPr>
      </w:pPr>
    </w:p>
    <w:p w14:paraId="19B176B4">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5939CC95">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713311E9">
      <w:pPr>
        <w:pStyle w:val="18"/>
        <w:spacing w:line="360" w:lineRule="auto"/>
        <w:ind w:firstLine="420" w:firstLineChars="200"/>
        <w:rPr>
          <w:rFonts w:hAnsi="宋体"/>
          <w:szCs w:val="21"/>
        </w:rPr>
      </w:pPr>
    </w:p>
    <w:p w14:paraId="7A87AB30">
      <w:pPr>
        <w:snapToGrid w:val="0"/>
        <w:spacing w:before="50" w:afterLines="50" w:line="360" w:lineRule="auto"/>
        <w:jc w:val="left"/>
        <w:rPr>
          <w:rFonts w:hAnsi="宋体" w:cs="宋体"/>
          <w:sz w:val="20"/>
        </w:rPr>
      </w:pPr>
      <w:r>
        <w:rPr>
          <w:rFonts w:hint="eastAsia" w:hAnsi="宋体" w:cs="宋体"/>
          <w:sz w:val="20"/>
        </w:rPr>
        <w:t>注：</w:t>
      </w:r>
    </w:p>
    <w:p w14:paraId="06C49664">
      <w:pPr>
        <w:numPr>
          <w:ilvl w:val="0"/>
          <w:numId w:val="7"/>
        </w:numPr>
        <w:snapToGrid w:val="0"/>
        <w:spacing w:before="50" w:afterLines="50" w:line="360" w:lineRule="auto"/>
        <w:jc w:val="left"/>
        <w:rPr>
          <w:sz w:val="20"/>
        </w:rPr>
      </w:pPr>
      <w:r>
        <w:rPr>
          <w:rFonts w:hint="eastAsia"/>
          <w:sz w:val="20"/>
        </w:rPr>
        <w:t>从业人员、营业收入、资产总额填报上一年度数据，无上一年度数据的新成立企业可不填报。</w:t>
      </w:r>
    </w:p>
    <w:p w14:paraId="7AA8B034">
      <w:pPr>
        <w:numPr>
          <w:ilvl w:val="0"/>
          <w:numId w:val="7"/>
        </w:numPr>
        <w:snapToGrid w:val="0"/>
        <w:spacing w:before="50" w:afterLines="50" w:line="360" w:lineRule="auto"/>
        <w:jc w:val="left"/>
        <w:rPr>
          <w:sz w:val="20"/>
        </w:rPr>
      </w:pPr>
      <w:r>
        <w:rPr>
          <w:rFonts w:hint="eastAsia"/>
          <w:sz w:val="20"/>
        </w:rPr>
        <w:t>请根据自己的真实情况出具《中小企业声明函》。依法享受中小企业优惠政策的，采购人或者采购代理机构在公告中标结果时，同时公告其《中小企业声明函》，接受社会监督。</w:t>
      </w:r>
    </w:p>
    <w:p w14:paraId="7F380962">
      <w:pPr>
        <w:snapToGrid w:val="0"/>
        <w:spacing w:before="50" w:afterLines="50" w:line="360" w:lineRule="auto"/>
        <w:jc w:val="left"/>
        <w:rPr>
          <w:sz w:val="20"/>
        </w:rPr>
      </w:pPr>
    </w:p>
    <w:p w14:paraId="21A05B7E">
      <w:pPr>
        <w:snapToGrid w:val="0"/>
        <w:spacing w:before="50" w:afterLines="50" w:line="360" w:lineRule="auto"/>
        <w:jc w:val="left"/>
        <w:rPr>
          <w:sz w:val="20"/>
        </w:rPr>
      </w:pPr>
    </w:p>
    <w:p w14:paraId="34396B12">
      <w:pPr>
        <w:snapToGrid w:val="0"/>
        <w:spacing w:before="50" w:afterLines="50" w:line="360" w:lineRule="auto"/>
        <w:jc w:val="left"/>
        <w:rPr>
          <w:sz w:val="20"/>
        </w:rPr>
      </w:pPr>
    </w:p>
    <w:p w14:paraId="20807BA4">
      <w:pPr>
        <w:pStyle w:val="18"/>
        <w:jc w:val="center"/>
        <w:rPr>
          <w:rFonts w:ascii="Times New Roman" w:hAnsi="Times New Roman"/>
          <w:b/>
          <w:sz w:val="30"/>
          <w:szCs w:val="30"/>
        </w:rPr>
        <w:sectPr>
          <w:pgSz w:w="11906" w:h="16838"/>
          <w:pgMar w:top="1134" w:right="1134" w:bottom="1134" w:left="1134" w:header="720" w:footer="720" w:gutter="0"/>
          <w:cols w:space="720" w:num="1"/>
          <w:docGrid w:type="lines" w:linePitch="331" w:charSpace="0"/>
        </w:sectPr>
      </w:pPr>
      <w:r>
        <w:rPr>
          <w:rFonts w:hint="eastAsia" w:ascii="Times New Roman" w:hAnsi="Times New Roman"/>
          <w:b/>
          <w:sz w:val="30"/>
          <w:szCs w:val="30"/>
        </w:rPr>
        <w:t>4.投标人针对报价需要说明的其他文件和说明。</w:t>
      </w:r>
    </w:p>
    <w:p w14:paraId="59FF2856">
      <w:pPr>
        <w:snapToGrid w:val="0"/>
        <w:spacing w:beforeLines="50" w:after="50"/>
        <w:jc w:val="center"/>
        <w:outlineLvl w:val="1"/>
        <w:rPr>
          <w:rFonts w:ascii="宋体" w:hAnsi="宋体"/>
          <w:b/>
          <w:bCs/>
          <w:sz w:val="28"/>
          <w:szCs w:val="28"/>
        </w:rPr>
      </w:pPr>
      <w:bookmarkStart w:id="330" w:name="_Toc187761577"/>
      <w:bookmarkStart w:id="331" w:name="_Toc19686840"/>
      <w:r>
        <w:rPr>
          <w:rFonts w:hint="eastAsia" w:ascii="宋体" w:hAnsi="宋体"/>
          <w:b/>
          <w:bCs/>
          <w:sz w:val="28"/>
          <w:szCs w:val="28"/>
        </w:rPr>
        <w:t>第六节 其他文书、文件格式</w:t>
      </w:r>
      <w:bookmarkEnd w:id="330"/>
      <w:bookmarkEnd w:id="331"/>
    </w:p>
    <w:p w14:paraId="57CC02F2">
      <w:pPr>
        <w:jc w:val="center"/>
        <w:rPr>
          <w:rFonts w:ascii="宋体" w:hAnsi="宋体" w:cs="宋体"/>
          <w:b/>
          <w:bCs/>
          <w:sz w:val="32"/>
          <w:szCs w:val="32"/>
        </w:rPr>
      </w:pPr>
    </w:p>
    <w:p w14:paraId="6F3B4558">
      <w:pPr>
        <w:jc w:val="center"/>
        <w:rPr>
          <w:rFonts w:ascii="宋体" w:hAnsi="宋体" w:cs="宋体"/>
          <w:b/>
          <w:bCs/>
          <w:sz w:val="32"/>
          <w:szCs w:val="32"/>
        </w:rPr>
      </w:pPr>
      <w:r>
        <w:rPr>
          <w:rFonts w:hint="eastAsia" w:ascii="宋体" w:hAnsi="宋体" w:cs="宋体"/>
          <w:b/>
          <w:bCs/>
          <w:sz w:val="32"/>
          <w:szCs w:val="32"/>
        </w:rPr>
        <w:t>知识产权合规性声明</w:t>
      </w:r>
    </w:p>
    <w:p w14:paraId="0C7870AB">
      <w:pPr>
        <w:rPr>
          <w:rFonts w:ascii="仿宋_GB2312" w:hAnsi="仿宋_GB2312" w:eastAsia="仿宋_GB2312" w:cs="仿宋_GB2312"/>
          <w:sz w:val="30"/>
          <w:szCs w:val="30"/>
        </w:rPr>
      </w:pPr>
    </w:p>
    <w:p w14:paraId="72EB23FD">
      <w:pPr>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本企业自愿参与政府投资政府采购的</w:t>
      </w:r>
      <w:bookmarkStart w:id="332" w:name="PO_3000001866_PM002_5"/>
      <w:r>
        <w:rPr>
          <w:rFonts w:hint="eastAsia" w:ascii="仿宋_GB2312" w:hAnsi="仿宋_GB2312" w:eastAsia="仿宋_GB2312" w:cs="仿宋_GB2312"/>
          <w:sz w:val="30"/>
          <w:szCs w:val="30"/>
          <w:u w:val="single"/>
        </w:rPr>
        <w:t>[项目采购-项目名称_]</w:t>
      </w:r>
      <w:bookmarkEnd w:id="332"/>
      <w:r>
        <w:rPr>
          <w:rFonts w:hint="eastAsia" w:ascii="仿宋_GB2312" w:hAnsi="仿宋_GB2312" w:eastAsia="仿宋_GB2312" w:cs="仿宋_GB2312"/>
          <w:sz w:val="30"/>
          <w:szCs w:val="30"/>
        </w:rPr>
        <w:t>项目，</w:t>
      </w:r>
      <w:r>
        <w:rPr>
          <w:rFonts w:hint="eastAsia" w:ascii="仿宋_GB2312" w:hAnsi="仿宋_GB2312" w:eastAsia="仿宋_GB2312" w:cs="仿宋_GB2312"/>
          <w:b/>
          <w:bCs/>
          <w:sz w:val="30"/>
          <w:szCs w:val="30"/>
        </w:rPr>
        <w:t>在此郑重承诺：</w:t>
      </w:r>
      <w:r>
        <w:rPr>
          <w:rFonts w:hint="eastAsia" w:ascii="仿宋_GB2312" w:hAnsi="仿宋_GB2312" w:eastAsia="仿宋_GB2312" w:cs="仿宋_GB2312"/>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1A39E6CA">
      <w:pPr>
        <w:snapToGrid w:val="0"/>
        <w:spacing w:line="360" w:lineRule="auto"/>
        <w:ind w:left="5137" w:leftChars="1736" w:hanging="1491" w:hangingChars="825"/>
        <w:rPr>
          <w:b/>
          <w:sz w:val="18"/>
          <w:szCs w:val="18"/>
        </w:rPr>
      </w:pPr>
    </w:p>
    <w:p w14:paraId="73E86694">
      <w:pPr>
        <w:snapToGrid w:val="0"/>
        <w:spacing w:line="360" w:lineRule="auto"/>
        <w:ind w:left="5137" w:leftChars="1736" w:hanging="1491" w:hangingChars="825"/>
        <w:rPr>
          <w:b/>
          <w:sz w:val="18"/>
          <w:szCs w:val="18"/>
        </w:rPr>
      </w:pPr>
    </w:p>
    <w:p w14:paraId="51CA86A2">
      <w:pPr>
        <w:snapToGrid w:val="0"/>
        <w:spacing w:line="360" w:lineRule="auto"/>
        <w:ind w:left="5137" w:leftChars="1736" w:hanging="1491" w:hangingChars="825"/>
        <w:rPr>
          <w:b/>
          <w:sz w:val="18"/>
          <w:szCs w:val="18"/>
        </w:rPr>
      </w:pPr>
    </w:p>
    <w:p w14:paraId="0223C5C5">
      <w:pPr>
        <w:snapToGrid w:val="0"/>
        <w:spacing w:line="360" w:lineRule="auto"/>
        <w:ind w:left="5137" w:leftChars="1736" w:hanging="1491" w:hangingChars="825"/>
        <w:rPr>
          <w:b/>
          <w:sz w:val="18"/>
          <w:szCs w:val="18"/>
        </w:rPr>
      </w:pPr>
    </w:p>
    <w:p w14:paraId="21E90B0F">
      <w:pPr>
        <w:snapToGrid w:val="0"/>
        <w:spacing w:line="360" w:lineRule="auto"/>
        <w:ind w:left="5626" w:leftChars="1736" w:hanging="1980" w:hangingChars="825"/>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6A2D512C">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2C34E80C">
      <w:pPr>
        <w:pStyle w:val="18"/>
        <w:spacing w:line="360" w:lineRule="auto"/>
        <w:jc w:val="center"/>
        <w:rPr>
          <w:b/>
          <w:sz w:val="30"/>
          <w:szCs w:val="30"/>
        </w:rPr>
      </w:pPr>
      <w:r>
        <w:rPr>
          <w:rFonts w:hint="eastAsia"/>
          <w:b/>
          <w:sz w:val="30"/>
          <w:szCs w:val="30"/>
        </w:rPr>
        <w:br w:type="page"/>
      </w:r>
      <w:r>
        <w:rPr>
          <w:rFonts w:hint="eastAsia"/>
          <w:b/>
          <w:sz w:val="30"/>
          <w:szCs w:val="30"/>
        </w:rPr>
        <w:t>残疾人福利性单位声明函（如有）</w:t>
      </w:r>
    </w:p>
    <w:p w14:paraId="036209FF">
      <w:pPr>
        <w:pStyle w:val="18"/>
        <w:spacing w:line="360" w:lineRule="auto"/>
        <w:jc w:val="center"/>
        <w:rPr>
          <w:b/>
          <w:sz w:val="30"/>
          <w:szCs w:val="30"/>
        </w:rPr>
      </w:pPr>
    </w:p>
    <w:p w14:paraId="5BEA4A26">
      <w:pPr>
        <w:pStyle w:val="18"/>
        <w:spacing w:line="360" w:lineRule="auto"/>
        <w:jc w:val="left"/>
        <w:rPr>
          <w:rFonts w:ascii="仿宋_GB2312" w:eastAsia="仿宋_GB2312"/>
          <w:sz w:val="24"/>
          <w:szCs w:val="24"/>
        </w:rPr>
      </w:pPr>
      <w:r>
        <w:rPr>
          <w:rFonts w:hint="eastAsia" w:ascii="仿宋_GB2312" w:eastAsia="仿宋_GB2312"/>
          <w:sz w:val="24"/>
          <w:szCs w:val="24"/>
        </w:rPr>
        <w:t>本单位郑重声明，根据《财政部 民政部 中国残疾人联合会关于促进残疾人就业政府采购政策的通知》（财库〔2017〕141号）的规定，本单位为符合条件的残疾人福利性单位，且本单位参加</w:t>
      </w:r>
      <w:bookmarkStart w:id="333" w:name="PO_3000001866_PM026_9"/>
      <w:r>
        <w:rPr>
          <w:rFonts w:hint="eastAsia" w:ascii="仿宋_GB2312" w:eastAsia="仿宋_GB2312"/>
          <w:sz w:val="24"/>
          <w:szCs w:val="24"/>
          <w:u w:val="single"/>
        </w:rPr>
        <w:t>[项目采购-采购人]</w:t>
      </w:r>
      <w:bookmarkEnd w:id="333"/>
      <w:r>
        <w:rPr>
          <w:rFonts w:hint="eastAsia" w:ascii="仿宋_GB2312" w:eastAsia="仿宋_GB2312"/>
          <w:sz w:val="24"/>
          <w:szCs w:val="24"/>
        </w:rPr>
        <w:t>单位的</w:t>
      </w:r>
      <w:bookmarkStart w:id="334" w:name="PO_3000001866_PM002_6"/>
      <w:r>
        <w:rPr>
          <w:rFonts w:hint="eastAsia" w:ascii="仿宋_GB2312" w:eastAsia="仿宋_GB2312"/>
          <w:sz w:val="24"/>
          <w:szCs w:val="24"/>
          <w:u w:val="single"/>
        </w:rPr>
        <w:t>[项目采购-项目名称]</w:t>
      </w:r>
      <w:bookmarkEnd w:id="334"/>
      <w:r>
        <w:rPr>
          <w:rFonts w:hint="eastAsia" w:ascii="仿宋_GB2312" w:eastAsia="仿宋_GB2312"/>
          <w:sz w:val="24"/>
          <w:szCs w:val="24"/>
        </w:rPr>
        <w:t>项目采购活动提供本单位制造的货物（由本单位承担工程/提供服务），或者提供其他残疾人福利性单位制造的货物（不包括使用非残疾人福利性单位注册商标的货物）。</w:t>
      </w:r>
    </w:p>
    <w:p w14:paraId="58C45D2E">
      <w:pPr>
        <w:pStyle w:val="18"/>
        <w:spacing w:line="360" w:lineRule="auto"/>
        <w:ind w:firstLine="480" w:firstLineChars="200"/>
        <w:jc w:val="left"/>
        <w:rPr>
          <w:rFonts w:ascii="仿宋_GB2312" w:eastAsia="仿宋_GB2312"/>
          <w:sz w:val="24"/>
          <w:szCs w:val="24"/>
        </w:rPr>
      </w:pPr>
      <w:r>
        <w:rPr>
          <w:rFonts w:hint="eastAsia" w:ascii="仿宋_GB2312" w:eastAsia="仿宋_GB2312"/>
          <w:sz w:val="24"/>
          <w:szCs w:val="24"/>
        </w:rPr>
        <w:t>本公司对上述声明的真实性负责。如有虚假，将依法承担相应责任。</w:t>
      </w:r>
    </w:p>
    <w:p w14:paraId="1B598061">
      <w:pPr>
        <w:pStyle w:val="18"/>
        <w:spacing w:line="360" w:lineRule="auto"/>
        <w:jc w:val="left"/>
        <w:rPr>
          <w:b/>
          <w:szCs w:val="21"/>
        </w:rPr>
      </w:pPr>
    </w:p>
    <w:p w14:paraId="10B4AD00">
      <w:pPr>
        <w:pStyle w:val="18"/>
        <w:spacing w:line="360" w:lineRule="auto"/>
        <w:jc w:val="left"/>
        <w:rPr>
          <w:b/>
          <w:szCs w:val="21"/>
        </w:rPr>
      </w:pPr>
    </w:p>
    <w:p w14:paraId="07253B89">
      <w:pPr>
        <w:snapToGrid w:val="0"/>
        <w:spacing w:line="360" w:lineRule="auto"/>
        <w:ind w:left="5626" w:leftChars="1736" w:hanging="1980" w:hangingChars="825"/>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投标人名称(电子签章)：</w:t>
      </w:r>
    </w:p>
    <w:p w14:paraId="42EF0F1F">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7BB14EF3">
      <w:pPr>
        <w:pStyle w:val="18"/>
        <w:spacing w:line="360" w:lineRule="auto"/>
        <w:ind w:left="5132" w:leftChars="1979" w:hanging="976" w:hangingChars="488"/>
        <w:rPr>
          <w:sz w:val="20"/>
        </w:rPr>
      </w:pPr>
    </w:p>
    <w:p w14:paraId="17071ACE">
      <w:pPr>
        <w:spacing w:line="360" w:lineRule="auto"/>
        <w:ind w:right="420" w:firstLine="480" w:firstLineChars="200"/>
        <w:rPr>
          <w:rFonts w:ascii="仿宋_GB2312" w:hAnsi="仿宋" w:eastAsia="仿宋_GB2312" w:cs="仿宋_GB2312"/>
          <w:sz w:val="24"/>
        </w:rPr>
      </w:pPr>
      <w:r>
        <w:rPr>
          <w:rFonts w:hint="eastAsia" w:ascii="仿宋_GB2312" w:hAnsi="仿宋" w:eastAsia="仿宋_GB2312" w:cs="仿宋_GB2312"/>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2BB1BEB5">
      <w:pPr>
        <w:widowControl/>
        <w:spacing w:line="360" w:lineRule="auto"/>
        <w:jc w:val="left"/>
        <w:rPr>
          <w:sz w:val="20"/>
        </w:rPr>
        <w:sectPr>
          <w:pgSz w:w="11906" w:h="16838"/>
          <w:pgMar w:top="1134" w:right="1134" w:bottom="1134" w:left="1134" w:header="720" w:footer="720" w:gutter="0"/>
          <w:cols w:space="720" w:num="1"/>
          <w:docGrid w:type="lines" w:linePitch="331" w:charSpace="0"/>
        </w:sectPr>
      </w:pPr>
    </w:p>
    <w:p w14:paraId="12D48257">
      <w:pPr>
        <w:snapToGrid w:val="0"/>
        <w:spacing w:before="50" w:afterLines="50" w:line="360" w:lineRule="auto"/>
        <w:jc w:val="left"/>
        <w:rPr>
          <w:sz w:val="20"/>
        </w:rPr>
      </w:pPr>
    </w:p>
    <w:p w14:paraId="537A0D06">
      <w:pPr>
        <w:pStyle w:val="18"/>
        <w:tabs>
          <w:tab w:val="left" w:pos="2472"/>
        </w:tabs>
        <w:spacing w:line="460" w:lineRule="exact"/>
        <w:jc w:val="center"/>
        <w:rPr>
          <w:rFonts w:ascii="Times New Roman" w:hAnsi="Times New Roman"/>
          <w:b/>
          <w:sz w:val="36"/>
        </w:rPr>
      </w:pPr>
    </w:p>
    <w:p w14:paraId="4CAD72AC">
      <w:pPr>
        <w:pStyle w:val="18"/>
        <w:tabs>
          <w:tab w:val="left" w:pos="2472"/>
        </w:tabs>
        <w:spacing w:line="460" w:lineRule="exact"/>
        <w:jc w:val="center"/>
        <w:rPr>
          <w:rFonts w:ascii="Times New Roman" w:hAnsi="Times New Roman"/>
          <w:b/>
          <w:sz w:val="36"/>
        </w:rPr>
      </w:pPr>
    </w:p>
    <w:p w14:paraId="5C28BBC5">
      <w:pPr>
        <w:pStyle w:val="18"/>
        <w:tabs>
          <w:tab w:val="left" w:pos="2472"/>
        </w:tabs>
        <w:spacing w:line="460" w:lineRule="exact"/>
        <w:jc w:val="center"/>
        <w:rPr>
          <w:rFonts w:ascii="Times New Roman" w:hAnsi="Times New Roman"/>
          <w:b/>
          <w:sz w:val="36"/>
        </w:rPr>
      </w:pPr>
    </w:p>
    <w:p w14:paraId="601B9D3A">
      <w:pPr>
        <w:pStyle w:val="18"/>
        <w:tabs>
          <w:tab w:val="left" w:pos="2472"/>
        </w:tabs>
        <w:spacing w:line="460" w:lineRule="exact"/>
        <w:jc w:val="center"/>
        <w:rPr>
          <w:rFonts w:ascii="Times New Roman" w:hAnsi="Times New Roman"/>
          <w:b/>
          <w:sz w:val="36"/>
        </w:rPr>
      </w:pPr>
    </w:p>
    <w:p w14:paraId="605F7398">
      <w:pPr>
        <w:pStyle w:val="18"/>
        <w:tabs>
          <w:tab w:val="left" w:pos="2472"/>
        </w:tabs>
        <w:spacing w:line="460" w:lineRule="exact"/>
        <w:jc w:val="center"/>
        <w:rPr>
          <w:rFonts w:ascii="Times New Roman" w:hAnsi="Times New Roman"/>
          <w:b/>
          <w:sz w:val="36"/>
        </w:rPr>
      </w:pPr>
    </w:p>
    <w:p w14:paraId="2036B01C">
      <w:pPr>
        <w:pStyle w:val="18"/>
        <w:tabs>
          <w:tab w:val="left" w:pos="2472"/>
        </w:tabs>
        <w:spacing w:line="460" w:lineRule="exact"/>
        <w:jc w:val="center"/>
        <w:rPr>
          <w:rFonts w:ascii="Times New Roman" w:hAnsi="Times New Roman"/>
          <w:b/>
          <w:sz w:val="36"/>
        </w:rPr>
      </w:pPr>
    </w:p>
    <w:p w14:paraId="60A5B0B3">
      <w:pPr>
        <w:pStyle w:val="18"/>
        <w:tabs>
          <w:tab w:val="left" w:pos="2472"/>
        </w:tabs>
        <w:spacing w:line="460" w:lineRule="exact"/>
        <w:jc w:val="center"/>
        <w:rPr>
          <w:rFonts w:ascii="Times New Roman" w:hAnsi="Times New Roman"/>
          <w:b/>
          <w:sz w:val="36"/>
        </w:rPr>
      </w:pPr>
    </w:p>
    <w:p w14:paraId="3E3CF8CA">
      <w:pPr>
        <w:pStyle w:val="18"/>
        <w:tabs>
          <w:tab w:val="left" w:pos="2472"/>
        </w:tabs>
        <w:spacing w:line="460" w:lineRule="exact"/>
        <w:jc w:val="center"/>
        <w:rPr>
          <w:rFonts w:ascii="Times New Roman" w:hAnsi="Times New Roman"/>
          <w:b/>
          <w:sz w:val="36"/>
        </w:rPr>
      </w:pPr>
    </w:p>
    <w:p w14:paraId="0F5F5313">
      <w:pPr>
        <w:pStyle w:val="18"/>
        <w:tabs>
          <w:tab w:val="left" w:pos="2472"/>
        </w:tabs>
        <w:spacing w:line="460" w:lineRule="exact"/>
        <w:jc w:val="center"/>
        <w:rPr>
          <w:rFonts w:ascii="Times New Roman" w:hAnsi="Times New Roman"/>
          <w:b/>
          <w:sz w:val="36"/>
        </w:rPr>
      </w:pPr>
    </w:p>
    <w:p w14:paraId="50E95AE2">
      <w:pPr>
        <w:pStyle w:val="18"/>
        <w:tabs>
          <w:tab w:val="left" w:pos="2472"/>
        </w:tabs>
        <w:spacing w:line="460" w:lineRule="exact"/>
        <w:jc w:val="center"/>
        <w:rPr>
          <w:rFonts w:ascii="Times New Roman" w:hAnsi="Times New Roman"/>
          <w:b/>
          <w:sz w:val="36"/>
        </w:rPr>
      </w:pPr>
    </w:p>
    <w:p w14:paraId="5BED1607">
      <w:pPr>
        <w:pStyle w:val="18"/>
        <w:tabs>
          <w:tab w:val="left" w:pos="2472"/>
        </w:tabs>
        <w:spacing w:line="460" w:lineRule="exact"/>
        <w:jc w:val="center"/>
        <w:rPr>
          <w:rFonts w:ascii="Times New Roman" w:hAnsi="Times New Roman"/>
          <w:b/>
          <w:sz w:val="36"/>
        </w:rPr>
      </w:pPr>
    </w:p>
    <w:p w14:paraId="67ED8B4A">
      <w:pPr>
        <w:pStyle w:val="18"/>
        <w:tabs>
          <w:tab w:val="left" w:pos="2472"/>
        </w:tabs>
        <w:spacing w:line="460" w:lineRule="exact"/>
        <w:jc w:val="center"/>
        <w:outlineLvl w:val="0"/>
        <w:rPr>
          <w:rFonts w:ascii="Times New Roman" w:hAnsi="Times New Roman"/>
          <w:b/>
          <w:sz w:val="36"/>
        </w:rPr>
      </w:pPr>
      <w:bookmarkStart w:id="335" w:name="_Toc187761578"/>
      <w:r>
        <w:rPr>
          <w:rFonts w:hint="eastAsia" w:ascii="Times New Roman" w:hAnsi="Times New Roman"/>
          <w:b/>
          <w:sz w:val="36"/>
        </w:rPr>
        <w:t>第七章质疑、投诉证明材料格式</w:t>
      </w:r>
      <w:bookmarkEnd w:id="335"/>
    </w:p>
    <w:p w14:paraId="4C4E001C">
      <w:pPr>
        <w:widowControl/>
        <w:spacing w:line="360" w:lineRule="auto"/>
        <w:jc w:val="left"/>
        <w:rPr>
          <w:sz w:val="20"/>
        </w:rPr>
        <w:sectPr>
          <w:pgSz w:w="11906" w:h="16838"/>
          <w:pgMar w:top="1134" w:right="1134" w:bottom="1134" w:left="1134" w:header="720" w:footer="720" w:gutter="0"/>
          <w:cols w:space="720" w:num="1"/>
          <w:docGrid w:type="lines" w:linePitch="331" w:charSpace="0"/>
        </w:sectPr>
      </w:pPr>
    </w:p>
    <w:p w14:paraId="0AC5D31B">
      <w:pPr>
        <w:widowControl/>
        <w:shd w:val="clear" w:color="auto" w:fill="FFFFFF"/>
        <w:spacing w:line="260" w:lineRule="exact"/>
        <w:jc w:val="left"/>
        <w:rPr>
          <w:rFonts w:ascii="宋体" w:hAnsi="宋体"/>
          <w:b/>
          <w:bCs/>
          <w:sz w:val="28"/>
          <w:szCs w:val="28"/>
        </w:rPr>
      </w:pPr>
    </w:p>
    <w:p w14:paraId="3948E5C2">
      <w:pPr>
        <w:pStyle w:val="4"/>
        <w:jc w:val="center"/>
        <w:rPr>
          <w:rFonts w:ascii="宋体" w:hAnsi="宋体"/>
          <w:b w:val="0"/>
          <w:bCs w:val="0"/>
        </w:rPr>
      </w:pPr>
      <w:bookmarkStart w:id="336" w:name="_Toc187761579"/>
      <w:r>
        <w:rPr>
          <w:rFonts w:hint="eastAsia" w:ascii="宋体" w:hAnsi="宋体"/>
          <w:b w:val="0"/>
          <w:bCs w:val="0"/>
        </w:rPr>
        <w:t>第一节 质疑函（格式）</w:t>
      </w:r>
      <w:bookmarkEnd w:id="336"/>
    </w:p>
    <w:p w14:paraId="2592B256">
      <w:pPr>
        <w:jc w:val="center"/>
        <w:rPr>
          <w:rFonts w:ascii="仿宋" w:hAnsi="仿宋" w:eastAsia="仿宋" w:cs="仿宋"/>
          <w:b/>
          <w:bCs/>
          <w:sz w:val="44"/>
          <w:szCs w:val="44"/>
        </w:rPr>
      </w:pPr>
      <w:r>
        <w:rPr>
          <w:rFonts w:hint="eastAsia" w:ascii="仿宋" w:hAnsi="仿宋" w:eastAsia="仿宋" w:cs="仿宋"/>
          <w:b/>
          <w:bCs/>
          <w:sz w:val="44"/>
          <w:szCs w:val="44"/>
        </w:rPr>
        <w:t>质疑函范本</w:t>
      </w:r>
    </w:p>
    <w:p w14:paraId="7D0C69E3">
      <w:pPr>
        <w:adjustRightInd w:val="0"/>
        <w:snapToGrid w:val="0"/>
        <w:spacing w:beforeLines="100"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14:paraId="7CA92E53">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14:paraId="2A998E36">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14:paraId="134A99B6">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14:paraId="0E94211A">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14:paraId="6D98113C">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14:paraId="3C0B26C8">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 邮编：</w:t>
      </w:r>
    </w:p>
    <w:p w14:paraId="4DC0E924">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14:paraId="622FE1B9">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bookmarkStart w:id="337" w:name="PO_3000001866_PM002_17"/>
      <w:r>
        <w:rPr>
          <w:rFonts w:hint="eastAsia" w:ascii="仿宋" w:hAnsi="仿宋" w:eastAsia="仿宋" w:cs="仿宋"/>
          <w:sz w:val="32"/>
          <w:szCs w:val="32"/>
          <w:u w:val="dotted"/>
        </w:rPr>
        <w:t>[项目采购-项目名称_]</w:t>
      </w:r>
      <w:bookmarkEnd w:id="337"/>
    </w:p>
    <w:p w14:paraId="36F11D24">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w:t>
      </w:r>
      <w:bookmarkStart w:id="338" w:name="PO_3000001866_PM001_13"/>
      <w:r>
        <w:rPr>
          <w:rFonts w:hint="eastAsia" w:ascii="仿宋" w:hAnsi="仿宋" w:eastAsia="仿宋" w:cs="仿宋"/>
          <w:sz w:val="32"/>
          <w:szCs w:val="32"/>
          <w:u w:val="dotted"/>
        </w:rPr>
        <w:t>[项目采购-项目编号_]</w:t>
      </w:r>
      <w:bookmarkEnd w:id="338"/>
      <w:r>
        <w:rPr>
          <w:rFonts w:hint="eastAsia" w:ascii="仿宋" w:hAnsi="仿宋" w:eastAsia="仿宋" w:cs="仿宋"/>
          <w:sz w:val="32"/>
          <w:szCs w:val="32"/>
        </w:rPr>
        <w:t>包号：</w:t>
      </w:r>
    </w:p>
    <w:p w14:paraId="710F60E5">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bookmarkStart w:id="339" w:name="PO_3000001866_PM026_3"/>
      <w:r>
        <w:rPr>
          <w:rFonts w:hint="eastAsia" w:ascii="仿宋" w:hAnsi="仿宋" w:eastAsia="仿宋" w:cs="仿宋"/>
          <w:sz w:val="32"/>
          <w:szCs w:val="32"/>
          <w:u w:val="dotted"/>
        </w:rPr>
        <w:t>[项目采购-采购人_]</w:t>
      </w:r>
      <w:bookmarkEnd w:id="339"/>
    </w:p>
    <w:p w14:paraId="3FEF16DE">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14:paraId="71A029BA">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14:paraId="17A73EB5">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14:paraId="4B177E9B">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14:paraId="6ECFF26F">
      <w:pPr>
        <w:adjustRightInd w:val="0"/>
        <w:snapToGrid w:val="0"/>
        <w:spacing w:line="360" w:lineRule="auto"/>
        <w:rPr>
          <w:rFonts w:ascii="仿宋" w:hAnsi="仿宋" w:eastAsia="仿宋" w:cs="仿宋"/>
          <w:sz w:val="32"/>
          <w:szCs w:val="32"/>
        </w:rPr>
      </w:pPr>
    </w:p>
    <w:p w14:paraId="01C21E5E">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14:paraId="794FB498">
      <w:pPr>
        <w:adjustRightInd w:val="0"/>
        <w:snapToGrid w:val="0"/>
        <w:spacing w:line="360" w:lineRule="auto"/>
        <w:rPr>
          <w:rFonts w:ascii="仿宋" w:hAnsi="仿宋" w:eastAsia="仿宋" w:cs="仿宋"/>
          <w:sz w:val="32"/>
          <w:szCs w:val="32"/>
          <w:u w:val="dotted"/>
        </w:rPr>
      </w:pPr>
    </w:p>
    <w:p w14:paraId="6A28BB7A">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14:paraId="3B77EEFE">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14:paraId="58053CA8">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14:paraId="36670911">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14:paraId="5CAEFD48">
      <w:pPr>
        <w:rPr>
          <w:rFonts w:ascii="仿宋_GB2312" w:eastAsia="仿宋_GB2312"/>
          <w:sz w:val="30"/>
          <w:szCs w:val="30"/>
        </w:rPr>
      </w:pPr>
      <w:r>
        <w:rPr>
          <w:rFonts w:hint="eastAsia" w:ascii="仿宋_GB2312" w:eastAsia="仿宋_GB2312"/>
          <w:sz w:val="30"/>
          <w:szCs w:val="30"/>
        </w:rPr>
        <w:t xml:space="preserve">签字(签章)：                   公章：                      </w:t>
      </w:r>
    </w:p>
    <w:p w14:paraId="28EFA6DB">
      <w:pPr>
        <w:rPr>
          <w:rFonts w:ascii="仿宋_GB2312" w:eastAsia="仿宋_GB2312"/>
          <w:sz w:val="30"/>
          <w:szCs w:val="30"/>
        </w:rPr>
      </w:pPr>
      <w:r>
        <w:rPr>
          <w:rFonts w:hint="eastAsia" w:ascii="仿宋_GB2312" w:eastAsia="仿宋_GB2312"/>
          <w:sz w:val="30"/>
          <w:szCs w:val="30"/>
        </w:rPr>
        <w:t xml:space="preserve">日期：    </w:t>
      </w:r>
    </w:p>
    <w:p w14:paraId="33E0D24F">
      <w:pPr>
        <w:adjustRightInd w:val="0"/>
        <w:snapToGrid w:val="0"/>
        <w:spacing w:line="360" w:lineRule="auto"/>
        <w:rPr>
          <w:rFonts w:ascii="仿宋" w:hAnsi="仿宋" w:eastAsia="仿宋" w:cs="仿宋"/>
          <w:sz w:val="32"/>
          <w:szCs w:val="32"/>
        </w:rPr>
      </w:pPr>
    </w:p>
    <w:p w14:paraId="28DD3E4F">
      <w:pPr>
        <w:adjustRightInd w:val="0"/>
        <w:snapToGrid w:val="0"/>
        <w:spacing w:line="360" w:lineRule="auto"/>
        <w:rPr>
          <w:rFonts w:ascii="仿宋" w:hAnsi="仿宋" w:eastAsia="仿宋" w:cs="仿宋"/>
          <w:sz w:val="32"/>
          <w:szCs w:val="32"/>
        </w:rPr>
      </w:pPr>
    </w:p>
    <w:p w14:paraId="59E277DD">
      <w:pPr>
        <w:jc w:val="center"/>
        <w:rPr>
          <w:rFonts w:ascii="仿宋" w:hAnsi="仿宋" w:eastAsia="仿宋" w:cs="仿宋"/>
          <w:b/>
          <w:bCs/>
          <w:sz w:val="32"/>
          <w:szCs w:val="32"/>
        </w:rPr>
      </w:pPr>
    </w:p>
    <w:p w14:paraId="43CEE808">
      <w:pPr>
        <w:jc w:val="center"/>
        <w:rPr>
          <w:rFonts w:ascii="仿宋" w:hAnsi="仿宋" w:eastAsia="仿宋" w:cs="仿宋"/>
          <w:b/>
          <w:bCs/>
          <w:sz w:val="32"/>
          <w:szCs w:val="32"/>
        </w:rPr>
      </w:pPr>
    </w:p>
    <w:p w14:paraId="2A534827">
      <w:pPr>
        <w:jc w:val="center"/>
        <w:rPr>
          <w:rFonts w:ascii="仿宋" w:hAnsi="仿宋" w:eastAsia="仿宋" w:cs="仿宋"/>
          <w:b/>
          <w:bCs/>
          <w:sz w:val="32"/>
          <w:szCs w:val="32"/>
        </w:rPr>
      </w:pPr>
    </w:p>
    <w:p w14:paraId="72361C18">
      <w:pPr>
        <w:jc w:val="center"/>
        <w:rPr>
          <w:rFonts w:ascii="仿宋" w:hAnsi="仿宋" w:eastAsia="仿宋" w:cs="仿宋"/>
          <w:b/>
          <w:bCs/>
          <w:sz w:val="32"/>
          <w:szCs w:val="32"/>
        </w:rPr>
      </w:pPr>
    </w:p>
    <w:p w14:paraId="247A7931">
      <w:pPr>
        <w:jc w:val="center"/>
        <w:rPr>
          <w:rFonts w:ascii="仿宋" w:hAnsi="仿宋" w:eastAsia="仿宋" w:cs="仿宋"/>
          <w:b/>
          <w:bCs/>
          <w:sz w:val="32"/>
          <w:szCs w:val="32"/>
        </w:rPr>
      </w:pPr>
    </w:p>
    <w:p w14:paraId="57F1D0B3">
      <w:pPr>
        <w:jc w:val="center"/>
        <w:rPr>
          <w:rFonts w:ascii="仿宋" w:hAnsi="仿宋" w:eastAsia="仿宋" w:cs="仿宋"/>
          <w:b/>
          <w:bCs/>
          <w:sz w:val="32"/>
          <w:szCs w:val="32"/>
        </w:rPr>
      </w:pPr>
    </w:p>
    <w:p w14:paraId="151F4440">
      <w:pPr>
        <w:jc w:val="center"/>
        <w:rPr>
          <w:rFonts w:ascii="仿宋" w:hAnsi="仿宋" w:eastAsia="仿宋" w:cs="仿宋"/>
          <w:b/>
          <w:bCs/>
          <w:sz w:val="32"/>
          <w:szCs w:val="32"/>
        </w:rPr>
      </w:pPr>
    </w:p>
    <w:p w14:paraId="7339BA7C">
      <w:pPr>
        <w:rPr>
          <w:rFonts w:ascii="黑体" w:hAnsi="黑体" w:eastAsia="黑体"/>
          <w:b/>
          <w:sz w:val="32"/>
          <w:szCs w:val="32"/>
        </w:rPr>
      </w:pPr>
    </w:p>
    <w:p w14:paraId="5613847D">
      <w:pPr>
        <w:rPr>
          <w:rFonts w:ascii="黑体" w:hAnsi="黑体" w:eastAsia="黑体"/>
          <w:b/>
          <w:sz w:val="32"/>
          <w:szCs w:val="32"/>
        </w:rPr>
      </w:pPr>
    </w:p>
    <w:p w14:paraId="7F09FA0B">
      <w:pPr>
        <w:rPr>
          <w:rFonts w:ascii="黑体" w:hAnsi="黑体" w:eastAsia="黑体"/>
          <w:b/>
          <w:sz w:val="32"/>
          <w:szCs w:val="32"/>
        </w:rPr>
      </w:pPr>
    </w:p>
    <w:p w14:paraId="747AE516">
      <w:pPr>
        <w:rPr>
          <w:rFonts w:ascii="黑体" w:hAnsi="黑体" w:eastAsia="黑体"/>
          <w:b/>
          <w:sz w:val="32"/>
          <w:szCs w:val="32"/>
        </w:rPr>
      </w:pPr>
    </w:p>
    <w:p w14:paraId="6B3362D6">
      <w:pPr>
        <w:rPr>
          <w:rFonts w:ascii="黑体" w:hAnsi="黑体" w:eastAsia="黑体"/>
          <w:b/>
          <w:sz w:val="32"/>
          <w:szCs w:val="32"/>
        </w:rPr>
      </w:pPr>
    </w:p>
    <w:p w14:paraId="5A2DB6E0">
      <w:pPr>
        <w:rPr>
          <w:rFonts w:ascii="黑体" w:hAnsi="黑体" w:eastAsia="黑体"/>
          <w:b/>
          <w:sz w:val="32"/>
          <w:szCs w:val="32"/>
        </w:rPr>
      </w:pPr>
    </w:p>
    <w:p w14:paraId="5590D56B">
      <w:pPr>
        <w:rPr>
          <w:rFonts w:ascii="黑体" w:hAnsi="黑体" w:eastAsia="黑体"/>
          <w:b/>
          <w:sz w:val="32"/>
          <w:szCs w:val="32"/>
        </w:rPr>
      </w:pPr>
    </w:p>
    <w:p w14:paraId="03047328">
      <w:pPr>
        <w:rPr>
          <w:rFonts w:ascii="黑体" w:hAnsi="黑体" w:eastAsia="黑体"/>
          <w:b/>
          <w:sz w:val="32"/>
          <w:szCs w:val="32"/>
        </w:rPr>
      </w:pPr>
    </w:p>
    <w:p w14:paraId="48DA0451">
      <w:pPr>
        <w:rPr>
          <w:rFonts w:ascii="黑体" w:hAnsi="黑体" w:eastAsia="黑体"/>
          <w:b/>
          <w:sz w:val="32"/>
          <w:szCs w:val="32"/>
        </w:rPr>
      </w:pPr>
    </w:p>
    <w:p w14:paraId="51D471A7">
      <w:pPr>
        <w:rPr>
          <w:rFonts w:ascii="黑体" w:hAnsi="黑体" w:eastAsia="黑体"/>
          <w:b/>
          <w:sz w:val="32"/>
          <w:szCs w:val="32"/>
        </w:rPr>
      </w:pPr>
      <w:r>
        <w:rPr>
          <w:rFonts w:hint="eastAsia" w:ascii="黑体" w:hAnsi="黑体" w:eastAsia="黑体"/>
          <w:b/>
          <w:sz w:val="32"/>
          <w:szCs w:val="32"/>
        </w:rPr>
        <w:t>质疑函制作说明：</w:t>
      </w:r>
    </w:p>
    <w:p w14:paraId="0FB52591">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14:paraId="650077E9">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14:paraId="23D88860">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14:paraId="47154211">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14:paraId="122DD85A">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14:paraId="00C937BC">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14:paraId="28497CE1">
      <w:pPr>
        <w:widowControl/>
        <w:ind w:firstLine="600" w:firstLineChars="200"/>
        <w:jc w:val="left"/>
        <w:rPr>
          <w:rFonts w:ascii="仿宋_GB2312" w:eastAsia="仿宋_GB2312"/>
          <w:sz w:val="30"/>
          <w:szCs w:val="30"/>
        </w:rPr>
      </w:pPr>
    </w:p>
    <w:p w14:paraId="40E95283">
      <w:pPr>
        <w:widowControl/>
        <w:spacing w:line="360" w:lineRule="auto"/>
        <w:jc w:val="left"/>
        <w:rPr>
          <w:rFonts w:ascii="ˎ̥" w:hAnsi="ˎ̥" w:cs="宋体"/>
          <w:kern w:val="0"/>
          <w:sz w:val="24"/>
        </w:rPr>
        <w:sectPr>
          <w:pgSz w:w="11906" w:h="16838"/>
          <w:pgMar w:top="1134" w:right="1134" w:bottom="1134" w:left="1134" w:header="720" w:footer="720" w:gutter="0"/>
          <w:cols w:space="720" w:num="1"/>
          <w:docGrid w:type="lines" w:linePitch="331" w:charSpace="0"/>
        </w:sectPr>
      </w:pPr>
    </w:p>
    <w:p w14:paraId="719C4D2E">
      <w:pPr>
        <w:pStyle w:val="4"/>
        <w:jc w:val="center"/>
        <w:rPr>
          <w:rFonts w:ascii="宋体" w:hAnsi="宋体"/>
          <w:b w:val="0"/>
          <w:bCs w:val="0"/>
        </w:rPr>
      </w:pPr>
      <w:bookmarkStart w:id="340" w:name="_Toc187761580"/>
      <w:r>
        <w:rPr>
          <w:rFonts w:hint="eastAsia" w:ascii="宋体" w:hAnsi="宋体"/>
          <w:b w:val="0"/>
          <w:bCs w:val="0"/>
        </w:rPr>
        <w:t>第二节 投诉书（格式）</w:t>
      </w:r>
      <w:bookmarkEnd w:id="340"/>
    </w:p>
    <w:p w14:paraId="09712202">
      <w:pPr>
        <w:jc w:val="center"/>
        <w:rPr>
          <w:rFonts w:ascii="宋体" w:hAnsi="宋体"/>
          <w:b/>
          <w:sz w:val="44"/>
          <w:szCs w:val="44"/>
        </w:rPr>
      </w:pPr>
      <w:r>
        <w:rPr>
          <w:rFonts w:hint="eastAsia" w:ascii="宋体" w:hAnsi="宋体"/>
          <w:b/>
          <w:sz w:val="44"/>
          <w:szCs w:val="44"/>
        </w:rPr>
        <w:t>投诉书范本</w:t>
      </w:r>
    </w:p>
    <w:p w14:paraId="0A474027">
      <w:pPr>
        <w:rPr>
          <w:rFonts w:ascii="黑体" w:hAnsi="黑体" w:eastAsia="黑体"/>
          <w:sz w:val="32"/>
          <w:szCs w:val="32"/>
        </w:rPr>
      </w:pPr>
      <w:r>
        <w:rPr>
          <w:rFonts w:hint="eastAsia" w:ascii="黑体" w:hAnsi="黑体" w:eastAsia="黑体"/>
          <w:sz w:val="32"/>
          <w:szCs w:val="32"/>
        </w:rPr>
        <w:t>一、投诉相关主体基本情况</w:t>
      </w:r>
    </w:p>
    <w:p w14:paraId="32C62FB9">
      <w:pPr>
        <w:rPr>
          <w:rFonts w:ascii="仿宋_GB2312" w:eastAsia="仿宋_GB2312"/>
          <w:sz w:val="32"/>
          <w:szCs w:val="32"/>
          <w:u w:val="dotted"/>
        </w:rPr>
      </w:pPr>
      <w:r>
        <w:rPr>
          <w:rFonts w:hint="eastAsia" w:ascii="仿宋_GB2312" w:eastAsia="仿宋_GB2312"/>
          <w:sz w:val="32"/>
          <w:szCs w:val="32"/>
        </w:rPr>
        <w:t>投诉人：</w:t>
      </w:r>
    </w:p>
    <w:p w14:paraId="138AD765">
      <w:pPr>
        <w:rPr>
          <w:rFonts w:ascii="仿宋_GB2312" w:eastAsia="仿宋_GB2312"/>
          <w:sz w:val="32"/>
          <w:szCs w:val="32"/>
          <w:u w:val="single"/>
        </w:rPr>
      </w:pPr>
      <w:r>
        <w:rPr>
          <w:rFonts w:hint="eastAsia" w:ascii="仿宋_GB2312" w:eastAsia="仿宋_GB2312"/>
          <w:sz w:val="32"/>
          <w:szCs w:val="32"/>
        </w:rPr>
        <w:t>地     址：邮编：</w:t>
      </w:r>
    </w:p>
    <w:p w14:paraId="45117B18">
      <w:pPr>
        <w:tabs>
          <w:tab w:val="left" w:pos="6510"/>
        </w:tabs>
        <w:jc w:val="left"/>
        <w:rPr>
          <w:rFonts w:ascii="仿宋_GB2312" w:eastAsia="仿宋_GB2312"/>
          <w:sz w:val="32"/>
          <w:szCs w:val="32"/>
        </w:rPr>
      </w:pPr>
      <w:r>
        <w:rPr>
          <w:rFonts w:hint="eastAsia" w:ascii="仿宋_GB2312" w:eastAsia="仿宋_GB2312"/>
          <w:sz w:val="32"/>
          <w:szCs w:val="32"/>
        </w:rPr>
        <w:t>法定代表人/主要负责人：</w:t>
      </w:r>
    </w:p>
    <w:p w14:paraId="6B874992">
      <w:pPr>
        <w:tabs>
          <w:tab w:val="left" w:pos="6510"/>
        </w:tabs>
        <w:rPr>
          <w:rFonts w:ascii="仿宋_GB2312" w:eastAsia="仿宋_GB2312"/>
          <w:sz w:val="32"/>
          <w:szCs w:val="32"/>
          <w:u w:val="dotted"/>
        </w:rPr>
      </w:pPr>
      <w:r>
        <w:rPr>
          <w:rFonts w:hint="eastAsia" w:ascii="仿宋_GB2312" w:eastAsia="仿宋_GB2312"/>
          <w:sz w:val="32"/>
          <w:szCs w:val="32"/>
        </w:rPr>
        <w:t>联系电话：</w:t>
      </w:r>
    </w:p>
    <w:p w14:paraId="773626EC">
      <w:pPr>
        <w:rPr>
          <w:rFonts w:ascii="仿宋_GB2312" w:eastAsia="仿宋_GB2312"/>
          <w:sz w:val="32"/>
          <w:szCs w:val="32"/>
          <w:u w:val="dotted"/>
        </w:rPr>
      </w:pPr>
      <w:r>
        <w:rPr>
          <w:rFonts w:hint="eastAsia" w:ascii="仿宋_GB2312" w:eastAsia="仿宋_GB2312"/>
          <w:sz w:val="32"/>
          <w:szCs w:val="32"/>
        </w:rPr>
        <w:t>授权代表：联系电话</w:t>
      </w:r>
      <w:r>
        <w:rPr>
          <w:rFonts w:hint="eastAsia" w:ascii="仿宋_GB2312" w:eastAsia="仿宋_GB2312"/>
          <w:sz w:val="32"/>
          <w:szCs w:val="32"/>
          <w:u w:val="dotted"/>
        </w:rPr>
        <w:t xml:space="preserve">：                  </w:t>
      </w:r>
    </w:p>
    <w:p w14:paraId="2AA5CD7B">
      <w:pPr>
        <w:rPr>
          <w:rFonts w:ascii="仿宋_GB2312" w:eastAsia="仿宋_GB2312"/>
          <w:sz w:val="32"/>
          <w:szCs w:val="32"/>
          <w:u w:val="dotted"/>
        </w:rPr>
      </w:pPr>
      <w:r>
        <w:rPr>
          <w:rFonts w:hint="eastAsia" w:ascii="仿宋_GB2312" w:eastAsia="仿宋_GB2312"/>
          <w:sz w:val="32"/>
          <w:szCs w:val="32"/>
        </w:rPr>
        <w:t>地     址：邮编：</w:t>
      </w:r>
    </w:p>
    <w:p w14:paraId="5925C974">
      <w:pPr>
        <w:rPr>
          <w:rFonts w:ascii="仿宋_GB2312" w:eastAsia="仿宋_GB2312"/>
          <w:sz w:val="32"/>
          <w:szCs w:val="32"/>
          <w:u w:val="single"/>
        </w:rPr>
      </w:pPr>
      <w:r>
        <w:rPr>
          <w:rFonts w:hint="eastAsia" w:ascii="仿宋_GB2312" w:eastAsia="仿宋_GB2312"/>
          <w:sz w:val="32"/>
          <w:szCs w:val="32"/>
        </w:rPr>
        <w:t>被投诉人1：</w:t>
      </w:r>
    </w:p>
    <w:p w14:paraId="752C212E">
      <w:pPr>
        <w:rPr>
          <w:rFonts w:ascii="仿宋_GB2312" w:eastAsia="仿宋_GB2312"/>
          <w:sz w:val="32"/>
          <w:szCs w:val="32"/>
          <w:u w:val="single"/>
        </w:rPr>
      </w:pPr>
      <w:r>
        <w:rPr>
          <w:rFonts w:hint="eastAsia" w:ascii="仿宋_GB2312" w:eastAsia="仿宋_GB2312"/>
          <w:sz w:val="32"/>
          <w:szCs w:val="32"/>
        </w:rPr>
        <w:t>地     址：邮编：</w:t>
      </w:r>
    </w:p>
    <w:p w14:paraId="17E44C38">
      <w:pPr>
        <w:rPr>
          <w:rFonts w:ascii="仿宋_GB2312" w:eastAsia="仿宋_GB2312"/>
          <w:sz w:val="32"/>
          <w:szCs w:val="32"/>
          <w:u w:val="single"/>
        </w:rPr>
      </w:pPr>
      <w:r>
        <w:rPr>
          <w:rFonts w:hint="eastAsia" w:ascii="仿宋_GB2312" w:eastAsia="仿宋_GB2312"/>
          <w:sz w:val="32"/>
          <w:szCs w:val="32"/>
        </w:rPr>
        <w:t>联系人：联系电话：</w:t>
      </w:r>
    </w:p>
    <w:p w14:paraId="48FC8AEC">
      <w:pPr>
        <w:rPr>
          <w:rFonts w:ascii="仿宋_GB2312" w:eastAsia="仿宋_GB2312"/>
          <w:sz w:val="32"/>
          <w:szCs w:val="32"/>
        </w:rPr>
      </w:pPr>
      <w:r>
        <w:rPr>
          <w:rFonts w:hint="eastAsia" w:ascii="仿宋_GB2312" w:eastAsia="仿宋_GB2312"/>
          <w:sz w:val="32"/>
          <w:szCs w:val="32"/>
        </w:rPr>
        <w:t>被投诉人2</w:t>
      </w:r>
    </w:p>
    <w:p w14:paraId="7AEA3D5F">
      <w:pPr>
        <w:rPr>
          <w:rFonts w:ascii="仿宋_GB2312" w:eastAsia="仿宋_GB2312"/>
          <w:sz w:val="32"/>
          <w:szCs w:val="32"/>
          <w:u w:val="dotted"/>
        </w:rPr>
      </w:pPr>
      <w:r>
        <w:rPr>
          <w:rFonts w:hint="eastAsia" w:ascii="仿宋_GB2312" w:eastAsia="仿宋_GB2312"/>
          <w:sz w:val="32"/>
          <w:szCs w:val="32"/>
        </w:rPr>
        <w:t>……</w:t>
      </w:r>
    </w:p>
    <w:p w14:paraId="0689342F">
      <w:pPr>
        <w:rPr>
          <w:rFonts w:ascii="仿宋_GB2312" w:eastAsia="仿宋_GB2312"/>
          <w:sz w:val="32"/>
          <w:szCs w:val="32"/>
          <w:u w:val="single"/>
        </w:rPr>
      </w:pPr>
      <w:r>
        <w:rPr>
          <w:rFonts w:hint="eastAsia" w:ascii="仿宋_GB2312" w:eastAsia="仿宋_GB2312"/>
          <w:sz w:val="32"/>
          <w:szCs w:val="32"/>
        </w:rPr>
        <w:t>相关供应商：</w:t>
      </w:r>
    </w:p>
    <w:p w14:paraId="37782753">
      <w:pPr>
        <w:rPr>
          <w:rFonts w:ascii="仿宋_GB2312" w:eastAsia="仿宋_GB2312"/>
          <w:sz w:val="32"/>
          <w:szCs w:val="32"/>
          <w:u w:val="single"/>
        </w:rPr>
      </w:pPr>
      <w:r>
        <w:rPr>
          <w:rFonts w:hint="eastAsia" w:ascii="仿宋_GB2312" w:eastAsia="仿宋_GB2312"/>
          <w:sz w:val="32"/>
          <w:szCs w:val="32"/>
        </w:rPr>
        <w:t>地     址：邮编：</w:t>
      </w:r>
    </w:p>
    <w:p w14:paraId="3EDA439A">
      <w:pPr>
        <w:rPr>
          <w:rFonts w:ascii="仿宋_GB2312" w:eastAsia="仿宋_GB2312"/>
          <w:sz w:val="32"/>
          <w:szCs w:val="32"/>
          <w:u w:val="single"/>
        </w:rPr>
      </w:pPr>
      <w:r>
        <w:rPr>
          <w:rFonts w:hint="eastAsia" w:ascii="仿宋_GB2312" w:eastAsia="仿宋_GB2312"/>
          <w:sz w:val="32"/>
          <w:szCs w:val="32"/>
        </w:rPr>
        <w:t>联系人：联系电话：</w:t>
      </w:r>
    </w:p>
    <w:p w14:paraId="27DA04C0">
      <w:pPr>
        <w:rPr>
          <w:rFonts w:ascii="黑体" w:hAnsi="黑体" w:eastAsia="黑体"/>
          <w:sz w:val="32"/>
          <w:szCs w:val="32"/>
        </w:rPr>
      </w:pPr>
      <w:r>
        <w:rPr>
          <w:rFonts w:hint="eastAsia" w:ascii="黑体" w:hAnsi="黑体" w:eastAsia="黑体"/>
          <w:sz w:val="32"/>
          <w:szCs w:val="32"/>
        </w:rPr>
        <w:t>二、投诉项目基本情况</w:t>
      </w:r>
    </w:p>
    <w:p w14:paraId="6F74CBBD">
      <w:pPr>
        <w:rPr>
          <w:rFonts w:ascii="仿宋_GB2312" w:eastAsia="仿宋_GB2312"/>
          <w:sz w:val="32"/>
          <w:szCs w:val="32"/>
          <w:u w:val="dotted"/>
        </w:rPr>
      </w:pPr>
      <w:r>
        <w:rPr>
          <w:rFonts w:hint="eastAsia" w:ascii="仿宋_GB2312" w:eastAsia="仿宋_GB2312"/>
          <w:sz w:val="32"/>
          <w:szCs w:val="32"/>
        </w:rPr>
        <w:t>采购项目名称：</w:t>
      </w:r>
      <w:bookmarkStart w:id="341" w:name="PO_3000001866_PM002_18"/>
      <w:r>
        <w:rPr>
          <w:rFonts w:hint="eastAsia" w:ascii="仿宋_GB2312" w:eastAsia="仿宋_GB2312"/>
          <w:sz w:val="32"/>
          <w:szCs w:val="32"/>
          <w:u w:val="dotted"/>
        </w:rPr>
        <w:t>[项目采购-项目名称]</w:t>
      </w:r>
      <w:bookmarkEnd w:id="341"/>
    </w:p>
    <w:p w14:paraId="157A66F6">
      <w:pPr>
        <w:rPr>
          <w:rFonts w:ascii="仿宋_GB2312" w:eastAsia="仿宋_GB2312"/>
          <w:sz w:val="32"/>
          <w:szCs w:val="32"/>
          <w:u w:val="single"/>
        </w:rPr>
      </w:pPr>
      <w:r>
        <w:rPr>
          <w:rFonts w:hint="eastAsia" w:ascii="仿宋_GB2312" w:eastAsia="仿宋_GB2312"/>
          <w:sz w:val="32"/>
          <w:szCs w:val="32"/>
        </w:rPr>
        <w:t>采购项目编号：</w:t>
      </w:r>
      <w:bookmarkStart w:id="342" w:name="PO_3000001866_PM001_14"/>
      <w:r>
        <w:rPr>
          <w:rFonts w:hint="eastAsia" w:ascii="仿宋_GB2312" w:eastAsia="仿宋_GB2312"/>
          <w:sz w:val="32"/>
          <w:szCs w:val="32"/>
          <w:u w:val="dotted"/>
        </w:rPr>
        <w:t>[项目采购-项目编号]</w:t>
      </w:r>
      <w:bookmarkEnd w:id="342"/>
      <w:r>
        <w:rPr>
          <w:rFonts w:hint="eastAsia" w:ascii="仿宋_GB2312" w:eastAsia="仿宋_GB2312"/>
          <w:sz w:val="32"/>
          <w:szCs w:val="32"/>
        </w:rPr>
        <w:t>包号：</w:t>
      </w:r>
    </w:p>
    <w:p w14:paraId="568A20D5">
      <w:pPr>
        <w:rPr>
          <w:rFonts w:ascii="仿宋_GB2312" w:eastAsia="仿宋_GB2312"/>
          <w:sz w:val="32"/>
          <w:szCs w:val="32"/>
        </w:rPr>
      </w:pPr>
      <w:r>
        <w:rPr>
          <w:rFonts w:hint="eastAsia" w:ascii="仿宋_GB2312" w:eastAsia="仿宋_GB2312"/>
          <w:sz w:val="32"/>
          <w:szCs w:val="32"/>
        </w:rPr>
        <w:t>采购人名称：</w:t>
      </w:r>
      <w:bookmarkStart w:id="343" w:name="PO_3000001866_PM026_4"/>
      <w:r>
        <w:rPr>
          <w:rFonts w:hint="eastAsia" w:ascii="仿宋_GB2312" w:eastAsia="仿宋_GB2312"/>
          <w:sz w:val="32"/>
          <w:szCs w:val="32"/>
          <w:u w:val="dotted"/>
        </w:rPr>
        <w:t>[项目采购-采购人]</w:t>
      </w:r>
      <w:bookmarkEnd w:id="343"/>
    </w:p>
    <w:p w14:paraId="7E8E2320">
      <w:pPr>
        <w:rPr>
          <w:rFonts w:ascii="仿宋_GB2312" w:eastAsia="仿宋_GB2312"/>
          <w:sz w:val="32"/>
          <w:szCs w:val="32"/>
          <w:u w:val="single"/>
        </w:rPr>
      </w:pPr>
      <w:r>
        <w:rPr>
          <w:rFonts w:hint="eastAsia" w:ascii="仿宋_GB2312" w:eastAsia="仿宋_GB2312"/>
          <w:sz w:val="32"/>
          <w:szCs w:val="32"/>
        </w:rPr>
        <w:t>代理机构名称：</w:t>
      </w:r>
    </w:p>
    <w:p w14:paraId="61AD5E5E">
      <w:pPr>
        <w:rPr>
          <w:rFonts w:ascii="仿宋_GB2312" w:eastAsia="仿宋_GB2312"/>
          <w:sz w:val="32"/>
          <w:szCs w:val="32"/>
          <w:u w:val="dotted"/>
        </w:rPr>
      </w:pPr>
      <w:r>
        <w:rPr>
          <w:rFonts w:hint="eastAsia" w:ascii="仿宋_GB2312" w:eastAsia="仿宋_GB2312"/>
          <w:sz w:val="32"/>
          <w:szCs w:val="32"/>
        </w:rPr>
        <w:t>采购文件公告: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p>
    <w:p w14:paraId="2029693C">
      <w:pPr>
        <w:rPr>
          <w:rFonts w:ascii="仿宋_GB2312" w:eastAsia="仿宋_GB2312"/>
          <w:sz w:val="32"/>
          <w:szCs w:val="32"/>
          <w:u w:val="single"/>
        </w:rPr>
      </w:pPr>
      <w:r>
        <w:rPr>
          <w:rFonts w:hint="eastAsia" w:ascii="仿宋_GB2312" w:eastAsia="仿宋_GB2312"/>
          <w:sz w:val="32"/>
          <w:szCs w:val="32"/>
        </w:rPr>
        <w:t>采购结果公告: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p>
    <w:p w14:paraId="631BB18A">
      <w:pPr>
        <w:rPr>
          <w:rFonts w:ascii="黑体" w:hAnsi="黑体" w:eastAsia="黑体"/>
          <w:sz w:val="32"/>
          <w:szCs w:val="32"/>
        </w:rPr>
      </w:pPr>
      <w:r>
        <w:rPr>
          <w:rFonts w:hint="eastAsia" w:ascii="黑体" w:hAnsi="黑体" w:eastAsia="黑体"/>
          <w:sz w:val="32"/>
          <w:szCs w:val="32"/>
        </w:rPr>
        <w:t>三、质疑基本情况</w:t>
      </w:r>
    </w:p>
    <w:p w14:paraId="217D8359">
      <w:pPr>
        <w:ind w:firstLine="640" w:firstLineChars="200"/>
        <w:rPr>
          <w:rFonts w:ascii="仿宋_GB2312" w:eastAsia="仿宋_GB2312"/>
          <w:sz w:val="32"/>
          <w:szCs w:val="32"/>
          <w:u w:val="dotted"/>
        </w:rPr>
      </w:pPr>
      <w:r>
        <w:rPr>
          <w:rFonts w:hint="eastAsia" w:ascii="仿宋_GB2312" w:eastAsia="仿宋_GB2312"/>
          <w:sz w:val="32"/>
          <w:szCs w:val="32"/>
        </w:rPr>
        <w:t>投诉人于年月日,向提出质疑，质疑事项为：</w:t>
      </w:r>
    </w:p>
    <w:p w14:paraId="6A3A2A35">
      <w:pPr>
        <w:rPr>
          <w:rFonts w:ascii="仿宋_GB2312" w:eastAsia="仿宋_GB2312"/>
          <w:sz w:val="32"/>
          <w:szCs w:val="32"/>
          <w:u w:val="dotted"/>
        </w:rPr>
      </w:pPr>
    </w:p>
    <w:p w14:paraId="03DBBCF1">
      <w:pPr>
        <w:ind w:firstLine="480" w:firstLineChars="150"/>
        <w:rPr>
          <w:rFonts w:ascii="仿宋_GB2312" w:eastAsia="仿宋_GB2312"/>
          <w:sz w:val="32"/>
          <w:szCs w:val="32"/>
        </w:rPr>
      </w:pPr>
      <w:r>
        <w:rPr>
          <w:rFonts w:hint="eastAsia" w:ascii="仿宋_GB2312" w:eastAsia="仿宋_GB2312"/>
          <w:sz w:val="32"/>
          <w:szCs w:val="32"/>
          <w:u w:val="dotted"/>
        </w:rPr>
        <w:t>采购人/代理机构</w:t>
      </w:r>
      <w:r>
        <w:rPr>
          <w:rFonts w:hint="eastAsia" w:ascii="仿宋_GB2312" w:eastAsia="仿宋_GB2312"/>
          <w:sz w:val="32"/>
          <w:szCs w:val="32"/>
        </w:rPr>
        <w:t>于年月日,就质疑事项作出了答复/没有在法定期限内作出答复。</w:t>
      </w:r>
    </w:p>
    <w:p w14:paraId="5497EAD1">
      <w:pPr>
        <w:rPr>
          <w:rFonts w:ascii="黑体" w:hAnsi="黑体" w:eastAsia="黑体"/>
          <w:sz w:val="32"/>
          <w:szCs w:val="32"/>
        </w:rPr>
      </w:pPr>
      <w:r>
        <w:rPr>
          <w:rFonts w:hint="eastAsia" w:ascii="黑体" w:hAnsi="黑体" w:eastAsia="黑体"/>
          <w:sz w:val="32"/>
          <w:szCs w:val="32"/>
        </w:rPr>
        <w:t>四、投诉事项具体内容</w:t>
      </w:r>
    </w:p>
    <w:p w14:paraId="5A62823D">
      <w:pPr>
        <w:rPr>
          <w:rFonts w:ascii="仿宋_GB2312" w:eastAsia="仿宋_GB2312"/>
          <w:sz w:val="32"/>
          <w:szCs w:val="32"/>
          <w:u w:val="single"/>
        </w:rPr>
      </w:pPr>
      <w:r>
        <w:rPr>
          <w:rFonts w:hint="eastAsia" w:ascii="仿宋_GB2312" w:eastAsia="仿宋_GB2312"/>
          <w:sz w:val="32"/>
          <w:szCs w:val="32"/>
        </w:rPr>
        <w:t>投诉事项 1：</w:t>
      </w:r>
    </w:p>
    <w:p w14:paraId="6E02C422">
      <w:pPr>
        <w:rPr>
          <w:rFonts w:ascii="仿宋_GB2312" w:eastAsia="仿宋_GB2312"/>
          <w:sz w:val="32"/>
          <w:szCs w:val="32"/>
        </w:rPr>
      </w:pPr>
      <w:r>
        <w:rPr>
          <w:rFonts w:hint="eastAsia" w:ascii="仿宋_GB2312" w:eastAsia="仿宋_GB2312"/>
          <w:sz w:val="32"/>
          <w:szCs w:val="32"/>
        </w:rPr>
        <w:t>事实依据：</w:t>
      </w:r>
    </w:p>
    <w:p w14:paraId="368E49C6">
      <w:pPr>
        <w:rPr>
          <w:rFonts w:ascii="仿宋_GB2312" w:eastAsia="仿宋_GB2312"/>
          <w:sz w:val="32"/>
          <w:szCs w:val="32"/>
          <w:u w:val="dotted"/>
        </w:rPr>
      </w:pPr>
    </w:p>
    <w:p w14:paraId="01F4B12D">
      <w:pPr>
        <w:rPr>
          <w:rFonts w:ascii="仿宋_GB2312" w:eastAsia="仿宋_GB2312"/>
          <w:sz w:val="32"/>
          <w:szCs w:val="32"/>
          <w:u w:val="single"/>
        </w:rPr>
      </w:pPr>
      <w:r>
        <w:rPr>
          <w:rFonts w:hint="eastAsia" w:ascii="仿宋_GB2312" w:eastAsia="仿宋_GB2312"/>
          <w:sz w:val="32"/>
          <w:szCs w:val="32"/>
        </w:rPr>
        <w:t>法律依据：</w:t>
      </w:r>
    </w:p>
    <w:p w14:paraId="453E103F">
      <w:pPr>
        <w:rPr>
          <w:rFonts w:ascii="仿宋_GB2312" w:eastAsia="仿宋_GB2312"/>
          <w:sz w:val="32"/>
          <w:szCs w:val="32"/>
          <w:u w:val="dotted"/>
        </w:rPr>
      </w:pPr>
    </w:p>
    <w:p w14:paraId="5D33DCF2">
      <w:pPr>
        <w:rPr>
          <w:rFonts w:ascii="仿宋_GB2312" w:eastAsia="仿宋_GB2312"/>
          <w:sz w:val="32"/>
          <w:szCs w:val="32"/>
        </w:rPr>
      </w:pPr>
      <w:r>
        <w:rPr>
          <w:rFonts w:hint="eastAsia" w:ascii="仿宋_GB2312" w:eastAsia="仿宋_GB2312"/>
          <w:sz w:val="32"/>
          <w:szCs w:val="32"/>
        </w:rPr>
        <w:t>投诉事项2</w:t>
      </w:r>
    </w:p>
    <w:p w14:paraId="559C24ED">
      <w:pPr>
        <w:rPr>
          <w:rFonts w:ascii="仿宋_GB2312" w:eastAsia="仿宋_GB2312"/>
          <w:sz w:val="32"/>
          <w:szCs w:val="32"/>
          <w:u w:val="dotted"/>
        </w:rPr>
      </w:pPr>
      <w:r>
        <w:rPr>
          <w:rFonts w:hint="eastAsia" w:ascii="仿宋_GB2312" w:eastAsia="仿宋_GB2312"/>
          <w:sz w:val="32"/>
          <w:szCs w:val="32"/>
        </w:rPr>
        <w:t>……</w:t>
      </w:r>
    </w:p>
    <w:p w14:paraId="4DBC5C69">
      <w:pPr>
        <w:rPr>
          <w:rFonts w:ascii="黑体" w:hAnsi="黑体" w:eastAsia="黑体"/>
          <w:sz w:val="32"/>
          <w:szCs w:val="32"/>
        </w:rPr>
      </w:pPr>
      <w:r>
        <w:rPr>
          <w:rFonts w:hint="eastAsia" w:ascii="黑体" w:hAnsi="黑体" w:eastAsia="黑体"/>
          <w:sz w:val="32"/>
          <w:szCs w:val="32"/>
        </w:rPr>
        <w:t>五、与投诉事项相关的投诉请求</w:t>
      </w:r>
    </w:p>
    <w:p w14:paraId="59DFA42D">
      <w:pPr>
        <w:rPr>
          <w:rFonts w:ascii="仿宋_GB2312" w:eastAsia="仿宋_GB2312"/>
          <w:sz w:val="32"/>
          <w:szCs w:val="32"/>
        </w:rPr>
      </w:pPr>
      <w:r>
        <w:rPr>
          <w:rFonts w:hint="eastAsia" w:ascii="仿宋_GB2312" w:eastAsia="仿宋_GB2312"/>
          <w:sz w:val="32"/>
          <w:szCs w:val="32"/>
        </w:rPr>
        <w:t>请求：</w:t>
      </w:r>
    </w:p>
    <w:p w14:paraId="1AFB919C">
      <w:pPr>
        <w:rPr>
          <w:rFonts w:ascii="仿宋_GB2312" w:eastAsia="仿宋_GB2312"/>
          <w:sz w:val="32"/>
          <w:szCs w:val="32"/>
          <w:u w:val="single"/>
        </w:rPr>
      </w:pPr>
    </w:p>
    <w:p w14:paraId="6F836305">
      <w:pPr>
        <w:rPr>
          <w:rFonts w:ascii="仿宋_GB2312" w:eastAsia="仿宋_GB2312"/>
          <w:sz w:val="32"/>
          <w:szCs w:val="32"/>
        </w:rPr>
      </w:pPr>
      <w:r>
        <w:rPr>
          <w:rFonts w:hint="eastAsia" w:ascii="仿宋_GB2312" w:eastAsia="仿宋_GB2312"/>
          <w:sz w:val="32"/>
          <w:szCs w:val="32"/>
        </w:rPr>
        <w:t xml:space="preserve">签字(签章)：                   公章：                      </w:t>
      </w:r>
    </w:p>
    <w:p w14:paraId="1858A03C">
      <w:pPr>
        <w:rPr>
          <w:rFonts w:ascii="仿宋_GB2312" w:eastAsia="仿宋_GB2312"/>
          <w:sz w:val="32"/>
          <w:szCs w:val="32"/>
        </w:rPr>
      </w:pPr>
      <w:r>
        <w:rPr>
          <w:rFonts w:hint="eastAsia" w:ascii="仿宋_GB2312" w:eastAsia="仿宋_GB2312"/>
          <w:sz w:val="32"/>
          <w:szCs w:val="32"/>
        </w:rPr>
        <w:t xml:space="preserve">日期：    </w:t>
      </w:r>
    </w:p>
    <w:p w14:paraId="7A2D6824">
      <w:pPr>
        <w:rPr>
          <w:rFonts w:ascii="黑体" w:hAnsi="黑体" w:eastAsia="黑体"/>
          <w:b/>
          <w:sz w:val="32"/>
          <w:szCs w:val="32"/>
        </w:rPr>
      </w:pPr>
    </w:p>
    <w:p w14:paraId="719A84F4">
      <w:pPr>
        <w:rPr>
          <w:rFonts w:ascii="黑体" w:hAnsi="黑体" w:eastAsia="黑体"/>
          <w:b/>
          <w:sz w:val="32"/>
          <w:szCs w:val="32"/>
        </w:rPr>
      </w:pPr>
      <w:r>
        <w:rPr>
          <w:rFonts w:hint="eastAsia" w:ascii="黑体" w:hAnsi="黑体" w:eastAsia="黑体"/>
          <w:b/>
          <w:sz w:val="32"/>
          <w:szCs w:val="32"/>
        </w:rPr>
        <w:t>投诉书制作说明：</w:t>
      </w:r>
    </w:p>
    <w:p w14:paraId="3D671467">
      <w:pPr>
        <w:widowControl/>
        <w:ind w:firstLine="640" w:firstLineChars="200"/>
        <w:rPr>
          <w:rFonts w:ascii="仿宋_GB2312" w:hAnsi="宋体" w:eastAsia="仿宋_GB2312" w:cs="宋体"/>
          <w:kern w:val="0"/>
          <w:sz w:val="32"/>
          <w:szCs w:val="32"/>
        </w:rPr>
      </w:pPr>
      <w:r>
        <w:rPr>
          <w:rFonts w:hint="eastAsia" w:ascii="仿宋_GB2312" w:eastAsia="仿宋_GB2312"/>
          <w:sz w:val="32"/>
          <w:szCs w:val="32"/>
        </w:rPr>
        <w:t>1.投诉人提起投诉时，应当提交投诉书和必要的证明材料，并按照被投诉人和与投诉事项有关的供应商数量提供投诉书副本。</w:t>
      </w:r>
    </w:p>
    <w:p w14:paraId="25B83E3B">
      <w:pPr>
        <w:widowControl/>
        <w:ind w:firstLine="640" w:firstLineChars="200"/>
        <w:jc w:val="left"/>
        <w:rPr>
          <w:rFonts w:ascii="仿宋_GB2312" w:hAnsi="宋体" w:eastAsia="仿宋_GB2312" w:cs="宋体"/>
          <w:kern w:val="0"/>
          <w:sz w:val="32"/>
          <w:szCs w:val="32"/>
        </w:rPr>
      </w:pPr>
      <w:r>
        <w:rPr>
          <w:rFonts w:hint="eastAsia" w:ascii="仿宋_GB2312" w:eastAsia="仿宋_GB2312"/>
          <w:sz w:val="32"/>
          <w:szCs w:val="32"/>
        </w:rPr>
        <w:t>2.投诉人若委托代理人进行投诉的，投诉书应按照要求列明“授权代表”的有关内容，并在附件中提交由</w:t>
      </w:r>
      <w:r>
        <w:rPr>
          <w:rFonts w:hint="eastAsia" w:ascii="仿宋_GB2312" w:hAnsi="宋体" w:eastAsia="仿宋_GB2312" w:cs="宋体"/>
          <w:kern w:val="0"/>
          <w:sz w:val="32"/>
          <w:szCs w:val="32"/>
        </w:rPr>
        <w:t>投诉人签署的授权委托书。授权委托书应当载明代理人的姓名或者名称、代理事项、具体权限、期限和相关事项。</w:t>
      </w:r>
    </w:p>
    <w:p w14:paraId="41F3368B">
      <w:pPr>
        <w:widowControl/>
        <w:ind w:firstLine="640" w:firstLineChars="200"/>
        <w:jc w:val="left"/>
        <w:rPr>
          <w:rFonts w:ascii="仿宋_GB2312" w:eastAsia="仿宋_GB2312"/>
          <w:sz w:val="32"/>
          <w:szCs w:val="32"/>
        </w:rPr>
      </w:pPr>
      <w:r>
        <w:rPr>
          <w:rFonts w:hint="eastAsia" w:ascii="仿宋_GB2312" w:eastAsia="仿宋_GB2312"/>
          <w:sz w:val="32"/>
          <w:szCs w:val="32"/>
        </w:rPr>
        <w:t>3.投诉人若对项目的某一分包进行投诉，投诉书应列明具体分包号。</w:t>
      </w:r>
    </w:p>
    <w:p w14:paraId="3051F738">
      <w:pPr>
        <w:widowControl/>
        <w:ind w:firstLine="640" w:firstLineChars="200"/>
        <w:jc w:val="left"/>
        <w:rPr>
          <w:rFonts w:ascii="仿宋_GB2312" w:eastAsia="仿宋_GB2312"/>
          <w:sz w:val="32"/>
          <w:szCs w:val="32"/>
        </w:rPr>
      </w:pPr>
      <w:r>
        <w:rPr>
          <w:rFonts w:hint="eastAsia" w:ascii="仿宋_GB2312" w:eastAsia="仿宋_GB2312"/>
          <w:sz w:val="32"/>
          <w:szCs w:val="32"/>
        </w:rPr>
        <w:t>4.投诉书应简要列明质疑事项，质疑函、质疑答复等作为附件材料提供。</w:t>
      </w:r>
    </w:p>
    <w:p w14:paraId="249F96F4">
      <w:pPr>
        <w:widowControl/>
        <w:ind w:firstLine="640" w:firstLineChars="200"/>
        <w:jc w:val="left"/>
        <w:rPr>
          <w:rFonts w:ascii="仿宋_GB2312" w:eastAsia="仿宋_GB2312"/>
          <w:sz w:val="32"/>
          <w:szCs w:val="32"/>
        </w:rPr>
      </w:pPr>
      <w:r>
        <w:rPr>
          <w:rFonts w:hint="eastAsia" w:ascii="仿宋_GB2312" w:eastAsia="仿宋_GB2312"/>
          <w:sz w:val="32"/>
          <w:szCs w:val="32"/>
        </w:rPr>
        <w:t>5.投诉书的投诉事项应具体、明确，并有必要的事实依据和法律依据。</w:t>
      </w:r>
    </w:p>
    <w:p w14:paraId="573E0B73">
      <w:pPr>
        <w:widowControl/>
        <w:ind w:firstLine="640" w:firstLineChars="200"/>
        <w:jc w:val="left"/>
        <w:rPr>
          <w:rFonts w:ascii="仿宋_GB2312" w:eastAsia="仿宋_GB2312"/>
          <w:sz w:val="32"/>
          <w:szCs w:val="32"/>
        </w:rPr>
      </w:pPr>
      <w:r>
        <w:rPr>
          <w:rFonts w:hint="eastAsia" w:ascii="仿宋_GB2312" w:eastAsia="仿宋_GB2312"/>
          <w:sz w:val="32"/>
          <w:szCs w:val="32"/>
        </w:rPr>
        <w:t>6.投诉书的投诉请求应与投诉事项相关。</w:t>
      </w:r>
    </w:p>
    <w:p w14:paraId="52AA5584">
      <w:pPr>
        <w:widowControl/>
        <w:ind w:firstLine="640" w:firstLineChars="200"/>
        <w:jc w:val="left"/>
        <w:rPr>
          <w:rFonts w:ascii="仿宋_GB2312" w:hAnsi="宋体" w:eastAsia="仿宋_GB2312" w:cs="宋体"/>
          <w:kern w:val="0"/>
          <w:sz w:val="32"/>
          <w:szCs w:val="32"/>
        </w:rPr>
      </w:pPr>
      <w:r>
        <w:rPr>
          <w:rFonts w:hint="eastAsia" w:ascii="仿宋_GB2312" w:eastAsia="仿宋_GB2312"/>
          <w:sz w:val="32"/>
          <w:szCs w:val="32"/>
        </w:rPr>
        <w:t>7.投诉人为自然人的，投诉书应当由本人签字；投诉人为法人或者其他组织的，投诉书应当由法定代表人、主要负责人，或者其授权代表签字或者盖章，并加盖公章。</w:t>
      </w:r>
    </w:p>
    <w:p w14:paraId="4B5EF016">
      <w:pPr>
        <w:snapToGrid w:val="0"/>
        <w:spacing w:before="50" w:afterLines="50" w:line="360" w:lineRule="auto"/>
        <w:ind w:firstLine="480" w:firstLineChars="200"/>
        <w:jc w:val="left"/>
        <w:rPr>
          <w:sz w:val="24"/>
        </w:rPr>
      </w:pPr>
    </w:p>
    <w:p w14:paraId="70F5D4B5"/>
    <w:sectPr>
      <w:footerReference r:id="rId7" w:type="first"/>
      <w:footerReference r:id="rId5" w:type="default"/>
      <w:footerReference r:id="rId6" w:type="even"/>
      <w:pgSz w:w="11906" w:h="16838"/>
      <w:pgMar w:top="1134" w:right="1134" w:bottom="1134"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1732504-2204-4E76-AA0B-092145E78D9C}"/>
  </w:font>
  <w:font w:name="黑体">
    <w:panose1 w:val="02010609060101010101"/>
    <w:charset w:val="86"/>
    <w:family w:val="auto"/>
    <w:pitch w:val="default"/>
    <w:sig w:usb0="800002BF" w:usb1="38CF7CFA" w:usb2="00000016" w:usb3="00000000" w:csb0="00040001" w:csb1="00000000"/>
    <w:embedRegular r:id="rId2" w:fontKey="{496EA64F-69B6-404A-823C-A3C9770A37EE}"/>
  </w:font>
  <w:font w:name="Courier New">
    <w:panose1 w:val="02070309020205020404"/>
    <w:charset w:val="01"/>
    <w:family w:val="modern"/>
    <w:pitch w:val="default"/>
    <w:sig w:usb0="E0002EFF" w:usb1="C0007843" w:usb2="00000009" w:usb3="00000000" w:csb0="400001FF" w:csb1="FFFF0000"/>
    <w:embedRegular r:id="rId3" w:fontKey="{3AF089C0-DABC-4B94-8B9A-8B282427FE6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884D5DE4-2E57-4F79-8F69-D52AE40C866F}"/>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13A802BA-3E47-4F97-A178-23835E6BDB0B}"/>
  </w:font>
  <w:font w:name="仿宋">
    <w:panose1 w:val="02010609060101010101"/>
    <w:charset w:val="86"/>
    <w:family w:val="modern"/>
    <w:pitch w:val="default"/>
    <w:sig w:usb0="800002BF" w:usb1="38CF7CFA" w:usb2="00000016" w:usb3="00000000" w:csb0="00040001" w:csb1="00000000"/>
    <w:embedRegular r:id="rId6" w:fontKey="{628881D7-8F16-417E-954D-4009C2A78869}"/>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embedRegular r:id="rId7" w:fontKey="{57633E59-A813-462A-986C-4777BF434DB2}"/>
  </w:font>
  <w:font w:name="Wingdings 2">
    <w:panose1 w:val="05020102010507070707"/>
    <w:charset w:val="02"/>
    <w:family w:val="roman"/>
    <w:pitch w:val="default"/>
    <w:sig w:usb0="00000000" w:usb1="00000000" w:usb2="00000000" w:usb3="00000000" w:csb0="80000000" w:csb1="00000000"/>
    <w:embedRegular r:id="rId8" w:fontKey="{79F3B6A3-6C46-4059-A876-9D45F3F0C507}"/>
  </w:font>
  <w:font w:name="微软雅黑">
    <w:panose1 w:val="020B0503020204020204"/>
    <w:charset w:val="86"/>
    <w:family w:val="swiss"/>
    <w:pitch w:val="default"/>
    <w:sig w:usb0="80000287" w:usb1="2ACF3C50" w:usb2="00000016" w:usb3="00000000" w:csb0="0004001F" w:csb1="00000000"/>
    <w:embedRegular r:id="rId9" w:fontKey="{076ED6F6-DD71-4195-8C67-6CD7DD636C45}"/>
  </w:font>
  <w:font w:name="Arial Unicode MS">
    <w:panose1 w:val="020B0604020202020204"/>
    <w:charset w:val="86"/>
    <w:family w:val="roman"/>
    <w:pitch w:val="default"/>
    <w:sig w:usb0="FFFFFFFF" w:usb1="E9FFFFFF" w:usb2="0000003F" w:usb3="00000000" w:csb0="603F01FF" w:csb1="FFFF0000"/>
    <w:embedRegular r:id="rId10" w:fontKey="{0676A389-0655-44FA-B4FE-15557ADD99CF}"/>
  </w:font>
  <w:font w:name="方正小标宋简体">
    <w:panose1 w:val="03000509000000000000"/>
    <w:charset w:val="86"/>
    <w:family w:val="script"/>
    <w:pitch w:val="default"/>
    <w:sig w:usb0="00000001" w:usb1="080E0000" w:usb2="00000000" w:usb3="00000000" w:csb0="00040000" w:csb1="00000000"/>
    <w:embedRegular r:id="rId11" w:fontKey="{BF2A3C75-AFFB-4118-8CE2-5F529FA1E5E6}"/>
  </w:font>
  <w:font w:name="Helvetica">
    <w:altName w:val="Arial"/>
    <w:panose1 w:val="020B0604020202020204"/>
    <w:charset w:val="00"/>
    <w:family w:val="swiss"/>
    <w:pitch w:val="default"/>
    <w:sig w:usb0="00000000" w:usb1="00000000" w:usb2="00000009" w:usb3="00000000" w:csb0="000001FF" w:csb1="00000000"/>
    <w:embedRegular r:id="rId12" w:fontKey="{DA520E65-0DD3-4C83-B6A5-263048EF1368}"/>
  </w:font>
  <w:font w:name="等线">
    <w:panose1 w:val="02010600030101010101"/>
    <w:charset w:val="86"/>
    <w:family w:val="auto"/>
    <w:pitch w:val="default"/>
    <w:sig w:usb0="A00002BF" w:usb1="38CF7CFA" w:usb2="00000016" w:usb3="00000000" w:csb0="0004000F" w:csb1="00000000"/>
    <w:embedRegular r:id="rId13" w:fontKey="{A9D18BEC-F06F-4ABB-845E-BE5600704186}"/>
  </w:font>
  <w:font w:name="楷体">
    <w:panose1 w:val="02010609060101010101"/>
    <w:charset w:val="86"/>
    <w:family w:val="modern"/>
    <w:pitch w:val="default"/>
    <w:sig w:usb0="800002BF" w:usb1="38CF7CFA" w:usb2="00000016" w:usb3="00000000" w:csb0="00040001" w:csb1="00000000"/>
    <w:embedRegular r:id="rId14" w:fontKey="{60572F3D-3E99-49C2-9AEF-6D61EA672CB1}"/>
  </w:font>
  <w:font w:name="ˎ̥">
    <w:altName w:val="Times New Roman"/>
    <w:panose1 w:val="00000000000000000000"/>
    <w:charset w:val="00"/>
    <w:family w:val="roman"/>
    <w:pitch w:val="default"/>
    <w:sig w:usb0="00000000" w:usb1="00000000" w:usb2="00000000" w:usb3="00000000" w:csb0="00040001" w:csb1="00000000"/>
    <w:embedRegular r:id="rId15" w:fontKey="{B360C0E3-6C3B-4C82-B9B1-C0721776EE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1545182"/>
    </w:sdtPr>
    <w:sdtContent>
      <w:p w14:paraId="316C2D9E">
        <w:pPr>
          <w:pStyle w:val="23"/>
        </w:pPr>
        <w:r>
          <w:fldChar w:fldCharType="begin"/>
        </w:r>
        <w:r>
          <w:instrText xml:space="preserve">PAGE   \* MERGEFORMAT</w:instrText>
        </w:r>
        <w:r>
          <w:fldChar w:fldCharType="separate"/>
        </w:r>
        <w:r>
          <w:rPr>
            <w:lang w:val="zh-CN"/>
          </w:rPr>
          <w:t>55</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0A9F7">
    <w:pPr>
      <w:pStyle w:val="23"/>
    </w:pPr>
    <w:r>
      <w:fldChar w:fldCharType="begin"/>
    </w:r>
    <w:r>
      <w:instrText xml:space="preserve"> PAGE   \* MERGEFORMAT </w:instrText>
    </w:r>
    <w:r>
      <w:fldChar w:fldCharType="separate"/>
    </w:r>
    <w:r>
      <w:rPr>
        <w:lang w:val="zh-CN"/>
      </w:rPr>
      <w:t>116</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3CEE0">
    <w:pPr>
      <w:pStyle w:val="23"/>
      <w:rPr>
        <w:rStyle w:val="35"/>
      </w:rPr>
    </w:pPr>
    <w:r>
      <w:fldChar w:fldCharType="begin"/>
    </w:r>
    <w:r>
      <w:rPr>
        <w:rStyle w:val="35"/>
      </w:rPr>
      <w:instrText xml:space="preserve">PAGE  </w:instrText>
    </w:r>
    <w:r>
      <w:fldChar w:fldCharType="end"/>
    </w:r>
  </w:p>
  <w:p w14:paraId="596B0560">
    <w:pPr>
      <w:pStyle w:val="23"/>
    </w:pPr>
  </w:p>
  <w:p w14:paraId="239B68C0"/>
  <w:p w14:paraId="28FEECB3"/>
  <w:p w14:paraId="287155FA"/>
  <w:p w14:paraId="48FD0220"/>
  <w:p w14:paraId="5B48B76E"/>
  <w:p w14:paraId="69A22ECD"/>
  <w:p w14:paraId="6A39BB67"/>
  <w:p w14:paraId="2D8064C4"/>
  <w:p w14:paraId="0985E7C4"/>
  <w:p w14:paraId="6AA21B0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9FB95">
    <w:pPr>
      <w:pStyle w:val="23"/>
      <w:rPr>
        <w:rStyle w:val="35"/>
      </w:rPr>
    </w:pPr>
    <w:r>
      <w:fldChar w:fldCharType="begin"/>
    </w:r>
    <w:r>
      <w:rPr>
        <w:rStyle w:val="35"/>
      </w:rPr>
      <w:instrText xml:space="preserve">PAGE  </w:instrText>
    </w:r>
    <w:r>
      <w:fldChar w:fldCharType="separate"/>
    </w:r>
    <w:r>
      <w:rPr>
        <w:rStyle w:val="35"/>
      </w:rPr>
      <w:t>122</w:t>
    </w:r>
    <w:r>
      <w:fldChar w:fldCharType="end"/>
    </w:r>
  </w:p>
  <w:p w14:paraId="394231FB">
    <w:pPr>
      <w:pStyle w:val="23"/>
    </w:pPr>
    <w:r>
      <w:rPr>
        <w:rFonts w:hint="eastAsia"/>
      </w:rPr>
      <w:t>121</w:t>
    </w:r>
  </w:p>
  <w:p w14:paraId="6B3492CE"/>
  <w:p w14:paraId="54E7F024"/>
  <w:p w14:paraId="775F7EBF"/>
  <w:p w14:paraId="560376B4"/>
  <w:p w14:paraId="421E0346"/>
  <w:p w14:paraId="673190EA"/>
  <w:p w14:paraId="164560A0"/>
  <w:p w14:paraId="2FF52A9F"/>
  <w:p w14:paraId="3A9273F4"/>
  <w:p w14:paraId="0A41953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4480E">
    <w:pPr>
      <w:pStyle w:val="24"/>
    </w:pPr>
    <w:r>
      <w:rPr>
        <w:rFonts w:hint="eastAsia"/>
      </w:rPr>
      <w:t>南宁市政府采购公开招标采购文件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3C4FD3"/>
    <w:multiLevelType w:val="singleLevel"/>
    <w:tmpl w:val="DC3C4FD3"/>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25D2E75F"/>
    <w:multiLevelType w:val="singleLevel"/>
    <w:tmpl w:val="25D2E75F"/>
    <w:lvl w:ilvl="0" w:tentative="0">
      <w:start w:val="9"/>
      <w:numFmt w:val="chineseCounting"/>
      <w:suff w:val="nothing"/>
      <w:lvlText w:val="%1、"/>
      <w:lvlJc w:val="left"/>
      <w:rPr>
        <w:rFonts w:hint="eastAsia"/>
      </w:rPr>
    </w:lvl>
  </w:abstractNum>
  <w:abstractNum w:abstractNumId="3">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4">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1536378"/>
    <w:multiLevelType w:val="singleLevel"/>
    <w:tmpl w:val="51536378"/>
    <w:lvl w:ilvl="0" w:tentative="0">
      <w:start w:val="1"/>
      <w:numFmt w:val="decimal"/>
      <w:suff w:val="nothing"/>
      <w:lvlText w:val="（%1）"/>
      <w:lvlJc w:val="left"/>
      <w:pPr>
        <w:ind w:left="0" w:firstLine="0"/>
      </w:pPr>
    </w:lvl>
  </w:abstractNum>
  <w:abstractNum w:abstractNumId="6">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lvlOverride w:ilvl="0">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hideSpellingErrors/>
  <w:documentProtection w:enforcement="0"/>
  <w:defaultTabStop w:val="420"/>
  <w:drawingGridHorizontalSpacing w:val="105"/>
  <w:drawingGridVerticalSpacing w:val="33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zcyODMxYTE0ZTc0ZGU3Y2QwODc3MzYzN2Q1YmNiM2EifQ=="/>
    <w:docVar w:name="KSO_WPS_MARK_KEY" w:val="2dc45b49-25fe-47f6-a6e9-2c25b817c9cb"/>
  </w:docVars>
  <w:rsids>
    <w:rsidRoot w:val="00172A27"/>
    <w:rsid w:val="0000096C"/>
    <w:rsid w:val="00000CDB"/>
    <w:rsid w:val="00001CDA"/>
    <w:rsid w:val="00004344"/>
    <w:rsid w:val="00004C84"/>
    <w:rsid w:val="00005359"/>
    <w:rsid w:val="00005909"/>
    <w:rsid w:val="000129B8"/>
    <w:rsid w:val="000207D5"/>
    <w:rsid w:val="00021052"/>
    <w:rsid w:val="00022127"/>
    <w:rsid w:val="00022867"/>
    <w:rsid w:val="00022AF5"/>
    <w:rsid w:val="00024E82"/>
    <w:rsid w:val="000250CA"/>
    <w:rsid w:val="00026572"/>
    <w:rsid w:val="00027659"/>
    <w:rsid w:val="00030800"/>
    <w:rsid w:val="00031652"/>
    <w:rsid w:val="00031AFD"/>
    <w:rsid w:val="00033861"/>
    <w:rsid w:val="00034A7D"/>
    <w:rsid w:val="00035197"/>
    <w:rsid w:val="0003587A"/>
    <w:rsid w:val="00035F9C"/>
    <w:rsid w:val="0003625D"/>
    <w:rsid w:val="000401CD"/>
    <w:rsid w:val="00044EDB"/>
    <w:rsid w:val="00051AFD"/>
    <w:rsid w:val="00051C19"/>
    <w:rsid w:val="00053AAB"/>
    <w:rsid w:val="00053B7C"/>
    <w:rsid w:val="00054304"/>
    <w:rsid w:val="000553BC"/>
    <w:rsid w:val="00056551"/>
    <w:rsid w:val="0006218D"/>
    <w:rsid w:val="00062927"/>
    <w:rsid w:val="00063F24"/>
    <w:rsid w:val="00065586"/>
    <w:rsid w:val="00065AF0"/>
    <w:rsid w:val="0006646A"/>
    <w:rsid w:val="00066EA9"/>
    <w:rsid w:val="00066FE1"/>
    <w:rsid w:val="0006762D"/>
    <w:rsid w:val="00071460"/>
    <w:rsid w:val="00072B02"/>
    <w:rsid w:val="00074D5F"/>
    <w:rsid w:val="00075B13"/>
    <w:rsid w:val="00076A60"/>
    <w:rsid w:val="000775B5"/>
    <w:rsid w:val="00077BF5"/>
    <w:rsid w:val="00080644"/>
    <w:rsid w:val="00081789"/>
    <w:rsid w:val="0008187C"/>
    <w:rsid w:val="00084028"/>
    <w:rsid w:val="00084EF9"/>
    <w:rsid w:val="00085A0D"/>
    <w:rsid w:val="0009041D"/>
    <w:rsid w:val="00092A54"/>
    <w:rsid w:val="00092F65"/>
    <w:rsid w:val="0009317E"/>
    <w:rsid w:val="00093B18"/>
    <w:rsid w:val="00093DAF"/>
    <w:rsid w:val="00094E84"/>
    <w:rsid w:val="000952D8"/>
    <w:rsid w:val="00095EEA"/>
    <w:rsid w:val="000971F1"/>
    <w:rsid w:val="000A7A4B"/>
    <w:rsid w:val="000B5A03"/>
    <w:rsid w:val="000C302E"/>
    <w:rsid w:val="000C3673"/>
    <w:rsid w:val="000C5D44"/>
    <w:rsid w:val="000C6886"/>
    <w:rsid w:val="000C7BF9"/>
    <w:rsid w:val="000D1190"/>
    <w:rsid w:val="000D5F48"/>
    <w:rsid w:val="000D6223"/>
    <w:rsid w:val="000D7284"/>
    <w:rsid w:val="000E1B95"/>
    <w:rsid w:val="000E1BA1"/>
    <w:rsid w:val="000E6783"/>
    <w:rsid w:val="000E72CB"/>
    <w:rsid w:val="000F1BBE"/>
    <w:rsid w:val="000F1E9D"/>
    <w:rsid w:val="000F3E98"/>
    <w:rsid w:val="000F4157"/>
    <w:rsid w:val="000F43A6"/>
    <w:rsid w:val="000F7CE5"/>
    <w:rsid w:val="00102095"/>
    <w:rsid w:val="001031E7"/>
    <w:rsid w:val="00103E0F"/>
    <w:rsid w:val="00104245"/>
    <w:rsid w:val="0011076B"/>
    <w:rsid w:val="001108AC"/>
    <w:rsid w:val="00110DD2"/>
    <w:rsid w:val="0011187C"/>
    <w:rsid w:val="00114986"/>
    <w:rsid w:val="00114A9A"/>
    <w:rsid w:val="00115179"/>
    <w:rsid w:val="00116FC9"/>
    <w:rsid w:val="00120019"/>
    <w:rsid w:val="00120C46"/>
    <w:rsid w:val="0012184C"/>
    <w:rsid w:val="00125837"/>
    <w:rsid w:val="001267A5"/>
    <w:rsid w:val="001271D5"/>
    <w:rsid w:val="001306A8"/>
    <w:rsid w:val="001343B4"/>
    <w:rsid w:val="00134A96"/>
    <w:rsid w:val="001359C9"/>
    <w:rsid w:val="00136621"/>
    <w:rsid w:val="00140B14"/>
    <w:rsid w:val="00140CE8"/>
    <w:rsid w:val="0014298C"/>
    <w:rsid w:val="00143DA6"/>
    <w:rsid w:val="001459BF"/>
    <w:rsid w:val="00151CEE"/>
    <w:rsid w:val="0015209C"/>
    <w:rsid w:val="00154989"/>
    <w:rsid w:val="001551E7"/>
    <w:rsid w:val="00156A9E"/>
    <w:rsid w:val="00156C6F"/>
    <w:rsid w:val="001636AE"/>
    <w:rsid w:val="00163EEC"/>
    <w:rsid w:val="0016643D"/>
    <w:rsid w:val="001669F1"/>
    <w:rsid w:val="00170AA7"/>
    <w:rsid w:val="00172A27"/>
    <w:rsid w:val="00173852"/>
    <w:rsid w:val="00174DAE"/>
    <w:rsid w:val="00174F9B"/>
    <w:rsid w:val="00177D95"/>
    <w:rsid w:val="00181460"/>
    <w:rsid w:val="00182C28"/>
    <w:rsid w:val="001906AE"/>
    <w:rsid w:val="00190F4C"/>
    <w:rsid w:val="0019130A"/>
    <w:rsid w:val="00192EE4"/>
    <w:rsid w:val="00193168"/>
    <w:rsid w:val="0019332B"/>
    <w:rsid w:val="00193D49"/>
    <w:rsid w:val="00195074"/>
    <w:rsid w:val="0019577E"/>
    <w:rsid w:val="001A0056"/>
    <w:rsid w:val="001A487F"/>
    <w:rsid w:val="001A6AF9"/>
    <w:rsid w:val="001B1366"/>
    <w:rsid w:val="001B2568"/>
    <w:rsid w:val="001B2BDE"/>
    <w:rsid w:val="001B2FAE"/>
    <w:rsid w:val="001B429E"/>
    <w:rsid w:val="001C2444"/>
    <w:rsid w:val="001C2E44"/>
    <w:rsid w:val="001C44D8"/>
    <w:rsid w:val="001C4767"/>
    <w:rsid w:val="001C550E"/>
    <w:rsid w:val="001C66D5"/>
    <w:rsid w:val="001D047F"/>
    <w:rsid w:val="001D0BA3"/>
    <w:rsid w:val="001E0216"/>
    <w:rsid w:val="001E0590"/>
    <w:rsid w:val="001E1999"/>
    <w:rsid w:val="001E3612"/>
    <w:rsid w:val="001E3E3A"/>
    <w:rsid w:val="001E4E53"/>
    <w:rsid w:val="001E6153"/>
    <w:rsid w:val="001E6C5D"/>
    <w:rsid w:val="001E6D88"/>
    <w:rsid w:val="001E7A04"/>
    <w:rsid w:val="001E7A09"/>
    <w:rsid w:val="001E7AB6"/>
    <w:rsid w:val="001F330A"/>
    <w:rsid w:val="001F4D3C"/>
    <w:rsid w:val="001F57B1"/>
    <w:rsid w:val="00201770"/>
    <w:rsid w:val="002028BE"/>
    <w:rsid w:val="00204164"/>
    <w:rsid w:val="00204F25"/>
    <w:rsid w:val="00205999"/>
    <w:rsid w:val="002064F3"/>
    <w:rsid w:val="00207350"/>
    <w:rsid w:val="00207DB7"/>
    <w:rsid w:val="00212F76"/>
    <w:rsid w:val="00214ACE"/>
    <w:rsid w:val="00215887"/>
    <w:rsid w:val="002202EA"/>
    <w:rsid w:val="00221909"/>
    <w:rsid w:val="002230A4"/>
    <w:rsid w:val="002268D2"/>
    <w:rsid w:val="00231EAB"/>
    <w:rsid w:val="002326F7"/>
    <w:rsid w:val="00232E04"/>
    <w:rsid w:val="00232F57"/>
    <w:rsid w:val="00236055"/>
    <w:rsid w:val="00236B7D"/>
    <w:rsid w:val="0024035D"/>
    <w:rsid w:val="0024120D"/>
    <w:rsid w:val="00241686"/>
    <w:rsid w:val="00242C6C"/>
    <w:rsid w:val="002441B4"/>
    <w:rsid w:val="0024447A"/>
    <w:rsid w:val="00244627"/>
    <w:rsid w:val="0024467E"/>
    <w:rsid w:val="00245C98"/>
    <w:rsid w:val="0025280E"/>
    <w:rsid w:val="002544EE"/>
    <w:rsid w:val="00254713"/>
    <w:rsid w:val="002563B4"/>
    <w:rsid w:val="00256B37"/>
    <w:rsid w:val="0025753A"/>
    <w:rsid w:val="00257716"/>
    <w:rsid w:val="00262C01"/>
    <w:rsid w:val="002641A3"/>
    <w:rsid w:val="002673B2"/>
    <w:rsid w:val="0027371B"/>
    <w:rsid w:val="002738BD"/>
    <w:rsid w:val="00274416"/>
    <w:rsid w:val="002815FC"/>
    <w:rsid w:val="00283619"/>
    <w:rsid w:val="002841AC"/>
    <w:rsid w:val="00284AD2"/>
    <w:rsid w:val="002867CF"/>
    <w:rsid w:val="00286948"/>
    <w:rsid w:val="00287B6E"/>
    <w:rsid w:val="002914AB"/>
    <w:rsid w:val="00293976"/>
    <w:rsid w:val="00297271"/>
    <w:rsid w:val="002B0500"/>
    <w:rsid w:val="002B1239"/>
    <w:rsid w:val="002B2DD2"/>
    <w:rsid w:val="002B3400"/>
    <w:rsid w:val="002B4610"/>
    <w:rsid w:val="002B761E"/>
    <w:rsid w:val="002C0483"/>
    <w:rsid w:val="002C1328"/>
    <w:rsid w:val="002C27F2"/>
    <w:rsid w:val="002C38A0"/>
    <w:rsid w:val="002C64E6"/>
    <w:rsid w:val="002C7DD7"/>
    <w:rsid w:val="002D00B1"/>
    <w:rsid w:val="002D208B"/>
    <w:rsid w:val="002D2EF2"/>
    <w:rsid w:val="002D3B55"/>
    <w:rsid w:val="002D41EA"/>
    <w:rsid w:val="002D4568"/>
    <w:rsid w:val="002D79A4"/>
    <w:rsid w:val="002E0A18"/>
    <w:rsid w:val="002E6BA4"/>
    <w:rsid w:val="002E7F39"/>
    <w:rsid w:val="002F1365"/>
    <w:rsid w:val="002F3699"/>
    <w:rsid w:val="002F55FD"/>
    <w:rsid w:val="002F667D"/>
    <w:rsid w:val="002F7651"/>
    <w:rsid w:val="003014B1"/>
    <w:rsid w:val="00303D76"/>
    <w:rsid w:val="003051FD"/>
    <w:rsid w:val="00305816"/>
    <w:rsid w:val="003072ED"/>
    <w:rsid w:val="00311F9C"/>
    <w:rsid w:val="00314B65"/>
    <w:rsid w:val="003157BB"/>
    <w:rsid w:val="00315EB2"/>
    <w:rsid w:val="00316025"/>
    <w:rsid w:val="003162D6"/>
    <w:rsid w:val="00316994"/>
    <w:rsid w:val="00320B19"/>
    <w:rsid w:val="00321CA1"/>
    <w:rsid w:val="00322C10"/>
    <w:rsid w:val="00323CA3"/>
    <w:rsid w:val="00327461"/>
    <w:rsid w:val="00330EE9"/>
    <w:rsid w:val="003331F5"/>
    <w:rsid w:val="00337A9F"/>
    <w:rsid w:val="00340A75"/>
    <w:rsid w:val="0034291C"/>
    <w:rsid w:val="003443E3"/>
    <w:rsid w:val="00344631"/>
    <w:rsid w:val="00344CAF"/>
    <w:rsid w:val="00346976"/>
    <w:rsid w:val="00347950"/>
    <w:rsid w:val="00353067"/>
    <w:rsid w:val="00353905"/>
    <w:rsid w:val="00355191"/>
    <w:rsid w:val="00356A14"/>
    <w:rsid w:val="00361D53"/>
    <w:rsid w:val="0036232F"/>
    <w:rsid w:val="00362ADA"/>
    <w:rsid w:val="00365551"/>
    <w:rsid w:val="0036624C"/>
    <w:rsid w:val="00366E54"/>
    <w:rsid w:val="0037075A"/>
    <w:rsid w:val="00371581"/>
    <w:rsid w:val="00371C87"/>
    <w:rsid w:val="00380673"/>
    <w:rsid w:val="003809BA"/>
    <w:rsid w:val="0038109F"/>
    <w:rsid w:val="0038213E"/>
    <w:rsid w:val="00383A05"/>
    <w:rsid w:val="00384176"/>
    <w:rsid w:val="00384EB6"/>
    <w:rsid w:val="003862C3"/>
    <w:rsid w:val="003868E3"/>
    <w:rsid w:val="00392110"/>
    <w:rsid w:val="003929A6"/>
    <w:rsid w:val="0039346C"/>
    <w:rsid w:val="0039417D"/>
    <w:rsid w:val="003955FE"/>
    <w:rsid w:val="00395ABC"/>
    <w:rsid w:val="003A3917"/>
    <w:rsid w:val="003A622A"/>
    <w:rsid w:val="003A6B82"/>
    <w:rsid w:val="003B031E"/>
    <w:rsid w:val="003B09F8"/>
    <w:rsid w:val="003B2195"/>
    <w:rsid w:val="003B31F1"/>
    <w:rsid w:val="003B60D8"/>
    <w:rsid w:val="003B6E54"/>
    <w:rsid w:val="003B7C9A"/>
    <w:rsid w:val="003C027A"/>
    <w:rsid w:val="003C0D4D"/>
    <w:rsid w:val="003C393F"/>
    <w:rsid w:val="003C6C92"/>
    <w:rsid w:val="003C7A06"/>
    <w:rsid w:val="003D0C7B"/>
    <w:rsid w:val="003D0DB6"/>
    <w:rsid w:val="003D3176"/>
    <w:rsid w:val="003D31B7"/>
    <w:rsid w:val="003D3465"/>
    <w:rsid w:val="003D478D"/>
    <w:rsid w:val="003D5FBE"/>
    <w:rsid w:val="003D7400"/>
    <w:rsid w:val="003D7E8E"/>
    <w:rsid w:val="003E0AD4"/>
    <w:rsid w:val="003E1425"/>
    <w:rsid w:val="003E416C"/>
    <w:rsid w:val="003E64C1"/>
    <w:rsid w:val="003F1067"/>
    <w:rsid w:val="003F1F9C"/>
    <w:rsid w:val="003F7B0D"/>
    <w:rsid w:val="00400E12"/>
    <w:rsid w:val="004029ED"/>
    <w:rsid w:val="00403AA3"/>
    <w:rsid w:val="0040651A"/>
    <w:rsid w:val="00406E35"/>
    <w:rsid w:val="004118DC"/>
    <w:rsid w:val="00422812"/>
    <w:rsid w:val="004229F4"/>
    <w:rsid w:val="004315CD"/>
    <w:rsid w:val="00431C3B"/>
    <w:rsid w:val="0043408F"/>
    <w:rsid w:val="00434871"/>
    <w:rsid w:val="00435268"/>
    <w:rsid w:val="0044023A"/>
    <w:rsid w:val="004434E0"/>
    <w:rsid w:val="004437ED"/>
    <w:rsid w:val="00443A42"/>
    <w:rsid w:val="00443B7A"/>
    <w:rsid w:val="00445B45"/>
    <w:rsid w:val="0044600A"/>
    <w:rsid w:val="00447BDE"/>
    <w:rsid w:val="00447D04"/>
    <w:rsid w:val="00450ADB"/>
    <w:rsid w:val="00452102"/>
    <w:rsid w:val="004531C4"/>
    <w:rsid w:val="00453441"/>
    <w:rsid w:val="00453725"/>
    <w:rsid w:val="00453C63"/>
    <w:rsid w:val="0046694A"/>
    <w:rsid w:val="0046760D"/>
    <w:rsid w:val="00467833"/>
    <w:rsid w:val="00474447"/>
    <w:rsid w:val="004758C4"/>
    <w:rsid w:val="00476437"/>
    <w:rsid w:val="00477905"/>
    <w:rsid w:val="004805D2"/>
    <w:rsid w:val="00480B97"/>
    <w:rsid w:val="004820E2"/>
    <w:rsid w:val="00484D84"/>
    <w:rsid w:val="00485058"/>
    <w:rsid w:val="004853B6"/>
    <w:rsid w:val="004861BA"/>
    <w:rsid w:val="00486E44"/>
    <w:rsid w:val="0048743C"/>
    <w:rsid w:val="00490158"/>
    <w:rsid w:val="0049027F"/>
    <w:rsid w:val="00490AD8"/>
    <w:rsid w:val="00491634"/>
    <w:rsid w:val="004925A4"/>
    <w:rsid w:val="004929AD"/>
    <w:rsid w:val="004966FB"/>
    <w:rsid w:val="004A0443"/>
    <w:rsid w:val="004A5F2A"/>
    <w:rsid w:val="004A6736"/>
    <w:rsid w:val="004B2258"/>
    <w:rsid w:val="004B49D2"/>
    <w:rsid w:val="004B49F0"/>
    <w:rsid w:val="004C0684"/>
    <w:rsid w:val="004C0996"/>
    <w:rsid w:val="004C340C"/>
    <w:rsid w:val="004C3BAE"/>
    <w:rsid w:val="004C5B3E"/>
    <w:rsid w:val="004C7D72"/>
    <w:rsid w:val="004D33E2"/>
    <w:rsid w:val="004E125C"/>
    <w:rsid w:val="004E126C"/>
    <w:rsid w:val="004E4F28"/>
    <w:rsid w:val="004F5BCD"/>
    <w:rsid w:val="00502ABB"/>
    <w:rsid w:val="005033B8"/>
    <w:rsid w:val="00503827"/>
    <w:rsid w:val="0050384E"/>
    <w:rsid w:val="00503A40"/>
    <w:rsid w:val="00504FD8"/>
    <w:rsid w:val="00506840"/>
    <w:rsid w:val="00511A25"/>
    <w:rsid w:val="00516ABD"/>
    <w:rsid w:val="00516F1E"/>
    <w:rsid w:val="00517D40"/>
    <w:rsid w:val="0052067D"/>
    <w:rsid w:val="00520861"/>
    <w:rsid w:val="00520BA9"/>
    <w:rsid w:val="00521880"/>
    <w:rsid w:val="00521A5F"/>
    <w:rsid w:val="00523E94"/>
    <w:rsid w:val="00525C35"/>
    <w:rsid w:val="005279FB"/>
    <w:rsid w:val="00527F65"/>
    <w:rsid w:val="00532BF5"/>
    <w:rsid w:val="0053541C"/>
    <w:rsid w:val="00535A66"/>
    <w:rsid w:val="005364D7"/>
    <w:rsid w:val="0054145B"/>
    <w:rsid w:val="00542234"/>
    <w:rsid w:val="005435A1"/>
    <w:rsid w:val="005458AD"/>
    <w:rsid w:val="0054778A"/>
    <w:rsid w:val="00551125"/>
    <w:rsid w:val="0055409E"/>
    <w:rsid w:val="00554A36"/>
    <w:rsid w:val="00556FCF"/>
    <w:rsid w:val="005612A8"/>
    <w:rsid w:val="005616CC"/>
    <w:rsid w:val="00562514"/>
    <w:rsid w:val="00564C6D"/>
    <w:rsid w:val="005675B0"/>
    <w:rsid w:val="00570C36"/>
    <w:rsid w:val="0057133A"/>
    <w:rsid w:val="00576E04"/>
    <w:rsid w:val="0057733C"/>
    <w:rsid w:val="00581AC2"/>
    <w:rsid w:val="00583AC0"/>
    <w:rsid w:val="00584880"/>
    <w:rsid w:val="00584BFC"/>
    <w:rsid w:val="005873D0"/>
    <w:rsid w:val="0059128C"/>
    <w:rsid w:val="005914DA"/>
    <w:rsid w:val="005917A6"/>
    <w:rsid w:val="00591B28"/>
    <w:rsid w:val="00592F5B"/>
    <w:rsid w:val="005932B6"/>
    <w:rsid w:val="00594A31"/>
    <w:rsid w:val="00594CF4"/>
    <w:rsid w:val="00596F89"/>
    <w:rsid w:val="005B26AD"/>
    <w:rsid w:val="005B4793"/>
    <w:rsid w:val="005B53A3"/>
    <w:rsid w:val="005C0074"/>
    <w:rsid w:val="005C06FA"/>
    <w:rsid w:val="005C0B79"/>
    <w:rsid w:val="005C12CA"/>
    <w:rsid w:val="005D54D6"/>
    <w:rsid w:val="005D6CCE"/>
    <w:rsid w:val="005E24C9"/>
    <w:rsid w:val="005E38AF"/>
    <w:rsid w:val="005E5B0F"/>
    <w:rsid w:val="005E671C"/>
    <w:rsid w:val="005F5F6C"/>
    <w:rsid w:val="005F60A9"/>
    <w:rsid w:val="005F6A64"/>
    <w:rsid w:val="005F6F86"/>
    <w:rsid w:val="00600743"/>
    <w:rsid w:val="00603C37"/>
    <w:rsid w:val="006048A4"/>
    <w:rsid w:val="00605362"/>
    <w:rsid w:val="006064F7"/>
    <w:rsid w:val="006068F0"/>
    <w:rsid w:val="00606C3B"/>
    <w:rsid w:val="00622C28"/>
    <w:rsid w:val="00626CA8"/>
    <w:rsid w:val="006271A0"/>
    <w:rsid w:val="006301C4"/>
    <w:rsid w:val="00631BAB"/>
    <w:rsid w:val="00632500"/>
    <w:rsid w:val="006328BC"/>
    <w:rsid w:val="006406A8"/>
    <w:rsid w:val="00640B4E"/>
    <w:rsid w:val="00641D5B"/>
    <w:rsid w:val="00644AAD"/>
    <w:rsid w:val="00653CDE"/>
    <w:rsid w:val="0065432A"/>
    <w:rsid w:val="00654E22"/>
    <w:rsid w:val="00655C0F"/>
    <w:rsid w:val="00656442"/>
    <w:rsid w:val="00656C23"/>
    <w:rsid w:val="006605F2"/>
    <w:rsid w:val="00661DA0"/>
    <w:rsid w:val="00661FD0"/>
    <w:rsid w:val="006632E6"/>
    <w:rsid w:val="00663A92"/>
    <w:rsid w:val="00670E85"/>
    <w:rsid w:val="00674717"/>
    <w:rsid w:val="006749DE"/>
    <w:rsid w:val="00675A8C"/>
    <w:rsid w:val="00676923"/>
    <w:rsid w:val="006769BB"/>
    <w:rsid w:val="0067703D"/>
    <w:rsid w:val="006831E3"/>
    <w:rsid w:val="006851E8"/>
    <w:rsid w:val="00691B1A"/>
    <w:rsid w:val="00692AE5"/>
    <w:rsid w:val="00694532"/>
    <w:rsid w:val="00695425"/>
    <w:rsid w:val="006954AF"/>
    <w:rsid w:val="006A101B"/>
    <w:rsid w:val="006A11CB"/>
    <w:rsid w:val="006A18B4"/>
    <w:rsid w:val="006A5775"/>
    <w:rsid w:val="006A6710"/>
    <w:rsid w:val="006A6DC8"/>
    <w:rsid w:val="006B2531"/>
    <w:rsid w:val="006B49F9"/>
    <w:rsid w:val="006C015A"/>
    <w:rsid w:val="006C2360"/>
    <w:rsid w:val="006C293D"/>
    <w:rsid w:val="006C55A9"/>
    <w:rsid w:val="006C5999"/>
    <w:rsid w:val="006D0A1B"/>
    <w:rsid w:val="006D3E18"/>
    <w:rsid w:val="006D6A62"/>
    <w:rsid w:val="006E259F"/>
    <w:rsid w:val="006E53B9"/>
    <w:rsid w:val="006F0015"/>
    <w:rsid w:val="006F1A7C"/>
    <w:rsid w:val="00703B6B"/>
    <w:rsid w:val="00707FF2"/>
    <w:rsid w:val="007109C3"/>
    <w:rsid w:val="00711A20"/>
    <w:rsid w:val="00711A26"/>
    <w:rsid w:val="00715422"/>
    <w:rsid w:val="00715456"/>
    <w:rsid w:val="00716374"/>
    <w:rsid w:val="00717D53"/>
    <w:rsid w:val="007220A4"/>
    <w:rsid w:val="00722F74"/>
    <w:rsid w:val="0072351B"/>
    <w:rsid w:val="0072624B"/>
    <w:rsid w:val="00730D84"/>
    <w:rsid w:val="00730FBB"/>
    <w:rsid w:val="0073261C"/>
    <w:rsid w:val="00732E44"/>
    <w:rsid w:val="00736625"/>
    <w:rsid w:val="00743263"/>
    <w:rsid w:val="00744B4B"/>
    <w:rsid w:val="00745BFF"/>
    <w:rsid w:val="0074683F"/>
    <w:rsid w:val="00747C90"/>
    <w:rsid w:val="007549ED"/>
    <w:rsid w:val="00756325"/>
    <w:rsid w:val="0075643C"/>
    <w:rsid w:val="00756DD1"/>
    <w:rsid w:val="00757B36"/>
    <w:rsid w:val="00760A31"/>
    <w:rsid w:val="00761289"/>
    <w:rsid w:val="00761EA6"/>
    <w:rsid w:val="00762CE0"/>
    <w:rsid w:val="00764849"/>
    <w:rsid w:val="00767154"/>
    <w:rsid w:val="0077344A"/>
    <w:rsid w:val="00773B6C"/>
    <w:rsid w:val="00773FEE"/>
    <w:rsid w:val="00775AAB"/>
    <w:rsid w:val="007800E6"/>
    <w:rsid w:val="00781C9F"/>
    <w:rsid w:val="00781DF2"/>
    <w:rsid w:val="007904A5"/>
    <w:rsid w:val="00790B95"/>
    <w:rsid w:val="007937A3"/>
    <w:rsid w:val="00794E3C"/>
    <w:rsid w:val="007959A1"/>
    <w:rsid w:val="007A5556"/>
    <w:rsid w:val="007A7C98"/>
    <w:rsid w:val="007B43AB"/>
    <w:rsid w:val="007B4684"/>
    <w:rsid w:val="007B6B15"/>
    <w:rsid w:val="007C09EA"/>
    <w:rsid w:val="007C0E3E"/>
    <w:rsid w:val="007C1852"/>
    <w:rsid w:val="007C2309"/>
    <w:rsid w:val="007C3B9F"/>
    <w:rsid w:val="007C67A1"/>
    <w:rsid w:val="007D2F39"/>
    <w:rsid w:val="007D47E7"/>
    <w:rsid w:val="007D49C5"/>
    <w:rsid w:val="007D5273"/>
    <w:rsid w:val="007D6581"/>
    <w:rsid w:val="007D6855"/>
    <w:rsid w:val="007D6EBC"/>
    <w:rsid w:val="007D7114"/>
    <w:rsid w:val="007E1EAF"/>
    <w:rsid w:val="007E4817"/>
    <w:rsid w:val="007E5A78"/>
    <w:rsid w:val="007E6955"/>
    <w:rsid w:val="007F0A33"/>
    <w:rsid w:val="007F13EC"/>
    <w:rsid w:val="007F1D2B"/>
    <w:rsid w:val="007F2BEC"/>
    <w:rsid w:val="007F334C"/>
    <w:rsid w:val="007F4D7D"/>
    <w:rsid w:val="007F6F34"/>
    <w:rsid w:val="007F717F"/>
    <w:rsid w:val="007F79EB"/>
    <w:rsid w:val="008054A0"/>
    <w:rsid w:val="00806528"/>
    <w:rsid w:val="00806FB0"/>
    <w:rsid w:val="008158D6"/>
    <w:rsid w:val="00815AE1"/>
    <w:rsid w:val="008176CE"/>
    <w:rsid w:val="008209FD"/>
    <w:rsid w:val="00822736"/>
    <w:rsid w:val="008232D5"/>
    <w:rsid w:val="008236D1"/>
    <w:rsid w:val="00823F88"/>
    <w:rsid w:val="008269DE"/>
    <w:rsid w:val="0082700E"/>
    <w:rsid w:val="008300D6"/>
    <w:rsid w:val="008342A6"/>
    <w:rsid w:val="00835D8B"/>
    <w:rsid w:val="00840E22"/>
    <w:rsid w:val="00842808"/>
    <w:rsid w:val="00843D45"/>
    <w:rsid w:val="00852105"/>
    <w:rsid w:val="0085356F"/>
    <w:rsid w:val="0085544C"/>
    <w:rsid w:val="008604A4"/>
    <w:rsid w:val="008606F1"/>
    <w:rsid w:val="00860B81"/>
    <w:rsid w:val="00860D9E"/>
    <w:rsid w:val="00860E79"/>
    <w:rsid w:val="008618B9"/>
    <w:rsid w:val="00861D5D"/>
    <w:rsid w:val="00862516"/>
    <w:rsid w:val="00863D24"/>
    <w:rsid w:val="00865A4A"/>
    <w:rsid w:val="0086784A"/>
    <w:rsid w:val="0087165F"/>
    <w:rsid w:val="00873615"/>
    <w:rsid w:val="00874110"/>
    <w:rsid w:val="0088093B"/>
    <w:rsid w:val="008811BB"/>
    <w:rsid w:val="00882120"/>
    <w:rsid w:val="00883749"/>
    <w:rsid w:val="008838F8"/>
    <w:rsid w:val="00884C48"/>
    <w:rsid w:val="008920A9"/>
    <w:rsid w:val="00894FBD"/>
    <w:rsid w:val="0089747C"/>
    <w:rsid w:val="008974F2"/>
    <w:rsid w:val="008A2903"/>
    <w:rsid w:val="008A4589"/>
    <w:rsid w:val="008A4C6A"/>
    <w:rsid w:val="008A501F"/>
    <w:rsid w:val="008A5A7B"/>
    <w:rsid w:val="008B03C3"/>
    <w:rsid w:val="008C0690"/>
    <w:rsid w:val="008C277B"/>
    <w:rsid w:val="008C4798"/>
    <w:rsid w:val="008C5042"/>
    <w:rsid w:val="008D1B23"/>
    <w:rsid w:val="008D3FFB"/>
    <w:rsid w:val="008D43F8"/>
    <w:rsid w:val="008D4D49"/>
    <w:rsid w:val="008E2354"/>
    <w:rsid w:val="008E268A"/>
    <w:rsid w:val="008E3451"/>
    <w:rsid w:val="008E41C9"/>
    <w:rsid w:val="008E4F9A"/>
    <w:rsid w:val="008E53FF"/>
    <w:rsid w:val="008E5D13"/>
    <w:rsid w:val="008E7B9B"/>
    <w:rsid w:val="008F0E48"/>
    <w:rsid w:val="008F2C14"/>
    <w:rsid w:val="008F2DCC"/>
    <w:rsid w:val="008F517C"/>
    <w:rsid w:val="008F661D"/>
    <w:rsid w:val="00902455"/>
    <w:rsid w:val="00904A9B"/>
    <w:rsid w:val="00905884"/>
    <w:rsid w:val="00916B39"/>
    <w:rsid w:val="00920D6C"/>
    <w:rsid w:val="00921304"/>
    <w:rsid w:val="00921DFA"/>
    <w:rsid w:val="00922C33"/>
    <w:rsid w:val="00922C8D"/>
    <w:rsid w:val="00923170"/>
    <w:rsid w:val="009245FD"/>
    <w:rsid w:val="009276D5"/>
    <w:rsid w:val="009348D2"/>
    <w:rsid w:val="009349C3"/>
    <w:rsid w:val="009357EB"/>
    <w:rsid w:val="00937C7E"/>
    <w:rsid w:val="0094209F"/>
    <w:rsid w:val="00942D58"/>
    <w:rsid w:val="00942FDE"/>
    <w:rsid w:val="0094455D"/>
    <w:rsid w:val="009507C9"/>
    <w:rsid w:val="00952863"/>
    <w:rsid w:val="009528FA"/>
    <w:rsid w:val="00952D8A"/>
    <w:rsid w:val="00953FFB"/>
    <w:rsid w:val="00956C36"/>
    <w:rsid w:val="00960CE5"/>
    <w:rsid w:val="0096166D"/>
    <w:rsid w:val="00963218"/>
    <w:rsid w:val="00963F5E"/>
    <w:rsid w:val="00964218"/>
    <w:rsid w:val="00964D29"/>
    <w:rsid w:val="0096645C"/>
    <w:rsid w:val="00982895"/>
    <w:rsid w:val="00983663"/>
    <w:rsid w:val="00986437"/>
    <w:rsid w:val="00986C7E"/>
    <w:rsid w:val="0098767A"/>
    <w:rsid w:val="00987D2D"/>
    <w:rsid w:val="009911B9"/>
    <w:rsid w:val="009924D4"/>
    <w:rsid w:val="009961B0"/>
    <w:rsid w:val="009963BC"/>
    <w:rsid w:val="00996675"/>
    <w:rsid w:val="00996A79"/>
    <w:rsid w:val="00996C3F"/>
    <w:rsid w:val="009A5C17"/>
    <w:rsid w:val="009A6B50"/>
    <w:rsid w:val="009A6C00"/>
    <w:rsid w:val="009A71A3"/>
    <w:rsid w:val="009B0916"/>
    <w:rsid w:val="009B3FE5"/>
    <w:rsid w:val="009B4CAE"/>
    <w:rsid w:val="009B644A"/>
    <w:rsid w:val="009B67C7"/>
    <w:rsid w:val="009B6D76"/>
    <w:rsid w:val="009C3D9F"/>
    <w:rsid w:val="009C5CC6"/>
    <w:rsid w:val="009C60E6"/>
    <w:rsid w:val="009C6887"/>
    <w:rsid w:val="009D322E"/>
    <w:rsid w:val="009D5E30"/>
    <w:rsid w:val="009D64B0"/>
    <w:rsid w:val="009D78E3"/>
    <w:rsid w:val="009D78FE"/>
    <w:rsid w:val="009E0DF2"/>
    <w:rsid w:val="009E0EAB"/>
    <w:rsid w:val="009E2765"/>
    <w:rsid w:val="009E2C4C"/>
    <w:rsid w:val="009E30FA"/>
    <w:rsid w:val="009E412F"/>
    <w:rsid w:val="009E509B"/>
    <w:rsid w:val="009E5519"/>
    <w:rsid w:val="009E5F55"/>
    <w:rsid w:val="009E7D4A"/>
    <w:rsid w:val="009F02F1"/>
    <w:rsid w:val="009F0578"/>
    <w:rsid w:val="009F0C67"/>
    <w:rsid w:val="009F1884"/>
    <w:rsid w:val="009F3C39"/>
    <w:rsid w:val="009F48CE"/>
    <w:rsid w:val="009F4CA4"/>
    <w:rsid w:val="009F5431"/>
    <w:rsid w:val="009F5C57"/>
    <w:rsid w:val="009F7E7E"/>
    <w:rsid w:val="00A01445"/>
    <w:rsid w:val="00A03B3E"/>
    <w:rsid w:val="00A07660"/>
    <w:rsid w:val="00A079C6"/>
    <w:rsid w:val="00A109AC"/>
    <w:rsid w:val="00A11791"/>
    <w:rsid w:val="00A12D20"/>
    <w:rsid w:val="00A15316"/>
    <w:rsid w:val="00A15437"/>
    <w:rsid w:val="00A2018B"/>
    <w:rsid w:val="00A207B9"/>
    <w:rsid w:val="00A24E0A"/>
    <w:rsid w:val="00A3154B"/>
    <w:rsid w:val="00A317A2"/>
    <w:rsid w:val="00A31C07"/>
    <w:rsid w:val="00A31E32"/>
    <w:rsid w:val="00A3550A"/>
    <w:rsid w:val="00A3572F"/>
    <w:rsid w:val="00A35D90"/>
    <w:rsid w:val="00A36178"/>
    <w:rsid w:val="00A37BF4"/>
    <w:rsid w:val="00A37ECC"/>
    <w:rsid w:val="00A41DC7"/>
    <w:rsid w:val="00A4364F"/>
    <w:rsid w:val="00A45772"/>
    <w:rsid w:val="00A5424F"/>
    <w:rsid w:val="00A54EBE"/>
    <w:rsid w:val="00A56CB5"/>
    <w:rsid w:val="00A57D58"/>
    <w:rsid w:val="00A621F8"/>
    <w:rsid w:val="00A6351C"/>
    <w:rsid w:val="00A640D3"/>
    <w:rsid w:val="00A64717"/>
    <w:rsid w:val="00A651F3"/>
    <w:rsid w:val="00A748C9"/>
    <w:rsid w:val="00A74EB5"/>
    <w:rsid w:val="00A76535"/>
    <w:rsid w:val="00A76ADC"/>
    <w:rsid w:val="00A77398"/>
    <w:rsid w:val="00A80C51"/>
    <w:rsid w:val="00A81EDF"/>
    <w:rsid w:val="00A82980"/>
    <w:rsid w:val="00A83A62"/>
    <w:rsid w:val="00A87BD7"/>
    <w:rsid w:val="00A929CC"/>
    <w:rsid w:val="00A94C1A"/>
    <w:rsid w:val="00A9536F"/>
    <w:rsid w:val="00A95495"/>
    <w:rsid w:val="00A955F2"/>
    <w:rsid w:val="00AA0D3A"/>
    <w:rsid w:val="00AA0FBE"/>
    <w:rsid w:val="00AA2B34"/>
    <w:rsid w:val="00AA4479"/>
    <w:rsid w:val="00AA45D2"/>
    <w:rsid w:val="00AA48D1"/>
    <w:rsid w:val="00AA643A"/>
    <w:rsid w:val="00AB3D34"/>
    <w:rsid w:val="00AB4DFE"/>
    <w:rsid w:val="00AB7BFD"/>
    <w:rsid w:val="00AB7E31"/>
    <w:rsid w:val="00AC3C59"/>
    <w:rsid w:val="00AC7829"/>
    <w:rsid w:val="00AD2F5B"/>
    <w:rsid w:val="00AD464B"/>
    <w:rsid w:val="00AD72C1"/>
    <w:rsid w:val="00AD7E81"/>
    <w:rsid w:val="00AE0FF5"/>
    <w:rsid w:val="00AE127D"/>
    <w:rsid w:val="00AE3AB2"/>
    <w:rsid w:val="00AF12E5"/>
    <w:rsid w:val="00AF78EE"/>
    <w:rsid w:val="00AF7D70"/>
    <w:rsid w:val="00B017FE"/>
    <w:rsid w:val="00B04C8A"/>
    <w:rsid w:val="00B05D04"/>
    <w:rsid w:val="00B07F7D"/>
    <w:rsid w:val="00B1103E"/>
    <w:rsid w:val="00B17E63"/>
    <w:rsid w:val="00B17F7F"/>
    <w:rsid w:val="00B207FA"/>
    <w:rsid w:val="00B20869"/>
    <w:rsid w:val="00B211ED"/>
    <w:rsid w:val="00B21345"/>
    <w:rsid w:val="00B26E6E"/>
    <w:rsid w:val="00B27FC4"/>
    <w:rsid w:val="00B306F4"/>
    <w:rsid w:val="00B31770"/>
    <w:rsid w:val="00B319D0"/>
    <w:rsid w:val="00B33B3B"/>
    <w:rsid w:val="00B43B87"/>
    <w:rsid w:val="00B52B37"/>
    <w:rsid w:val="00B548FD"/>
    <w:rsid w:val="00B5498B"/>
    <w:rsid w:val="00B54D1D"/>
    <w:rsid w:val="00B556FB"/>
    <w:rsid w:val="00B56361"/>
    <w:rsid w:val="00B57706"/>
    <w:rsid w:val="00B61746"/>
    <w:rsid w:val="00B62005"/>
    <w:rsid w:val="00B62E96"/>
    <w:rsid w:val="00B665F7"/>
    <w:rsid w:val="00B67934"/>
    <w:rsid w:val="00B70C68"/>
    <w:rsid w:val="00B76FFB"/>
    <w:rsid w:val="00B7795B"/>
    <w:rsid w:val="00B77961"/>
    <w:rsid w:val="00B803FE"/>
    <w:rsid w:val="00B84C74"/>
    <w:rsid w:val="00B91562"/>
    <w:rsid w:val="00B9275D"/>
    <w:rsid w:val="00B94CF1"/>
    <w:rsid w:val="00B9547B"/>
    <w:rsid w:val="00BA2043"/>
    <w:rsid w:val="00BA2379"/>
    <w:rsid w:val="00BA2DCF"/>
    <w:rsid w:val="00BA3AE9"/>
    <w:rsid w:val="00BA4C02"/>
    <w:rsid w:val="00BA6F13"/>
    <w:rsid w:val="00BB23CD"/>
    <w:rsid w:val="00BB3A8E"/>
    <w:rsid w:val="00BB59AD"/>
    <w:rsid w:val="00BB5CD0"/>
    <w:rsid w:val="00BB65B0"/>
    <w:rsid w:val="00BB6D07"/>
    <w:rsid w:val="00BB7111"/>
    <w:rsid w:val="00BC05F6"/>
    <w:rsid w:val="00BC0690"/>
    <w:rsid w:val="00BC0785"/>
    <w:rsid w:val="00BC11BC"/>
    <w:rsid w:val="00BC2052"/>
    <w:rsid w:val="00BC279D"/>
    <w:rsid w:val="00BC2FBC"/>
    <w:rsid w:val="00BC4D83"/>
    <w:rsid w:val="00BC5B13"/>
    <w:rsid w:val="00BC6D1F"/>
    <w:rsid w:val="00BC78A0"/>
    <w:rsid w:val="00BD1033"/>
    <w:rsid w:val="00BD1CD3"/>
    <w:rsid w:val="00BD5539"/>
    <w:rsid w:val="00BE0F5B"/>
    <w:rsid w:val="00BE209F"/>
    <w:rsid w:val="00BE242C"/>
    <w:rsid w:val="00BE27E1"/>
    <w:rsid w:val="00BE3EE2"/>
    <w:rsid w:val="00BE5983"/>
    <w:rsid w:val="00BE713B"/>
    <w:rsid w:val="00BF0BC8"/>
    <w:rsid w:val="00BF2DE4"/>
    <w:rsid w:val="00BF4E4B"/>
    <w:rsid w:val="00BF64C9"/>
    <w:rsid w:val="00BF7045"/>
    <w:rsid w:val="00BF72CD"/>
    <w:rsid w:val="00BF79CA"/>
    <w:rsid w:val="00C03881"/>
    <w:rsid w:val="00C03EC3"/>
    <w:rsid w:val="00C051BA"/>
    <w:rsid w:val="00C052AB"/>
    <w:rsid w:val="00C06107"/>
    <w:rsid w:val="00C114D9"/>
    <w:rsid w:val="00C115C2"/>
    <w:rsid w:val="00C12A33"/>
    <w:rsid w:val="00C20A8B"/>
    <w:rsid w:val="00C21B1C"/>
    <w:rsid w:val="00C22CCF"/>
    <w:rsid w:val="00C234FA"/>
    <w:rsid w:val="00C250DC"/>
    <w:rsid w:val="00C25ECD"/>
    <w:rsid w:val="00C3109D"/>
    <w:rsid w:val="00C31DD3"/>
    <w:rsid w:val="00C3405B"/>
    <w:rsid w:val="00C353F4"/>
    <w:rsid w:val="00C40FF2"/>
    <w:rsid w:val="00C41BE7"/>
    <w:rsid w:val="00C479A8"/>
    <w:rsid w:val="00C47EAE"/>
    <w:rsid w:val="00C50941"/>
    <w:rsid w:val="00C510B7"/>
    <w:rsid w:val="00C5335B"/>
    <w:rsid w:val="00C54574"/>
    <w:rsid w:val="00C644B3"/>
    <w:rsid w:val="00C64673"/>
    <w:rsid w:val="00C67F26"/>
    <w:rsid w:val="00C72985"/>
    <w:rsid w:val="00C73607"/>
    <w:rsid w:val="00C7380C"/>
    <w:rsid w:val="00C759CD"/>
    <w:rsid w:val="00C76CA9"/>
    <w:rsid w:val="00C7749B"/>
    <w:rsid w:val="00C82DE7"/>
    <w:rsid w:val="00C83A12"/>
    <w:rsid w:val="00C84648"/>
    <w:rsid w:val="00C84F36"/>
    <w:rsid w:val="00C863EE"/>
    <w:rsid w:val="00C90447"/>
    <w:rsid w:val="00C90F87"/>
    <w:rsid w:val="00C913EC"/>
    <w:rsid w:val="00C91EA9"/>
    <w:rsid w:val="00C95721"/>
    <w:rsid w:val="00CA6D33"/>
    <w:rsid w:val="00CB10A1"/>
    <w:rsid w:val="00CB1671"/>
    <w:rsid w:val="00CB3128"/>
    <w:rsid w:val="00CB4EE8"/>
    <w:rsid w:val="00CB582D"/>
    <w:rsid w:val="00CB61BD"/>
    <w:rsid w:val="00CB63FC"/>
    <w:rsid w:val="00CB78F3"/>
    <w:rsid w:val="00CC1698"/>
    <w:rsid w:val="00CC19E8"/>
    <w:rsid w:val="00CC1E96"/>
    <w:rsid w:val="00CC30D3"/>
    <w:rsid w:val="00CC7527"/>
    <w:rsid w:val="00CD60E2"/>
    <w:rsid w:val="00CE14C9"/>
    <w:rsid w:val="00CE6A01"/>
    <w:rsid w:val="00CF2FF1"/>
    <w:rsid w:val="00CF32E4"/>
    <w:rsid w:val="00CF3473"/>
    <w:rsid w:val="00CF37DE"/>
    <w:rsid w:val="00CF45D0"/>
    <w:rsid w:val="00CF4883"/>
    <w:rsid w:val="00CF608F"/>
    <w:rsid w:val="00CF6FCC"/>
    <w:rsid w:val="00D00564"/>
    <w:rsid w:val="00D00B83"/>
    <w:rsid w:val="00D02F05"/>
    <w:rsid w:val="00D03053"/>
    <w:rsid w:val="00D03757"/>
    <w:rsid w:val="00D050E2"/>
    <w:rsid w:val="00D06972"/>
    <w:rsid w:val="00D06A07"/>
    <w:rsid w:val="00D144B0"/>
    <w:rsid w:val="00D21461"/>
    <w:rsid w:val="00D2287C"/>
    <w:rsid w:val="00D22BE5"/>
    <w:rsid w:val="00D26C11"/>
    <w:rsid w:val="00D3087B"/>
    <w:rsid w:val="00D30B85"/>
    <w:rsid w:val="00D348C4"/>
    <w:rsid w:val="00D37A63"/>
    <w:rsid w:val="00D40A24"/>
    <w:rsid w:val="00D42B4B"/>
    <w:rsid w:val="00D43AA4"/>
    <w:rsid w:val="00D44310"/>
    <w:rsid w:val="00D44B33"/>
    <w:rsid w:val="00D46172"/>
    <w:rsid w:val="00D47C7E"/>
    <w:rsid w:val="00D51A09"/>
    <w:rsid w:val="00D51BC1"/>
    <w:rsid w:val="00D52EE4"/>
    <w:rsid w:val="00D53350"/>
    <w:rsid w:val="00D556A1"/>
    <w:rsid w:val="00D563C2"/>
    <w:rsid w:val="00D57164"/>
    <w:rsid w:val="00D57281"/>
    <w:rsid w:val="00D57A8C"/>
    <w:rsid w:val="00D65967"/>
    <w:rsid w:val="00D70122"/>
    <w:rsid w:val="00D7025D"/>
    <w:rsid w:val="00D732AF"/>
    <w:rsid w:val="00D77410"/>
    <w:rsid w:val="00D777F1"/>
    <w:rsid w:val="00D800B0"/>
    <w:rsid w:val="00D805DE"/>
    <w:rsid w:val="00D80B69"/>
    <w:rsid w:val="00D8185B"/>
    <w:rsid w:val="00D8194A"/>
    <w:rsid w:val="00D82F3E"/>
    <w:rsid w:val="00D8516A"/>
    <w:rsid w:val="00D90C97"/>
    <w:rsid w:val="00D968BC"/>
    <w:rsid w:val="00D969A3"/>
    <w:rsid w:val="00DA3B20"/>
    <w:rsid w:val="00DA3D2A"/>
    <w:rsid w:val="00DA43BB"/>
    <w:rsid w:val="00DA584A"/>
    <w:rsid w:val="00DB6895"/>
    <w:rsid w:val="00DB78B9"/>
    <w:rsid w:val="00DC01DB"/>
    <w:rsid w:val="00DC4007"/>
    <w:rsid w:val="00DC7AB8"/>
    <w:rsid w:val="00DD0809"/>
    <w:rsid w:val="00DD211C"/>
    <w:rsid w:val="00DD525D"/>
    <w:rsid w:val="00DD5508"/>
    <w:rsid w:val="00DD5E05"/>
    <w:rsid w:val="00DD6DE6"/>
    <w:rsid w:val="00DD7926"/>
    <w:rsid w:val="00DE0E0D"/>
    <w:rsid w:val="00DE33FB"/>
    <w:rsid w:val="00DE56E6"/>
    <w:rsid w:val="00DE5E63"/>
    <w:rsid w:val="00DE675A"/>
    <w:rsid w:val="00DF03F4"/>
    <w:rsid w:val="00DF50E0"/>
    <w:rsid w:val="00DF693E"/>
    <w:rsid w:val="00E01524"/>
    <w:rsid w:val="00E138A9"/>
    <w:rsid w:val="00E13B1F"/>
    <w:rsid w:val="00E1452E"/>
    <w:rsid w:val="00E14E1C"/>
    <w:rsid w:val="00E20739"/>
    <w:rsid w:val="00E2148E"/>
    <w:rsid w:val="00E23498"/>
    <w:rsid w:val="00E35D66"/>
    <w:rsid w:val="00E375E1"/>
    <w:rsid w:val="00E378C7"/>
    <w:rsid w:val="00E40A3B"/>
    <w:rsid w:val="00E41764"/>
    <w:rsid w:val="00E4228B"/>
    <w:rsid w:val="00E431DF"/>
    <w:rsid w:val="00E4347E"/>
    <w:rsid w:val="00E46780"/>
    <w:rsid w:val="00E47FF8"/>
    <w:rsid w:val="00E502C4"/>
    <w:rsid w:val="00E541E9"/>
    <w:rsid w:val="00E54657"/>
    <w:rsid w:val="00E63988"/>
    <w:rsid w:val="00E64EDC"/>
    <w:rsid w:val="00E6593C"/>
    <w:rsid w:val="00E6697F"/>
    <w:rsid w:val="00E6786C"/>
    <w:rsid w:val="00E74681"/>
    <w:rsid w:val="00E76151"/>
    <w:rsid w:val="00E76C4F"/>
    <w:rsid w:val="00E77CF4"/>
    <w:rsid w:val="00E801B8"/>
    <w:rsid w:val="00E8042B"/>
    <w:rsid w:val="00E81AAB"/>
    <w:rsid w:val="00E820A0"/>
    <w:rsid w:val="00E82C16"/>
    <w:rsid w:val="00E900AD"/>
    <w:rsid w:val="00E9217F"/>
    <w:rsid w:val="00E93A05"/>
    <w:rsid w:val="00E9496E"/>
    <w:rsid w:val="00E95E2C"/>
    <w:rsid w:val="00E96765"/>
    <w:rsid w:val="00E97D09"/>
    <w:rsid w:val="00EA009B"/>
    <w:rsid w:val="00EA04B7"/>
    <w:rsid w:val="00EA0937"/>
    <w:rsid w:val="00EA192F"/>
    <w:rsid w:val="00EA61CF"/>
    <w:rsid w:val="00EA7723"/>
    <w:rsid w:val="00EB09F8"/>
    <w:rsid w:val="00EB0E8C"/>
    <w:rsid w:val="00EB17F3"/>
    <w:rsid w:val="00EB2298"/>
    <w:rsid w:val="00EB2470"/>
    <w:rsid w:val="00EB28CA"/>
    <w:rsid w:val="00EB28E3"/>
    <w:rsid w:val="00EB4F4C"/>
    <w:rsid w:val="00EB52F2"/>
    <w:rsid w:val="00EB57D6"/>
    <w:rsid w:val="00EC0376"/>
    <w:rsid w:val="00EC4030"/>
    <w:rsid w:val="00EC5445"/>
    <w:rsid w:val="00ED1DFC"/>
    <w:rsid w:val="00ED4169"/>
    <w:rsid w:val="00ED7152"/>
    <w:rsid w:val="00ED7E8E"/>
    <w:rsid w:val="00EE1688"/>
    <w:rsid w:val="00EE23CC"/>
    <w:rsid w:val="00EF234B"/>
    <w:rsid w:val="00EF36D5"/>
    <w:rsid w:val="00EF382C"/>
    <w:rsid w:val="00EF3F63"/>
    <w:rsid w:val="00EF4C13"/>
    <w:rsid w:val="00EF6EEB"/>
    <w:rsid w:val="00F01551"/>
    <w:rsid w:val="00F05420"/>
    <w:rsid w:val="00F072C2"/>
    <w:rsid w:val="00F1066F"/>
    <w:rsid w:val="00F21207"/>
    <w:rsid w:val="00F2230F"/>
    <w:rsid w:val="00F27B73"/>
    <w:rsid w:val="00F304DF"/>
    <w:rsid w:val="00F33FC7"/>
    <w:rsid w:val="00F343C9"/>
    <w:rsid w:val="00F34A2F"/>
    <w:rsid w:val="00F352E7"/>
    <w:rsid w:val="00F4628C"/>
    <w:rsid w:val="00F50D39"/>
    <w:rsid w:val="00F50FBA"/>
    <w:rsid w:val="00F5107C"/>
    <w:rsid w:val="00F5110A"/>
    <w:rsid w:val="00F51DC6"/>
    <w:rsid w:val="00F52FF2"/>
    <w:rsid w:val="00F53FD4"/>
    <w:rsid w:val="00F56BEA"/>
    <w:rsid w:val="00F571CE"/>
    <w:rsid w:val="00F63113"/>
    <w:rsid w:val="00F6681A"/>
    <w:rsid w:val="00F707DE"/>
    <w:rsid w:val="00F71E15"/>
    <w:rsid w:val="00F7214D"/>
    <w:rsid w:val="00F72D89"/>
    <w:rsid w:val="00F74F31"/>
    <w:rsid w:val="00F75227"/>
    <w:rsid w:val="00F91BCF"/>
    <w:rsid w:val="00F9366D"/>
    <w:rsid w:val="00F95FE2"/>
    <w:rsid w:val="00F972CE"/>
    <w:rsid w:val="00FA0D4F"/>
    <w:rsid w:val="00FA1C53"/>
    <w:rsid w:val="00FA2334"/>
    <w:rsid w:val="00FA2BA9"/>
    <w:rsid w:val="00FA3C12"/>
    <w:rsid w:val="00FA5C05"/>
    <w:rsid w:val="00FA6DD0"/>
    <w:rsid w:val="00FA7FFD"/>
    <w:rsid w:val="00FB02D1"/>
    <w:rsid w:val="00FB3A1E"/>
    <w:rsid w:val="00FB3C91"/>
    <w:rsid w:val="00FB4DCC"/>
    <w:rsid w:val="00FB6647"/>
    <w:rsid w:val="00FC2BF8"/>
    <w:rsid w:val="00FC3B2D"/>
    <w:rsid w:val="00FC3E44"/>
    <w:rsid w:val="00FC5433"/>
    <w:rsid w:val="00FD31C0"/>
    <w:rsid w:val="00FD3F1A"/>
    <w:rsid w:val="00FD442A"/>
    <w:rsid w:val="00FD6406"/>
    <w:rsid w:val="00FD7E6D"/>
    <w:rsid w:val="00FE23EB"/>
    <w:rsid w:val="00FE518E"/>
    <w:rsid w:val="00FE5FE9"/>
    <w:rsid w:val="00FE662E"/>
    <w:rsid w:val="00FF0F02"/>
    <w:rsid w:val="00FF1F90"/>
    <w:rsid w:val="00FF52C1"/>
    <w:rsid w:val="00FF6998"/>
    <w:rsid w:val="00FF6F38"/>
    <w:rsid w:val="00FF7189"/>
    <w:rsid w:val="01825E49"/>
    <w:rsid w:val="025A4973"/>
    <w:rsid w:val="02B41F07"/>
    <w:rsid w:val="045B3200"/>
    <w:rsid w:val="04CC7824"/>
    <w:rsid w:val="04FC07BA"/>
    <w:rsid w:val="071E5540"/>
    <w:rsid w:val="084E6C6E"/>
    <w:rsid w:val="08BE3CCD"/>
    <w:rsid w:val="08D5567E"/>
    <w:rsid w:val="096E2610"/>
    <w:rsid w:val="09B37D1D"/>
    <w:rsid w:val="09CD219B"/>
    <w:rsid w:val="09ED576F"/>
    <w:rsid w:val="09F75AC8"/>
    <w:rsid w:val="0A6C7112"/>
    <w:rsid w:val="0B50788A"/>
    <w:rsid w:val="0D6844DA"/>
    <w:rsid w:val="0DFB23C6"/>
    <w:rsid w:val="0DFE61E7"/>
    <w:rsid w:val="0F253E84"/>
    <w:rsid w:val="10257624"/>
    <w:rsid w:val="10307374"/>
    <w:rsid w:val="141E57DD"/>
    <w:rsid w:val="15255E1B"/>
    <w:rsid w:val="15A25E97"/>
    <w:rsid w:val="168503A9"/>
    <w:rsid w:val="181E6DC2"/>
    <w:rsid w:val="1881368E"/>
    <w:rsid w:val="1994593B"/>
    <w:rsid w:val="199861D3"/>
    <w:rsid w:val="1B3E3557"/>
    <w:rsid w:val="1BE44692"/>
    <w:rsid w:val="1C3E30E2"/>
    <w:rsid w:val="1DC379A0"/>
    <w:rsid w:val="1E0C274A"/>
    <w:rsid w:val="1EBF419F"/>
    <w:rsid w:val="1F963122"/>
    <w:rsid w:val="1F970EAE"/>
    <w:rsid w:val="1FD746B4"/>
    <w:rsid w:val="216750D4"/>
    <w:rsid w:val="223B1C77"/>
    <w:rsid w:val="245B3C6C"/>
    <w:rsid w:val="25100723"/>
    <w:rsid w:val="253D19C1"/>
    <w:rsid w:val="2638712D"/>
    <w:rsid w:val="26B22875"/>
    <w:rsid w:val="2782420C"/>
    <w:rsid w:val="279F7A9A"/>
    <w:rsid w:val="28246887"/>
    <w:rsid w:val="29781E1B"/>
    <w:rsid w:val="2A2517F9"/>
    <w:rsid w:val="2ADB491E"/>
    <w:rsid w:val="2B2215EC"/>
    <w:rsid w:val="2C2A1810"/>
    <w:rsid w:val="2C706AF2"/>
    <w:rsid w:val="2C920468"/>
    <w:rsid w:val="2CE848EE"/>
    <w:rsid w:val="2DA82AB1"/>
    <w:rsid w:val="2E604AA2"/>
    <w:rsid w:val="301756EA"/>
    <w:rsid w:val="31C90585"/>
    <w:rsid w:val="327139D8"/>
    <w:rsid w:val="32B35381"/>
    <w:rsid w:val="335A65FC"/>
    <w:rsid w:val="34745500"/>
    <w:rsid w:val="34C70F08"/>
    <w:rsid w:val="3502519D"/>
    <w:rsid w:val="36A107A1"/>
    <w:rsid w:val="36AD2F26"/>
    <w:rsid w:val="37004E2E"/>
    <w:rsid w:val="37D03AFE"/>
    <w:rsid w:val="3822625D"/>
    <w:rsid w:val="391D5293"/>
    <w:rsid w:val="39C03D42"/>
    <w:rsid w:val="3AA87A35"/>
    <w:rsid w:val="3B5614A2"/>
    <w:rsid w:val="3B64119B"/>
    <w:rsid w:val="3BFC59DF"/>
    <w:rsid w:val="3C1820B5"/>
    <w:rsid w:val="3CFE1A82"/>
    <w:rsid w:val="3D247283"/>
    <w:rsid w:val="3F4A17C7"/>
    <w:rsid w:val="3FAE2C88"/>
    <w:rsid w:val="405371DF"/>
    <w:rsid w:val="41243995"/>
    <w:rsid w:val="41E81277"/>
    <w:rsid w:val="42250D13"/>
    <w:rsid w:val="43A24C6D"/>
    <w:rsid w:val="44005E2F"/>
    <w:rsid w:val="44B5708B"/>
    <w:rsid w:val="44CA4BFA"/>
    <w:rsid w:val="46FF6F63"/>
    <w:rsid w:val="4702503E"/>
    <w:rsid w:val="483B30CC"/>
    <w:rsid w:val="486C0E54"/>
    <w:rsid w:val="48B740E9"/>
    <w:rsid w:val="48EF0463"/>
    <w:rsid w:val="49B45578"/>
    <w:rsid w:val="49E8450A"/>
    <w:rsid w:val="4A1B4706"/>
    <w:rsid w:val="4A231B04"/>
    <w:rsid w:val="4A3E45EF"/>
    <w:rsid w:val="4AE7547A"/>
    <w:rsid w:val="4B8D6ED7"/>
    <w:rsid w:val="4D083EE4"/>
    <w:rsid w:val="4DC16523"/>
    <w:rsid w:val="4F4B010B"/>
    <w:rsid w:val="4F6271F5"/>
    <w:rsid w:val="503C26C0"/>
    <w:rsid w:val="504970E8"/>
    <w:rsid w:val="544A7B97"/>
    <w:rsid w:val="54B25AA2"/>
    <w:rsid w:val="55E24301"/>
    <w:rsid w:val="58476289"/>
    <w:rsid w:val="58E86889"/>
    <w:rsid w:val="590C783E"/>
    <w:rsid w:val="59672220"/>
    <w:rsid w:val="5A8D3AFE"/>
    <w:rsid w:val="5B1213E7"/>
    <w:rsid w:val="5C142BF5"/>
    <w:rsid w:val="5C1D31A7"/>
    <w:rsid w:val="5C323D67"/>
    <w:rsid w:val="5D373670"/>
    <w:rsid w:val="5D9F3F36"/>
    <w:rsid w:val="5E3901A6"/>
    <w:rsid w:val="5E57787D"/>
    <w:rsid w:val="5F676194"/>
    <w:rsid w:val="5F983A11"/>
    <w:rsid w:val="603B4F3C"/>
    <w:rsid w:val="615B47C2"/>
    <w:rsid w:val="617B348A"/>
    <w:rsid w:val="61924E70"/>
    <w:rsid w:val="623B27A1"/>
    <w:rsid w:val="62A02B74"/>
    <w:rsid w:val="63810C4D"/>
    <w:rsid w:val="647A232A"/>
    <w:rsid w:val="68F14D31"/>
    <w:rsid w:val="6B961BC0"/>
    <w:rsid w:val="6D146C7C"/>
    <w:rsid w:val="6E075F4D"/>
    <w:rsid w:val="6FA86B63"/>
    <w:rsid w:val="6FC9243C"/>
    <w:rsid w:val="71C31671"/>
    <w:rsid w:val="72DE5313"/>
    <w:rsid w:val="74585EAC"/>
    <w:rsid w:val="75457F23"/>
    <w:rsid w:val="760477CC"/>
    <w:rsid w:val="76E250B8"/>
    <w:rsid w:val="790979AA"/>
    <w:rsid w:val="79A73A19"/>
    <w:rsid w:val="79BE214E"/>
    <w:rsid w:val="7AF56621"/>
    <w:rsid w:val="7BC63DFB"/>
    <w:rsid w:val="7C6B49A3"/>
    <w:rsid w:val="7C76523A"/>
    <w:rsid w:val="7D703BB0"/>
    <w:rsid w:val="7D75652E"/>
    <w:rsid w:val="7F2D45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rPr>
  </w:style>
  <w:style w:type="paragraph" w:styleId="4">
    <w:name w:val="heading 2"/>
    <w:basedOn w:val="1"/>
    <w:next w:val="1"/>
    <w:link w:val="41"/>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link w:val="42"/>
    <w:qFormat/>
    <w:uiPriority w:val="0"/>
    <w:pPr>
      <w:keepNext/>
      <w:keepLines/>
      <w:spacing w:line="600" w:lineRule="exact"/>
      <w:ind w:firstLine="643" w:firstLineChars="200"/>
      <w:outlineLvl w:val="2"/>
    </w:pPr>
    <w:rPr>
      <w:b/>
      <w:bCs/>
      <w:sz w:val="32"/>
      <w:szCs w:val="32"/>
    </w:rPr>
  </w:style>
  <w:style w:type="paragraph" w:styleId="6">
    <w:name w:val="heading 4"/>
    <w:basedOn w:val="1"/>
    <w:next w:val="1"/>
    <w:link w:val="43"/>
    <w:qFormat/>
    <w:uiPriority w:val="0"/>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7">
    <w:name w:val="heading 5"/>
    <w:basedOn w:val="1"/>
    <w:next w:val="1"/>
    <w:link w:val="44"/>
    <w:qFormat/>
    <w:uiPriority w:val="9"/>
    <w:pPr>
      <w:keepNext/>
      <w:keepLines/>
      <w:spacing w:before="280" w:after="290" w:line="376" w:lineRule="auto"/>
      <w:outlineLvl w:val="4"/>
    </w:pPr>
    <w:rPr>
      <w:b/>
      <w:bCs/>
      <w:sz w:val="28"/>
      <w:szCs w:val="28"/>
    </w:rPr>
  </w:style>
  <w:style w:type="paragraph" w:styleId="2">
    <w:name w:val="heading 6"/>
    <w:basedOn w:val="1"/>
    <w:next w:val="1"/>
    <w:qFormat/>
    <w:uiPriority w:val="0"/>
    <w:pPr>
      <w:keepNext/>
      <w:keepLines/>
      <w:spacing w:before="240" w:after="64" w:line="316" w:lineRule="auto"/>
      <w:outlineLvl w:val="5"/>
    </w:pPr>
    <w:rPr>
      <w:rFonts w:ascii="Arial" w:hAnsi="Arial" w:eastAsia="黑体"/>
      <w:b/>
      <w:bCs/>
      <w:sz w:val="24"/>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jc w:val="left"/>
    </w:pPr>
    <w:rPr>
      <w:rFonts w:ascii="Calibri" w:hAnsi="Calibri"/>
      <w:sz w:val="22"/>
      <w:szCs w:val="22"/>
    </w:rPr>
  </w:style>
  <w:style w:type="paragraph" w:styleId="9">
    <w:name w:val="Normal Indent"/>
    <w:basedOn w:val="1"/>
    <w:qFormat/>
    <w:uiPriority w:val="0"/>
    <w:pPr>
      <w:ind w:firstLine="420"/>
    </w:pPr>
    <w:rPr>
      <w:szCs w:val="20"/>
    </w:rPr>
  </w:style>
  <w:style w:type="paragraph" w:styleId="10">
    <w:name w:val="caption"/>
    <w:basedOn w:val="1"/>
    <w:next w:val="1"/>
    <w:qFormat/>
    <w:uiPriority w:val="0"/>
    <w:pPr>
      <w:spacing w:before="152" w:after="160"/>
    </w:pPr>
    <w:rPr>
      <w:rFonts w:ascii="Arial" w:hAnsi="Arial" w:eastAsia="黑体" w:cs="Arial"/>
      <w:sz w:val="20"/>
      <w:szCs w:val="20"/>
    </w:rPr>
  </w:style>
  <w:style w:type="paragraph" w:styleId="11">
    <w:name w:val="Document Map"/>
    <w:basedOn w:val="1"/>
    <w:link w:val="45"/>
    <w:qFormat/>
    <w:uiPriority w:val="0"/>
    <w:rPr>
      <w:rFonts w:ascii="宋体"/>
      <w:sz w:val="18"/>
      <w:szCs w:val="18"/>
    </w:rPr>
  </w:style>
  <w:style w:type="paragraph" w:styleId="12">
    <w:name w:val="annotation text"/>
    <w:basedOn w:val="1"/>
    <w:link w:val="46"/>
    <w:qFormat/>
    <w:uiPriority w:val="0"/>
    <w:pPr>
      <w:jc w:val="left"/>
    </w:pPr>
  </w:style>
  <w:style w:type="paragraph" w:styleId="13">
    <w:name w:val="Body Text 3"/>
    <w:basedOn w:val="1"/>
    <w:link w:val="47"/>
    <w:unhideWhenUsed/>
    <w:qFormat/>
    <w:uiPriority w:val="99"/>
    <w:pPr>
      <w:spacing w:after="120"/>
    </w:pPr>
    <w:rPr>
      <w:sz w:val="16"/>
      <w:szCs w:val="16"/>
    </w:rPr>
  </w:style>
  <w:style w:type="paragraph" w:styleId="14">
    <w:name w:val="Body Text"/>
    <w:basedOn w:val="1"/>
    <w:link w:val="48"/>
    <w:unhideWhenUsed/>
    <w:qFormat/>
    <w:uiPriority w:val="99"/>
    <w:pPr>
      <w:spacing w:after="120"/>
    </w:pPr>
  </w:style>
  <w:style w:type="paragraph" w:styleId="15">
    <w:name w:val="Body Text Indent"/>
    <w:basedOn w:val="1"/>
    <w:link w:val="49"/>
    <w:qFormat/>
    <w:uiPriority w:val="0"/>
    <w:pPr>
      <w:spacing w:line="200" w:lineRule="exact"/>
      <w:ind w:firstLine="301"/>
    </w:pPr>
    <w:rPr>
      <w:rFonts w:ascii="宋体" w:hAnsi="Courier New"/>
      <w:spacing w:val="-4"/>
      <w:sz w:val="18"/>
      <w:szCs w:val="20"/>
    </w:rPr>
  </w:style>
  <w:style w:type="paragraph" w:styleId="16">
    <w:name w:val="toc 5"/>
    <w:basedOn w:val="1"/>
    <w:next w:val="1"/>
    <w:unhideWhenUsed/>
    <w:qFormat/>
    <w:uiPriority w:val="39"/>
    <w:pPr>
      <w:jc w:val="left"/>
    </w:pPr>
    <w:rPr>
      <w:rFonts w:ascii="Calibri" w:hAnsi="Calibri"/>
      <w:sz w:val="22"/>
      <w:szCs w:val="22"/>
    </w:rPr>
  </w:style>
  <w:style w:type="paragraph" w:styleId="17">
    <w:name w:val="toc 3"/>
    <w:basedOn w:val="1"/>
    <w:next w:val="1"/>
    <w:unhideWhenUsed/>
    <w:qFormat/>
    <w:uiPriority w:val="39"/>
    <w:pPr>
      <w:jc w:val="left"/>
    </w:pPr>
    <w:rPr>
      <w:rFonts w:ascii="Calibri" w:hAnsi="Calibri"/>
      <w:smallCaps/>
      <w:sz w:val="22"/>
      <w:szCs w:val="22"/>
    </w:rPr>
  </w:style>
  <w:style w:type="paragraph" w:styleId="18">
    <w:name w:val="Plain Text"/>
    <w:basedOn w:val="1"/>
    <w:link w:val="50"/>
    <w:qFormat/>
    <w:uiPriority w:val="0"/>
    <w:rPr>
      <w:rFonts w:ascii="宋体" w:hAnsi="Courier New"/>
      <w:szCs w:val="20"/>
    </w:rPr>
  </w:style>
  <w:style w:type="paragraph" w:styleId="19">
    <w:name w:val="toc 8"/>
    <w:basedOn w:val="1"/>
    <w:next w:val="1"/>
    <w:unhideWhenUsed/>
    <w:qFormat/>
    <w:uiPriority w:val="39"/>
    <w:pPr>
      <w:jc w:val="left"/>
    </w:pPr>
    <w:rPr>
      <w:rFonts w:ascii="Calibri" w:hAnsi="Calibri"/>
      <w:sz w:val="22"/>
      <w:szCs w:val="22"/>
    </w:rPr>
  </w:style>
  <w:style w:type="paragraph" w:styleId="20">
    <w:name w:val="Date"/>
    <w:basedOn w:val="1"/>
    <w:next w:val="1"/>
    <w:link w:val="51"/>
    <w:qFormat/>
    <w:uiPriority w:val="0"/>
    <w:pPr>
      <w:ind w:left="100" w:leftChars="2500"/>
    </w:pPr>
  </w:style>
  <w:style w:type="paragraph" w:styleId="21">
    <w:name w:val="Body Text Indent 2"/>
    <w:basedOn w:val="1"/>
    <w:link w:val="52"/>
    <w:qFormat/>
    <w:uiPriority w:val="0"/>
    <w:pPr>
      <w:spacing w:after="120" w:line="480" w:lineRule="auto"/>
      <w:ind w:left="420" w:leftChars="200"/>
    </w:pPr>
  </w:style>
  <w:style w:type="paragraph" w:styleId="22">
    <w:name w:val="Balloon Text"/>
    <w:basedOn w:val="1"/>
    <w:link w:val="53"/>
    <w:qFormat/>
    <w:uiPriority w:val="0"/>
    <w:rPr>
      <w:sz w:val="18"/>
      <w:szCs w:val="18"/>
    </w:rPr>
  </w:style>
  <w:style w:type="paragraph" w:styleId="23">
    <w:name w:val="footer"/>
    <w:basedOn w:val="1"/>
    <w:link w:val="54"/>
    <w:qFormat/>
    <w:uiPriority w:val="99"/>
    <w:pPr>
      <w:tabs>
        <w:tab w:val="center" w:pos="4153"/>
        <w:tab w:val="right" w:pos="8306"/>
      </w:tabs>
      <w:snapToGrid w:val="0"/>
      <w:ind w:firstLine="420" w:firstLineChars="200"/>
      <w:jc w:val="center"/>
    </w:pPr>
    <w:rPr>
      <w:rFonts w:ascii="宋体" w:hAnsi="宋体" w:cs="宋体"/>
      <w:szCs w:val="21"/>
    </w:rPr>
  </w:style>
  <w:style w:type="paragraph" w:styleId="24">
    <w:name w:val="header"/>
    <w:basedOn w:val="1"/>
    <w:link w:val="55"/>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pPr>
      <w:spacing w:before="360" w:after="360"/>
      <w:jc w:val="left"/>
    </w:pPr>
    <w:rPr>
      <w:rFonts w:ascii="Calibri" w:hAnsi="Calibri"/>
      <w:b/>
      <w:bCs/>
      <w:caps/>
      <w:sz w:val="22"/>
      <w:szCs w:val="22"/>
      <w:u w:val="single"/>
    </w:rPr>
  </w:style>
  <w:style w:type="paragraph" w:styleId="26">
    <w:name w:val="toc 4"/>
    <w:basedOn w:val="1"/>
    <w:next w:val="1"/>
    <w:unhideWhenUsed/>
    <w:qFormat/>
    <w:uiPriority w:val="39"/>
    <w:pPr>
      <w:jc w:val="left"/>
    </w:pPr>
    <w:rPr>
      <w:rFonts w:ascii="Calibri" w:hAnsi="Calibri"/>
      <w:sz w:val="22"/>
      <w:szCs w:val="22"/>
    </w:rPr>
  </w:style>
  <w:style w:type="paragraph" w:styleId="27">
    <w:name w:val="List"/>
    <w:basedOn w:val="1"/>
    <w:qFormat/>
    <w:uiPriority w:val="0"/>
    <w:pPr>
      <w:ind w:left="200" w:hanging="200" w:hangingChars="200"/>
    </w:pPr>
    <w:rPr>
      <w:sz w:val="28"/>
    </w:rPr>
  </w:style>
  <w:style w:type="paragraph" w:styleId="28">
    <w:name w:val="toc 6"/>
    <w:basedOn w:val="1"/>
    <w:next w:val="1"/>
    <w:unhideWhenUsed/>
    <w:qFormat/>
    <w:uiPriority w:val="39"/>
    <w:pPr>
      <w:jc w:val="left"/>
    </w:pPr>
    <w:rPr>
      <w:rFonts w:ascii="Calibri" w:hAnsi="Calibri"/>
      <w:sz w:val="22"/>
      <w:szCs w:val="22"/>
    </w:rPr>
  </w:style>
  <w:style w:type="paragraph" w:styleId="29">
    <w:name w:val="toc 2"/>
    <w:basedOn w:val="1"/>
    <w:next w:val="1"/>
    <w:qFormat/>
    <w:uiPriority w:val="39"/>
    <w:pPr>
      <w:jc w:val="left"/>
    </w:pPr>
    <w:rPr>
      <w:rFonts w:ascii="Calibri" w:hAnsi="Calibri"/>
      <w:b/>
      <w:bCs/>
      <w:smallCaps/>
      <w:sz w:val="22"/>
      <w:szCs w:val="22"/>
    </w:rPr>
  </w:style>
  <w:style w:type="paragraph" w:styleId="30">
    <w:name w:val="toc 9"/>
    <w:basedOn w:val="1"/>
    <w:next w:val="1"/>
    <w:unhideWhenUsed/>
    <w:qFormat/>
    <w:uiPriority w:val="39"/>
    <w:pPr>
      <w:jc w:val="left"/>
    </w:pPr>
    <w:rPr>
      <w:rFonts w:ascii="Calibri" w:hAnsi="Calibri"/>
      <w:sz w:val="22"/>
      <w:szCs w:val="22"/>
    </w:rPr>
  </w:style>
  <w:style w:type="paragraph" w:styleId="31">
    <w:name w:val="annotation subject"/>
    <w:basedOn w:val="12"/>
    <w:next w:val="12"/>
    <w:link w:val="56"/>
    <w:unhideWhenUsed/>
    <w:qFormat/>
    <w:uiPriority w:val="99"/>
    <w:rPr>
      <w:b/>
      <w:bCs/>
    </w:rPr>
  </w:style>
  <w:style w:type="table" w:styleId="33">
    <w:name w:val="Table Grid"/>
    <w:basedOn w:val="3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page number"/>
    <w:qFormat/>
    <w:uiPriority w:val="0"/>
  </w:style>
  <w:style w:type="character" w:styleId="36">
    <w:name w:val="Emphasis"/>
    <w:basedOn w:val="34"/>
    <w:qFormat/>
    <w:uiPriority w:val="20"/>
    <w:rPr>
      <w:i/>
    </w:rPr>
  </w:style>
  <w:style w:type="character" w:styleId="37">
    <w:name w:val="Hyperlink"/>
    <w:qFormat/>
    <w:uiPriority w:val="99"/>
    <w:rPr>
      <w:color w:val="0000FF"/>
      <w:u w:val="single"/>
    </w:rPr>
  </w:style>
  <w:style w:type="character" w:styleId="38">
    <w:name w:val="annotation reference"/>
    <w:qFormat/>
    <w:uiPriority w:val="99"/>
    <w:rPr>
      <w:sz w:val="21"/>
      <w:szCs w:val="21"/>
    </w:rPr>
  </w:style>
  <w:style w:type="paragraph" w:customStyle="1" w:styleId="39">
    <w:name w:val="Heading2"/>
    <w:basedOn w:val="1"/>
    <w:next w:val="1"/>
    <w:qFormat/>
    <w:uiPriority w:val="0"/>
    <w:pPr>
      <w:keepNext/>
      <w:keepLines/>
      <w:spacing w:before="260" w:after="260" w:line="416" w:lineRule="auto"/>
    </w:pPr>
    <w:rPr>
      <w:rFonts w:ascii="Arial" w:hAnsi="Arial" w:eastAsia="黑体"/>
      <w:b/>
      <w:bCs/>
      <w:kern w:val="0"/>
      <w:sz w:val="32"/>
      <w:szCs w:val="32"/>
    </w:rPr>
  </w:style>
  <w:style w:type="character" w:customStyle="1" w:styleId="40">
    <w:name w:val="标题 1 Char"/>
    <w:link w:val="3"/>
    <w:qFormat/>
    <w:uiPriority w:val="0"/>
    <w:rPr>
      <w:b/>
      <w:bCs/>
      <w:kern w:val="44"/>
      <w:sz w:val="44"/>
      <w:szCs w:val="44"/>
    </w:rPr>
  </w:style>
  <w:style w:type="character" w:customStyle="1" w:styleId="41">
    <w:name w:val="标题 2 Char"/>
    <w:link w:val="4"/>
    <w:qFormat/>
    <w:uiPriority w:val="0"/>
    <w:rPr>
      <w:rFonts w:ascii="Arial" w:hAnsi="Arial" w:eastAsia="黑体"/>
      <w:b/>
      <w:bCs/>
      <w:kern w:val="2"/>
      <w:sz w:val="32"/>
      <w:szCs w:val="32"/>
    </w:rPr>
  </w:style>
  <w:style w:type="character" w:customStyle="1" w:styleId="42">
    <w:name w:val="标题 3 Char"/>
    <w:link w:val="5"/>
    <w:qFormat/>
    <w:uiPriority w:val="0"/>
    <w:rPr>
      <w:b/>
      <w:bCs/>
      <w:kern w:val="2"/>
      <w:sz w:val="32"/>
      <w:szCs w:val="32"/>
    </w:rPr>
  </w:style>
  <w:style w:type="character" w:customStyle="1" w:styleId="43">
    <w:name w:val="标题 4 Char"/>
    <w:link w:val="6"/>
    <w:qFormat/>
    <w:uiPriority w:val="0"/>
    <w:rPr>
      <w:rFonts w:ascii="Arial" w:eastAsia="黑体"/>
      <w:sz w:val="28"/>
    </w:rPr>
  </w:style>
  <w:style w:type="character" w:customStyle="1" w:styleId="44">
    <w:name w:val="标题 5 Char"/>
    <w:link w:val="7"/>
    <w:qFormat/>
    <w:uiPriority w:val="9"/>
    <w:rPr>
      <w:b/>
      <w:bCs/>
      <w:kern w:val="2"/>
      <w:sz w:val="28"/>
      <w:szCs w:val="28"/>
    </w:rPr>
  </w:style>
  <w:style w:type="character" w:customStyle="1" w:styleId="45">
    <w:name w:val="文档结构图 Char"/>
    <w:link w:val="11"/>
    <w:qFormat/>
    <w:uiPriority w:val="0"/>
    <w:rPr>
      <w:rFonts w:ascii="宋体"/>
      <w:kern w:val="2"/>
      <w:sz w:val="18"/>
      <w:szCs w:val="18"/>
    </w:rPr>
  </w:style>
  <w:style w:type="character" w:customStyle="1" w:styleId="46">
    <w:name w:val="批注文字 Char"/>
    <w:link w:val="12"/>
    <w:qFormat/>
    <w:uiPriority w:val="0"/>
    <w:rPr>
      <w:kern w:val="2"/>
      <w:sz w:val="21"/>
      <w:szCs w:val="24"/>
    </w:rPr>
  </w:style>
  <w:style w:type="character" w:customStyle="1" w:styleId="47">
    <w:name w:val="正文文本 3 Char"/>
    <w:link w:val="13"/>
    <w:qFormat/>
    <w:uiPriority w:val="99"/>
    <w:rPr>
      <w:kern w:val="2"/>
      <w:sz w:val="16"/>
      <w:szCs w:val="16"/>
    </w:rPr>
  </w:style>
  <w:style w:type="character" w:customStyle="1" w:styleId="48">
    <w:name w:val="正文文本 Char"/>
    <w:link w:val="14"/>
    <w:qFormat/>
    <w:uiPriority w:val="99"/>
    <w:rPr>
      <w:kern w:val="2"/>
      <w:sz w:val="21"/>
      <w:szCs w:val="24"/>
    </w:rPr>
  </w:style>
  <w:style w:type="character" w:customStyle="1" w:styleId="49">
    <w:name w:val="正文文本缩进 Char"/>
    <w:link w:val="15"/>
    <w:qFormat/>
    <w:uiPriority w:val="0"/>
    <w:rPr>
      <w:rFonts w:ascii="宋体" w:hAnsi="Courier New" w:eastAsia="宋体"/>
      <w:spacing w:val="-4"/>
      <w:kern w:val="2"/>
      <w:sz w:val="18"/>
      <w:lang w:val="en-US" w:eastAsia="zh-CN" w:bidi="ar-SA"/>
    </w:rPr>
  </w:style>
  <w:style w:type="character" w:customStyle="1" w:styleId="50">
    <w:name w:val="纯文本 Char"/>
    <w:link w:val="18"/>
    <w:qFormat/>
    <w:uiPriority w:val="0"/>
    <w:rPr>
      <w:rFonts w:ascii="宋体" w:hAnsi="Courier New" w:eastAsia="宋体"/>
      <w:kern w:val="2"/>
      <w:sz w:val="21"/>
      <w:lang w:val="en-US" w:eastAsia="zh-CN" w:bidi="ar-SA"/>
    </w:rPr>
  </w:style>
  <w:style w:type="character" w:customStyle="1" w:styleId="51">
    <w:name w:val="日期 Char"/>
    <w:link w:val="20"/>
    <w:qFormat/>
    <w:uiPriority w:val="0"/>
    <w:rPr>
      <w:kern w:val="2"/>
      <w:sz w:val="21"/>
      <w:szCs w:val="24"/>
    </w:rPr>
  </w:style>
  <w:style w:type="character" w:customStyle="1" w:styleId="52">
    <w:name w:val="正文文本缩进 2 Char"/>
    <w:link w:val="21"/>
    <w:qFormat/>
    <w:uiPriority w:val="0"/>
    <w:rPr>
      <w:kern w:val="2"/>
      <w:sz w:val="21"/>
      <w:szCs w:val="24"/>
    </w:rPr>
  </w:style>
  <w:style w:type="character" w:customStyle="1" w:styleId="53">
    <w:name w:val="批注框文本 Char"/>
    <w:link w:val="22"/>
    <w:qFormat/>
    <w:uiPriority w:val="0"/>
    <w:rPr>
      <w:kern w:val="2"/>
      <w:sz w:val="18"/>
      <w:szCs w:val="18"/>
    </w:rPr>
  </w:style>
  <w:style w:type="character" w:customStyle="1" w:styleId="54">
    <w:name w:val="页脚 Char"/>
    <w:link w:val="23"/>
    <w:qFormat/>
    <w:uiPriority w:val="99"/>
    <w:rPr>
      <w:rFonts w:ascii="宋体" w:hAnsi="宋体" w:cs="宋体"/>
      <w:kern w:val="2"/>
      <w:sz w:val="21"/>
      <w:szCs w:val="21"/>
    </w:rPr>
  </w:style>
  <w:style w:type="character" w:customStyle="1" w:styleId="55">
    <w:name w:val="页眉 Char"/>
    <w:link w:val="24"/>
    <w:qFormat/>
    <w:uiPriority w:val="99"/>
    <w:rPr>
      <w:kern w:val="2"/>
      <w:sz w:val="18"/>
      <w:szCs w:val="18"/>
    </w:rPr>
  </w:style>
  <w:style w:type="character" w:customStyle="1" w:styleId="56">
    <w:name w:val="批注主题 Char"/>
    <w:link w:val="31"/>
    <w:qFormat/>
    <w:uiPriority w:val="99"/>
    <w:rPr>
      <w:b/>
      <w:bCs/>
      <w:kern w:val="2"/>
      <w:sz w:val="21"/>
      <w:szCs w:val="24"/>
    </w:rPr>
  </w:style>
  <w:style w:type="character" w:customStyle="1" w:styleId="57">
    <w:name w:val="访问过的超链接1"/>
    <w:qFormat/>
    <w:uiPriority w:val="99"/>
    <w:rPr>
      <w:color w:val="800080"/>
      <w:u w:val="single"/>
    </w:rPr>
  </w:style>
  <w:style w:type="character" w:customStyle="1" w:styleId="58">
    <w:name w:val="页眉 字符"/>
    <w:qFormat/>
    <w:uiPriority w:val="99"/>
    <w:rPr>
      <w:rFonts w:ascii="Times New Roman" w:hAnsi="Times New Roman"/>
      <w:kern w:val="2"/>
      <w:sz w:val="18"/>
      <w:szCs w:val="18"/>
    </w:rPr>
  </w:style>
  <w:style w:type="character" w:customStyle="1" w:styleId="59">
    <w:name w:val="Char Char1"/>
    <w:qFormat/>
    <w:uiPriority w:val="0"/>
    <w:rPr>
      <w:rFonts w:ascii="宋体" w:hAnsi="Courier New" w:eastAsia="宋体"/>
      <w:kern w:val="2"/>
      <w:sz w:val="21"/>
      <w:lang w:val="en-US" w:eastAsia="zh-CN" w:bidi="ar-SA"/>
    </w:rPr>
  </w:style>
  <w:style w:type="character" w:customStyle="1" w:styleId="60">
    <w:name w:val="纯文本 字符2"/>
    <w:qFormat/>
    <w:uiPriority w:val="0"/>
    <w:rPr>
      <w:rFonts w:ascii="宋体" w:hAnsi="Courier New" w:eastAsia="宋体" w:cs="Courier New"/>
      <w:szCs w:val="21"/>
    </w:rPr>
  </w:style>
  <w:style w:type="character" w:customStyle="1" w:styleId="61">
    <w:name w:val="正文文本_"/>
    <w:link w:val="62"/>
    <w:qFormat/>
    <w:uiPriority w:val="0"/>
    <w:rPr>
      <w:rFonts w:ascii="MingLiU" w:hAnsi="MingLiU" w:eastAsia="MingLiU" w:cs="MingLiU"/>
      <w:spacing w:val="9"/>
      <w:sz w:val="19"/>
      <w:szCs w:val="19"/>
      <w:shd w:val="clear" w:color="auto" w:fill="FFFFFF"/>
    </w:rPr>
  </w:style>
  <w:style w:type="paragraph" w:customStyle="1" w:styleId="62">
    <w:name w:val="正文文本1"/>
    <w:basedOn w:val="1"/>
    <w:link w:val="61"/>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63">
    <w:name w:val="纯文本 Char1"/>
    <w:link w:val="64"/>
    <w:qFormat/>
    <w:uiPriority w:val="0"/>
    <w:rPr>
      <w:rFonts w:ascii="宋体" w:hAnsi="Courier New" w:eastAsia="宋体"/>
      <w:kern w:val="2"/>
      <w:sz w:val="21"/>
      <w:lang w:val="en-US" w:eastAsia="zh-CN" w:bidi="ar-SA"/>
    </w:rPr>
  </w:style>
  <w:style w:type="paragraph" w:customStyle="1" w:styleId="64">
    <w:name w:val="纯文本1"/>
    <w:basedOn w:val="1"/>
    <w:link w:val="63"/>
    <w:qFormat/>
    <w:uiPriority w:val="0"/>
    <w:rPr>
      <w:rFonts w:ascii="宋体" w:hAnsi="Courier New"/>
      <w:szCs w:val="20"/>
    </w:rPr>
  </w:style>
  <w:style w:type="character" w:customStyle="1" w:styleId="65">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character" w:customStyle="1" w:styleId="66">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7">
    <w:name w:val="页脚 字符"/>
    <w:qFormat/>
    <w:uiPriority w:val="99"/>
    <w:rPr>
      <w:sz w:val="18"/>
      <w:szCs w:val="18"/>
    </w:rPr>
  </w:style>
  <w:style w:type="character" w:customStyle="1" w:styleId="68">
    <w:name w:val="批注文字 字符1"/>
    <w:qFormat/>
    <w:uiPriority w:val="0"/>
    <w:rPr>
      <w:rFonts w:ascii="Times New Roman" w:hAnsi="Times New Roman"/>
      <w:kern w:val="2"/>
      <w:sz w:val="21"/>
      <w:szCs w:val="24"/>
    </w:rPr>
  </w:style>
  <w:style w:type="character" w:customStyle="1" w:styleId="69">
    <w:name w:val="正文2 Char Char"/>
    <w:link w:val="70"/>
    <w:qFormat/>
    <w:uiPriority w:val="0"/>
    <w:rPr>
      <w:kern w:val="2"/>
      <w:sz w:val="24"/>
    </w:rPr>
  </w:style>
  <w:style w:type="paragraph" w:customStyle="1" w:styleId="70">
    <w:name w:val="正文2"/>
    <w:basedOn w:val="1"/>
    <w:link w:val="69"/>
    <w:qFormat/>
    <w:uiPriority w:val="0"/>
    <w:pPr>
      <w:adjustRightInd w:val="0"/>
      <w:spacing w:before="156" w:line="360" w:lineRule="auto"/>
      <w:ind w:firstLine="510" w:firstLineChars="200"/>
    </w:pPr>
    <w:rPr>
      <w:sz w:val="24"/>
      <w:szCs w:val="20"/>
    </w:rPr>
  </w:style>
  <w:style w:type="character" w:customStyle="1" w:styleId="71">
    <w:name w:val="纯文本 Char_0"/>
    <w:link w:val="72"/>
    <w:qFormat/>
    <w:uiPriority w:val="0"/>
    <w:rPr>
      <w:rFonts w:ascii="宋体" w:hAnsi="Courier New"/>
      <w:kern w:val="2"/>
      <w:sz w:val="21"/>
      <w:szCs w:val="21"/>
      <w:lang w:val="en-US" w:eastAsia="zh-CN"/>
    </w:rPr>
  </w:style>
  <w:style w:type="paragraph" w:customStyle="1" w:styleId="72">
    <w:name w:val="纯文本_0_0"/>
    <w:basedOn w:val="1"/>
    <w:link w:val="71"/>
    <w:qFormat/>
    <w:uiPriority w:val="0"/>
    <w:rPr>
      <w:rFonts w:ascii="宋体" w:hAnsi="Courier New"/>
      <w:szCs w:val="21"/>
    </w:rPr>
  </w:style>
  <w:style w:type="character" w:customStyle="1" w:styleId="73">
    <w:name w:val="批注文字 Char1"/>
    <w:qFormat/>
    <w:uiPriority w:val="0"/>
    <w:rPr>
      <w:rFonts w:ascii="Times New Roman" w:hAnsi="Times New Roman"/>
      <w:kern w:val="2"/>
      <w:sz w:val="21"/>
      <w:szCs w:val="24"/>
    </w:rPr>
  </w:style>
  <w:style w:type="paragraph" w:styleId="74">
    <w:name w:val="List Paragraph"/>
    <w:basedOn w:val="1"/>
    <w:qFormat/>
    <w:uiPriority w:val="34"/>
    <w:pPr>
      <w:ind w:firstLine="420" w:firstLineChars="200"/>
    </w:pPr>
  </w:style>
  <w:style w:type="paragraph" w:customStyle="1" w:styleId="75">
    <w:name w:val="Char Char Char1 Char Char Char Char Char Char Char"/>
    <w:basedOn w:val="1"/>
    <w:qFormat/>
    <w:uiPriority w:val="0"/>
  </w:style>
  <w:style w:type="paragraph" w:customStyle="1" w:styleId="76">
    <w:name w:val="Char Char Char"/>
    <w:basedOn w:val="1"/>
    <w:qFormat/>
    <w:uiPriority w:val="0"/>
    <w:rPr>
      <w:szCs w:val="20"/>
    </w:rPr>
  </w:style>
  <w:style w:type="paragraph" w:customStyle="1" w:styleId="77">
    <w:name w:val="Char Char Char Char Char Char Char Char Char Char Char Char"/>
    <w:basedOn w:val="1"/>
    <w:qFormat/>
    <w:uiPriority w:val="0"/>
    <w:pPr>
      <w:widowControl/>
      <w:spacing w:after="160" w:line="240" w:lineRule="exact"/>
      <w:jc w:val="left"/>
    </w:pPr>
  </w:style>
  <w:style w:type="paragraph" w:customStyle="1" w:styleId="78">
    <w:name w:val="列出段落1"/>
    <w:basedOn w:val="1"/>
    <w:qFormat/>
    <w:uiPriority w:val="34"/>
    <w:pPr>
      <w:spacing w:before="100" w:beforeAutospacing="1" w:after="100" w:afterAutospacing="1" w:line="360" w:lineRule="auto"/>
      <w:ind w:firstLine="420" w:firstLineChars="200"/>
    </w:pPr>
  </w:style>
  <w:style w:type="paragraph" w:customStyle="1" w:styleId="79">
    <w:name w:val="TOC 标题1"/>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0">
    <w:name w:val="样式 标题 2 + 非加粗 首行缩进:  2 字符"/>
    <w:basedOn w:val="4"/>
    <w:qFormat/>
    <w:uiPriority w:val="0"/>
    <w:pPr>
      <w:spacing w:before="0" w:after="0" w:line="600" w:lineRule="exact"/>
      <w:ind w:firstLine="640" w:firstLineChars="200"/>
      <w:jc w:val="left"/>
    </w:pPr>
    <w:rPr>
      <w:rFonts w:cs="宋体"/>
      <w:b w:val="0"/>
      <w:bCs w:val="0"/>
      <w:szCs w:val="20"/>
    </w:rPr>
  </w:style>
  <w:style w:type="paragraph" w:customStyle="1" w:styleId="81">
    <w:name w:val="Table Paragraph"/>
    <w:basedOn w:val="1"/>
    <w:qFormat/>
    <w:uiPriority w:val="1"/>
    <w:pPr>
      <w:jc w:val="left"/>
    </w:pPr>
    <w:rPr>
      <w:rFonts w:ascii="Calibri" w:hAnsi="Calibri"/>
      <w:kern w:val="0"/>
      <w:sz w:val="22"/>
      <w:szCs w:val="22"/>
      <w:lang w:eastAsia="en-US"/>
    </w:rPr>
  </w:style>
  <w:style w:type="paragraph" w:customStyle="1" w:styleId="82">
    <w:name w:val="Char"/>
    <w:basedOn w:val="1"/>
    <w:qFormat/>
    <w:uiPriority w:val="0"/>
    <w:rPr>
      <w:szCs w:val="21"/>
    </w:rPr>
  </w:style>
  <w:style w:type="paragraph" w:customStyle="1" w:styleId="83">
    <w:name w:val="Char Char Char Char Char Char Char"/>
    <w:basedOn w:val="1"/>
    <w:qFormat/>
    <w:uiPriority w:val="0"/>
  </w:style>
  <w:style w:type="paragraph" w:customStyle="1" w:styleId="84">
    <w:name w:val="Char Char Char Char Char Char Char1"/>
    <w:basedOn w:val="1"/>
    <w:qFormat/>
    <w:uiPriority w:val="0"/>
  </w:style>
  <w:style w:type="paragraph" w:customStyle="1" w:styleId="8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86">
    <w:name w:val="Char Char Char Char Char Char Char Char Char Char Char Char1"/>
    <w:basedOn w:val="1"/>
    <w:qFormat/>
    <w:uiPriority w:val="0"/>
    <w:pPr>
      <w:widowControl/>
      <w:spacing w:after="160" w:line="240" w:lineRule="exact"/>
      <w:jc w:val="left"/>
    </w:pPr>
  </w:style>
  <w:style w:type="paragraph" w:customStyle="1" w:styleId="87">
    <w:name w:val="表格文字"/>
    <w:basedOn w:val="1"/>
    <w:next w:val="14"/>
    <w:qFormat/>
    <w:uiPriority w:val="0"/>
    <w:pPr>
      <w:adjustRightInd w:val="0"/>
      <w:spacing w:line="420" w:lineRule="atLeast"/>
      <w:jc w:val="left"/>
      <w:textAlignment w:val="baseline"/>
    </w:pPr>
    <w:rPr>
      <w:kern w:val="0"/>
    </w:rPr>
  </w:style>
  <w:style w:type="paragraph" w:customStyle="1" w:styleId="88">
    <w:name w:val="修订1"/>
    <w:qFormat/>
    <w:uiPriority w:val="0"/>
    <w:rPr>
      <w:rFonts w:ascii="Times New Roman" w:hAnsi="Times New Roman" w:eastAsia="宋体" w:cs="Times New Roman"/>
      <w:kern w:val="2"/>
      <w:sz w:val="21"/>
      <w:szCs w:val="24"/>
      <w:lang w:val="en-US" w:eastAsia="zh-CN" w:bidi="ar-SA"/>
    </w:rPr>
  </w:style>
  <w:style w:type="paragraph" w:customStyle="1" w:styleId="89">
    <w:name w:val="正文段"/>
    <w:basedOn w:val="1"/>
    <w:qFormat/>
    <w:uiPriority w:val="0"/>
    <w:pPr>
      <w:widowControl/>
      <w:snapToGrid w:val="0"/>
      <w:spacing w:afterLines="50"/>
      <w:ind w:firstLine="200" w:firstLineChars="200"/>
    </w:pPr>
    <w:rPr>
      <w:kern w:val="0"/>
      <w:sz w:val="24"/>
      <w:szCs w:val="20"/>
    </w:rPr>
  </w:style>
  <w:style w:type="paragraph" w:customStyle="1" w:styleId="90">
    <w:name w:val="Char Char Char Char"/>
    <w:basedOn w:val="1"/>
    <w:qFormat/>
    <w:uiPriority w:val="0"/>
    <w:pPr>
      <w:widowControl/>
      <w:spacing w:after="160" w:line="240" w:lineRule="exact"/>
      <w:jc w:val="left"/>
    </w:pPr>
  </w:style>
  <w:style w:type="paragraph" w:customStyle="1" w:styleId="91">
    <w:name w:val="Char1"/>
    <w:basedOn w:val="1"/>
    <w:qFormat/>
    <w:uiPriority w:val="0"/>
  </w:style>
  <w:style w:type="paragraph" w:customStyle="1" w:styleId="92">
    <w:name w:val="Char Char Char Char1"/>
    <w:basedOn w:val="1"/>
    <w:qFormat/>
    <w:uiPriority w:val="0"/>
    <w:pPr>
      <w:widowControl/>
      <w:spacing w:after="160" w:line="240" w:lineRule="exact"/>
      <w:jc w:val="left"/>
    </w:pPr>
  </w:style>
  <w:style w:type="paragraph" w:customStyle="1" w:styleId="93">
    <w:name w:val="样式 标题 1 + 居中 段前: 0 磅 段后: 0 磅 行距: 固定值 30 磅"/>
    <w:basedOn w:val="3"/>
    <w:qFormat/>
    <w:uiPriority w:val="0"/>
    <w:pPr>
      <w:spacing w:before="0" w:after="0" w:line="600" w:lineRule="exact"/>
      <w:jc w:val="center"/>
    </w:pPr>
    <w:rPr>
      <w:rFonts w:cs="宋体"/>
      <w:szCs w:val="20"/>
    </w:rPr>
  </w:style>
  <w:style w:type="paragraph" w:customStyle="1" w:styleId="94">
    <w:name w:val="正文缩进1"/>
    <w:basedOn w:val="1"/>
    <w:next w:val="1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95">
    <w:name w:val="p0"/>
    <w:basedOn w:val="1"/>
    <w:qFormat/>
    <w:uiPriority w:val="0"/>
    <w:pPr>
      <w:widowControl/>
    </w:pPr>
    <w:rPr>
      <w:kern w:val="0"/>
      <w:szCs w:val="21"/>
    </w:rPr>
  </w:style>
  <w:style w:type="paragraph" w:customStyle="1" w:styleId="96">
    <w:name w:val="默认段落字体 Para Char Char Char Char Char Char Char Char Char1 Char Char Char Char"/>
    <w:basedOn w:val="1"/>
    <w:qFormat/>
    <w:uiPriority w:val="0"/>
    <w:rPr>
      <w:rFonts w:ascii="Tahoma" w:hAnsi="Tahoma"/>
      <w:sz w:val="24"/>
      <w:szCs w:val="20"/>
    </w:rPr>
  </w:style>
  <w:style w:type="character" w:customStyle="1" w:styleId="97">
    <w:name w:val="正文文本 字符"/>
    <w:qFormat/>
    <w:uiPriority w:val="99"/>
    <w:rPr>
      <w:kern w:val="2"/>
      <w:sz w:val="21"/>
      <w:szCs w:val="24"/>
    </w:rPr>
  </w:style>
  <w:style w:type="character" w:customStyle="1" w:styleId="98">
    <w:name w:val="纯文本 字符"/>
    <w:qFormat/>
    <w:uiPriority w:val="0"/>
    <w:rPr>
      <w:rFonts w:ascii="宋体" w:hAnsi="Courier New"/>
      <w:kern w:val="2"/>
      <w:sz w:val="21"/>
    </w:rPr>
  </w:style>
  <w:style w:type="character" w:customStyle="1" w:styleId="99">
    <w:name w:val="标题 1 字符"/>
    <w:qFormat/>
    <w:uiPriority w:val="0"/>
    <w:rPr>
      <w:b/>
      <w:bCs/>
      <w:kern w:val="44"/>
      <w:sz w:val="44"/>
      <w:szCs w:val="44"/>
    </w:rPr>
  </w:style>
  <w:style w:type="character" w:customStyle="1" w:styleId="100">
    <w:name w:val="标题 2 字符"/>
    <w:qFormat/>
    <w:uiPriority w:val="0"/>
    <w:rPr>
      <w:rFonts w:ascii="Arial" w:hAnsi="Arial" w:eastAsia="黑体"/>
      <w:b/>
      <w:bCs/>
      <w:kern w:val="2"/>
      <w:sz w:val="32"/>
      <w:szCs w:val="32"/>
    </w:rPr>
  </w:style>
  <w:style w:type="character" w:customStyle="1" w:styleId="101">
    <w:name w:val="标题 3 字符"/>
    <w:qFormat/>
    <w:uiPriority w:val="0"/>
    <w:rPr>
      <w:b/>
      <w:bCs/>
      <w:kern w:val="2"/>
      <w:sz w:val="32"/>
      <w:szCs w:val="32"/>
    </w:rPr>
  </w:style>
  <w:style w:type="character" w:customStyle="1" w:styleId="102">
    <w:name w:val="标题 4 字符"/>
    <w:qFormat/>
    <w:uiPriority w:val="0"/>
    <w:rPr>
      <w:rFonts w:ascii="Arial" w:eastAsia="黑体"/>
      <w:sz w:val="28"/>
    </w:rPr>
  </w:style>
  <w:style w:type="character" w:customStyle="1" w:styleId="103">
    <w:name w:val="标题 5 字符"/>
    <w:qFormat/>
    <w:uiPriority w:val="9"/>
    <w:rPr>
      <w:b/>
      <w:bCs/>
      <w:kern w:val="2"/>
      <w:sz w:val="28"/>
      <w:szCs w:val="28"/>
    </w:rPr>
  </w:style>
  <w:style w:type="character" w:customStyle="1" w:styleId="104">
    <w:name w:val="文档结构图 字符"/>
    <w:qFormat/>
    <w:uiPriority w:val="0"/>
    <w:rPr>
      <w:rFonts w:ascii="宋体"/>
      <w:kern w:val="2"/>
      <w:sz w:val="18"/>
      <w:szCs w:val="18"/>
    </w:rPr>
  </w:style>
  <w:style w:type="character" w:customStyle="1" w:styleId="105">
    <w:name w:val="批注文字 字符"/>
    <w:qFormat/>
    <w:uiPriority w:val="0"/>
    <w:rPr>
      <w:kern w:val="2"/>
      <w:sz w:val="21"/>
      <w:szCs w:val="24"/>
    </w:rPr>
  </w:style>
  <w:style w:type="character" w:customStyle="1" w:styleId="106">
    <w:name w:val="正文文本 3 字符"/>
    <w:qFormat/>
    <w:uiPriority w:val="99"/>
    <w:rPr>
      <w:kern w:val="2"/>
      <w:sz w:val="16"/>
      <w:szCs w:val="16"/>
    </w:rPr>
  </w:style>
  <w:style w:type="character" w:customStyle="1" w:styleId="107">
    <w:name w:val="正文文本缩进 字符"/>
    <w:qFormat/>
    <w:uiPriority w:val="0"/>
    <w:rPr>
      <w:rFonts w:ascii="宋体" w:hAnsi="Courier New"/>
      <w:spacing w:val="-4"/>
      <w:kern w:val="2"/>
      <w:sz w:val="18"/>
    </w:rPr>
  </w:style>
  <w:style w:type="character" w:customStyle="1" w:styleId="108">
    <w:name w:val="日期 字符"/>
    <w:qFormat/>
    <w:uiPriority w:val="0"/>
    <w:rPr>
      <w:kern w:val="2"/>
      <w:sz w:val="21"/>
      <w:szCs w:val="24"/>
    </w:rPr>
  </w:style>
  <w:style w:type="character" w:customStyle="1" w:styleId="109">
    <w:name w:val="正文文本缩进 2 字符"/>
    <w:qFormat/>
    <w:uiPriority w:val="0"/>
    <w:rPr>
      <w:kern w:val="2"/>
      <w:sz w:val="21"/>
      <w:szCs w:val="24"/>
    </w:rPr>
  </w:style>
  <w:style w:type="character" w:customStyle="1" w:styleId="110">
    <w:name w:val="批注框文本 字符"/>
    <w:qFormat/>
    <w:uiPriority w:val="0"/>
    <w:rPr>
      <w:kern w:val="2"/>
      <w:sz w:val="18"/>
      <w:szCs w:val="18"/>
    </w:rPr>
  </w:style>
  <w:style w:type="character" w:customStyle="1" w:styleId="111">
    <w:name w:val="页脚 字符1"/>
    <w:qFormat/>
    <w:uiPriority w:val="99"/>
    <w:rPr>
      <w:kern w:val="2"/>
      <w:sz w:val="18"/>
      <w:szCs w:val="18"/>
    </w:rPr>
  </w:style>
  <w:style w:type="character" w:customStyle="1" w:styleId="112">
    <w:name w:val="页眉 字符1"/>
    <w:qFormat/>
    <w:uiPriority w:val="99"/>
    <w:rPr>
      <w:kern w:val="2"/>
      <w:sz w:val="18"/>
      <w:szCs w:val="18"/>
    </w:rPr>
  </w:style>
  <w:style w:type="character" w:customStyle="1" w:styleId="113">
    <w:name w:val="批注主题 字符"/>
    <w:qFormat/>
    <w:uiPriority w:val="99"/>
    <w:rPr>
      <w:b/>
      <w:bCs/>
      <w:kern w:val="2"/>
      <w:sz w:val="21"/>
      <w:szCs w:val="24"/>
    </w:rPr>
  </w:style>
  <w:style w:type="paragraph" w:customStyle="1" w:styleId="114">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5">
    <w:name w:val="纯文本 字符1"/>
    <w:semiHidden/>
    <w:qFormat/>
    <w:locked/>
    <w:uiPriority w:val="0"/>
    <w:rPr>
      <w:rFonts w:ascii="宋体" w:hAnsi="Courier New"/>
      <w:kern w:val="2"/>
      <w:sz w:val="21"/>
    </w:rPr>
  </w:style>
  <w:style w:type="paragraph" w:customStyle="1" w:styleId="116">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117">
    <w:name w:val="标题 1 字符1"/>
    <w:qFormat/>
    <w:locked/>
    <w:uiPriority w:val="0"/>
    <w:rPr>
      <w:b/>
      <w:bCs/>
      <w:kern w:val="44"/>
      <w:sz w:val="44"/>
      <w:szCs w:val="44"/>
    </w:rPr>
  </w:style>
  <w:style w:type="character" w:customStyle="1" w:styleId="118">
    <w:name w:val="标题 2 字符1"/>
    <w:semiHidden/>
    <w:qFormat/>
    <w:locked/>
    <w:uiPriority w:val="0"/>
    <w:rPr>
      <w:rFonts w:ascii="Arial" w:hAnsi="Arial" w:eastAsia="黑体"/>
      <w:b/>
      <w:bCs/>
      <w:kern w:val="2"/>
      <w:sz w:val="32"/>
      <w:szCs w:val="32"/>
    </w:rPr>
  </w:style>
  <w:style w:type="character" w:customStyle="1" w:styleId="119">
    <w:name w:val="标题 3 字符1"/>
    <w:semiHidden/>
    <w:qFormat/>
    <w:locked/>
    <w:uiPriority w:val="0"/>
    <w:rPr>
      <w:b/>
      <w:bCs/>
      <w:kern w:val="2"/>
      <w:sz w:val="32"/>
      <w:szCs w:val="32"/>
    </w:rPr>
  </w:style>
  <w:style w:type="character" w:customStyle="1" w:styleId="120">
    <w:name w:val="标题 4 字符1"/>
    <w:semiHidden/>
    <w:qFormat/>
    <w:locked/>
    <w:uiPriority w:val="0"/>
    <w:rPr>
      <w:rFonts w:ascii="Arial" w:eastAsia="黑体"/>
      <w:sz w:val="28"/>
    </w:rPr>
  </w:style>
  <w:style w:type="character" w:customStyle="1" w:styleId="121">
    <w:name w:val="标题 5 字符1"/>
    <w:semiHidden/>
    <w:qFormat/>
    <w:locked/>
    <w:uiPriority w:val="9"/>
    <w:rPr>
      <w:b/>
      <w:bCs/>
      <w:kern w:val="2"/>
      <w:sz w:val="28"/>
      <w:szCs w:val="28"/>
    </w:rPr>
  </w:style>
  <w:style w:type="character" w:customStyle="1" w:styleId="122">
    <w:name w:val="文档结构图 字符1"/>
    <w:semiHidden/>
    <w:qFormat/>
    <w:locked/>
    <w:uiPriority w:val="0"/>
    <w:rPr>
      <w:rFonts w:ascii="宋体"/>
      <w:kern w:val="2"/>
      <w:sz w:val="18"/>
      <w:szCs w:val="18"/>
    </w:rPr>
  </w:style>
  <w:style w:type="character" w:customStyle="1" w:styleId="123">
    <w:name w:val="批注文字 字符2"/>
    <w:semiHidden/>
    <w:qFormat/>
    <w:locked/>
    <w:uiPriority w:val="0"/>
    <w:rPr>
      <w:kern w:val="2"/>
      <w:sz w:val="21"/>
      <w:szCs w:val="24"/>
    </w:rPr>
  </w:style>
  <w:style w:type="character" w:customStyle="1" w:styleId="124">
    <w:name w:val="正文文本 3 字符1"/>
    <w:semiHidden/>
    <w:qFormat/>
    <w:locked/>
    <w:uiPriority w:val="99"/>
    <w:rPr>
      <w:kern w:val="2"/>
      <w:sz w:val="16"/>
      <w:szCs w:val="16"/>
    </w:rPr>
  </w:style>
  <w:style w:type="character" w:customStyle="1" w:styleId="125">
    <w:name w:val="正文文本 字符1"/>
    <w:semiHidden/>
    <w:qFormat/>
    <w:locked/>
    <w:uiPriority w:val="99"/>
    <w:rPr>
      <w:kern w:val="2"/>
      <w:sz w:val="21"/>
      <w:szCs w:val="24"/>
    </w:rPr>
  </w:style>
  <w:style w:type="character" w:customStyle="1" w:styleId="126">
    <w:name w:val="正文文本缩进 字符1"/>
    <w:semiHidden/>
    <w:qFormat/>
    <w:locked/>
    <w:uiPriority w:val="0"/>
    <w:rPr>
      <w:rFonts w:ascii="宋体" w:hAnsi="Courier New"/>
      <w:spacing w:val="-4"/>
      <w:kern w:val="2"/>
      <w:sz w:val="18"/>
    </w:rPr>
  </w:style>
  <w:style w:type="character" w:customStyle="1" w:styleId="127">
    <w:name w:val="纯文本 字符3"/>
    <w:semiHidden/>
    <w:qFormat/>
    <w:locked/>
    <w:uiPriority w:val="0"/>
    <w:rPr>
      <w:rFonts w:ascii="宋体" w:hAnsi="Courier New"/>
      <w:kern w:val="2"/>
      <w:sz w:val="21"/>
    </w:rPr>
  </w:style>
  <w:style w:type="character" w:customStyle="1" w:styleId="128">
    <w:name w:val="日期 字符1"/>
    <w:semiHidden/>
    <w:qFormat/>
    <w:locked/>
    <w:uiPriority w:val="0"/>
    <w:rPr>
      <w:kern w:val="2"/>
      <w:sz w:val="21"/>
      <w:szCs w:val="24"/>
    </w:rPr>
  </w:style>
  <w:style w:type="character" w:customStyle="1" w:styleId="129">
    <w:name w:val="正文文本缩进 2 字符1"/>
    <w:semiHidden/>
    <w:qFormat/>
    <w:locked/>
    <w:uiPriority w:val="0"/>
    <w:rPr>
      <w:kern w:val="2"/>
      <w:sz w:val="21"/>
      <w:szCs w:val="24"/>
    </w:rPr>
  </w:style>
  <w:style w:type="character" w:customStyle="1" w:styleId="130">
    <w:name w:val="批注框文本 字符1"/>
    <w:semiHidden/>
    <w:qFormat/>
    <w:locked/>
    <w:uiPriority w:val="0"/>
    <w:rPr>
      <w:kern w:val="2"/>
      <w:sz w:val="18"/>
      <w:szCs w:val="18"/>
    </w:rPr>
  </w:style>
  <w:style w:type="character" w:customStyle="1" w:styleId="131">
    <w:name w:val="页脚 字符2"/>
    <w:semiHidden/>
    <w:qFormat/>
    <w:locked/>
    <w:uiPriority w:val="99"/>
    <w:rPr>
      <w:kern w:val="2"/>
      <w:sz w:val="18"/>
      <w:szCs w:val="18"/>
    </w:rPr>
  </w:style>
  <w:style w:type="character" w:customStyle="1" w:styleId="132">
    <w:name w:val="页眉 字符2"/>
    <w:semiHidden/>
    <w:qFormat/>
    <w:locked/>
    <w:uiPriority w:val="99"/>
    <w:rPr>
      <w:kern w:val="2"/>
      <w:sz w:val="18"/>
      <w:szCs w:val="18"/>
    </w:rPr>
  </w:style>
  <w:style w:type="character" w:customStyle="1" w:styleId="133">
    <w:name w:val="批注主题 字符1"/>
    <w:semiHidden/>
    <w:qFormat/>
    <w:locked/>
    <w:uiPriority w:val="99"/>
    <w:rPr>
      <w:b/>
      <w:bCs/>
      <w:kern w:val="2"/>
      <w:sz w:val="21"/>
      <w:szCs w:val="24"/>
    </w:rPr>
  </w:style>
  <w:style w:type="paragraph" w:customStyle="1" w:styleId="13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35">
    <w:name w:val="列表段落1"/>
    <w:basedOn w:val="1"/>
    <w:qFormat/>
    <w:uiPriority w:val="34"/>
    <w:pPr>
      <w:ind w:firstLine="420" w:firstLineChars="200"/>
    </w:pPr>
    <w:rPr>
      <w:rFonts w:ascii="Calibri" w:hAnsi="Calibri"/>
    </w:rPr>
  </w:style>
  <w:style w:type="character" w:customStyle="1" w:styleId="136">
    <w:name w:val="未处理的提及1"/>
    <w:basedOn w:val="34"/>
    <w:semiHidden/>
    <w:unhideWhenUsed/>
    <w:qFormat/>
    <w:uiPriority w:val="99"/>
    <w:rPr>
      <w:color w:val="605E5C"/>
      <w:shd w:val="clear" w:color="auto" w:fill="E1DFDD"/>
    </w:rPr>
  </w:style>
  <w:style w:type="paragraph" w:customStyle="1" w:styleId="137">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138">
    <w:name w:val="修订3"/>
    <w:hidden/>
    <w:unhideWhenUsed/>
    <w:qFormat/>
    <w:uiPriority w:val="99"/>
    <w:rPr>
      <w:rFonts w:ascii="Times New Roman" w:hAnsi="Times New Roman" w:eastAsia="宋体" w:cs="Times New Roman"/>
      <w:kern w:val="2"/>
      <w:sz w:val="21"/>
      <w:szCs w:val="24"/>
      <w:lang w:val="en-US" w:eastAsia="zh-CN" w:bidi="ar-SA"/>
    </w:rPr>
  </w:style>
  <w:style w:type="character" w:customStyle="1" w:styleId="139">
    <w:name w:val="Unresolved Mention"/>
    <w:basedOn w:val="3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3BBD9-5501-42C4-AAE7-3AAE750751AF}">
  <ds:schemaRefs/>
</ds:datastoreItem>
</file>

<file path=docProps/app.xml><?xml version="1.0" encoding="utf-8"?>
<Properties xmlns="http://schemas.openxmlformats.org/officeDocument/2006/extended-properties" xmlns:vt="http://schemas.openxmlformats.org/officeDocument/2006/docPropsVTypes">
  <Template>Normal.dotm</Template>
  <Company>admin</Company>
  <Pages>118</Pages>
  <Words>8440</Words>
  <Characters>9479</Characters>
  <Lines>499</Lines>
  <Paragraphs>140</Paragraphs>
  <TotalTime>24</TotalTime>
  <ScaleCrop>false</ScaleCrop>
  <LinksUpToDate>false</LinksUpToDate>
  <CharactersWithSpaces>9570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2025-03-24T04:19:00Z</dcterms:created>
  <dc:creator>丁琳</dc:creator>
  <cp:lastModifiedBy>笨男孩</cp:lastModifiedBy>
  <cp:lastPrinted>2021-08-17T03:26:00Z</cp:lastPrinted>
  <dcterms:modified xsi:type="dcterms:W3CDTF">2025-05-27T08:36:52Z</dcterms:modified>
  <dc:title>南财采管〔2012〕3号</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5A97A456DBC145D8B58849B28EFB3506_13</vt:lpwstr>
  </property>
  <property fmtid="{D5CDD505-2E9C-101B-9397-08002B2CF9AE}" pid="4" name="KSOTemplateDocerSaveRecord">
    <vt:lpwstr>eyJoZGlkIjoiNGFjNDc5OTUzNTY4ZjhkNjRkNjE5MDI4NTFhN2UzYTAiLCJ1c2VySWQiOiI0NjgwMDYwODUifQ==</vt:lpwstr>
  </property>
</Properties>
</file>