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332F">
      <w:pPr>
        <w:spacing w:before="165" w:beforeLines="50" w:line="360" w:lineRule="auto"/>
        <w:jc w:val="center"/>
        <w:rPr>
          <w:rFonts w:hint="eastAsia" w:ascii="宋体" w:hAnsi="宋体" w:eastAsia="宋体" w:cs="宋体"/>
          <w:color w:val="auto"/>
          <w:sz w:val="36"/>
          <w:szCs w:val="36"/>
          <w:highlight w:val="none"/>
        </w:rPr>
      </w:pPr>
      <w:r>
        <w:rPr>
          <w:rStyle w:val="85"/>
          <w:rFonts w:hint="eastAsia" w:ascii="宋体" w:hAnsi="宋体" w:eastAsia="宋体" w:cs="宋体"/>
          <w:b w:val="0"/>
          <w:i w:val="0"/>
          <w:caps w:val="0"/>
          <w:color w:val="auto"/>
          <w:spacing w:val="0"/>
          <w:w w:val="100"/>
          <w:kern w:val="2"/>
          <w:sz w:val="72"/>
          <w:szCs w:val="72"/>
          <w:highlight w:val="none"/>
          <w:lang w:val="en-US" w:eastAsia="zh-CN" w:bidi="ar-SA"/>
        </w:rPr>
        <w:drawing>
          <wp:inline distT="0" distB="0" distL="114300" distR="114300">
            <wp:extent cx="2556510" cy="2078990"/>
            <wp:effectExtent l="0" t="0" r="15240" b="165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2556510" cy="2078990"/>
                    </a:xfrm>
                    <a:prstGeom prst="rect">
                      <a:avLst/>
                    </a:prstGeom>
                    <a:noFill/>
                    <a:ln>
                      <a:noFill/>
                    </a:ln>
                  </pic:spPr>
                </pic:pic>
              </a:graphicData>
            </a:graphic>
          </wp:inline>
        </w:drawing>
      </w:r>
    </w:p>
    <w:p w14:paraId="2E70F689">
      <w:pPr>
        <w:spacing w:before="165" w:beforeLines="50" w:line="360" w:lineRule="auto"/>
        <w:jc w:val="center"/>
        <w:rPr>
          <w:rFonts w:hint="eastAsia" w:ascii="宋体" w:hAnsi="宋体" w:eastAsia="宋体" w:cs="宋体"/>
          <w:color w:val="auto"/>
          <w:sz w:val="36"/>
          <w:szCs w:val="36"/>
          <w:highlight w:val="none"/>
        </w:rPr>
      </w:pPr>
    </w:p>
    <w:p w14:paraId="7E82CAE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1DDA8059">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6DB39858">
      <w:pPr>
        <w:spacing w:before="331" w:beforeLines="100" w:after="165" w:afterLines="50" w:line="360" w:lineRule="auto"/>
        <w:jc w:val="center"/>
        <w:rPr>
          <w:rFonts w:hint="eastAsia" w:ascii="宋体" w:hAnsi="宋体" w:eastAsia="宋体" w:cs="宋体"/>
          <w:color w:val="auto"/>
          <w:szCs w:val="21"/>
          <w:highlight w:val="none"/>
        </w:rPr>
      </w:pPr>
    </w:p>
    <w:p w14:paraId="5D49C790">
      <w:pPr>
        <w:spacing w:line="360" w:lineRule="auto"/>
        <w:rPr>
          <w:rFonts w:hint="eastAsia" w:ascii="宋体" w:hAnsi="宋体" w:eastAsia="宋体" w:cs="宋体"/>
          <w:b/>
          <w:color w:val="auto"/>
          <w:sz w:val="32"/>
          <w:szCs w:val="32"/>
          <w:highlight w:val="none"/>
        </w:rPr>
      </w:pPr>
    </w:p>
    <w:p w14:paraId="5F3251B5">
      <w:pPr>
        <w:spacing w:line="360" w:lineRule="auto"/>
        <w:jc w:val="center"/>
        <w:rPr>
          <w:rFonts w:hint="eastAsia" w:ascii="宋体" w:hAnsi="宋体" w:eastAsia="宋体" w:cs="宋体"/>
          <w:b/>
          <w:color w:val="auto"/>
          <w:sz w:val="32"/>
          <w:szCs w:val="32"/>
          <w:highlight w:val="none"/>
        </w:rPr>
      </w:pPr>
    </w:p>
    <w:p w14:paraId="544B032A">
      <w:pPr>
        <w:keepNext w:val="0"/>
        <w:keepLines w:val="0"/>
        <w:pageBreakBefore w:val="0"/>
        <w:widowControl w:val="0"/>
        <w:kinsoku/>
        <w:wordWrap/>
        <w:overflowPunct/>
        <w:topLinePunct w:val="0"/>
        <w:autoSpaceDE/>
        <w:autoSpaceDN/>
        <w:bidi w:val="0"/>
        <w:adjustRightInd/>
        <w:snapToGrid w:val="0"/>
        <w:spacing w:before="50" w:after="120" w:line="360" w:lineRule="auto"/>
        <w:ind w:left="2699" w:leftChars="568" w:right="0" w:rightChars="0" w:hanging="1506" w:hangingChars="5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柳州市柳江区中医医院2025-2027年度中药饮片代煎和配送服务采购项目（重）</w:t>
      </w:r>
    </w:p>
    <w:p w14:paraId="5CF64D24">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项目编号：LZZC2025-C3-060053-GXJZ</w:t>
      </w:r>
    </w:p>
    <w:p w14:paraId="28104F10">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 购 人：</w:t>
      </w:r>
      <w:r>
        <w:rPr>
          <w:rFonts w:hint="eastAsia" w:ascii="宋体" w:hAnsi="宋体" w:cs="宋体"/>
          <w:b/>
          <w:bCs/>
          <w:color w:val="auto"/>
          <w:kern w:val="0"/>
          <w:sz w:val="30"/>
          <w:szCs w:val="30"/>
          <w:highlight w:val="none"/>
          <w:lang w:eastAsia="zh-CN"/>
        </w:rPr>
        <w:t>柳州市柳江区中医医院</w:t>
      </w:r>
    </w:p>
    <w:p w14:paraId="6AFB2B93">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采购代理机构：</w:t>
      </w:r>
      <w:r>
        <w:rPr>
          <w:rFonts w:hint="eastAsia" w:ascii="宋体" w:hAnsi="宋体" w:eastAsia="宋体" w:cs="宋体"/>
          <w:b/>
          <w:bCs/>
          <w:color w:val="auto"/>
          <w:kern w:val="0"/>
          <w:sz w:val="30"/>
          <w:szCs w:val="30"/>
          <w:highlight w:val="none"/>
          <w:lang w:eastAsia="zh-CN"/>
        </w:rPr>
        <w:t>广西景钲工程咨询有限公司</w:t>
      </w:r>
    </w:p>
    <w:p w14:paraId="621CF8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p>
    <w:p w14:paraId="3187F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w:t>
      </w:r>
    </w:p>
    <w:p w14:paraId="0E70EC7D">
      <w:pPr>
        <w:snapToGrid w:val="0"/>
        <w:spacing w:before="50" w:after="120" w:line="360" w:lineRule="auto"/>
        <w:ind w:firstLine="1125" w:firstLineChars="393"/>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rtlGutter w:val="0"/>
          <w:docGrid w:type="lines" w:linePitch="312" w:charSpace="0"/>
        </w:sectPr>
      </w:pPr>
    </w:p>
    <w:p w14:paraId="67D9B472">
      <w:pPr>
        <w:rPr>
          <w:rFonts w:hint="eastAsia" w:ascii="宋体" w:hAnsi="宋体" w:eastAsia="宋体" w:cs="宋体"/>
          <w:b/>
          <w:color w:val="auto"/>
          <w:sz w:val="44"/>
          <w:szCs w:val="44"/>
          <w:highlight w:val="none"/>
        </w:rPr>
      </w:pPr>
    </w:p>
    <w:p w14:paraId="2CFDC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B2D5527">
      <w:pPr>
        <w:spacing w:line="400" w:lineRule="exact"/>
        <w:jc w:val="center"/>
        <w:rPr>
          <w:rFonts w:hint="eastAsia" w:ascii="宋体" w:hAnsi="宋体" w:eastAsia="宋体" w:cs="宋体"/>
          <w:b/>
          <w:color w:val="auto"/>
          <w:sz w:val="44"/>
          <w:szCs w:val="44"/>
          <w:highlight w:val="none"/>
        </w:rPr>
      </w:pPr>
    </w:p>
    <w:p w14:paraId="6A2DBFFD">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第一章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D9A9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_Toc5857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第二章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4687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第三章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93DCC">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6C0ED">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供应商须知正文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B1091D">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B62B04">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FD795">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8F49F0">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四、评审及磋商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6F22A4">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五、成交及合同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B00795">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35880">
      <w:pPr>
        <w:pStyle w:val="15"/>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2BA9F">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第四章  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B7BDDD">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评审程序和评审方法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6189B1">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9C073">
      <w:pPr>
        <w:pStyle w:val="25"/>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第三节 评审过程的保密与录像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C87C5">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第五章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2811DB">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第六章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214955">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44"/>
          <w:sz w:val="24"/>
          <w:szCs w:val="24"/>
          <w:highlight w:val="none"/>
        </w:rPr>
        <w:t xml:space="preserve">第七章 </w:t>
      </w:r>
      <w:r>
        <w:rPr>
          <w:rFonts w:hint="eastAsia" w:ascii="宋体" w:hAnsi="宋体" w:cs="宋体"/>
          <w:bCs w:val="0"/>
          <w:color w:val="auto"/>
          <w:kern w:val="44"/>
          <w:sz w:val="24"/>
          <w:szCs w:val="24"/>
          <w:highlight w:val="none"/>
          <w:lang w:val="en-US" w:eastAsia="zh-CN"/>
        </w:rPr>
        <w:t xml:space="preserve"> </w:t>
      </w:r>
      <w:r>
        <w:rPr>
          <w:rFonts w:hint="eastAsia" w:ascii="宋体" w:hAnsi="宋体" w:eastAsia="宋体" w:cs="宋体"/>
          <w:bCs w:val="0"/>
          <w:color w:val="auto"/>
          <w:kern w:val="44"/>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AEB44">
      <w:pPr>
        <w:pStyle w:val="22"/>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第八章 </w:t>
      </w:r>
      <w:r>
        <w:rPr>
          <w:rFonts w:hint="eastAsia" w:ascii="宋体" w:hAnsi="宋体" w:cs="宋体"/>
          <w:bCs/>
          <w:color w:val="auto"/>
          <w:kern w:val="44"/>
          <w:sz w:val="24"/>
          <w:szCs w:val="24"/>
          <w:highlight w:val="none"/>
          <w:lang w:val="en-US" w:eastAsia="zh-CN" w:bidi="ar-SA"/>
        </w:rPr>
        <w:t xml:space="preserve"> </w:t>
      </w:r>
      <w:r>
        <w:rPr>
          <w:rFonts w:hint="eastAsia" w:ascii="宋体" w:hAnsi="宋体" w:eastAsia="宋体" w:cs="宋体"/>
          <w:bCs/>
          <w:color w:val="auto"/>
          <w:kern w:val="44"/>
          <w:sz w:val="24"/>
          <w:szCs w:val="24"/>
          <w:highlight w:val="none"/>
          <w:lang w:val="en-US" w:eastAsia="zh-CN" w:bidi="ar-SA"/>
        </w:rPr>
        <w:t>政府采购合同验收书范本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985D1">
      <w:pPr>
        <w:keepNext w:val="0"/>
        <w:keepLines w:val="0"/>
        <w:pageBreakBefore w:val="0"/>
        <w:widowControl w:val="0"/>
        <w:tabs>
          <w:tab w:val="right" w:leader="dot" w:pos="8296"/>
          <w:tab w:val="right" w:leader="dot" w:pos="8647"/>
        </w:tabs>
        <w:kinsoku/>
        <w:wordWrap/>
        <w:overflowPunct/>
        <w:topLinePunct w:val="0"/>
        <w:autoSpaceDE/>
        <w:autoSpaceDN/>
        <w:bidi w:val="0"/>
        <w:adjustRightInd/>
        <w:snapToGrid w:val="0"/>
        <w:spacing w:line="360" w:lineRule="auto"/>
        <w:ind w:right="231" w:rightChars="1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7A51CE22">
      <w:pPr>
        <w:spacing w:line="400" w:lineRule="exact"/>
        <w:jc w:val="left"/>
        <w:rPr>
          <w:rFonts w:hint="eastAsia" w:ascii="宋体" w:hAnsi="宋体" w:eastAsia="宋体" w:cs="宋体"/>
          <w:b/>
          <w:color w:val="auto"/>
          <w:sz w:val="32"/>
          <w:szCs w:val="32"/>
          <w:highlight w:val="none"/>
        </w:rPr>
      </w:pPr>
    </w:p>
    <w:p w14:paraId="61CAB792">
      <w:pPr>
        <w:spacing w:line="400" w:lineRule="exact"/>
        <w:rPr>
          <w:rFonts w:hint="eastAsia" w:ascii="宋体" w:hAnsi="宋体" w:eastAsia="宋体" w:cs="宋体"/>
          <w:b/>
          <w:color w:val="auto"/>
          <w:sz w:val="32"/>
          <w:szCs w:val="32"/>
          <w:highlight w:val="none"/>
        </w:rPr>
        <w:sectPr>
          <w:pgSz w:w="11906" w:h="16838"/>
          <w:pgMar w:top="1440" w:right="1080" w:bottom="1440" w:left="1080" w:header="851" w:footer="992" w:gutter="0"/>
          <w:pgNumType w:start="0"/>
          <w:cols w:space="720" w:num="1"/>
          <w:titlePg/>
          <w:rtlGutter w:val="0"/>
          <w:docGrid w:type="lines" w:linePitch="312" w:charSpace="0"/>
        </w:sectPr>
      </w:pPr>
    </w:p>
    <w:p w14:paraId="7D317D75">
      <w:pPr>
        <w:spacing w:line="360" w:lineRule="auto"/>
        <w:ind w:firstLine="643" w:firstLineChars="200"/>
        <w:jc w:val="center"/>
        <w:outlineLvl w:val="0"/>
        <w:rPr>
          <w:rFonts w:hint="eastAsia" w:ascii="宋体" w:hAnsi="宋体" w:eastAsia="宋体" w:cs="宋体"/>
          <w:b/>
          <w:color w:val="auto"/>
          <w:kern w:val="44"/>
          <w:sz w:val="32"/>
          <w:szCs w:val="32"/>
          <w:highlight w:val="none"/>
        </w:rPr>
      </w:pPr>
      <w:bookmarkStart w:id="0" w:name="_Toc21228"/>
      <w:r>
        <w:rPr>
          <w:rFonts w:hint="eastAsia" w:ascii="宋体" w:hAnsi="宋体" w:eastAsia="宋体" w:cs="宋体"/>
          <w:b/>
          <w:color w:val="auto"/>
          <w:kern w:val="44"/>
          <w:sz w:val="32"/>
          <w:szCs w:val="32"/>
          <w:highlight w:val="none"/>
        </w:rPr>
        <w:t xml:space="preserve">第一章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竞争性磋商公告</w:t>
      </w:r>
      <w:bookmarkEnd w:id="0"/>
      <w:bookmarkStart w:id="1" w:name="_Toc44229878"/>
      <w:bookmarkStart w:id="2" w:name="_Toc35393629"/>
      <w:bookmarkStart w:id="3" w:name="_Toc35393798"/>
      <w:bookmarkStart w:id="4" w:name="_Toc28359089"/>
      <w:bookmarkStart w:id="5" w:name="_Toc28359012"/>
      <w:bookmarkStart w:id="6" w:name="_Toc28359004"/>
      <w:bookmarkStart w:id="7" w:name="_Toc28359081"/>
      <w:bookmarkStart w:id="8" w:name="_Toc35393623"/>
      <w:bookmarkStart w:id="9" w:name="_Toc35393792"/>
    </w:p>
    <w:p w14:paraId="090BCE3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60E927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50" w:firstLineChars="25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柳州市柳江区中医医院2025-2027年度中药饮片代煎和配送服务采购项目（重）</w:t>
      </w:r>
      <w:r>
        <w:rPr>
          <w:rFonts w:hint="eastAsia" w:ascii="宋体" w:hAnsi="宋体" w:eastAsia="宋体" w:cs="宋体"/>
          <w:color w:val="auto"/>
          <w:sz w:val="22"/>
          <w:szCs w:val="22"/>
          <w:highlight w:val="none"/>
        </w:rPr>
        <w:t>的潜在供应商应在广西政府采购云平台（https://www.gcy.zfcg.gxzf.gov.cn/）获取采购文件</w:t>
      </w:r>
      <w:r>
        <w:rPr>
          <w:rFonts w:hint="eastAsia" w:ascii="宋体" w:hAnsi="宋体" w:eastAsia="宋体" w:cs="宋体"/>
          <w:color w:val="auto"/>
          <w:sz w:val="22"/>
          <w:szCs w:val="22"/>
          <w:highlight w:val="none"/>
          <w:u w:val="none"/>
        </w:rPr>
        <w:t>，并于</w:t>
      </w:r>
      <w:r>
        <w:rPr>
          <w:rFonts w:hint="eastAsia" w:ascii="宋体" w:hAnsi="宋体" w:cs="宋体"/>
          <w:color w:val="auto"/>
          <w:sz w:val="22"/>
          <w:szCs w:val="22"/>
          <w:highlight w:val="none"/>
          <w:u w:val="single"/>
          <w:lang w:val="en-US" w:eastAsia="zh-CN"/>
        </w:rPr>
        <w:t>2025</w:t>
      </w:r>
      <w:r>
        <w:rPr>
          <w:rFonts w:hint="eastAsia" w:ascii="宋体" w:hAnsi="宋体" w:cs="宋体"/>
          <w:color w:val="auto"/>
          <w:sz w:val="22"/>
          <w:szCs w:val="22"/>
          <w:highlight w:val="none"/>
          <w:u w:val="single"/>
          <w:lang w:eastAsia="zh-CN"/>
        </w:rPr>
        <w:t>年</w:t>
      </w:r>
      <w:r>
        <w:rPr>
          <w:rFonts w:hint="eastAsia" w:ascii="宋体" w:hAnsi="宋体" w:cs="宋体"/>
          <w:color w:val="auto"/>
          <w:sz w:val="22"/>
          <w:szCs w:val="22"/>
          <w:highlight w:val="none"/>
          <w:u w:val="single"/>
          <w:lang w:val="en-US" w:eastAsia="zh-CN"/>
        </w:rPr>
        <w:t>8</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22</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rPr>
        <w:t>09:</w:t>
      </w:r>
      <w:r>
        <w:rPr>
          <w:rFonts w:hint="eastAsia" w:ascii="宋体" w:hAnsi="宋体" w:cs="宋体"/>
          <w:color w:val="auto"/>
          <w:sz w:val="22"/>
          <w:szCs w:val="22"/>
          <w:highlight w:val="none"/>
          <w:u w:val="single"/>
          <w:lang w:val="en-US" w:eastAsia="zh-CN"/>
        </w:rPr>
        <w:t>20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38E8EE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一、项目基本情况</w:t>
      </w:r>
      <w:bookmarkEnd w:id="1"/>
      <w:bookmarkEnd w:id="2"/>
      <w:bookmarkEnd w:id="3"/>
      <w:bookmarkEnd w:id="4"/>
      <w:bookmarkEnd w:id="5"/>
    </w:p>
    <w:p w14:paraId="5E27B06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项目编号：LZZC2025-C3-060053-GXJZ</w:t>
      </w:r>
    </w:p>
    <w:p w14:paraId="0D60A19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柳州市柳江区中医医院2025-2027年度中药饮片代煎和配送服务采购项目（重）</w:t>
      </w:r>
    </w:p>
    <w:p w14:paraId="37E1A79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6D0408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预算总金额（元）：</w:t>
      </w:r>
      <w:r>
        <w:rPr>
          <w:rFonts w:hint="eastAsia" w:ascii="宋体" w:hAnsi="宋体" w:cs="宋体"/>
          <w:color w:val="auto"/>
          <w:sz w:val="22"/>
          <w:szCs w:val="22"/>
          <w:highlight w:val="none"/>
          <w:lang w:eastAsia="zh-CN"/>
        </w:rPr>
        <w:t>970700.00</w:t>
      </w:r>
    </w:p>
    <w:p w14:paraId="0546D8F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14:paraId="358DCE2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87079F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：柳州市柳江区中医医院2025-2027年度中药饮片代煎和配送服务采购项目（重）</w:t>
      </w:r>
    </w:p>
    <w:p w14:paraId="05C3F22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数量：1项</w:t>
      </w:r>
    </w:p>
    <w:p w14:paraId="0F1C48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预算金额（元）：</w:t>
      </w:r>
      <w:r>
        <w:rPr>
          <w:rFonts w:hint="eastAsia" w:ascii="仿宋" w:hAnsi="仿宋" w:eastAsia="仿宋" w:cs="仿宋"/>
          <w:color w:val="auto"/>
          <w:sz w:val="22"/>
          <w:szCs w:val="22"/>
          <w:highlight w:val="none"/>
          <w:lang w:eastAsia="zh-CN"/>
        </w:rPr>
        <w:t>970700.00</w:t>
      </w:r>
    </w:p>
    <w:p w14:paraId="64FD53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简要规格描述或项目基本概况介绍、用途：中药饮片代煎和配送服务1项，具体内容详见采购文件第二章《采购需求》。</w:t>
      </w:r>
    </w:p>
    <w:p w14:paraId="2E2782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最高限价</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w:t>
      </w:r>
    </w:p>
    <w:p w14:paraId="3863F4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合同履行期限：自合同签订生效之日起2年。</w:t>
      </w:r>
    </w:p>
    <w:p w14:paraId="54E5CDD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rPr>
        <w:t>本标项</w:t>
      </w:r>
      <w:r>
        <w:rPr>
          <w:rFonts w:hint="eastAsia" w:ascii="仿宋" w:hAnsi="仿宋" w:eastAsia="仿宋" w:cs="仿宋"/>
          <w:color w:val="auto"/>
          <w:sz w:val="22"/>
          <w:szCs w:val="22"/>
          <w:highlight w:val="none"/>
          <w:u w:val="none"/>
        </w:rPr>
        <w:t>（否）接受联合体投标</w:t>
      </w:r>
    </w:p>
    <w:p w14:paraId="02E3D7BF">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2"/>
          <w:szCs w:val="22"/>
          <w:highlight w:val="none"/>
          <w:lang w:val="en-US" w:eastAsia="zh-CN"/>
        </w:rPr>
      </w:pPr>
      <w:r>
        <w:rPr>
          <w:rFonts w:hint="eastAsia" w:ascii="仿宋" w:hAnsi="仿宋" w:eastAsia="仿宋" w:cs="仿宋"/>
          <w:color w:val="auto"/>
          <w:sz w:val="22"/>
          <w:szCs w:val="22"/>
          <w:highlight w:val="none"/>
          <w:u w:val="none"/>
          <w:lang w:val="en-US" w:eastAsia="zh-CN"/>
        </w:rPr>
        <w:t>备注：本项目为线上电子招标项目，有意向参与本项目的供应商应当做好参与全流程电子招投标交易的充分准备。</w:t>
      </w:r>
    </w:p>
    <w:p w14:paraId="6D689671">
      <w:pPr>
        <w:rPr>
          <w:rFonts w:hint="eastAsia" w:ascii="宋体" w:hAnsi="宋体" w:eastAsia="宋体" w:cs="宋体"/>
          <w:color w:val="auto"/>
          <w:sz w:val="22"/>
          <w:szCs w:val="22"/>
          <w:highlight w:val="none"/>
        </w:rPr>
      </w:pPr>
      <w:bookmarkStart w:id="10" w:name="_Toc28359090"/>
      <w:bookmarkStart w:id="11" w:name="_Toc35393630"/>
      <w:bookmarkStart w:id="12" w:name="_Toc28359013"/>
      <w:bookmarkStart w:id="13" w:name="_Toc44229879"/>
      <w:bookmarkStart w:id="14" w:name="_Toc35393799"/>
    </w:p>
    <w:p w14:paraId="5B3C2E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二、申请人的资格条件</w:t>
      </w:r>
      <w:bookmarkEnd w:id="10"/>
      <w:bookmarkEnd w:id="11"/>
      <w:bookmarkEnd w:id="12"/>
      <w:bookmarkEnd w:id="13"/>
      <w:bookmarkEnd w:id="14"/>
    </w:p>
    <w:p w14:paraId="6AEB72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p>
    <w:p w14:paraId="1457327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2.落实政府采购政策需满足的资格要求：</w:t>
      </w:r>
      <w:r>
        <w:rPr>
          <w:rFonts w:hint="eastAsia" w:ascii="宋体" w:hAnsi="宋体" w:cs="宋体"/>
          <w:color w:val="auto"/>
          <w:sz w:val="22"/>
          <w:szCs w:val="22"/>
          <w:highlight w:val="none"/>
          <w:lang w:val="en-US" w:eastAsia="zh-CN"/>
        </w:rPr>
        <w:t>无。</w:t>
      </w:r>
    </w:p>
    <w:p w14:paraId="57679A1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3.本项目的特定资格要求：供应商必须具有有效的药品生产或经营许可证(许可范围包含中药饮片生产或医药批发)。</w:t>
      </w:r>
    </w:p>
    <w:p w14:paraId="02946C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三、获取竞争性磋商文件</w:t>
      </w:r>
      <w:bookmarkEnd w:id="6"/>
      <w:bookmarkEnd w:id="7"/>
      <w:bookmarkEnd w:id="8"/>
      <w:bookmarkEnd w:id="9"/>
    </w:p>
    <w:p w14:paraId="745C507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bookmarkStart w:id="15" w:name="_Toc28359005"/>
      <w:bookmarkStart w:id="16" w:name="_Toc35393793"/>
      <w:bookmarkStart w:id="17" w:name="_Toc35393624"/>
      <w:bookmarkStart w:id="18" w:name="_Toc28359082"/>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11</w:t>
      </w:r>
      <w:r>
        <w:rPr>
          <w:rFonts w:hint="eastAsia" w:ascii="宋体" w:hAnsi="宋体" w:eastAsia="宋体" w:cs="宋体"/>
          <w:color w:val="auto"/>
          <w:sz w:val="22"/>
          <w:szCs w:val="22"/>
          <w:highlight w:val="none"/>
          <w:u w:val="none"/>
        </w:rPr>
        <w:t>日至</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18</w:t>
      </w:r>
      <w:r>
        <w:rPr>
          <w:rFonts w:hint="eastAsia" w:ascii="宋体" w:hAnsi="宋体" w:eastAsia="宋体" w:cs="宋体"/>
          <w:color w:val="auto"/>
          <w:sz w:val="22"/>
          <w:szCs w:val="22"/>
          <w:highlight w:val="none"/>
          <w:u w:val="none"/>
        </w:rPr>
        <w:t>日，每天上</w:t>
      </w:r>
      <w:r>
        <w:rPr>
          <w:rFonts w:hint="eastAsia" w:ascii="宋体" w:hAnsi="宋体" w:eastAsia="宋体" w:cs="宋体"/>
          <w:color w:val="auto"/>
          <w:sz w:val="22"/>
          <w:szCs w:val="22"/>
          <w:highlight w:val="none"/>
        </w:rPr>
        <w:t>午00:00至12:00，下午12:00至23:59（北京时间，法定节假日除外）。</w:t>
      </w:r>
    </w:p>
    <w:p w14:paraId="79971B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地点（网址）：广西政府采购云平台线上获取</w:t>
      </w:r>
    </w:p>
    <w:p w14:paraId="4A5ACD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：供应商登录广西政府采购云平台https://www.gcy.zfcg.gxzf.gov.cn/在线申请获取采购文件（进入“项目采购”应用，在获取采购文件菜单中选择项目，申请获取采购文件）</w:t>
      </w:r>
    </w:p>
    <w:p w14:paraId="52BE50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w:t>
      </w:r>
    </w:p>
    <w:p w14:paraId="4E4FF1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响应文件提交</w:t>
      </w:r>
    </w:p>
    <w:p w14:paraId="4CBCBB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截止时间：</w:t>
      </w:r>
      <w:r>
        <w:rPr>
          <w:rFonts w:hint="eastAsia" w:ascii="宋体" w:hAnsi="宋体" w:cs="宋体"/>
          <w:color w:val="auto"/>
          <w:kern w:val="0"/>
          <w:sz w:val="22"/>
          <w:szCs w:val="22"/>
          <w:highlight w:val="none"/>
          <w:lang w:val="en-US" w:eastAsia="zh-CN"/>
        </w:rPr>
        <w:t>2025</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22</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eastAsia="zh-CN"/>
        </w:rPr>
        <w:t>09:</w:t>
      </w:r>
      <w:r>
        <w:rPr>
          <w:rFonts w:hint="eastAsia" w:ascii="宋体" w:hAnsi="宋体" w:cs="宋体"/>
          <w:color w:val="auto"/>
          <w:kern w:val="0"/>
          <w:sz w:val="22"/>
          <w:szCs w:val="22"/>
          <w:highlight w:val="none"/>
          <w:lang w:eastAsia="zh-CN"/>
        </w:rPr>
        <w:t>20</w:t>
      </w:r>
      <w:r>
        <w:rPr>
          <w:rFonts w:hint="eastAsia" w:ascii="宋体" w:hAnsi="宋体" w:eastAsia="宋体" w:cs="宋体"/>
          <w:color w:val="auto"/>
          <w:kern w:val="0"/>
          <w:sz w:val="22"/>
          <w:szCs w:val="22"/>
          <w:highlight w:val="none"/>
          <w:lang w:eastAsia="zh-CN"/>
        </w:rPr>
        <w:t>（北京时间）</w:t>
      </w:r>
    </w:p>
    <w:p w14:paraId="2ADBBF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地点（网址）：请登录广西政府采购云平台投标客户端投标</w:t>
      </w:r>
    </w:p>
    <w:p w14:paraId="565615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五、响应文件开启</w:t>
      </w:r>
    </w:p>
    <w:p w14:paraId="2684C34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开启时间：</w:t>
      </w:r>
      <w:r>
        <w:rPr>
          <w:rFonts w:hint="eastAsia" w:ascii="宋体" w:hAnsi="宋体" w:cs="宋体"/>
          <w:bCs/>
          <w:color w:val="auto"/>
          <w:sz w:val="22"/>
          <w:szCs w:val="22"/>
          <w:highlight w:val="none"/>
          <w:u w:val="none"/>
          <w:lang w:val="en-US" w:eastAsia="zh-CN"/>
        </w:rPr>
        <w:t>2025</w:t>
      </w:r>
      <w:r>
        <w:rPr>
          <w:rFonts w:hint="eastAsia" w:ascii="宋体" w:hAnsi="宋体" w:cs="宋体"/>
          <w:bCs/>
          <w:color w:val="auto"/>
          <w:sz w:val="22"/>
          <w:szCs w:val="22"/>
          <w:highlight w:val="none"/>
          <w:u w:val="none"/>
          <w:lang w:eastAsia="zh-CN"/>
        </w:rPr>
        <w:t>年</w:t>
      </w:r>
      <w:r>
        <w:rPr>
          <w:rFonts w:hint="eastAsia" w:ascii="宋体" w:hAnsi="宋体" w:cs="宋体"/>
          <w:bCs/>
          <w:color w:val="auto"/>
          <w:sz w:val="22"/>
          <w:szCs w:val="22"/>
          <w:highlight w:val="none"/>
          <w:u w:val="none"/>
          <w:lang w:val="en-US" w:eastAsia="zh-CN"/>
        </w:rPr>
        <w:t>8</w:t>
      </w:r>
      <w:r>
        <w:rPr>
          <w:rFonts w:hint="eastAsia" w:ascii="宋体" w:hAnsi="宋体" w:cs="宋体"/>
          <w:bCs/>
          <w:color w:val="auto"/>
          <w:sz w:val="22"/>
          <w:szCs w:val="22"/>
          <w:highlight w:val="none"/>
          <w:u w:val="none"/>
          <w:lang w:eastAsia="zh-CN"/>
        </w:rPr>
        <w:t>月</w:t>
      </w:r>
      <w:r>
        <w:rPr>
          <w:rFonts w:hint="eastAsia" w:ascii="宋体" w:hAnsi="宋体" w:cs="宋体"/>
          <w:bCs/>
          <w:color w:val="auto"/>
          <w:sz w:val="22"/>
          <w:szCs w:val="22"/>
          <w:highlight w:val="none"/>
          <w:u w:val="none"/>
          <w:lang w:val="en-US" w:eastAsia="zh-CN"/>
        </w:rPr>
        <w:t>22</w:t>
      </w:r>
      <w:r>
        <w:rPr>
          <w:rFonts w:hint="eastAsia" w:ascii="宋体" w:hAnsi="宋体" w:cs="宋体"/>
          <w:bCs/>
          <w:color w:val="auto"/>
          <w:sz w:val="22"/>
          <w:szCs w:val="22"/>
          <w:highlight w:val="none"/>
          <w:u w:val="none"/>
          <w:lang w:eastAsia="zh-CN"/>
        </w:rPr>
        <w:t>日</w:t>
      </w:r>
      <w:r>
        <w:rPr>
          <w:rFonts w:hint="eastAsia" w:ascii="宋体" w:hAnsi="宋体" w:eastAsia="宋体" w:cs="宋体"/>
          <w:bCs/>
          <w:color w:val="auto"/>
          <w:sz w:val="22"/>
          <w:szCs w:val="22"/>
          <w:highlight w:val="none"/>
          <w:u w:val="none"/>
        </w:rPr>
        <w:t>09:</w:t>
      </w:r>
      <w:r>
        <w:rPr>
          <w:rFonts w:hint="eastAsia" w:ascii="宋体" w:hAnsi="宋体" w:cs="宋体"/>
          <w:bCs/>
          <w:color w:val="auto"/>
          <w:sz w:val="22"/>
          <w:szCs w:val="22"/>
          <w:highlight w:val="none"/>
          <w:u w:val="none"/>
          <w:lang w:eastAsia="zh-CN"/>
        </w:rPr>
        <w:t>20</w:t>
      </w:r>
      <w:r>
        <w:rPr>
          <w:rFonts w:hint="eastAsia" w:ascii="宋体" w:hAnsi="宋体" w:eastAsia="宋体" w:cs="宋体"/>
          <w:color w:val="auto"/>
          <w:spacing w:val="3"/>
          <w:sz w:val="22"/>
          <w:szCs w:val="22"/>
          <w:highlight w:val="none"/>
        </w:rPr>
        <w:t>（北京时间）</w:t>
      </w:r>
    </w:p>
    <w:p w14:paraId="7A99C2F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开标地点：请登录广西政府采购云平台投标客户端投标</w:t>
      </w:r>
      <w:r>
        <w:rPr>
          <w:rFonts w:hint="eastAsia" w:ascii="宋体" w:hAnsi="宋体" w:eastAsia="宋体" w:cs="宋体"/>
          <w:color w:val="auto"/>
          <w:spacing w:val="10"/>
          <w:sz w:val="22"/>
          <w:szCs w:val="22"/>
          <w:highlight w:val="none"/>
        </w:rPr>
        <w:t>。</w:t>
      </w:r>
    </w:p>
    <w:p w14:paraId="338EBE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19" w:name="_Toc28359084"/>
      <w:bookmarkStart w:id="20" w:name="_Toc35393794"/>
      <w:bookmarkStart w:id="21" w:name="_Toc35393625"/>
      <w:bookmarkStart w:id="22" w:name="_Toc28359007"/>
      <w:r>
        <w:rPr>
          <w:rFonts w:hint="eastAsia" w:ascii="宋体" w:hAnsi="宋体" w:eastAsia="宋体" w:cs="宋体"/>
          <w:b/>
          <w:bCs/>
          <w:color w:val="auto"/>
          <w:sz w:val="22"/>
          <w:szCs w:val="22"/>
          <w:highlight w:val="none"/>
        </w:rPr>
        <w:t>六、公告期限</w:t>
      </w:r>
      <w:bookmarkEnd w:id="19"/>
      <w:bookmarkEnd w:id="20"/>
      <w:bookmarkEnd w:id="21"/>
      <w:bookmarkEnd w:id="22"/>
    </w:p>
    <w:p w14:paraId="40304F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u w:val="none"/>
          <w:lang w:val="en-US" w:eastAsia="zh-CN"/>
        </w:rPr>
        <w:t>5</w:t>
      </w:r>
      <w:r>
        <w:rPr>
          <w:rFonts w:hint="eastAsia" w:ascii="宋体" w:hAnsi="宋体" w:eastAsia="宋体" w:cs="宋体"/>
          <w:color w:val="auto"/>
          <w:kern w:val="0"/>
          <w:sz w:val="22"/>
          <w:szCs w:val="22"/>
          <w:highlight w:val="none"/>
        </w:rPr>
        <w:t>个工作日。</w:t>
      </w:r>
    </w:p>
    <w:p w14:paraId="1644B0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23" w:name="_Toc35393795"/>
      <w:bookmarkStart w:id="24" w:name="_Toc35393626"/>
      <w:r>
        <w:rPr>
          <w:rFonts w:hint="eastAsia" w:ascii="宋体" w:hAnsi="宋体" w:eastAsia="宋体" w:cs="宋体"/>
          <w:b/>
          <w:bCs/>
          <w:color w:val="auto"/>
          <w:sz w:val="22"/>
          <w:szCs w:val="22"/>
          <w:highlight w:val="none"/>
        </w:rPr>
        <w:t>七、其他补充事宜</w:t>
      </w:r>
      <w:bookmarkEnd w:id="23"/>
      <w:bookmarkEnd w:id="24"/>
    </w:p>
    <w:p w14:paraId="4D79DFD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本项目不收取磋商保证金</w:t>
      </w:r>
      <w:r>
        <w:rPr>
          <w:rFonts w:hint="eastAsia" w:ascii="宋体" w:hAnsi="宋体" w:eastAsia="宋体" w:cs="宋体"/>
          <w:color w:val="auto"/>
          <w:sz w:val="22"/>
          <w:szCs w:val="22"/>
          <w:highlight w:val="none"/>
        </w:rPr>
        <w:t>。</w:t>
      </w:r>
    </w:p>
    <w:p w14:paraId="06F7150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bookmarkStart w:id="25" w:name="_Hlk37429595"/>
      <w:bookmarkStart w:id="26" w:name="_Hlk37429585"/>
      <w:r>
        <w:rPr>
          <w:rFonts w:hint="eastAsia" w:ascii="宋体" w:hAnsi="宋体" w:eastAsia="宋体" w:cs="宋体"/>
          <w:color w:val="auto"/>
          <w:kern w:val="0"/>
          <w:sz w:val="22"/>
          <w:szCs w:val="22"/>
          <w:highlight w:val="none"/>
        </w:rPr>
        <w:t>网上查询地址</w:t>
      </w:r>
      <w:r>
        <w:rPr>
          <w:rFonts w:hint="eastAsia" w:ascii="宋体" w:hAnsi="宋体" w:cs="宋体"/>
          <w:color w:val="auto"/>
          <w:kern w:val="0"/>
          <w:sz w:val="22"/>
          <w:szCs w:val="22"/>
          <w:highlight w:val="none"/>
          <w:lang w:eastAsia="zh-CN"/>
        </w:rPr>
        <w:t>：</w:t>
      </w:r>
      <w:bookmarkEnd w:id="25"/>
      <w:bookmarkEnd w:id="26"/>
      <w:bookmarkStart w:id="27" w:name="_Hlk37429674"/>
      <w:r>
        <w:rPr>
          <w:rFonts w:hint="eastAsia" w:ascii="宋体" w:hAnsi="宋体" w:eastAsia="宋体" w:cs="宋体"/>
          <w:color w:val="auto"/>
          <w:sz w:val="22"/>
          <w:szCs w:val="22"/>
          <w:highlight w:val="none"/>
          <w:lang w:val="en-US" w:eastAsia="zh-CN"/>
        </w:rPr>
        <w:t>中国政府采购网（www.ccgp.gov.cn）、广西政府采购网（zfcg.gxzf.gov.cn）、柳州市政府采购网（zfcg.lzscz.liuzhou.gov.cn）。</w:t>
      </w:r>
    </w:p>
    <w:p w14:paraId="0D92692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本项目需要落实的政府采购政策</w:t>
      </w:r>
    </w:p>
    <w:p w14:paraId="447E3ED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（1）政府采购促进中小企业发展。</w:t>
      </w:r>
    </w:p>
    <w:p w14:paraId="569E927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（2）政府采购促进残疾人就业政策。</w:t>
      </w:r>
    </w:p>
    <w:p w14:paraId="3FCF24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）政府采购支持监狱企业发展。</w:t>
      </w:r>
      <w:bookmarkEnd w:id="27"/>
    </w:p>
    <w:p w14:paraId="1040231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2E2F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.若对项目采购电子交易系统操作有疑问，可登录“广西政府采购云平台”平台（</w:t>
      </w:r>
      <w:r>
        <w:rPr>
          <w:rFonts w:hint="eastAsia" w:ascii="宋体" w:hAnsi="宋体" w:cs="宋体"/>
          <w:color w:val="auto"/>
          <w:kern w:val="0"/>
          <w:sz w:val="22"/>
          <w:szCs w:val="22"/>
          <w:highlight w:val="none"/>
          <w:lang w:val="en-US" w:eastAsia="zh-CN"/>
        </w:rPr>
        <w:t>https://www.gcy.zfcg.gxzf.gov.cn/</w:t>
      </w:r>
      <w:r>
        <w:rPr>
          <w:rFonts w:hint="eastAsia" w:ascii="宋体" w:hAnsi="宋体" w:eastAsia="宋体" w:cs="宋体"/>
          <w:color w:val="auto"/>
          <w:kern w:val="0"/>
          <w:sz w:val="22"/>
          <w:szCs w:val="22"/>
          <w:highlight w:val="none"/>
          <w:lang w:val="en-US" w:eastAsia="zh-CN"/>
        </w:rPr>
        <w:t>），点击右侧咨询小采，获取采小蜜智能服务管家帮助，或拨打广西政府采购云平台服务热线95763获取热线服务帮助。</w:t>
      </w:r>
    </w:p>
    <w:p w14:paraId="547088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.关于申请人资格要求的其它说明</w:t>
      </w:r>
    </w:p>
    <w:p w14:paraId="0AA3DC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21CC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E0637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八、凡对本次采购提出询问，请按以下方式联系</w:t>
      </w:r>
    </w:p>
    <w:p w14:paraId="3BB8A951">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1.采购人信息</w:t>
      </w:r>
    </w:p>
    <w:p w14:paraId="37219C7A">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柳州市柳江区中医医院</w:t>
      </w:r>
    </w:p>
    <w:p w14:paraId="34034F1E">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柳州市柳江区拉堡镇塘福路7号</w:t>
      </w:r>
    </w:p>
    <w:p w14:paraId="75B2385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eastAsia="zh-CN"/>
        </w:rPr>
      </w:pPr>
      <w:r>
        <w:rPr>
          <w:rFonts w:hint="eastAsia" w:ascii="宋体" w:hAnsi="宋体" w:cs="宋体"/>
          <w:color w:val="auto"/>
          <w:sz w:val="22"/>
          <w:szCs w:val="22"/>
          <w:highlight w:val="none"/>
          <w:u w:val="none"/>
          <w:lang w:eastAsia="zh-CN"/>
        </w:rPr>
        <w:t>项目联系人：吴世琴</w:t>
      </w:r>
    </w:p>
    <w:p w14:paraId="71A51A97">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项目联系方式：0772-7253975</w:t>
      </w:r>
    </w:p>
    <w:p w14:paraId="273B470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2.采购代理机构信息</w:t>
      </w:r>
    </w:p>
    <w:p w14:paraId="5061B2F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eastAsia="宋体" w:cs="宋体"/>
          <w:color w:val="auto"/>
          <w:sz w:val="22"/>
          <w:szCs w:val="22"/>
          <w:highlight w:val="none"/>
          <w:u w:val="none"/>
          <w:lang w:eastAsia="zh-CN"/>
        </w:rPr>
        <w:t>广西景钲工程咨询有限公司</w:t>
      </w:r>
    </w:p>
    <w:p w14:paraId="47849A3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柳州市静兰路东一巷19号静兰小区综合楼202室</w:t>
      </w:r>
    </w:p>
    <w:p w14:paraId="26A9D9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ascii="宋体" w:hAnsi="宋体" w:cs="宋体"/>
          <w:color w:val="auto"/>
          <w:sz w:val="22"/>
          <w:szCs w:val="22"/>
          <w:highlight w:val="none"/>
          <w:u w:val="none"/>
          <w:lang w:eastAsia="zh-CN"/>
        </w:rPr>
        <w:t>欧工</w:t>
      </w:r>
    </w:p>
    <w:p w14:paraId="2CCD0C1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项目联系方式：</w:t>
      </w:r>
      <w:r>
        <w:rPr>
          <w:rFonts w:hint="eastAsia" w:ascii="宋体" w:hAnsi="宋体" w:eastAsia="宋体" w:cs="宋体"/>
          <w:color w:val="auto"/>
          <w:sz w:val="22"/>
          <w:szCs w:val="22"/>
          <w:highlight w:val="none"/>
          <w:u w:val="none"/>
          <w:lang w:eastAsia="zh-CN"/>
        </w:rPr>
        <w:t>0772-3601166</w:t>
      </w:r>
    </w:p>
    <w:p w14:paraId="64B81D5B">
      <w:pPr>
        <w:keepNext w:val="0"/>
        <w:keepLines w:val="0"/>
        <w:pageBreakBefore w:val="0"/>
        <w:kinsoku/>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u w:val="none"/>
        </w:rPr>
      </w:pPr>
    </w:p>
    <w:p w14:paraId="79F4C727">
      <w:pPr>
        <w:spacing w:line="360" w:lineRule="auto"/>
        <w:ind w:firstLine="480" w:firstLineChars="200"/>
        <w:jc w:val="right"/>
        <w:outlineLvl w:val="0"/>
        <w:rPr>
          <w:rFonts w:hint="eastAsia" w:ascii="宋体" w:hAnsi="宋体" w:eastAsia="宋体" w:cs="宋体"/>
          <w:color w:val="auto"/>
          <w:sz w:val="24"/>
          <w:szCs w:val="24"/>
          <w:highlight w:val="none"/>
        </w:rPr>
      </w:pPr>
    </w:p>
    <w:p w14:paraId="3DA3EE51">
      <w:pPr>
        <w:spacing w:line="360" w:lineRule="auto"/>
        <w:ind w:firstLine="480" w:firstLineChars="200"/>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28" w:name="_Toc5857"/>
      <w:r>
        <w:rPr>
          <w:rFonts w:hint="eastAsia" w:ascii="宋体" w:hAnsi="宋体" w:eastAsia="宋体" w:cs="宋体"/>
          <w:b/>
          <w:color w:val="auto"/>
          <w:kern w:val="44"/>
          <w:sz w:val="32"/>
          <w:szCs w:val="32"/>
          <w:highlight w:val="none"/>
        </w:rPr>
        <w:t xml:space="preserve">第二章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8"/>
    </w:p>
    <w:p w14:paraId="2B511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说明：</w:t>
      </w:r>
    </w:p>
    <w:p w14:paraId="55F300D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1、本项目需求表中带有“▲”的技术参数或要求为实质性要求，必须满足，竞标响应不得低于该技术指标或要求。</w:t>
      </w:r>
    </w:p>
    <w:p w14:paraId="62F499E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仿宋" w:cs="宋体"/>
          <w:color w:val="auto"/>
          <w:sz w:val="22"/>
          <w:szCs w:val="22"/>
          <w:highlight w:val="none"/>
          <w:lang w:eastAsia="zh-CN"/>
        </w:rPr>
      </w:pPr>
      <w:r>
        <w:rPr>
          <w:rFonts w:hint="eastAsia" w:ascii="仿宋" w:hAnsi="仿宋" w:eastAsia="仿宋" w:cs="仿宋"/>
          <w:color w:val="auto"/>
          <w:sz w:val="22"/>
          <w:szCs w:val="22"/>
          <w:highlight w:val="none"/>
        </w:rPr>
        <w:t>2、供应商所竞标货物或服务如国家有强制性要求的按国家规定执行，若执行标准有修改或更新按最新版本执行。</w:t>
      </w:r>
    </w:p>
    <w:p w14:paraId="11F3FD78">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一、项目基本情况</w:t>
      </w:r>
    </w:p>
    <w:p w14:paraId="7A005AD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为持续优化患者就医服务流程，为患者提供更“便捷、高效”的就医服务体验，为更好地满足患者对中药代煎服务的需求，提高中医药服务能力和水平，结合医院实际情况及需要，遴选一家服务供应商，为我院提供2025-2027年度中药饮片代煎和配送服务。</w:t>
      </w:r>
    </w:p>
    <w:p w14:paraId="5F68977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服务内容：供应商按相关法律法规对采购人委托的中药处方调剂、煎煮，并将代煎成品按规定配送到采购人指定地点。目前我院平均每年约为患者提供约13万剂的中药饮片代煎服务，此数据仅为供应商提供报价参考，最终费用由双方按实际发生数量进行定期结算。</w:t>
      </w:r>
    </w:p>
    <w:p w14:paraId="631722D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(二)采购人可为供应商提供技术指导和支持，合同期内将定期派人员前往现场进行督察和指导、培训，确保项目顺利实施。</w:t>
      </w:r>
    </w:p>
    <w:p w14:paraId="5C3A77B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(三)采购人向供应商系统提供HIS接口，将患者需要代煎、配送服务的处方传输给供应商，供应商承担代煎服务系统对接、安装、运行、维护、升级等相关费用。</w:t>
      </w:r>
    </w:p>
    <w:p w14:paraId="433A7785">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(四)服务期限：自合同签订生效之日起2年。</w:t>
      </w:r>
    </w:p>
    <w:p w14:paraId="7BEC3DB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(五)预算金额：服务费预计97.07万元，代煎费单价预算为3.5元/付，按实际中药饮片处方付数收取代煎服务费用。</w:t>
      </w:r>
    </w:p>
    <w:p w14:paraId="753A0B30">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二、供应商经营条件要求</w:t>
      </w:r>
    </w:p>
    <w:p w14:paraId="200A775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供应商须通过广西中药药事质控中心中药煎药资质评估小组评估并备案成功或者中标后45个日历日内能在项目所在地设立代煎场地并通过广西中药药事质控中心中药煎药资质评估小组评估和备案，且相关场地、设备及人员等须满足采购人煎煮业务量需求，如不能满足，采购人有权终止合同。（供应商在响应文件中提供备案成功凭证或承诺函，未提供视为负偏离）。</w:t>
      </w:r>
    </w:p>
    <w:p w14:paraId="64F7432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(二)能为采购人配备专用的中药饮片仓库，用于中药饮片的存储、养护。</w:t>
      </w:r>
    </w:p>
    <w:p w14:paraId="400EC54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供应商应有符合中药饮片调配要求的场地。为采购人配备专用的中药调配区域，宽敞、明亮，地面、墙面、屋顶平整、洁净、无污染、易清洁，有良好的通风、除尘及消防等设施。饮片调剂场地内须设置中药饮片库房、中药饮片调剂室。</w:t>
      </w:r>
    </w:p>
    <w:p w14:paraId="0F54743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(四)煎药场地面积应不小于800平方米，区域布局合理，能有效防止作业差错和交叉污染。需设置独立操作区、浸泡区、煎煮区、清洗区、储药区、更衣室等功能区域，将工作区与生活区进行严格区分。</w:t>
      </w:r>
    </w:p>
    <w:p w14:paraId="79AD8DB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(五)中药代煎汤剂分拣场地面积应不小于100平方米，区域布局合理，能有效防止作业差错和交叉污染。</w:t>
      </w:r>
    </w:p>
    <w:p w14:paraId="19BD4842">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三、供应商关键岗位人员资质要求</w:t>
      </w:r>
    </w:p>
    <w:p w14:paraId="0C91DCE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供应商应依据《医院中药房基本标准》配备饮片调配、质量检验等中药学专业技术人员，所配备人员资质符合国家法律法规对相应岗位的任职资格要求。</w:t>
      </w:r>
    </w:p>
    <w:p w14:paraId="4FDED0BD">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四、中药饮片采购、入库、验收、养护、使用等相关要求</w:t>
      </w:r>
    </w:p>
    <w:p w14:paraId="47C933C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(一)供应商应为采购人提供专用的中药饮片仓库，用于存储采购的中药饮片。</w:t>
      </w:r>
    </w:p>
    <w:p w14:paraId="10504D6A">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采购人采购的中药饮片，供应商应按照《医院中药饮片管理规范》相关规定进行出入库管理及保管养护并做好验收、保养记录；入库的中药饮片必须按批次留样备查；做好专用账册，保证账物相符，避免出现溢库或亏损情况，每个品种误差应控制在±5%以内。如果出现溢库或者亏损，客观、如实报告采购人，由采购人进行妥善处理，溢库饮片不得挪作他用。</w:t>
      </w:r>
    </w:p>
    <w:p w14:paraId="188DF208">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五、中药饮片调剂、煎煮质量要求</w:t>
      </w:r>
    </w:p>
    <w:p w14:paraId="379EBF4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(一)供应商须按照《医疗机构处方审核规范》等法规要求对委托煎药的处方进行审核，审核合格后方可调剂。</w:t>
      </w:r>
    </w:p>
    <w:p w14:paraId="42C0A64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供应商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14:paraId="6A802B5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(三)中药饮片调剂、加药等环节应全程在视频监控下进行，并对已完成调配、复核的每张处方进行拍照，重点环节相关视频和照片应留档备查。</w:t>
      </w:r>
    </w:p>
    <w:p w14:paraId="7A534DB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(四)供应商须按照《医疗机构中药煎药室管理规范》、《广西中药饮片代煎质量管理规范》建立“中药饮片煎煮”相关的管理制度，同时应建立“中药饮片煎煮”相关记录原始台账。</w:t>
      </w:r>
    </w:p>
    <w:p w14:paraId="1DD55F3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(五)供应商须按照《医疗机构中药煎药室管理规范》中相关规定要求完成中药饮片煎煮操作：</w:t>
      </w:r>
    </w:p>
    <w:p w14:paraId="49F711A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煎煮前应当浸泡饮片30分钟以上（药物置于煎药袋浸泡的应不少于40分钟），加水量应当浸过药面2-5cm；应根据不同方剂的功能主治和饮片功效选择煎煮方案。每剂药必须煎煮两次，再将两次药汁混合、浓缩、分装，煎煮过程中应搅拌药料2-3次（如使用自动化设备煎煮，应具有不少于两次的自动挤压药包操作步骤）。</w:t>
      </w:r>
    </w:p>
    <w:p w14:paraId="1E9CB36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2.在中药煎煮、混合、浓缩、分装过程中应当规范操作，减少细菌污染，保证代煎中药在2-10℃冰箱内可以存放15日不变质。</w:t>
      </w:r>
    </w:p>
    <w:p w14:paraId="792F474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3.凡注明有先煎、久煎、后下、另煎、烊化、包煎、煎汤代水等特殊要求的中药饮片，应当按照《医疗机构中药煎药室管理规范》或医嘱操作。</w:t>
      </w:r>
    </w:p>
    <w:p w14:paraId="3D024C2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六)包装好的药液应认真检查，确保药液包装袋无破漏，并根据处方，认真核对患者姓名、剂数、剂量、是否外用等信息。内服药与外用药应当使用不同的标签区分。每袋药液应有患者姓名、性别、年龄、药液量、服用方法等相关信息和标识。</w:t>
      </w:r>
    </w:p>
    <w:p w14:paraId="724D56B5">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六、物流配送服务质量要求</w:t>
      </w:r>
    </w:p>
    <w:p w14:paraId="246741A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(一)代煎中药汤剂由成交人按规定时间运送至采购人指定部门。运输的交通工具和盛装用具应符合医药运输规范。如因使用不规范交通工具和盛装用具，导致的不良后果，由成交人自行负责。</w:t>
      </w:r>
    </w:p>
    <w:p w14:paraId="5E7CA10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供应商提供免费配送服务，安排配送专员2名常驻医院，接受医院管理及工作安排，提供病区配送延伸服务，提供代煎中药储存条件。配送专员在院内活动及配送到患者指定位置时必须严格遵守采购人各项规章制度，不得做出有损采购人形象和利益的事情。送达后与采购人各科室接收人员交接时，应做好交接记录并签字确认留档。</w:t>
      </w:r>
    </w:p>
    <w:p w14:paraId="160ABBB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(三)成交人应按采购人要求，积极提升配送服务质量，避免因物流配送原因导致有损采购人形象和利益的事情。</w:t>
      </w:r>
    </w:p>
    <w:p w14:paraId="380B03F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(四)代煎中药汤剂配送至医院时间及地点：</w:t>
      </w:r>
    </w:p>
    <w:p w14:paraId="247A1A2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节假日配送时间按医院节假日工作安排执行，如遇特殊情况双方再进行协商，周一至周日供应商配送到医院时间：</w:t>
      </w:r>
    </w:p>
    <w:p w14:paraId="6BC362F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1.门诊代煎中药交付时间：</w:t>
      </w:r>
    </w:p>
    <w:p w14:paraId="167979FE">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⑴采购人当日12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00前发送的所有门诊处方，患者自取的须当日18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w:t>
      </w:r>
    </w:p>
    <w:p w14:paraId="7901CAC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⑵采购人当日12:00—17:30的门诊处方，患者自取的须于次日上午11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w:t>
      </w:r>
    </w:p>
    <w:p w14:paraId="6815E0B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⑶采购人当日17:30—24:00的门诊处方，患者自取的须于次日下午18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w:t>
      </w:r>
    </w:p>
    <w:p w14:paraId="071BAE5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2.住院部代煎中药交付时间：</w:t>
      </w:r>
    </w:p>
    <w:p w14:paraId="7525A38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⑴采购人当日12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00以前的住院处方，应于当日下午18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30前送达医院的指定接收处集中存放；</w:t>
      </w:r>
    </w:p>
    <w:p w14:paraId="038B826A">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⑵采购人当日12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00—17:30的住院处方，应于次日11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30送达医院的指定接收处集中存放；</w:t>
      </w:r>
    </w:p>
    <w:p w14:paraId="00F6E92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⑶采购人当日17:30—24</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00的住院处方，应于次日下午18</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30前送达医院的指定接收处集中存放；</w:t>
      </w:r>
    </w:p>
    <w:p w14:paraId="69556FF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3.急煎中药饮片代煎处方交付时间：三小时内送达医院相关临床科室。</w:t>
      </w:r>
    </w:p>
    <w:p w14:paraId="5646F9E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4.快递配送时效及地点范围</w:t>
      </w:r>
    </w:p>
    <w:p w14:paraId="3066520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需直接快递配送到患者指定地点，地点范围在柳州市及柳州市辖各县城、各乡都在免费配送范围内：</w:t>
      </w:r>
    </w:p>
    <w:p w14:paraId="49F6AAA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⑴柳州市中心城区范围送达时间：</w:t>
      </w:r>
    </w:p>
    <w:tbl>
      <w:tblPr>
        <w:tblStyle w:val="3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gridCol w:w="3743"/>
      </w:tblGrid>
      <w:tr w14:paraId="72E1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trPr>
        <w:tc>
          <w:tcPr>
            <w:tcW w:w="5328" w:type="dxa"/>
          </w:tcPr>
          <w:p w14:paraId="45E622A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柳州市中心城区范围</w:t>
            </w:r>
          </w:p>
        </w:tc>
        <w:tc>
          <w:tcPr>
            <w:tcW w:w="3743" w:type="dxa"/>
          </w:tcPr>
          <w:p w14:paraId="0D98D0C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送达时间</w:t>
            </w:r>
          </w:p>
        </w:tc>
      </w:tr>
      <w:tr w14:paraId="56B7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tblHeader/>
        </w:trPr>
        <w:tc>
          <w:tcPr>
            <w:tcW w:w="5328" w:type="dxa"/>
            <w:vAlign w:val="center"/>
          </w:tcPr>
          <w:p w14:paraId="64B89C3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正南面：旧南环以内市区，不超过莲花客运站；</w:t>
            </w:r>
          </w:p>
          <w:p w14:paraId="58EEBB8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西南面：柳州市帽合动物园--柳州地区民族高中以内市区；</w:t>
            </w:r>
          </w:p>
          <w:p w14:paraId="2B77E8C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西面：瑞龙路以内市区；</w:t>
            </w:r>
          </w:p>
          <w:p w14:paraId="10B979A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北面：鹧鸪江大桥--北外环路以内；</w:t>
            </w:r>
          </w:p>
          <w:p w14:paraId="6576B26E">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东面：三门江大桥、古亭山、阳和大桥以内；</w:t>
            </w:r>
          </w:p>
          <w:p w14:paraId="464B0DD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柳江区：拉堡城区及基隆开发区</w:t>
            </w:r>
          </w:p>
          <w:p w14:paraId="3A5BD88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按区域分为：鱼峰区、城中区、柳南区、柳北区、柳江区。</w:t>
            </w:r>
          </w:p>
        </w:tc>
        <w:tc>
          <w:tcPr>
            <w:tcW w:w="3743" w:type="dxa"/>
            <w:vAlign w:val="center"/>
          </w:tcPr>
          <w:p w14:paraId="42D5418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①在当日12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00前登记邮寄的，则当日21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00点前送达。</w:t>
            </w:r>
          </w:p>
          <w:p w14:paraId="7B2309E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②在当日12</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00--17</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30前登记邮寄的，则次日中午14</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00点前送达。</w:t>
            </w:r>
          </w:p>
          <w:p w14:paraId="01A3ABF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③在当日17</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30后登记邮寄的，则次日16</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00前送达。</w:t>
            </w:r>
          </w:p>
        </w:tc>
      </w:tr>
    </w:tbl>
    <w:p w14:paraId="2E73B3B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⑵柳州市外围城区及所辖县城（鹿寨县、融水县、融安县、三江县、柳城县、柳江区）送达时间。</w:t>
      </w:r>
    </w:p>
    <w:p w14:paraId="5760C34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当日15</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00前登记邮寄的，次日21</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00前送达</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当日15</w:t>
      </w:r>
      <w:r>
        <w:rPr>
          <w:rFonts w:hint="eastAsia" w:ascii="宋体" w:hAnsi="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00后登记邮寄的，从登记时间起48小时内送达。</w:t>
      </w:r>
    </w:p>
    <w:p w14:paraId="4F05052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⑶柳州市外围城区及所辖县城的乡、镇、村送达时效以到达柳州市外围城区及所辖县城的点部时间起算，多加12小时时效。</w:t>
      </w:r>
    </w:p>
    <w:p w14:paraId="3EACF57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5.快递配送地点范围在广西区内（除柳州地区外）的，需自行承担邮寄费用，从登记当天起算，3-4日送达。广西区外送达时效，寄递收费标准以快递派件为准，送达时间以快递派件时效为准。</w:t>
      </w:r>
    </w:p>
    <w:p w14:paraId="0FCE465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6.能为采购人提供柳州市范围内自煎中药饮片免费配送。</w:t>
      </w:r>
    </w:p>
    <w:p w14:paraId="0A5C01AC">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七、中药饮片煎煮售后服务质量需求</w:t>
      </w:r>
    </w:p>
    <w:p w14:paraId="4F1F394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(一)成交人应建立服务质量管控和评估考核体系，加强服务质量日常考核，做好自查自评和总结统计工作，并且每月向采购人指定管理部门如实汇报工作情况。</w:t>
      </w:r>
    </w:p>
    <w:p w14:paraId="4A5B319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(二)服务过程中发生的投诉、不良反应和服务质量等问题，由成交人及时妥善处理并详细记录，同时应在半小时向采购人药剂科如实反馈。</w:t>
      </w:r>
    </w:p>
    <w:p w14:paraId="2A0AA1E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(三)成交人应按《广西中药饮片代煎质量管理规范（试行）》和《医疗机构中药煎药室管理规范》中相应条款要求接受检查。</w:t>
      </w:r>
    </w:p>
    <w:p w14:paraId="2CBFD1C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(四)成交人应制定详细的安全事故应急预案及代煎成品运输、配送应急预案，保证发生突发事故时能及时应对，以保障采购人、患者的用药需求。</w:t>
      </w:r>
    </w:p>
    <w:p w14:paraId="7111E212">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default" w:ascii="宋体" w:hAnsi="宋体" w:eastAsia="宋体" w:cs="宋体"/>
          <w:b w:val="0"/>
          <w:bCs w:val="0"/>
          <w:color w:val="auto"/>
          <w:spacing w:val="3"/>
          <w:sz w:val="21"/>
          <w:szCs w:val="21"/>
          <w:highlight w:val="none"/>
          <w:lang w:val="en-US" w:eastAsia="zh-CN"/>
        </w:rPr>
      </w:pPr>
      <w:r>
        <w:rPr>
          <w:rFonts w:hint="eastAsia" w:ascii="宋体" w:hAnsi="宋体" w:cs="宋体"/>
          <w:b/>
          <w:bCs/>
          <w:color w:val="auto"/>
          <w:spacing w:val="3"/>
          <w:sz w:val="21"/>
          <w:szCs w:val="21"/>
          <w:highlight w:val="none"/>
          <w:lang w:val="en-US" w:eastAsia="zh-CN"/>
        </w:rPr>
        <w:t>八</w:t>
      </w:r>
      <w:r>
        <w:rPr>
          <w:rFonts w:hint="eastAsia" w:ascii="宋体" w:hAnsi="宋体" w:eastAsia="宋体" w:cs="宋体"/>
          <w:b/>
          <w:bCs/>
          <w:color w:val="auto"/>
          <w:spacing w:val="3"/>
          <w:sz w:val="21"/>
          <w:szCs w:val="21"/>
          <w:highlight w:val="none"/>
          <w:lang w:val="en-US" w:eastAsia="zh-CN"/>
        </w:rPr>
        <w:t>、投标人必须遵循</w:t>
      </w:r>
      <w:r>
        <w:rPr>
          <w:rFonts w:hint="eastAsia" w:ascii="宋体" w:hAnsi="宋体" w:cs="宋体"/>
          <w:b/>
          <w:bCs/>
          <w:color w:val="auto"/>
          <w:spacing w:val="3"/>
          <w:sz w:val="21"/>
          <w:szCs w:val="21"/>
          <w:highlight w:val="none"/>
          <w:lang w:val="en-US" w:eastAsia="zh-CN"/>
        </w:rPr>
        <w:t>的规定</w:t>
      </w:r>
    </w:p>
    <w:p w14:paraId="3307143D">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投标人必须遵循下列管理规定及本级或上级卫生管理部门对中药饮片的调剂、煎煮等相关规定（如相关规定更新则按最新的规定执行），包括：</w:t>
      </w:r>
    </w:p>
    <w:p w14:paraId="785161F7">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1.《医院中药饮片管理规范》（国中医药发〔2007〕11号）；</w:t>
      </w:r>
    </w:p>
    <w:p w14:paraId="06FB5F12">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2.《医疗机构处方审核规范》（国卫办医发〔2018〕14号）；</w:t>
      </w:r>
    </w:p>
    <w:p w14:paraId="6ED2B00F">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3.《广西中药饮片代煎质量管理规范》（2021年5月26日印发）；</w:t>
      </w:r>
    </w:p>
    <w:p w14:paraId="1D6C2A70">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4.《医疗机构中药煎药室管理规范》（国中医药发〔2009〕3号）；</w:t>
      </w:r>
    </w:p>
    <w:p w14:paraId="19B34B7D">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5.《医院中药房基本标准》（国中医药发〔2009〕4号）；</w:t>
      </w:r>
    </w:p>
    <w:p w14:paraId="27799377">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6.《广西壮族自治区中药饮片炮制规范》（广西壮族自治区食品药品监督管理局编，广西科学技术出版社出版，ISBN 978-7-8066-865-8/R·168）；</w:t>
      </w:r>
    </w:p>
    <w:p w14:paraId="4B942949">
      <w:pPr>
        <w:keepNext w:val="0"/>
        <w:keepLines w:val="0"/>
        <w:pageBreakBefore w:val="0"/>
        <w:widowControl/>
        <w:kinsoku/>
        <w:wordWrap/>
        <w:overflowPunct/>
        <w:topLinePunct w:val="0"/>
        <w:autoSpaceDE/>
        <w:autoSpaceDN/>
        <w:bidi w:val="0"/>
        <w:adjustRightInd/>
        <w:snapToGrid/>
        <w:spacing w:line="360" w:lineRule="auto"/>
        <w:ind w:firstLine="432"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7.《广西壮族自治区中药饮片处方用名与调剂给付规定》（桂卫中〔2009〕35号）。</w:t>
      </w:r>
    </w:p>
    <w:p w14:paraId="42DDE7F5">
      <w:pPr>
        <w:keepNext w:val="0"/>
        <w:keepLines w:val="0"/>
        <w:pageBreakBefore w:val="0"/>
        <w:widowControl/>
        <w:kinsoku/>
        <w:wordWrap/>
        <w:overflowPunct/>
        <w:topLinePunct w:val="0"/>
        <w:autoSpaceDE/>
        <w:autoSpaceDN/>
        <w:bidi w:val="0"/>
        <w:adjustRightInd/>
        <w:snapToGrid/>
        <w:spacing w:line="360" w:lineRule="auto"/>
        <w:ind w:firstLine="434" w:firstLineChars="200"/>
        <w:jc w:val="left"/>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九</w:t>
      </w:r>
      <w:r>
        <w:rPr>
          <w:rFonts w:hint="eastAsia" w:ascii="宋体" w:hAnsi="宋体" w:eastAsia="宋体" w:cs="宋体"/>
          <w:b/>
          <w:bCs/>
          <w:color w:val="auto"/>
          <w:spacing w:val="3"/>
          <w:sz w:val="21"/>
          <w:szCs w:val="21"/>
          <w:highlight w:val="none"/>
          <w:lang w:val="en-US" w:eastAsia="zh-CN"/>
        </w:rPr>
        <w:t>、商务要求</w:t>
      </w:r>
    </w:p>
    <w:p w14:paraId="1D3F9DD6">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(一)报价要求</w:t>
      </w:r>
    </w:p>
    <w:p w14:paraId="2AF4A6C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1.供应商应当充分考虑市场价格变动和自身实际情况进行报价，并承诺所报固定单价在合同期内有效。供应商认为必须的费用应综合考虑在报价中，在合同期间，采购人将不予调整单价。</w:t>
      </w:r>
    </w:p>
    <w:p w14:paraId="4A22498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供应商的报价须包括：本项目为包干报价，即应包括成交人对中药饮片进行合理保管存储、搬运、调剂、煎煮费用，人工劳务费、加班费、税费、代煎中药汤剂按规定送达采购人指定地点的运输费、装卸搬运费以及有可能发生的所有费用。除了本项目报价，采购人不再另外支付任何费用。</w:t>
      </w:r>
    </w:p>
    <w:p w14:paraId="6635C1A9">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3.最终费用按实际代煎数量，由双方核对后，定期结算。</w:t>
      </w:r>
    </w:p>
    <w:p w14:paraId="2C780465">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二</w:t>
      </w:r>
      <w:r>
        <w:rPr>
          <w:rFonts w:hint="eastAsia" w:ascii="宋体" w:hAnsi="宋体" w:eastAsia="宋体" w:cs="宋体"/>
          <w:b/>
          <w:bCs/>
          <w:color w:val="auto"/>
          <w:spacing w:val="3"/>
          <w:sz w:val="21"/>
          <w:szCs w:val="21"/>
          <w:highlight w:val="none"/>
          <w:lang w:val="en-US" w:eastAsia="zh-CN"/>
        </w:rPr>
        <w:t>)服务期限：</w:t>
      </w:r>
      <w:r>
        <w:rPr>
          <w:rFonts w:hint="eastAsia" w:ascii="宋体" w:hAnsi="宋体" w:eastAsia="宋体" w:cs="宋体"/>
          <w:b w:val="0"/>
          <w:bCs w:val="0"/>
          <w:color w:val="auto"/>
          <w:spacing w:val="3"/>
          <w:sz w:val="21"/>
          <w:szCs w:val="21"/>
          <w:highlight w:val="none"/>
          <w:lang w:val="en-US" w:eastAsia="zh-CN"/>
        </w:rPr>
        <w:t>自合同签订生效之日起2年。</w:t>
      </w:r>
    </w:p>
    <w:p w14:paraId="247A5DBD">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三</w:t>
      </w:r>
      <w:r>
        <w:rPr>
          <w:rFonts w:hint="eastAsia" w:ascii="宋体" w:hAnsi="宋体" w:eastAsia="宋体" w:cs="宋体"/>
          <w:b/>
          <w:bCs/>
          <w:color w:val="auto"/>
          <w:spacing w:val="3"/>
          <w:sz w:val="21"/>
          <w:szCs w:val="21"/>
          <w:highlight w:val="none"/>
          <w:lang w:val="en-US" w:eastAsia="zh-CN"/>
        </w:rPr>
        <w:t>)违约责任</w:t>
      </w:r>
    </w:p>
    <w:p w14:paraId="4C1EBE9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收到采购人发出的订单通知后拒绝供货的，每出现一次，供应商应及时改正并向采购人支付人民币500元的违约金，给采购人或第三方造成损失的还应负责赔偿；累计出现3次的，采购人有权终止合同，除应向采购人支付人民币伍万元的违约金外，给采购人或第三方造成损失的应负责赔偿；采购人有权从应支付费用中优先扣除上述违约金。</w:t>
      </w:r>
    </w:p>
    <w:p w14:paraId="6B49ADF0">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所供代煎成品因药品质量不符合合同约定的，每出现一次，应及时为采购人更换并向采购人支付人民币壹万元违约金，给采购人或第三方造成损失的供应商应负责赔偿；累计出现3次的，采购人有权终止合同，除应向采购人支付人民币伍万元的违约金外，给采购人或第三方造成损失的应负责赔偿；采购人有权从应支付的费用中优先扣除上述违约金；违反相关法律法规的，按相关法律规定交有关部门处理。</w:t>
      </w:r>
    </w:p>
    <w:p w14:paraId="7CFACC9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3.采购人每月不定期到现场检查，出现下列情况按所供代煎药物质量不合格处罚：</w:t>
      </w:r>
    </w:p>
    <w:p w14:paraId="02249CDF">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⑴处方审核、调剂复核率未达到100%；</w:t>
      </w:r>
    </w:p>
    <w:p w14:paraId="722BA603">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⑵现场抽查每付重量误差应在±5%以内；</w:t>
      </w:r>
    </w:p>
    <w:p w14:paraId="60794474">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⑶代煎药物未先行浸泡、浸泡用水不符合规定的、或浸泡时间少于30分钟。</w:t>
      </w:r>
    </w:p>
    <w:p w14:paraId="673CFFD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⑷代煎中药没有二次煎煮，或者仅采用密闭微压煎煮的方式煎煮代煎中药；</w:t>
      </w:r>
    </w:p>
    <w:p w14:paraId="7C59CE78">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⑸凡注明有先煎、久煎、后下、另煎、烊化、包煎、煎汤代水等特殊要求的中药饮片，未按照规范要求或医嘱操作。</w:t>
      </w:r>
    </w:p>
    <w:p w14:paraId="238BF617">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收到采购人发出的订单通知后，未按合同约定时间及时将代煎成品送达的，每延迟一小时，应向采购人支付人民币伍佰元的违约金，给采购人或第三方造成损失的供应商还应负责赔偿；如在一个月内迟延供货累计出现5次的，采购人有权终止合同，除应向采购人支付人民币壹拾万元的违约金外，给采购人或第三方造成损失的应负责赔偿，采购人有权从应支付的费用中优先扣除上述违约金。</w:t>
      </w:r>
    </w:p>
    <w:p w14:paraId="3781666B">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5.采购人定期或不定期邀请医院药师、医生、患者等组成评审小组对工作进行满意度调查，如调查满意度低于85%，采购人有权要求供应商整改，满意度连续三次低于85%且拒不整改时，采购人有权终止合同。</w:t>
      </w:r>
    </w:p>
    <w:p w14:paraId="5F1C0C5C">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如发现使用假、劣中药进行调剂、煎煮，或者代煎方原因导致中药饮片处方调配差错，引发事故，所引起的一切法律责任由代煎方承担，采购人有权终止合同，除应向采购人支付人民币壹拾万元的违约金外，给采购人或第三方造成损失的供应商应负责赔偿，采购人有权从应支付费用中优先扣除上述违约金。</w:t>
      </w:r>
    </w:p>
    <w:p w14:paraId="4C0308D6">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7.若发现从事处方调配及审核人员不具备专业资格，非法执业，采购人有权终止合同。</w:t>
      </w:r>
    </w:p>
    <w:p w14:paraId="660A51BD">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8.如因代煎方违反国家、行政主管等部门的规定，而给采购人造成不良影响或损失的，或因代煎方工作失误而给患者造成损失的，采购人有权要求供应商承担违约责任并承担采购人因此而造成的损失。采购人根据其所造成影响予以处理，并根据其严重程度有权终止合同。</w:t>
      </w:r>
    </w:p>
    <w:p w14:paraId="60DD0084">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四</w:t>
      </w:r>
      <w:r>
        <w:rPr>
          <w:rFonts w:hint="eastAsia" w:ascii="宋体" w:hAnsi="宋体" w:eastAsia="宋体" w:cs="宋体"/>
          <w:b/>
          <w:bCs/>
          <w:color w:val="auto"/>
          <w:spacing w:val="3"/>
          <w:sz w:val="21"/>
          <w:szCs w:val="21"/>
          <w:highlight w:val="none"/>
          <w:lang w:val="en-US" w:eastAsia="zh-CN"/>
        </w:rPr>
        <w:t>)付款方式</w:t>
      </w:r>
    </w:p>
    <w:p w14:paraId="643DD8E2">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1.成交人每月10日前将上月煎煮中心服务的代煎费按照双方约定的方式同采购人指定部门进行对账。</w:t>
      </w:r>
    </w:p>
    <w:p w14:paraId="72B85975">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2.成交人每月10日前将上月代煎费用结算清单和发票交付给采购人，采购人应在收到结算清单和发票后6个月内付款给成交人。</w:t>
      </w:r>
    </w:p>
    <w:p w14:paraId="4E8ACD1E">
      <w:pPr>
        <w:keepNext w:val="0"/>
        <w:keepLines w:val="0"/>
        <w:pageBreakBefore w:val="0"/>
        <w:kinsoku/>
        <w:wordWrap/>
        <w:overflowPunct/>
        <w:topLinePunct w:val="0"/>
        <w:autoSpaceDE/>
        <w:autoSpaceDN/>
        <w:bidi w:val="0"/>
        <w:adjustRightInd/>
        <w:snapToGrid/>
        <w:spacing w:line="360" w:lineRule="auto"/>
        <w:ind w:firstLine="434" w:firstLineChars="200"/>
        <w:textAlignment w:val="auto"/>
        <w:rPr>
          <w:rFonts w:hint="eastAsia" w:ascii="宋体" w:hAnsi="宋体" w:eastAsia="宋体" w:cs="宋体"/>
          <w:b/>
          <w:bCs/>
          <w:color w:val="auto"/>
          <w:spacing w:val="3"/>
          <w:sz w:val="21"/>
          <w:szCs w:val="21"/>
          <w:highlight w:val="none"/>
          <w:lang w:val="en-US" w:eastAsia="zh-CN"/>
        </w:rPr>
      </w:pPr>
      <w:r>
        <w:rPr>
          <w:rFonts w:hint="eastAsia" w:ascii="宋体" w:hAnsi="宋体" w:eastAsia="宋体" w:cs="宋体"/>
          <w:b/>
          <w:bCs/>
          <w:color w:val="auto"/>
          <w:spacing w:val="3"/>
          <w:sz w:val="21"/>
          <w:szCs w:val="21"/>
          <w:highlight w:val="none"/>
          <w:lang w:val="en-US" w:eastAsia="zh-CN"/>
        </w:rPr>
        <w:t>(</w:t>
      </w:r>
      <w:r>
        <w:rPr>
          <w:rFonts w:hint="eastAsia" w:ascii="宋体" w:hAnsi="宋体" w:cs="宋体"/>
          <w:b/>
          <w:bCs/>
          <w:color w:val="auto"/>
          <w:spacing w:val="3"/>
          <w:sz w:val="21"/>
          <w:szCs w:val="21"/>
          <w:highlight w:val="none"/>
          <w:lang w:val="en-US" w:eastAsia="zh-CN"/>
        </w:rPr>
        <w:t>五</w:t>
      </w:r>
      <w:r>
        <w:rPr>
          <w:rFonts w:hint="eastAsia" w:ascii="宋体" w:hAnsi="宋体" w:eastAsia="宋体" w:cs="宋体"/>
          <w:b/>
          <w:bCs/>
          <w:color w:val="auto"/>
          <w:spacing w:val="3"/>
          <w:sz w:val="21"/>
          <w:szCs w:val="21"/>
          <w:highlight w:val="none"/>
          <w:lang w:val="en-US" w:eastAsia="zh-CN"/>
        </w:rPr>
        <w:t>)验收标准及售后服务要求</w:t>
      </w:r>
    </w:p>
    <w:p w14:paraId="7BB76F8E">
      <w:pPr>
        <w:keepNext w:val="0"/>
        <w:keepLines w:val="0"/>
        <w:pageBreakBefore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1.验收按照国家标准或行业标准；合作期内产品质量出现问题，供应商有义务协助采购人处理。</w:t>
      </w:r>
    </w:p>
    <w:p w14:paraId="177C9BEC">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3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2.处理问题响应时间：接到采购人电话通知后30分钟内响应，3小时内到达采购人指定现场处理问题。</w:t>
      </w:r>
    </w:p>
    <w:p w14:paraId="5CBF86E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4AC15129">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sz w:val="24"/>
          <w:szCs w:val="24"/>
          <w:highlight w:val="none"/>
        </w:rPr>
        <w:br w:type="page"/>
      </w:r>
      <w:bookmarkStart w:id="29" w:name="_Toc9125"/>
      <w:r>
        <w:rPr>
          <w:rFonts w:hint="eastAsia" w:ascii="宋体" w:hAnsi="宋体" w:eastAsia="宋体" w:cs="宋体"/>
          <w:b/>
          <w:color w:val="auto"/>
          <w:kern w:val="44"/>
          <w:sz w:val="32"/>
          <w:szCs w:val="32"/>
          <w:highlight w:val="none"/>
        </w:rPr>
        <w:t xml:space="preserve">第三章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29"/>
    </w:p>
    <w:p w14:paraId="6D90EE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Cs/>
          <w:color w:val="auto"/>
          <w:sz w:val="24"/>
          <w:szCs w:val="24"/>
          <w:highlight w:val="none"/>
        </w:rPr>
      </w:pPr>
      <w:bookmarkStart w:id="30" w:name="_Toc15583"/>
      <w:r>
        <w:rPr>
          <w:rFonts w:hint="eastAsia" w:ascii="宋体" w:hAnsi="宋体" w:eastAsia="宋体" w:cs="宋体"/>
          <w:b/>
          <w:bCs w:val="0"/>
          <w:color w:val="auto"/>
          <w:sz w:val="24"/>
          <w:szCs w:val="24"/>
          <w:highlight w:val="none"/>
        </w:rPr>
        <w:t>第一节 供应商须知前附表</w:t>
      </w:r>
      <w:bookmarkEnd w:id="30"/>
    </w:p>
    <w:tbl>
      <w:tblPr>
        <w:tblStyle w:val="32"/>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1241"/>
        <w:gridCol w:w="7474"/>
      </w:tblGrid>
      <w:tr w14:paraId="24BF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D48BB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646" w:type="pct"/>
            <w:noWrap w:val="0"/>
            <w:vAlign w:val="center"/>
          </w:tcPr>
          <w:p w14:paraId="4D94FA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3890" w:type="pct"/>
            <w:noWrap w:val="0"/>
            <w:vAlign w:val="center"/>
          </w:tcPr>
          <w:p w14:paraId="2726104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具体要求</w:t>
            </w:r>
          </w:p>
        </w:tc>
      </w:tr>
      <w:tr w14:paraId="7A77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7D2B934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646" w:type="pct"/>
            <w:noWrap w:val="0"/>
            <w:vAlign w:val="center"/>
          </w:tcPr>
          <w:p w14:paraId="723B94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w:t>
            </w:r>
          </w:p>
        </w:tc>
        <w:tc>
          <w:tcPr>
            <w:tcW w:w="3890" w:type="pct"/>
            <w:noWrap w:val="0"/>
            <w:vAlign w:val="center"/>
          </w:tcPr>
          <w:p w14:paraId="2DF2D0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供应商资格条件要求详见公告。</w:t>
            </w:r>
          </w:p>
        </w:tc>
      </w:tr>
      <w:tr w14:paraId="0C51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9FB61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646" w:type="pct"/>
            <w:noWrap w:val="0"/>
            <w:vAlign w:val="center"/>
          </w:tcPr>
          <w:p w14:paraId="3E0C96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是否接受联合体竞标</w:t>
            </w:r>
          </w:p>
        </w:tc>
        <w:tc>
          <w:tcPr>
            <w:tcW w:w="3890" w:type="pct"/>
            <w:noWrap w:val="0"/>
            <w:vAlign w:val="center"/>
          </w:tcPr>
          <w:p w14:paraId="33AA33A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54A7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7885AA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646" w:type="pct"/>
            <w:noWrap w:val="0"/>
            <w:vAlign w:val="center"/>
          </w:tcPr>
          <w:p w14:paraId="55DF7D6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联合体竞标要求</w:t>
            </w:r>
          </w:p>
        </w:tc>
        <w:tc>
          <w:tcPr>
            <w:tcW w:w="3890" w:type="pct"/>
            <w:noWrap w:val="0"/>
            <w:vAlign w:val="center"/>
          </w:tcPr>
          <w:p w14:paraId="6ABD7B9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67DE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DD1673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646" w:type="pct"/>
            <w:noWrap w:val="0"/>
            <w:vAlign w:val="center"/>
          </w:tcPr>
          <w:p w14:paraId="63979B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是否允许分包</w:t>
            </w:r>
          </w:p>
        </w:tc>
        <w:tc>
          <w:tcPr>
            <w:tcW w:w="3890" w:type="pct"/>
            <w:noWrap w:val="0"/>
            <w:vAlign w:val="center"/>
          </w:tcPr>
          <w:p w14:paraId="21207E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 w:val="22"/>
                <w:szCs w:val="22"/>
                <w:highlight w:val="none"/>
              </w:rPr>
              <w:t>不允许分包</w:t>
            </w:r>
          </w:p>
          <w:p w14:paraId="6878A4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分包内容：</w:t>
            </w:r>
            <w:r>
              <w:rPr>
                <w:rFonts w:hint="eastAsia" w:ascii="宋体" w:hAnsi="宋体" w:eastAsia="宋体" w:cs="宋体"/>
                <w:color w:val="auto"/>
                <w:sz w:val="22"/>
                <w:szCs w:val="22"/>
                <w:highlight w:val="none"/>
                <w:u w:val="single"/>
              </w:rPr>
              <w:t xml:space="preserve">       /       。</w:t>
            </w:r>
          </w:p>
          <w:p w14:paraId="4EB3632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分包金额或者比例：</w:t>
            </w:r>
            <w:r>
              <w:rPr>
                <w:rFonts w:hint="eastAsia" w:ascii="宋体" w:hAnsi="宋体" w:eastAsia="宋体" w:cs="宋体"/>
                <w:color w:val="auto"/>
                <w:sz w:val="22"/>
                <w:szCs w:val="22"/>
                <w:highlight w:val="none"/>
                <w:u w:val="single"/>
              </w:rPr>
              <w:t xml:space="preserve">      /        。</w:t>
            </w:r>
          </w:p>
        </w:tc>
      </w:tr>
      <w:tr w14:paraId="01FD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538DAA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w:t>
            </w:r>
          </w:p>
        </w:tc>
        <w:tc>
          <w:tcPr>
            <w:tcW w:w="646" w:type="pct"/>
            <w:noWrap w:val="0"/>
            <w:vAlign w:val="center"/>
          </w:tcPr>
          <w:p w14:paraId="2E96604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资格证明文件组成</w:t>
            </w:r>
          </w:p>
        </w:tc>
        <w:tc>
          <w:tcPr>
            <w:tcW w:w="3890" w:type="pct"/>
            <w:noWrap w:val="0"/>
            <w:vAlign w:val="center"/>
          </w:tcPr>
          <w:p w14:paraId="0162E5F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1.磋商供应商有效的“主体资格证明文件”复印件（如营业执照、事业单位法人证书、执业许可证、自然人身份证等）；</w:t>
            </w:r>
            <w:r>
              <w:rPr>
                <w:rFonts w:hint="eastAsia" w:ascii="宋体" w:hAnsi="宋体" w:eastAsia="宋体" w:cs="宋体"/>
                <w:b/>
                <w:bCs/>
                <w:color w:val="auto"/>
                <w:sz w:val="22"/>
                <w:szCs w:val="22"/>
                <w:highlight w:val="none"/>
              </w:rPr>
              <w:t>（必须提供，否则响应文件按无效响应处理）</w:t>
            </w:r>
          </w:p>
          <w:p w14:paraId="2346021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政府采购供应商资格信用承诺函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b/>
                <w:bCs/>
                <w:color w:val="auto"/>
                <w:sz w:val="22"/>
                <w:szCs w:val="22"/>
                <w:highlight w:val="none"/>
              </w:rPr>
              <w:t>（必须提供，否则响应文件按无效响应处理）</w:t>
            </w:r>
          </w:p>
          <w:p w14:paraId="74B3FA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.供应商直接控股、管理关系信息表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9B6147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.供应商必须具有有效的药品生产或经营许可证(许可范围包含中药饮片生产或医药批发)</w:t>
            </w:r>
            <w:r>
              <w:rPr>
                <w:rFonts w:hint="eastAsia" w:ascii="宋体" w:hAnsi="宋体" w:eastAsia="宋体"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（必须提供，否则作无效投标处理）</w:t>
            </w:r>
          </w:p>
          <w:p w14:paraId="59E3E2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除磋商文件规定必须提供以外，供应商认为需要提供的其他证明材料；</w:t>
            </w:r>
          </w:p>
          <w:p w14:paraId="61FAFF3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6157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5BF7FA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593ABA2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商务文件组成</w:t>
            </w:r>
          </w:p>
        </w:tc>
        <w:tc>
          <w:tcPr>
            <w:tcW w:w="3890" w:type="pct"/>
            <w:noWrap w:val="0"/>
            <w:vAlign w:val="center"/>
          </w:tcPr>
          <w:p w14:paraId="0C0EF68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1.无串通竞标行为的承诺函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1E0B706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2.法定代表人身份证明书及法定代表人有效身份证正反面复印件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除自然人竞标外</w:t>
            </w:r>
            <w:r>
              <w:rPr>
                <w:rFonts w:hint="eastAsia" w:ascii="宋体" w:hAnsi="宋体" w:eastAsia="宋体" w:cs="宋体"/>
                <w:b/>
                <w:color w:val="auto"/>
                <w:sz w:val="22"/>
                <w:szCs w:val="22"/>
                <w:highlight w:val="none"/>
              </w:rPr>
              <w:t>必须提供，否则响应文件按无效响应处理</w:t>
            </w:r>
            <w:r>
              <w:rPr>
                <w:rFonts w:hint="eastAsia" w:ascii="宋体" w:hAnsi="宋体" w:eastAsia="宋体" w:cs="宋体"/>
                <w:color w:val="auto"/>
                <w:sz w:val="22"/>
                <w:szCs w:val="22"/>
                <w:highlight w:val="none"/>
              </w:rPr>
              <w:t>）</w:t>
            </w:r>
          </w:p>
          <w:p w14:paraId="03E091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3.法定代表人授权委托书及委托代理人有效身份证正反面复印件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委托时必须提供，否则响应文件按无效响应处理</w:t>
            </w:r>
            <w:r>
              <w:rPr>
                <w:rFonts w:hint="eastAsia" w:ascii="宋体" w:hAnsi="宋体" w:eastAsia="宋体" w:cs="宋体"/>
                <w:color w:val="auto"/>
                <w:sz w:val="22"/>
                <w:szCs w:val="22"/>
                <w:highlight w:val="none"/>
              </w:rPr>
              <w:t>）</w:t>
            </w:r>
          </w:p>
          <w:p w14:paraId="0C511B1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.商务条款偏离表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33E909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.竞标人情况介绍；</w:t>
            </w:r>
          </w:p>
          <w:p w14:paraId="3BC2D64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5ADE3C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注：1.法定代表人授权委托书必须由法定代表人及委托代理人签字，并加盖供应商公章</w:t>
            </w:r>
            <w:r>
              <w:rPr>
                <w:rFonts w:hint="eastAsia" w:ascii="宋体" w:hAnsi="宋体" w:eastAsia="宋体" w:cs="宋体"/>
                <w:b/>
                <w:color w:val="auto"/>
                <w:sz w:val="22"/>
                <w:szCs w:val="22"/>
                <w:highlight w:val="none"/>
                <w:lang w:eastAsia="zh-CN"/>
              </w:rPr>
              <w:t>（或电子签章）</w:t>
            </w:r>
            <w:r>
              <w:rPr>
                <w:rFonts w:hint="eastAsia" w:ascii="宋体" w:hAnsi="宋体" w:eastAsia="宋体" w:cs="宋体"/>
                <w:b/>
                <w:color w:val="auto"/>
                <w:sz w:val="22"/>
                <w:szCs w:val="22"/>
                <w:highlight w:val="none"/>
              </w:rPr>
              <w:t>，否则响应文件按无效响应处理。</w:t>
            </w:r>
          </w:p>
          <w:p w14:paraId="58172CDD">
            <w:pPr>
              <w:keepNext w:val="0"/>
              <w:keepLines w:val="0"/>
              <w:pageBreakBefore w:val="0"/>
              <w:widowControl w:val="0"/>
              <w:kinsoku/>
              <w:wordWrap/>
              <w:overflowPunct/>
              <w:topLinePunct w:val="0"/>
              <w:autoSpaceDE/>
              <w:autoSpaceDN/>
              <w:bidi w:val="0"/>
              <w:adjustRightInd/>
              <w:snapToGrid w:val="0"/>
              <w:spacing w:line="360" w:lineRule="auto"/>
              <w:ind w:left="0" w:firstLine="433" w:firstLineChars="196"/>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21E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199E2E0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E1E3AD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技术文件组成</w:t>
            </w:r>
          </w:p>
        </w:tc>
        <w:tc>
          <w:tcPr>
            <w:tcW w:w="3890" w:type="pct"/>
            <w:noWrap w:val="0"/>
            <w:vAlign w:val="center"/>
          </w:tcPr>
          <w:p w14:paraId="1B6DB25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1.服务需求偏离表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745070E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2.服务方案（由竞标人</w:t>
            </w:r>
            <w:r>
              <w:rPr>
                <w:rFonts w:hint="eastAsia" w:ascii="宋体" w:hAnsi="宋体" w:cs="宋体"/>
                <w:color w:val="auto"/>
                <w:sz w:val="22"/>
                <w:szCs w:val="22"/>
                <w:highlight w:val="none"/>
                <w:lang w:val="en-US" w:eastAsia="zh-CN"/>
              </w:rPr>
              <w:t>可</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第四章  评标方法及评分标准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要求编制）；</w:t>
            </w:r>
          </w:p>
          <w:p w14:paraId="16191E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3.售后服务方案；</w:t>
            </w:r>
            <w:r>
              <w:rPr>
                <w:rFonts w:hint="eastAsia" w:ascii="宋体" w:hAnsi="宋体" w:eastAsia="宋体" w:cs="宋体"/>
                <w:b/>
                <w:color w:val="auto"/>
                <w:sz w:val="22"/>
                <w:szCs w:val="22"/>
                <w:highlight w:val="none"/>
              </w:rPr>
              <w:t>（必须提供，否则作无效投标处理）</w:t>
            </w:r>
            <w:r>
              <w:rPr>
                <w:rFonts w:hint="eastAsia" w:ascii="宋体" w:hAnsi="宋体" w:eastAsia="宋体" w:cs="宋体"/>
                <w:b/>
                <w:color w:val="auto"/>
                <w:sz w:val="22"/>
                <w:szCs w:val="22"/>
                <w:highlight w:val="none"/>
                <w:lang w:eastAsia="zh-CN"/>
              </w:rPr>
              <w:t>；</w:t>
            </w:r>
          </w:p>
          <w:p w14:paraId="2A400F5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项目实施人员一览表；</w:t>
            </w:r>
            <w:r>
              <w:rPr>
                <w:rFonts w:hint="eastAsia" w:ascii="宋体" w:hAnsi="宋体" w:eastAsia="宋体" w:cs="宋体"/>
                <w:b/>
                <w:color w:val="auto"/>
                <w:sz w:val="22"/>
                <w:szCs w:val="22"/>
                <w:highlight w:val="none"/>
                <w:lang w:eastAsia="zh-CN"/>
              </w:rPr>
              <w:t>（必须提供，否则作无效投标处理）；</w:t>
            </w:r>
          </w:p>
          <w:p w14:paraId="58FD17B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w:t>
            </w:r>
            <w:r>
              <w:rPr>
                <w:rFonts w:hint="eastAsia" w:ascii="宋体" w:hAnsi="宋体" w:eastAsia="宋体" w:cs="宋体"/>
                <w:b w:val="0"/>
                <w:bCs w:val="0"/>
                <w:color w:val="auto"/>
                <w:spacing w:val="0"/>
                <w:sz w:val="22"/>
                <w:szCs w:val="22"/>
                <w:highlight w:val="none"/>
                <w:lang w:val="en-US" w:eastAsia="zh-CN"/>
              </w:rPr>
              <w:t>供应商</w:t>
            </w:r>
            <w:r>
              <w:rPr>
                <w:rFonts w:hint="eastAsia" w:ascii="宋体" w:hAnsi="宋体" w:eastAsia="宋体" w:cs="宋体"/>
                <w:b w:val="0"/>
                <w:color w:val="auto"/>
                <w:sz w:val="22"/>
                <w:szCs w:val="22"/>
                <w:highlight w:val="none"/>
                <w:lang w:eastAsia="zh-CN"/>
              </w:rPr>
              <w:t>对本项目的合理化建议和改进措施；</w:t>
            </w:r>
          </w:p>
          <w:p w14:paraId="7E5E8A5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248FC7A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437F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656EF4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23F6C06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报价文件组成</w:t>
            </w:r>
          </w:p>
        </w:tc>
        <w:tc>
          <w:tcPr>
            <w:tcW w:w="3890" w:type="pct"/>
            <w:noWrap w:val="0"/>
            <w:vAlign w:val="center"/>
          </w:tcPr>
          <w:p w14:paraId="4FF4C66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4BC851E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i/>
                <w:iCs/>
                <w:color w:val="auto"/>
                <w:sz w:val="22"/>
                <w:szCs w:val="22"/>
                <w:highlight w:val="none"/>
                <w:u w:val="single"/>
                <w:lang w:val="en-US" w:eastAsia="zh-CN"/>
              </w:rPr>
            </w:pPr>
            <w:r>
              <w:rPr>
                <w:rFonts w:hint="eastAsia" w:ascii="宋体" w:hAnsi="宋体" w:eastAsia="宋体" w:cs="宋体"/>
                <w:color w:val="auto"/>
                <w:sz w:val="22"/>
                <w:szCs w:val="22"/>
                <w:highlight w:val="none"/>
              </w:rPr>
              <w:t>2.响应报价表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（必须提供，否则响应文件按无效响应处理）</w:t>
            </w:r>
          </w:p>
          <w:p w14:paraId="0F9EB73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sz w:val="22"/>
                <w:szCs w:val="22"/>
                <w:highlight w:val="none"/>
                <w:u w:val="none"/>
                <w:lang w:val="en-US" w:eastAsia="zh-CN"/>
              </w:rPr>
              <w:t>3.中小企业声明函（或残疾人福利性单位声明函或监狱企业证明文件）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i w:val="0"/>
                <w:iCs w:val="0"/>
                <w:color w:val="auto"/>
                <w:sz w:val="22"/>
                <w:szCs w:val="22"/>
                <w:highlight w:val="none"/>
                <w:u w:val="none"/>
                <w:lang w:val="en-US" w:eastAsia="zh-CN"/>
              </w:rPr>
              <w:t>；</w:t>
            </w:r>
          </w:p>
          <w:p w14:paraId="4254A89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.供应商针对报价需要说明的其他文件和说明。</w:t>
            </w:r>
          </w:p>
          <w:p w14:paraId="56C8E4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eastAsia="宋体" w:cs="宋体"/>
                <w:b/>
                <w:color w:val="auto"/>
                <w:sz w:val="22"/>
                <w:szCs w:val="22"/>
                <w:highlight w:val="none"/>
              </w:rPr>
              <w:t>，否则响应文件按无效响应处理。</w:t>
            </w:r>
          </w:p>
        </w:tc>
      </w:tr>
      <w:tr w14:paraId="1DD1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62BA243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w:t>
            </w:r>
          </w:p>
        </w:tc>
        <w:tc>
          <w:tcPr>
            <w:tcW w:w="646" w:type="pct"/>
            <w:noWrap w:val="0"/>
            <w:vAlign w:val="center"/>
          </w:tcPr>
          <w:p w14:paraId="14D7D48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响应报价要求</w:t>
            </w:r>
          </w:p>
        </w:tc>
        <w:tc>
          <w:tcPr>
            <w:tcW w:w="3890" w:type="pct"/>
            <w:noWrap w:val="0"/>
            <w:vAlign w:val="center"/>
          </w:tcPr>
          <w:p w14:paraId="69C646C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9DD9B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val="en-US" w:eastAsia="zh-CN"/>
              </w:rPr>
              <w:t>本采购文件</w:t>
            </w:r>
            <w:r>
              <w:rPr>
                <w:rFonts w:hint="eastAsia" w:ascii="宋体" w:hAnsi="宋体" w:eastAsia="宋体" w:cs="宋体"/>
                <w:b/>
                <w:color w:val="auto"/>
                <w:sz w:val="22"/>
                <w:szCs w:val="22"/>
                <w:highlight w:val="none"/>
              </w:rPr>
              <w:t>第二章</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采购需求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另有约定的，从其约定</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lang w:val="en-US" w:eastAsia="zh-CN"/>
              </w:rPr>
              <w:t>范围如有不完整，</w:t>
            </w:r>
            <w:r>
              <w:rPr>
                <w:rFonts w:hint="eastAsia" w:ascii="宋体" w:hAnsi="宋体" w:eastAsia="宋体" w:cs="宋体"/>
                <w:b/>
                <w:color w:val="auto"/>
                <w:sz w:val="22"/>
                <w:szCs w:val="22"/>
                <w:highlight w:val="none"/>
              </w:rPr>
              <w:t>响应文件按无效响应处理</w:t>
            </w:r>
            <w:r>
              <w:rPr>
                <w:rFonts w:hint="eastAsia" w:ascii="宋体" w:hAnsi="宋体" w:eastAsia="宋体" w:cs="宋体"/>
                <w:b/>
                <w:color w:val="auto"/>
                <w:sz w:val="22"/>
                <w:szCs w:val="22"/>
                <w:highlight w:val="none"/>
                <w:lang w:eastAsia="zh-CN"/>
              </w:rPr>
              <w:t>）</w:t>
            </w:r>
          </w:p>
        </w:tc>
      </w:tr>
      <w:tr w14:paraId="70C9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F21E34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646" w:type="pct"/>
            <w:noWrap w:val="0"/>
            <w:vAlign w:val="center"/>
          </w:tcPr>
          <w:p w14:paraId="4219F2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tc>
        <w:tc>
          <w:tcPr>
            <w:tcW w:w="3890" w:type="pct"/>
            <w:noWrap w:val="0"/>
            <w:vAlign w:val="center"/>
          </w:tcPr>
          <w:p w14:paraId="284CCFDA">
            <w:pPr>
              <w:keepNext w:val="0"/>
              <w:keepLines w:val="0"/>
              <w:pageBreakBefore w:val="0"/>
              <w:widowControl w:val="0"/>
              <w:tabs>
                <w:tab w:val="left" w:pos="720"/>
                <w:tab w:val="left" w:pos="840"/>
              </w:tabs>
              <w:kinsoku/>
              <w:wordWrap/>
              <w:overflowPunct/>
              <w:topLinePunct w:val="0"/>
              <w:autoSpaceDE/>
              <w:autoSpaceDN/>
              <w:bidi w:val="0"/>
              <w:adjustRightInd/>
              <w:snapToGrid w:val="0"/>
              <w:spacing w:line="360" w:lineRule="auto"/>
              <w:ind w:left="0" w:hanging="297" w:hangingChars="13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自首次响应文件提交截止之日起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日。</w:t>
            </w:r>
          </w:p>
        </w:tc>
      </w:tr>
      <w:tr w14:paraId="6C17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92F62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646" w:type="pct"/>
            <w:noWrap w:val="0"/>
            <w:vAlign w:val="center"/>
          </w:tcPr>
          <w:p w14:paraId="0886863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3890" w:type="pct"/>
            <w:noWrap w:val="0"/>
            <w:vAlign w:val="center"/>
          </w:tcPr>
          <w:p w14:paraId="710A3119">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不收取</w:t>
            </w:r>
            <w:r>
              <w:rPr>
                <w:rFonts w:hint="eastAsia" w:ascii="宋体" w:hAnsi="宋体" w:eastAsia="宋体" w:cs="宋体"/>
                <w:color w:val="auto"/>
                <w:sz w:val="22"/>
                <w:szCs w:val="22"/>
                <w:highlight w:val="none"/>
                <w:lang w:val="en-US" w:eastAsia="zh-CN"/>
              </w:rPr>
              <w:t>磋商保证金</w:t>
            </w:r>
            <w:r>
              <w:rPr>
                <w:rFonts w:hint="eastAsia" w:ascii="宋体" w:hAnsi="宋体" w:eastAsia="宋体" w:cs="宋体"/>
                <w:color w:val="auto"/>
                <w:sz w:val="22"/>
                <w:szCs w:val="22"/>
                <w:highlight w:val="none"/>
              </w:rPr>
              <w:t>。</w:t>
            </w:r>
          </w:p>
        </w:tc>
      </w:tr>
      <w:tr w14:paraId="6BC2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02D250B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646" w:type="pct"/>
            <w:noWrap w:val="0"/>
            <w:vAlign w:val="center"/>
          </w:tcPr>
          <w:p w14:paraId="6D3E622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w:t>
            </w:r>
            <w:r>
              <w:rPr>
                <w:rFonts w:hint="eastAsia" w:ascii="宋体" w:hAnsi="宋体" w:eastAsia="宋体" w:cs="宋体"/>
                <w:color w:val="auto"/>
                <w:sz w:val="22"/>
                <w:szCs w:val="22"/>
                <w:highlight w:val="none"/>
                <w:lang w:val="en-US" w:eastAsia="zh-CN"/>
              </w:rPr>
              <w:t>截止</w:t>
            </w:r>
            <w:r>
              <w:rPr>
                <w:rFonts w:hint="eastAsia" w:ascii="宋体" w:hAnsi="宋体" w:eastAsia="宋体" w:cs="宋体"/>
                <w:color w:val="auto"/>
                <w:sz w:val="22"/>
                <w:szCs w:val="22"/>
                <w:highlight w:val="none"/>
              </w:rPr>
              <w:t>时间</w:t>
            </w:r>
          </w:p>
        </w:tc>
        <w:tc>
          <w:tcPr>
            <w:tcW w:w="3890" w:type="pct"/>
            <w:noWrap w:val="0"/>
            <w:vAlign w:val="center"/>
          </w:tcPr>
          <w:p w14:paraId="543FDB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087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67B097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54D37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首次响应文件提交地点</w:t>
            </w:r>
          </w:p>
        </w:tc>
        <w:tc>
          <w:tcPr>
            <w:tcW w:w="3890" w:type="pct"/>
            <w:noWrap w:val="0"/>
            <w:vAlign w:val="center"/>
          </w:tcPr>
          <w:p w14:paraId="78EF60C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61A8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AF6DE6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w:t>
            </w:r>
          </w:p>
        </w:tc>
        <w:tc>
          <w:tcPr>
            <w:tcW w:w="646" w:type="pct"/>
            <w:noWrap w:val="0"/>
            <w:vAlign w:val="center"/>
          </w:tcPr>
          <w:p w14:paraId="2A7C330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w:t>
            </w:r>
          </w:p>
        </w:tc>
        <w:tc>
          <w:tcPr>
            <w:tcW w:w="3890" w:type="pct"/>
            <w:noWrap w:val="0"/>
            <w:vAlign w:val="center"/>
          </w:tcPr>
          <w:p w14:paraId="22BEECD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供应商在在线上传加密文件后可以在开标前向代理机构提供加密副本文件（与加密文件同时生成的），当解密时间内供应商由于非人为操作导致无法解密的，可以由代理机构用备份文件进行异常处理</w:t>
            </w:r>
            <w:r>
              <w:rPr>
                <w:rFonts w:hint="eastAsia" w:ascii="宋体" w:hAnsi="宋体" w:eastAsia="宋体" w:cs="宋体"/>
                <w:color w:val="auto"/>
                <w:sz w:val="22"/>
                <w:szCs w:val="22"/>
                <w:highlight w:val="none"/>
              </w:rPr>
              <w:t>。</w:t>
            </w:r>
          </w:p>
        </w:tc>
      </w:tr>
      <w:tr w14:paraId="066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7AF079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p>
        </w:tc>
        <w:tc>
          <w:tcPr>
            <w:tcW w:w="646" w:type="pct"/>
            <w:noWrap w:val="0"/>
            <w:vAlign w:val="center"/>
          </w:tcPr>
          <w:p w14:paraId="7BA9BAB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负偏离要求</w:t>
            </w:r>
          </w:p>
        </w:tc>
        <w:tc>
          <w:tcPr>
            <w:tcW w:w="3890" w:type="pct"/>
            <w:noWrap w:val="0"/>
            <w:vAlign w:val="center"/>
          </w:tcPr>
          <w:p w14:paraId="2B1F0F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商务条款评审中允许负偏离的条款数为 </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p w14:paraId="3040246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服务需求评审中允许负偏离的条款数为 </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 xml:space="preserve"> 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eastAsia="宋体" w:cs="宋体"/>
                <w:b/>
                <w:color w:val="auto"/>
                <w:sz w:val="22"/>
                <w:szCs w:val="22"/>
                <w:highlight w:val="none"/>
              </w:rPr>
              <w:t>作无效响应处理。</w:t>
            </w:r>
          </w:p>
        </w:tc>
      </w:tr>
      <w:tr w14:paraId="72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BE2B91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59CC62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磋商的顺序</w:t>
            </w:r>
          </w:p>
        </w:tc>
        <w:tc>
          <w:tcPr>
            <w:tcW w:w="3890" w:type="pct"/>
            <w:noWrap w:val="0"/>
            <w:vAlign w:val="center"/>
          </w:tcPr>
          <w:p w14:paraId="7D862F6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按照提交首次响应文件的顺序，通知磋商时，若某供应商不在通知现场时，该供应商排序到最后磋商，按照签到的顺序由其下一位供应商先参与磋商。</w:t>
            </w:r>
          </w:p>
          <w:p w14:paraId="397CAF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随机排序。</w:t>
            </w:r>
          </w:p>
        </w:tc>
      </w:tr>
      <w:tr w14:paraId="75BD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EBFDF8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646" w:type="pct"/>
            <w:noWrap w:val="0"/>
            <w:vAlign w:val="center"/>
          </w:tcPr>
          <w:p w14:paraId="1859813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90" w:type="pct"/>
            <w:noWrap w:val="0"/>
            <w:vAlign w:val="center"/>
          </w:tcPr>
          <w:p w14:paraId="08AF4C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w:t>
            </w:r>
          </w:p>
        </w:tc>
      </w:tr>
      <w:tr w14:paraId="121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64D9D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w:t>
            </w:r>
          </w:p>
        </w:tc>
        <w:tc>
          <w:tcPr>
            <w:tcW w:w="646" w:type="pct"/>
            <w:noWrap w:val="0"/>
            <w:vAlign w:val="center"/>
          </w:tcPr>
          <w:p w14:paraId="6723592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签订电子采购合同</w:t>
            </w:r>
          </w:p>
        </w:tc>
        <w:tc>
          <w:tcPr>
            <w:tcW w:w="3890" w:type="pct"/>
            <w:noWrap w:val="0"/>
            <w:vAlign w:val="center"/>
          </w:tcPr>
          <w:p w14:paraId="5D19E2F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成交供应商领取电子成交通知书后，在规定的日期、时间、地点，由法定代表人或其授权代表与采购人代表签订电子采购合同。</w:t>
            </w:r>
          </w:p>
        </w:tc>
      </w:tr>
      <w:tr w14:paraId="2C4D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196D5D2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w:t>
            </w:r>
          </w:p>
        </w:tc>
        <w:tc>
          <w:tcPr>
            <w:tcW w:w="646" w:type="pct"/>
            <w:noWrap w:val="0"/>
            <w:vAlign w:val="center"/>
          </w:tcPr>
          <w:p w14:paraId="0422497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接收质疑函方式</w:t>
            </w:r>
          </w:p>
        </w:tc>
        <w:tc>
          <w:tcPr>
            <w:tcW w:w="3890" w:type="pct"/>
            <w:noWrap w:val="0"/>
            <w:vAlign w:val="center"/>
          </w:tcPr>
          <w:p w14:paraId="1033E62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以书面形式</w:t>
            </w:r>
          </w:p>
        </w:tc>
      </w:tr>
      <w:tr w14:paraId="0946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7B1466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4B97D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质疑联系部门及联系方式</w:t>
            </w:r>
          </w:p>
        </w:tc>
        <w:tc>
          <w:tcPr>
            <w:tcW w:w="3890" w:type="pct"/>
            <w:noWrap w:val="0"/>
            <w:vAlign w:val="center"/>
          </w:tcPr>
          <w:p w14:paraId="3FB2BFC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广西景钲工程咨询有限公司</w:t>
            </w:r>
          </w:p>
          <w:p w14:paraId="15BD91A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联系电话：</w:t>
            </w:r>
            <w:r>
              <w:rPr>
                <w:rFonts w:hint="eastAsia" w:ascii="宋体" w:hAnsi="宋体" w:eastAsia="宋体" w:cs="宋体"/>
                <w:color w:val="auto"/>
                <w:sz w:val="22"/>
                <w:szCs w:val="22"/>
                <w:highlight w:val="none"/>
                <w:u w:val="none"/>
                <w:lang w:eastAsia="zh-CN"/>
              </w:rPr>
              <w:t>0772-3601166</w:t>
            </w:r>
          </w:p>
          <w:p w14:paraId="2D6DD12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通讯地址：</w:t>
            </w:r>
            <w:r>
              <w:rPr>
                <w:rFonts w:hint="eastAsia" w:ascii="宋体" w:hAnsi="宋体" w:cs="宋体"/>
                <w:color w:val="auto"/>
                <w:sz w:val="22"/>
                <w:szCs w:val="22"/>
                <w:highlight w:val="none"/>
                <w:u w:val="none"/>
                <w:lang w:eastAsia="zh-CN"/>
              </w:rPr>
              <w:t>柳州市静兰路东一巷19号静兰小区综合楼202室</w:t>
            </w:r>
          </w:p>
        </w:tc>
      </w:tr>
      <w:tr w14:paraId="1D0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29FBBF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20F95B0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现场提交质疑办理业务时间</w:t>
            </w:r>
          </w:p>
        </w:tc>
        <w:tc>
          <w:tcPr>
            <w:tcW w:w="3890" w:type="pct"/>
            <w:noWrap w:val="0"/>
            <w:vAlign w:val="center"/>
          </w:tcPr>
          <w:p w14:paraId="6F14E49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质疑期内每个工作日</w:t>
            </w:r>
            <w:r>
              <w:rPr>
                <w:rFonts w:hint="eastAsia" w:ascii="宋体" w:hAnsi="宋体" w:eastAsia="宋体" w:cs="宋体"/>
                <w:color w:val="auto"/>
                <w:sz w:val="22"/>
                <w:szCs w:val="22"/>
                <w:highlight w:val="none"/>
                <w:u w:val="single"/>
              </w:rPr>
              <w:t>0</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12</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u w:val="single"/>
              </w:rPr>
              <w:t>15</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p>
        </w:tc>
      </w:tr>
      <w:tr w14:paraId="53C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462" w:type="pct"/>
            <w:noWrap w:val="0"/>
            <w:vAlign w:val="center"/>
          </w:tcPr>
          <w:p w14:paraId="352018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31.6</w:t>
            </w:r>
          </w:p>
        </w:tc>
        <w:tc>
          <w:tcPr>
            <w:tcW w:w="646" w:type="pct"/>
            <w:noWrap w:val="0"/>
            <w:vAlign w:val="center"/>
          </w:tcPr>
          <w:p w14:paraId="19A58FA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受理投诉方式</w:t>
            </w:r>
          </w:p>
        </w:tc>
        <w:tc>
          <w:tcPr>
            <w:tcW w:w="3890" w:type="pct"/>
            <w:noWrap w:val="0"/>
            <w:vAlign w:val="center"/>
          </w:tcPr>
          <w:p w14:paraId="160AC7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1、受理方式：纸质方式受理，投诉书正、副本（经过质疑的事项才可投诉）。</w:t>
            </w:r>
          </w:p>
          <w:p w14:paraId="0EC131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受理单位：</w:t>
            </w:r>
            <w:r>
              <w:rPr>
                <w:rFonts w:hint="eastAsia" w:ascii="宋体" w:hAnsi="宋体" w:cs="宋体"/>
                <w:bCs/>
                <w:color w:val="auto"/>
                <w:sz w:val="22"/>
                <w:szCs w:val="22"/>
                <w:highlight w:val="none"/>
                <w:lang w:val="en-US" w:eastAsia="zh-CN"/>
              </w:rPr>
              <w:t>柳州市柳江区</w:t>
            </w:r>
            <w:r>
              <w:rPr>
                <w:rFonts w:hint="eastAsia" w:ascii="宋体" w:hAnsi="宋体" w:cs="宋体"/>
                <w:bCs/>
                <w:color w:val="auto"/>
                <w:sz w:val="22"/>
                <w:szCs w:val="22"/>
                <w:highlight w:val="none"/>
                <w:lang w:eastAsia="zh-CN"/>
              </w:rPr>
              <w:t>财政局</w:t>
            </w:r>
          </w:p>
        </w:tc>
      </w:tr>
      <w:tr w14:paraId="3254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9D112A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646" w:type="pct"/>
            <w:noWrap w:val="0"/>
            <w:vAlign w:val="center"/>
          </w:tcPr>
          <w:p w14:paraId="7179CD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采购代理费</w:t>
            </w:r>
          </w:p>
        </w:tc>
        <w:tc>
          <w:tcPr>
            <w:tcW w:w="3890" w:type="pct"/>
            <w:noWrap w:val="0"/>
            <w:vAlign w:val="center"/>
          </w:tcPr>
          <w:p w14:paraId="236FB98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是否收取采购代理费：</w:t>
            </w:r>
          </w:p>
          <w:p w14:paraId="4C58ACB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是    □ 否</w:t>
            </w:r>
          </w:p>
          <w:p w14:paraId="5A14F73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2.采购代理费支付方式：</w:t>
            </w:r>
          </w:p>
          <w:p w14:paraId="4AC34A0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本项目代理服务费由</w:t>
            </w:r>
            <w:r>
              <w:rPr>
                <w:rFonts w:hint="eastAsia" w:ascii="宋体" w:hAnsi="宋体" w:eastAsia="宋体" w:cs="宋体"/>
                <w:color w:val="auto"/>
                <w:kern w:val="0"/>
                <w:sz w:val="22"/>
                <w:szCs w:val="22"/>
                <w:highlight w:val="none"/>
                <w:u w:val="single"/>
              </w:rPr>
              <w:t>成交供应商</w:t>
            </w:r>
            <w:r>
              <w:rPr>
                <w:rFonts w:hint="eastAsia" w:ascii="宋体" w:hAnsi="宋体" w:eastAsia="宋体" w:cs="宋体"/>
                <w:color w:val="auto"/>
                <w:kern w:val="0"/>
                <w:sz w:val="22"/>
                <w:szCs w:val="22"/>
                <w:highlight w:val="none"/>
              </w:rPr>
              <w:t>领取成交通知书前，一次性向采购代理机构支付。</w:t>
            </w:r>
          </w:p>
          <w:p w14:paraId="79DD060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□采购人支付。</w:t>
            </w:r>
          </w:p>
          <w:p w14:paraId="60D6B79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3.采购代理费收取标准：</w:t>
            </w:r>
          </w:p>
          <w:p w14:paraId="5B31B7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以分标（</w:t>
            </w:r>
            <w:r>
              <w:rPr>
                <w:rFonts w:hint="eastAsia" w:ascii="宋体" w:hAnsi="宋体" w:eastAsia="宋体" w:cs="宋体"/>
                <w:color w:val="auto"/>
                <w:kern w:val="0"/>
                <w:sz w:val="22"/>
                <w:szCs w:val="22"/>
                <w:highlight w:val="none"/>
              </w:rPr>
              <w:sym w:font="Wingdings 2" w:char="00A3"/>
            </w:r>
            <w:r>
              <w:rPr>
                <w:rFonts w:hint="eastAsia" w:ascii="宋体" w:hAnsi="宋体" w:eastAsia="宋体" w:cs="宋体"/>
                <w:color w:val="auto"/>
                <w:kern w:val="0"/>
                <w:sz w:val="22"/>
                <w:szCs w:val="22"/>
                <w:highlight w:val="none"/>
              </w:rPr>
              <w:t>成交金额/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采购预算/□暂定成交金额/□其他</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）为计费额，按</w:t>
            </w:r>
            <w:r>
              <w:rPr>
                <w:rFonts w:hint="eastAsia" w:ascii="宋体" w:hAnsi="宋体" w:eastAsia="宋体" w:cs="宋体"/>
                <w:color w:val="auto"/>
                <w:kern w:val="0"/>
                <w:sz w:val="22"/>
                <w:szCs w:val="22"/>
                <w:highlight w:val="none"/>
                <w:u w:val="single"/>
              </w:rPr>
              <w:t>服务类</w:t>
            </w:r>
            <w:r>
              <w:rPr>
                <w:rFonts w:hint="eastAsia" w:ascii="宋体" w:hAnsi="宋体" w:eastAsia="宋体" w:cs="宋体"/>
                <w:color w:val="auto"/>
                <w:kern w:val="0"/>
                <w:sz w:val="22"/>
                <w:szCs w:val="22"/>
                <w:highlight w:val="none"/>
              </w:rPr>
              <w:t>采用差额定率累进法计算出收费基准价格，采购代理收费以（</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收费基准价格/</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收费基准价格下浮</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/□收费基准价格上浮</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）收取。</w:t>
            </w:r>
          </w:p>
          <w:p w14:paraId="684FAFB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固定采购代理收费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p>
        </w:tc>
      </w:tr>
      <w:tr w14:paraId="4D70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04DB381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646" w:type="pct"/>
            <w:noWrap w:val="0"/>
            <w:vAlign w:val="center"/>
          </w:tcPr>
          <w:p w14:paraId="4CB3508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w:t>
            </w:r>
          </w:p>
        </w:tc>
        <w:tc>
          <w:tcPr>
            <w:tcW w:w="3890" w:type="pct"/>
            <w:noWrap w:val="0"/>
            <w:vAlign w:val="center"/>
          </w:tcPr>
          <w:p w14:paraId="7259754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解释权：</w:t>
            </w:r>
            <w:r>
              <w:rPr>
                <w:rFonts w:hint="eastAsia" w:ascii="宋体" w:hAnsi="宋体" w:eastAsia="宋体" w:cs="宋体"/>
                <w:color w:val="auto"/>
                <w:kern w:val="0"/>
                <w:sz w:val="22"/>
                <w:szCs w:val="2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 w:val="22"/>
                <w:szCs w:val="22"/>
                <w:highlight w:val="none"/>
              </w:rPr>
              <w:t>由采购人或者采购代理机构负责解释。</w:t>
            </w:r>
          </w:p>
          <w:p w14:paraId="58CACD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法律责任：</w:t>
            </w:r>
            <w:r>
              <w:rPr>
                <w:rFonts w:hint="eastAsia" w:ascii="宋体" w:hAnsi="宋体" w:eastAsia="宋体" w:cs="宋体"/>
                <w:color w:val="auto"/>
                <w:kern w:val="0"/>
                <w:sz w:val="22"/>
                <w:szCs w:val="2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7C3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6472E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646" w:type="pct"/>
            <w:noWrap w:val="0"/>
            <w:vAlign w:val="center"/>
          </w:tcPr>
          <w:p w14:paraId="6CEA5F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890" w:type="pct"/>
            <w:noWrap w:val="0"/>
            <w:vAlign w:val="center"/>
          </w:tcPr>
          <w:p w14:paraId="004821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960CD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692A1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E61E7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4.自然人竞标的，磋商文件规定盖公章处由自然人摁手指指印。</w:t>
            </w:r>
          </w:p>
          <w:p w14:paraId="4E199766">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5.本磋商文件所称的“以上”“以下”“以内”“届满”，包括本数；所称的“不满”“超过”“以外”，不包括本数。</w:t>
            </w:r>
          </w:p>
        </w:tc>
      </w:tr>
    </w:tbl>
    <w:p w14:paraId="5E970354">
      <w:pPr>
        <w:keepNext/>
        <w:keepLines/>
        <w:spacing w:before="260" w:after="260" w:line="420" w:lineRule="exact"/>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31" w:name="_Toc5715"/>
      <w:r>
        <w:rPr>
          <w:rFonts w:hint="eastAsia" w:ascii="宋体" w:hAnsi="宋体" w:eastAsia="宋体" w:cs="宋体"/>
          <w:b/>
          <w:bCs w:val="0"/>
          <w:color w:val="auto"/>
          <w:sz w:val="24"/>
          <w:szCs w:val="24"/>
          <w:highlight w:val="none"/>
        </w:rPr>
        <w:t xml:space="preserve">第二节 </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供应商须知正文</w:t>
      </w:r>
      <w:bookmarkEnd w:id="31"/>
    </w:p>
    <w:p w14:paraId="2C8E7B5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bCs/>
          <w:color w:val="auto"/>
          <w:sz w:val="22"/>
          <w:szCs w:val="22"/>
          <w:highlight w:val="none"/>
        </w:rPr>
      </w:pPr>
      <w:bookmarkStart w:id="32" w:name="_Toc12165"/>
      <w:r>
        <w:rPr>
          <w:rFonts w:hint="eastAsia" w:asciiTheme="minorEastAsia" w:hAnsiTheme="minorEastAsia" w:eastAsiaTheme="minorEastAsia" w:cstheme="minorEastAsia"/>
          <w:b/>
          <w:bCs w:val="0"/>
          <w:color w:val="auto"/>
          <w:sz w:val="24"/>
          <w:szCs w:val="24"/>
          <w:highlight w:val="none"/>
        </w:rPr>
        <w:t>一、总则</w:t>
      </w:r>
      <w:bookmarkEnd w:id="32"/>
    </w:p>
    <w:p w14:paraId="7E15DD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1.适用范围</w:t>
      </w:r>
    </w:p>
    <w:p w14:paraId="565CFB8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55B70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r>
        <w:rPr>
          <w:rFonts w:hint="eastAsia" w:asciiTheme="minorEastAsia" w:hAnsiTheme="minorEastAsia" w:eastAsiaTheme="minorEastAsia" w:cstheme="minorEastAsia"/>
          <w:color w:val="auto"/>
          <w:spacing w:val="-6"/>
          <w:sz w:val="22"/>
          <w:szCs w:val="22"/>
          <w:highlight w:val="none"/>
        </w:rPr>
        <w:t>本竞争性磋商文件（以下简称磋商文件）适用于本项目的所有采购程序和环节（法律、法规另有规定的，从其规定）。</w:t>
      </w:r>
    </w:p>
    <w:p w14:paraId="3171AE2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2.定义</w:t>
      </w:r>
    </w:p>
    <w:p w14:paraId="3413610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2.1“采购人”是指依法进行政府采购的国家机关、事业单位、团体组织。</w:t>
      </w:r>
    </w:p>
    <w:p w14:paraId="1350842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2.2“采购代理机构”是指政府采购集中采购机构和集中采购机构以外的采购代理机构。</w:t>
      </w:r>
    </w:p>
    <w:p w14:paraId="4BAB5C8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2.3“供应商”是指向采购人提供货物、工程或者服务的法人、其他组织或者自然人。</w:t>
      </w:r>
    </w:p>
    <w:p w14:paraId="5CD719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2.4“服务”是指除货物和工程以外的其他政府采购对象。</w:t>
      </w:r>
    </w:p>
    <w:p w14:paraId="5787C46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2.5“竞标”是指供应商按照本项目竞争性磋商公告或者邀请函规定的方式获取磋商文件、提交响应文件并希望获得标的的行为。</w:t>
      </w:r>
    </w:p>
    <w:p w14:paraId="43565C3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2.6“响应文件”</w:t>
      </w:r>
      <w:r>
        <w:rPr>
          <w:rFonts w:hint="eastAsia" w:asciiTheme="minorEastAsia" w:hAnsiTheme="minorEastAsia" w:eastAsiaTheme="minorEastAsia" w:cstheme="minorEastAsia"/>
          <w:color w:val="auto"/>
          <w:spacing w:val="-6"/>
          <w:sz w:val="22"/>
          <w:szCs w:val="22"/>
          <w:highlight w:val="none"/>
        </w:rPr>
        <w:t>是指：供应商根据本磋商文件要求，编制包含资格证明、报价商务技术等所有内容的文件。</w:t>
      </w:r>
    </w:p>
    <w:p w14:paraId="5E59E20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2.7“实质性要求”是指磋商文件中已经指明不满足则响应文件按无效响应处理的条款，或者不能负偏离的条款，或者采购需求中带“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w:t>
      </w:r>
    </w:p>
    <w:p w14:paraId="0C45CF4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2.8“正偏离”，是指响应文件对磋商文件“采购需求”中有关条款作出的响应优于条款要求并有利于采购人的情形。</w:t>
      </w:r>
    </w:p>
    <w:p w14:paraId="173D36F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2.9“负偏离”，是指响应文件对磋商文件“采购需求”中有关条款作出的响应不满足条款要求，导致采购人要求不能得到满足的情形。</w:t>
      </w:r>
    </w:p>
    <w:p w14:paraId="3D21D27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2.10“允许负偏离的条款”是指采购需求中的不属于“实质性要求”的条款。</w:t>
      </w:r>
    </w:p>
    <w:p w14:paraId="45FD00D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2.11“书面形式”是指合同书、信件和数据电文（包括电报、电传、传真、电子数据交换和电子邮件）等可以有形地表现所载内容的形式。</w:t>
      </w:r>
    </w:p>
    <w:p w14:paraId="648C82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2.12“首次报价”是指供应商提交的首次响应文件中的报价。</w:t>
      </w:r>
    </w:p>
    <w:p w14:paraId="45780B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2.13“评审报价”是指供应商提交的最后报价并经修正（如有）和政策功能价格扣除（如有）后的价格。</w:t>
      </w:r>
    </w:p>
    <w:p w14:paraId="7D6BD8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3.供应商的资格条件</w:t>
      </w:r>
    </w:p>
    <w:p w14:paraId="7E3C1D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供应商的资格条件详见“供应商须知前附表”。</w:t>
      </w:r>
    </w:p>
    <w:p w14:paraId="13B992E0">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4.磋商费用</w:t>
      </w:r>
    </w:p>
    <w:p w14:paraId="63211E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供应商应承担参与本次采购活动有关的所有费用，包括但不限于、勘查现场、编制和提交响应文件、参加磋商与应答、签订合同等，不论竞标结果如何，均应自行承担。</w:t>
      </w:r>
    </w:p>
    <w:p w14:paraId="137EFA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5.联合体竞标</w:t>
      </w:r>
    </w:p>
    <w:p w14:paraId="393725E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5.1本项目是否接受联合体竞标，详见“供应商须知前附表”。</w:t>
      </w:r>
    </w:p>
    <w:p w14:paraId="773C29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5.2如接受联合体竞标，联合体竞标要求详见“供应商须知前附表”。</w:t>
      </w:r>
    </w:p>
    <w:p w14:paraId="2EC34F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5.3</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接受大中型企业与小微企业组成联合体的采购项目，对于联合协议约定小微企业的合同份额占到合同总金额30%以上的，采购人、采购代理机构应当对联合体的报价给予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%（工程项目为1%—2%）的扣除，用扣除后的价格参加评审。组成联合体的小微企业与联合体内其他企业、分包企业之间存在直接控股、管理关系的，不享受价格扣除优惠政策。</w:t>
      </w:r>
    </w:p>
    <w:p w14:paraId="79CC438E">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6.转包与分包</w:t>
      </w:r>
    </w:p>
    <w:p w14:paraId="2AB5497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6.1本项目是否允许分包详见“供应商须知前附表”，本项目不允许违法分包。</w:t>
      </w:r>
    </w:p>
    <w:p w14:paraId="2FCCAF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允许大中型企业向一家或者多家小微企业分包的采购项目，对于分包意向协议约定小微企业的合同份额占到合同总金额30%以上的，采购人、采购代理机构应当对大中型企业的报价给予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%的扣除，用扣除后的价格参加评审。接受分包的小微企业与分包企业之间存在直接控股、管理关系的，不享受价格扣除优惠政策。</w:t>
      </w:r>
    </w:p>
    <w:p w14:paraId="2A5ABE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33" w:name="_Toc254970673"/>
      <w:bookmarkStart w:id="34" w:name="_Toc254970532"/>
      <w:r>
        <w:rPr>
          <w:rFonts w:hint="eastAsia" w:asciiTheme="minorEastAsia" w:hAnsiTheme="minorEastAsia" w:eastAsiaTheme="minorEastAsia" w:cstheme="minorEastAsia"/>
          <w:b/>
          <w:bCs/>
          <w:color w:val="auto"/>
          <w:sz w:val="22"/>
          <w:szCs w:val="22"/>
          <w:highlight w:val="none"/>
        </w:rPr>
        <w:t>7.特别说明</w:t>
      </w:r>
      <w:bookmarkEnd w:id="33"/>
      <w:bookmarkEnd w:id="34"/>
    </w:p>
    <w:p w14:paraId="278ED0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bookmarkStart w:id="35" w:name="_8.1提供相同品牌产品且通过资格审查、符合性审查的不同投标人参加同一合"/>
      <w:bookmarkEnd w:id="35"/>
      <w:r>
        <w:rPr>
          <w:rFonts w:hint="eastAsia" w:asciiTheme="minorEastAsia" w:hAnsiTheme="minorEastAsia" w:eastAsiaTheme="minorEastAsia" w:cstheme="minorEastAsia"/>
          <w:color w:val="auto"/>
          <w:sz w:val="22"/>
          <w:szCs w:val="22"/>
          <w:highlight w:val="none"/>
        </w:rPr>
        <w:t>7.1</w:t>
      </w:r>
      <w:bookmarkStart w:id="36" w:name="_Hlk65832145"/>
      <w:r>
        <w:rPr>
          <w:rFonts w:hint="eastAsia" w:asciiTheme="minorEastAsia" w:hAnsiTheme="minorEastAsia" w:eastAsiaTheme="minorEastAsia" w:cstheme="minorEastAsia"/>
          <w:color w:val="auto"/>
          <w:sz w:val="22"/>
          <w:szCs w:val="22"/>
          <w:highlight w:val="none"/>
        </w:rPr>
        <w:t>如果本磋商文件要求提供供应商或制造商的资格、信誉、荣誉、业绩与企业认证等材料的，资格、信誉、荣誉、业绩与企业认证等必须为供应商或者制造商所拥有或自身获得。</w:t>
      </w:r>
    </w:p>
    <w:bookmarkEnd w:id="36"/>
    <w:p w14:paraId="6001CE2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7.2供应商应仔细阅读磋商文件的所有内容，按照磋商文件的要求提交响应文件，并对所提供的全部资料的真实性承担法律责任。</w:t>
      </w:r>
    </w:p>
    <w:p w14:paraId="03883C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7.3供应商在竞标活动中提供任何疑似虚假材料，将报监管部门查处；签订合同后发现的，成交供应商须依照《</w:t>
      </w:r>
      <w:r>
        <w:rPr>
          <w:rFonts w:hint="eastAsia" w:asciiTheme="minorEastAsia" w:hAnsiTheme="minorEastAsia" w:eastAsiaTheme="minorEastAsia" w:cstheme="minorEastAsia"/>
          <w:color w:val="auto"/>
          <w:sz w:val="22"/>
          <w:szCs w:val="22"/>
          <w:highlight w:val="none"/>
          <w:lang w:eastAsia="zh-CN"/>
        </w:rPr>
        <w:t>中华人民共和国民法典</w:t>
      </w:r>
      <w:r>
        <w:rPr>
          <w:rFonts w:hint="eastAsia" w:asciiTheme="minorEastAsia" w:hAnsiTheme="minorEastAsia" w:eastAsiaTheme="minorEastAsia" w:cstheme="minorEastAsia"/>
          <w:color w:val="auto"/>
          <w:sz w:val="22"/>
          <w:szCs w:val="22"/>
          <w:highlight w:val="none"/>
        </w:rPr>
        <w:t>》规定赔偿采购人，且民事赔偿并不免除违法供应商的行政与刑事责任。</w:t>
      </w:r>
    </w:p>
    <w:p w14:paraId="14257EA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7.4在政府采购活动中，采购人员及相关人员与供应商有下列利害关系之一的，应当回避：</w:t>
      </w:r>
    </w:p>
    <w:p w14:paraId="0E28361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（1）参加采购活动前3年内与供应商存在劳动关系；</w:t>
      </w:r>
    </w:p>
    <w:p w14:paraId="0F4023A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（2）参加采购活动前3年内担任供应商的董事、监事；</w:t>
      </w:r>
    </w:p>
    <w:p w14:paraId="7C48CA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（3）参加采购活动前3年内是供应商的控股股东或者实际控制人；</w:t>
      </w:r>
    </w:p>
    <w:p w14:paraId="62D772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（4）与供应商的法定代表人或者负责人有夫妻、直系血亲、三代以内旁系血亲或者近姻亲关系；</w:t>
      </w:r>
    </w:p>
    <w:p w14:paraId="1805D2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（5）与供应商有其他可能影响政府采购活动公平、公正进行的关系。</w:t>
      </w:r>
    </w:p>
    <w:p w14:paraId="3AD1CA7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4B333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7.5有下列情形之一的视为供应商相互串通竞标，响应文件将被视为无效：</w:t>
      </w:r>
    </w:p>
    <w:p w14:paraId="5CD9D3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（1）不同供应商的响应文件由同一单位或者个人编制；或者不同供应商报名的IP地址一致的；或者编制响应文件硬件设备CPU编号、硬盘编号、网卡地址一致的情况。</w:t>
      </w:r>
    </w:p>
    <w:p w14:paraId="23B0174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（2）不同供应商委托同一单位或者个人办理竞标事宜；</w:t>
      </w:r>
    </w:p>
    <w:p w14:paraId="6286D5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（3）不同的供应商的响应文件载明的项目管理员为同一个人；</w:t>
      </w:r>
    </w:p>
    <w:p w14:paraId="70799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（4）不同供应商的响应文件异常一致或者报价呈规律性差异；</w:t>
      </w:r>
    </w:p>
    <w:p w14:paraId="6EA6AF8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（5）不同供应商的响应文件相互混装；</w:t>
      </w:r>
    </w:p>
    <w:p w14:paraId="6264AE10">
      <w:pPr>
        <w:pageBreakBefore w:val="0"/>
        <w:widowControl w:val="0"/>
        <w:tabs>
          <w:tab w:val="left" w:pos="6931"/>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（6）不同供应商的磋商保证金从同一单位或者个人账户转出。</w:t>
      </w:r>
      <w:r>
        <w:rPr>
          <w:rFonts w:hint="eastAsia" w:asciiTheme="minorEastAsia" w:hAnsiTheme="minorEastAsia" w:eastAsiaTheme="minorEastAsia" w:cstheme="minorEastAsia"/>
          <w:color w:val="auto"/>
          <w:sz w:val="22"/>
          <w:szCs w:val="22"/>
          <w:highlight w:val="none"/>
        </w:rPr>
        <w:tab/>
      </w:r>
    </w:p>
    <w:p w14:paraId="2FFDE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7.6供应商有下列情形之一的，属于恶意串通行为，将报同级监督管理部门：</w:t>
      </w:r>
    </w:p>
    <w:p w14:paraId="27F271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（1）供应商直接或者间接从采购人或者采购代理机构处获得其他供应商的相关信息并修改其响应文件；</w:t>
      </w:r>
    </w:p>
    <w:p w14:paraId="1E4AD36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（2）供应商按照采购人或者采购代理机构的授意撤换、修改响应文件；</w:t>
      </w:r>
    </w:p>
    <w:p w14:paraId="24AE415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（3）供应商之间协商报价、技术方案等响应文件或者响应文件的实质性内容；</w:t>
      </w:r>
    </w:p>
    <w:p w14:paraId="128D78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（4）属于同一集团、协会、商会等组织成员的供应商按照该组织要求协同参加政府采购活动；</w:t>
      </w:r>
    </w:p>
    <w:p w14:paraId="73F5BB9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（5）供应商之间事先约定一致抬高或者压低报价，或者在政府采购活动中事先约定轮流以高价位或者低价位成交，或者事先约定由某一特定供应商成交，然后再参加竞标；</w:t>
      </w:r>
    </w:p>
    <w:p w14:paraId="7783689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（6）供应商之间商定部分供应商放弃参加政府采购活动或者放弃成交；</w:t>
      </w:r>
    </w:p>
    <w:p w14:paraId="12BEAB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（7）供应商与采购人或者采购代理机构之间、供应商相互之间，为谋求特定供应商成交或者排斥其他供应商的其他串通行为。</w:t>
      </w:r>
    </w:p>
    <w:p w14:paraId="44C3354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37" w:name="_Toc254970534"/>
      <w:bookmarkStart w:id="38" w:name="_Toc254970675"/>
      <w:bookmarkStart w:id="39" w:name="_Toc29811"/>
      <w:r>
        <w:rPr>
          <w:rFonts w:hint="eastAsia" w:asciiTheme="minorEastAsia" w:hAnsiTheme="minorEastAsia" w:eastAsiaTheme="minorEastAsia" w:cstheme="minorEastAsia"/>
          <w:b/>
          <w:bCs/>
          <w:color w:val="auto"/>
          <w:sz w:val="24"/>
          <w:szCs w:val="24"/>
          <w:highlight w:val="none"/>
        </w:rPr>
        <w:t>二、磋商文件</w:t>
      </w:r>
      <w:bookmarkEnd w:id="37"/>
      <w:bookmarkEnd w:id="38"/>
      <w:bookmarkEnd w:id="39"/>
    </w:p>
    <w:p w14:paraId="0EFDD9A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8.磋商文件的构成</w:t>
      </w:r>
    </w:p>
    <w:p w14:paraId="797086A1">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第一章 竞争性磋商公告；</w:t>
      </w:r>
    </w:p>
    <w:p w14:paraId="55F909F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第二章 采购需求；</w:t>
      </w:r>
    </w:p>
    <w:p w14:paraId="713B96EE">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第三章 供应商须知； </w:t>
      </w:r>
    </w:p>
    <w:p w14:paraId="5976F7E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第四章 评审程序、评审方法和评审标准；</w:t>
      </w:r>
    </w:p>
    <w:p w14:paraId="0DF01CDA">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第五章 响应文件格式；</w:t>
      </w:r>
    </w:p>
    <w:p w14:paraId="1E6102E0">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第六章 合同文本；</w:t>
      </w:r>
    </w:p>
    <w:p w14:paraId="4409BBAD">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第七章 质疑、投诉材料格式。</w:t>
      </w:r>
    </w:p>
    <w:p w14:paraId="29912C55">
      <w:pPr>
        <w:pStyle w:val="31"/>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第八章 政府采购合同验收书范本</w:t>
      </w:r>
    </w:p>
    <w:p w14:paraId="3F2C4FF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9.供应商的询问</w:t>
      </w:r>
    </w:p>
    <w:p w14:paraId="0262EB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55E1FE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10.磋商文件的澄清和修改</w:t>
      </w:r>
    </w:p>
    <w:p w14:paraId="45A2867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81FE8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A697EB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3EC2C5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w:t>
      </w:r>
      <w:r>
        <w:rPr>
          <w:rFonts w:hint="eastAsia" w:asciiTheme="minorEastAsia" w:hAnsiTheme="minorEastAsia" w:eastAsiaTheme="minorEastAsia" w:cstheme="minorEastAsia"/>
          <w:color w:val="auto"/>
          <w:sz w:val="22"/>
          <w:szCs w:val="2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45AF53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10.5采购人和采购代理机构可以视采购具体情况，变更提交首次响应文件截止时间和</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时间，将变更时间将在“采购文件公告”中“七、其他补充事宜</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网上查询地址”规定的政府采购信息发布媒体上发布更正公告。</w:t>
      </w:r>
    </w:p>
    <w:p w14:paraId="1B19FB7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响应文件未按磋商文件的澄清、修改的内容编制，又不符合实质性要求的，其响应文件作无效处理。</w:t>
      </w:r>
    </w:p>
    <w:p w14:paraId="5F28493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0" w:name="_Toc12429"/>
      <w:r>
        <w:rPr>
          <w:rFonts w:hint="eastAsia" w:asciiTheme="minorEastAsia" w:hAnsiTheme="minorEastAsia" w:eastAsiaTheme="minorEastAsia" w:cstheme="minorEastAsia"/>
          <w:b/>
          <w:bCs/>
          <w:color w:val="auto"/>
          <w:sz w:val="24"/>
          <w:szCs w:val="24"/>
          <w:highlight w:val="none"/>
        </w:rPr>
        <w:t>三、响应文件的编制</w:t>
      </w:r>
      <w:bookmarkEnd w:id="40"/>
    </w:p>
    <w:p w14:paraId="2A656E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11.响应文件的编制原则</w:t>
      </w:r>
    </w:p>
    <w:p w14:paraId="6931D0D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供应商必须按照磋商文件的要求编制响应文件，并对其提交的响应文件的真实性、合法性承担法律责任。响应文件必须对磋商文件作出实质性响应。</w:t>
      </w:r>
    </w:p>
    <w:p w14:paraId="457BF22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12.响应文件的组成</w:t>
      </w:r>
    </w:p>
    <w:p w14:paraId="703ECF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12.1响应文件由资格证明文件、报价文件、商务技术文件三部分组成。</w:t>
      </w:r>
    </w:p>
    <w:p w14:paraId="557B874F">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12.1.1资格证明文件：详见须知前附表</w:t>
      </w:r>
    </w:p>
    <w:p w14:paraId="5FF09C91">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12.1.2商务技术文件：详见须知前附表</w:t>
      </w:r>
    </w:p>
    <w:p w14:paraId="35ECFCB3">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12.1.3报价文件：详见须知前附表</w:t>
      </w:r>
    </w:p>
    <w:p w14:paraId="66BDF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12.2响应文件电子版：详见须知前附表</w:t>
      </w:r>
    </w:p>
    <w:p w14:paraId="1A8343C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13.计量单位</w:t>
      </w:r>
    </w:p>
    <w:p w14:paraId="73FBBFD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磋商文件已有明确规定的，使用磋商文件规定的计量单位；磋商文件没有规定的，应采用中华人民共和国法定计量单位，货币种类为人民币，否则视同未响应。</w:t>
      </w:r>
    </w:p>
    <w:p w14:paraId="02E093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14.竞标的风险</w:t>
      </w:r>
    </w:p>
    <w:p w14:paraId="0131AF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供应商没有按照磋商文件要求提供全部资料，或者供应商没有对磋商文件在各方面作出实质性响应可能导致其响应无效，是供应商应当考虑的风险。</w:t>
      </w:r>
    </w:p>
    <w:p w14:paraId="74103D9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15.响应报价要求和构成</w:t>
      </w:r>
    </w:p>
    <w:p w14:paraId="557AF87F">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15.1响应报价应按“第五章 响应文件格式”中“响应报价表”格式填写。</w:t>
      </w:r>
    </w:p>
    <w:p w14:paraId="3CE4BA21">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15.2响应报价的价格构成见“供应商须知前附表”。</w:t>
      </w:r>
    </w:p>
    <w:p w14:paraId="6A5F26D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15.3响应报价要求</w:t>
      </w:r>
    </w:p>
    <w:p w14:paraId="5008A0E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15.3.1供应商的响应报价应符合以下要求，否则响应文件按无效响应处理：</w:t>
      </w:r>
    </w:p>
    <w:p w14:paraId="74A3D5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（1）供应商必须就“采购需求”中所竞标的全部内容分别作完整唯一总价报价，不得存在漏项报价；</w:t>
      </w:r>
    </w:p>
    <w:p w14:paraId="0C202A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（2）供应商必须就所竞标</w:t>
      </w:r>
      <w:r>
        <w:rPr>
          <w:rFonts w:hint="eastAsia" w:asciiTheme="minorEastAsia" w:hAnsiTheme="minorEastAsia" w:eastAsia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rPr>
        <w:t>内容作唯一报价。</w:t>
      </w:r>
    </w:p>
    <w:p w14:paraId="74AEA05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15.3.2响应报价（包含首次报价、最后报价）超过所竞标规定的采购预算金额或者最高限价的，其响应文件将作无效处理。</w:t>
      </w:r>
    </w:p>
    <w:p w14:paraId="0B7C80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15.3.3</w:t>
      </w:r>
      <w:bookmarkStart w:id="41" w:name="_Hlk42592874"/>
      <w:r>
        <w:rPr>
          <w:rFonts w:hint="eastAsia" w:asciiTheme="minorEastAsia" w:hAnsiTheme="minorEastAsia" w:eastAsiaTheme="minorEastAsia" w:cstheme="minorEastAsia"/>
          <w:color w:val="auto"/>
          <w:sz w:val="22"/>
          <w:szCs w:val="22"/>
          <w:highlight w:val="none"/>
        </w:rPr>
        <w:t>响应报价（包含首次报价、最后报价）超过分项采购预算金额或者最高限价的，其响应文件将作无效处理。</w:t>
      </w:r>
    </w:p>
    <w:bookmarkEnd w:id="41"/>
    <w:p w14:paraId="29B44B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16.竞标有效期</w:t>
      </w:r>
    </w:p>
    <w:p w14:paraId="3F02CA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2EB749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16.2竞标有效期应由供应商按“供应商须知前附表”规定的期限作出响应。</w:t>
      </w:r>
    </w:p>
    <w:p w14:paraId="3971B4F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16.3供应商的响应文件在竞标有效期内均保持有效。</w:t>
      </w:r>
    </w:p>
    <w:p w14:paraId="6156C2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17.磋商保证金</w:t>
      </w:r>
    </w:p>
    <w:p w14:paraId="671F15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17.1提交</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保证金的要求详见采购文件“供应商须知前附表”。</w:t>
      </w:r>
    </w:p>
    <w:p w14:paraId="33164B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17.2</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保证金退还：除采购文件规定不予退还保证金的情形外，未成交供应商的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保证金在成交通知书发出后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保证金在与采购人签订合同后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个工作日内退还。[支票、汇票、本票形式</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保证金的退还方式：</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应在自接到采购代理机构通知日起（成交通知书发出当日通知未成交供应商；与采购人签订合同当日通知成交供应商）的</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个工作日内自行前往采购代理机构处领取原件。</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因自身原因逾期领取所造成的后果由</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自行承担。]</w:t>
      </w:r>
    </w:p>
    <w:p w14:paraId="232CA95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17.3磋商保证金不计息。</w:t>
      </w:r>
    </w:p>
    <w:p w14:paraId="325AA5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17.4供应商有下列情形之一的，磋商保证金将不予退还：</w:t>
      </w:r>
    </w:p>
    <w:p w14:paraId="124E574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（1）供应商在提交响应文件截止时间后撤回响应文件的；</w:t>
      </w:r>
    </w:p>
    <w:p w14:paraId="010E9B1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（2）供应商在响应文件中提供虚假材料的；</w:t>
      </w:r>
    </w:p>
    <w:p w14:paraId="749EE47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（3）除因不可抗力或者磋商文件认可的情形以外，成交供应商不与采购人签订合同的；</w:t>
      </w:r>
    </w:p>
    <w:p w14:paraId="5979C26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（4）供应商与采购人、其他供应商或者采购代理机构恶意串通的；</w:t>
      </w:r>
    </w:p>
    <w:p w14:paraId="7B7AFCD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（5）磋商文件规定的其他情形。</w:t>
      </w:r>
    </w:p>
    <w:p w14:paraId="2D8F629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18.响应文件编制的要求</w:t>
      </w:r>
    </w:p>
    <w:p w14:paraId="1D0E91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18.1各供应商在编制响应文件时请按照磋商文件“第五章</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ACA23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18.2响应文件应按资格证明、报价分别编制，商务技术文件合并编制，本磋商只接受电子版响应文件，要求见本章“12.2响应文件电子版要求”。</w:t>
      </w:r>
    </w:p>
    <w:p w14:paraId="2532306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w:t>
      </w:r>
      <w:bookmarkStart w:id="42" w:name="_Hlk65832699"/>
      <w:r>
        <w:rPr>
          <w:rFonts w:hint="eastAsia" w:asciiTheme="minorEastAsia" w:hAnsiTheme="minorEastAsia" w:eastAsiaTheme="minorEastAsia" w:cstheme="minorEastAsia"/>
          <w:color w:val="auto"/>
          <w:sz w:val="22"/>
          <w:szCs w:val="22"/>
          <w:highlight w:val="none"/>
        </w:rPr>
        <w:t>3响应文件须由供应商在</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第五章 响应文件格式</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规定位置进行签署、盖章</w:t>
      </w:r>
      <w:bookmarkEnd w:id="42"/>
      <w:r>
        <w:rPr>
          <w:rFonts w:hint="eastAsia" w:asciiTheme="minorEastAsia" w:hAnsiTheme="minorEastAsia" w:eastAsiaTheme="minorEastAsia" w:cstheme="minorEastAsia"/>
          <w:color w:val="auto"/>
          <w:sz w:val="22"/>
          <w:szCs w:val="22"/>
          <w:highlight w:val="none"/>
        </w:rPr>
        <w:t>，否则其响应文件按无效响应处理。骑缝盖公章不视为在规定位置盖章。</w:t>
      </w:r>
    </w:p>
    <w:p w14:paraId="6CAEEF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18.4响应文件中标注的供应商名称应与营业执照（事业单位法人证书、执业许可证、自然人身份证）及电子公章一致，否则其响应文件按无效响应处理。</w:t>
      </w:r>
    </w:p>
    <w:p w14:paraId="00B7A4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18.5响应文件应避免涂改、行间插字或者删除，否则其响应文件按无效响应处理。</w:t>
      </w:r>
    </w:p>
    <w:p w14:paraId="0F7F97D1">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19.响应文件的密封和标记</w:t>
      </w:r>
    </w:p>
    <w:p w14:paraId="37C75FB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EEB90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19.2使用“广西政府采购云平台电子交易客户端”需要提前申领CA数字证书，申领流程见该项目采购公告附件。</w:t>
      </w:r>
    </w:p>
    <w:p w14:paraId="237C091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830D3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20.响应文件的提交</w:t>
      </w:r>
    </w:p>
    <w:p w14:paraId="30B7ACB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20.1供应商必须在“供应商须知前附表”规定的时间和地点提交响应文件。</w:t>
      </w:r>
    </w:p>
    <w:p w14:paraId="0A4178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20.2在响应文件提交截止时间以后，不能补充、修改响应文件。</w:t>
      </w:r>
    </w:p>
    <w:p w14:paraId="2B802B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20.3在提交“最后报价”后，供应商不能退出</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w:t>
      </w:r>
    </w:p>
    <w:p w14:paraId="4C301C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3F3994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20.5采购机构不可视情况延长提交响应文件的截止时间。</w:t>
      </w:r>
    </w:p>
    <w:p w14:paraId="53AE587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20.6备份响应文件。</w:t>
      </w:r>
      <w:r>
        <w:rPr>
          <w:rFonts w:hint="eastAsia" w:asciiTheme="minorEastAsia" w:hAnsiTheme="minorEastAsia" w:eastAsiaTheme="minorEastAsia" w:cstheme="minorEastAsia"/>
          <w:bCs/>
          <w:color w:val="auto"/>
          <w:sz w:val="22"/>
          <w:szCs w:val="22"/>
          <w:highlight w:val="none"/>
        </w:rPr>
        <w:t>详见在“供应商须知前附表”。</w:t>
      </w:r>
    </w:p>
    <w:p w14:paraId="76EDFBB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21.首次响应文件的补充、修改与撤回</w:t>
      </w:r>
    </w:p>
    <w:p w14:paraId="74A9EA1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AFAFA4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43" w:name="_Hlk45702405"/>
      <w:r>
        <w:rPr>
          <w:rFonts w:hint="eastAsia" w:asciiTheme="minorEastAsia" w:hAnsiTheme="minorEastAsia" w:eastAsiaTheme="minorEastAsia" w:cstheme="minorEastAsia"/>
          <w:b/>
          <w:bCs/>
          <w:color w:val="auto"/>
          <w:sz w:val="22"/>
          <w:szCs w:val="22"/>
          <w:highlight w:val="none"/>
        </w:rPr>
        <w:t>22.首次响应文件的退回</w:t>
      </w:r>
    </w:p>
    <w:p w14:paraId="6ADDD0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”平台操作退回，除此之外采购人和采购代理机构对已提交的电子响应文件概不退回。</w:t>
      </w:r>
    </w:p>
    <w:p w14:paraId="4EE973A6">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23.截止时间后的撤回</w:t>
      </w:r>
    </w:p>
    <w:bookmarkEnd w:id="43"/>
    <w:p w14:paraId="2FF9175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供应商在首次响应文件提交截止时间后向采购人、采购代理机构书面申请撤回响应文件的，将根据本须知正文17.4的规定不予退还其磋商保证金。</w:t>
      </w:r>
    </w:p>
    <w:p w14:paraId="3D55E22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4" w:name="_Toc26182"/>
      <w:r>
        <w:rPr>
          <w:rFonts w:hint="eastAsia" w:asciiTheme="minorEastAsia" w:hAnsiTheme="minorEastAsia" w:eastAsiaTheme="minorEastAsia" w:cstheme="minorEastAsia"/>
          <w:b/>
          <w:bCs/>
          <w:color w:val="auto"/>
          <w:sz w:val="24"/>
          <w:szCs w:val="24"/>
          <w:highlight w:val="none"/>
        </w:rPr>
        <w:t>四、评审及磋商</w:t>
      </w:r>
      <w:bookmarkEnd w:id="44"/>
    </w:p>
    <w:p w14:paraId="4636F9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24.磋商小组成立</w:t>
      </w:r>
    </w:p>
    <w:p w14:paraId="7CF654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DD526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C8EC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24.3</w:t>
      </w:r>
      <w:r>
        <w:rPr>
          <w:rFonts w:hint="eastAsia" w:asciiTheme="minorEastAsia" w:hAnsiTheme="minorEastAsia" w:eastAsiaTheme="minorEastAsia" w:cstheme="minorEastAsia"/>
          <w:color w:val="auto"/>
          <w:sz w:val="22"/>
          <w:szCs w:val="22"/>
          <w:highlight w:val="none"/>
        </w:rPr>
        <w:t>本项目磋商小组由评审专家</w:t>
      </w:r>
      <w:r>
        <w:rPr>
          <w:rFonts w:hint="eastAsia" w:asciiTheme="minorEastAsia" w:hAnsiTheme="minorEastAsia" w:eastAsiaTheme="minorEastAsia" w:cstheme="minorEastAsia"/>
          <w:color w:val="auto"/>
          <w:sz w:val="22"/>
          <w:szCs w:val="22"/>
          <w:highlight w:val="none"/>
          <w:u w:val="single"/>
        </w:rPr>
        <w:t>2</w:t>
      </w:r>
      <w:r>
        <w:rPr>
          <w:rFonts w:hint="eastAsia" w:asciiTheme="minorEastAsia" w:hAnsiTheme="minorEastAsia" w:eastAsiaTheme="minorEastAsia" w:cstheme="minorEastAsia"/>
          <w:color w:val="auto"/>
          <w:sz w:val="22"/>
          <w:szCs w:val="22"/>
          <w:highlight w:val="none"/>
        </w:rPr>
        <w:t>人和采购人代表</w:t>
      </w:r>
      <w:r>
        <w:rPr>
          <w:rFonts w:hint="eastAsia" w:asciiTheme="minorEastAsia" w:hAnsiTheme="minorEastAsia" w:eastAsiaTheme="minorEastAsia" w:cstheme="minorEastAsia"/>
          <w:color w:val="auto"/>
          <w:sz w:val="22"/>
          <w:szCs w:val="22"/>
          <w:highlight w:val="none"/>
          <w:u w:val="single"/>
        </w:rPr>
        <w:t>1</w:t>
      </w:r>
      <w:r>
        <w:rPr>
          <w:rFonts w:hint="eastAsia" w:asciiTheme="minorEastAsia" w:hAnsiTheme="minorEastAsia" w:eastAsiaTheme="minorEastAsia" w:cstheme="minorEastAsia"/>
          <w:color w:val="auto"/>
          <w:sz w:val="22"/>
          <w:szCs w:val="22"/>
          <w:highlight w:val="none"/>
        </w:rPr>
        <w:t>人，共</w:t>
      </w:r>
      <w:r>
        <w:rPr>
          <w:rFonts w:hint="eastAsia" w:asciiTheme="minorEastAsia" w:hAnsiTheme="minorEastAsia" w:eastAsiaTheme="minorEastAsia" w:cstheme="minorEastAsia"/>
          <w:color w:val="auto"/>
          <w:sz w:val="22"/>
          <w:szCs w:val="22"/>
          <w:highlight w:val="none"/>
          <w:u w:val="single"/>
        </w:rPr>
        <w:t>3</w:t>
      </w:r>
      <w:r>
        <w:rPr>
          <w:rFonts w:hint="eastAsia" w:asciiTheme="minorEastAsia" w:hAnsiTheme="minorEastAsia" w:eastAsiaTheme="minorEastAsia" w:cstheme="minorEastAsia"/>
          <w:color w:val="auto"/>
          <w:sz w:val="22"/>
          <w:szCs w:val="22"/>
          <w:highlight w:val="none"/>
        </w:rPr>
        <w:t>人组成。</w:t>
      </w:r>
    </w:p>
    <w:p w14:paraId="39DCD1F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25.首次响应文件的开启</w:t>
      </w:r>
    </w:p>
    <w:p w14:paraId="62717D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25.1首次响应文件由磋商小组或者采购代理机构在“供应商须知前附表”规定的时间开启。</w:t>
      </w:r>
    </w:p>
    <w:p w14:paraId="7EAAB14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25.2</w:t>
      </w:r>
      <w:r>
        <w:rPr>
          <w:rFonts w:hint="eastAsia" w:asciiTheme="minorEastAsia" w:hAnsiTheme="minorEastAsia" w:eastAsiaTheme="minorEastAsia" w:cstheme="minorEastAsia"/>
          <w:bCs/>
          <w:color w:val="auto"/>
          <w:kern w:val="0"/>
          <w:sz w:val="22"/>
          <w:szCs w:val="22"/>
          <w:highlight w:val="none"/>
        </w:rPr>
        <w:t>响应文件解密</w:t>
      </w:r>
    </w:p>
    <w:p w14:paraId="3A050D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采购代理机构将在“供应商须知前附表”规定的时</w:t>
      </w:r>
      <w:r>
        <w:rPr>
          <w:rFonts w:hint="eastAsia" w:asciiTheme="minorEastAsia" w:hAnsiTheme="minorEastAsia" w:eastAsiaTheme="minorEastAsia" w:cstheme="minorEastAsia"/>
          <w:color w:val="auto"/>
          <w:kern w:val="0"/>
          <w:sz w:val="22"/>
          <w:szCs w:val="22"/>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 w:val="22"/>
          <w:szCs w:val="22"/>
          <w:highlight w:val="none"/>
        </w:rPr>
        <w:t>须携带加密时所用的CA锁按平台提示和采购文件的规定登录到“</w:t>
      </w:r>
      <w:r>
        <w:rPr>
          <w:rFonts w:hint="eastAsia" w:asciiTheme="minorEastAsia" w:hAnsiTheme="minorEastAsia" w:eastAsiaTheme="minorEastAsia" w:cstheme="minorEastAsia"/>
          <w:b/>
          <w:color w:val="auto"/>
          <w:kern w:val="0"/>
          <w:sz w:val="22"/>
          <w:szCs w:val="22"/>
          <w:highlight w:val="none"/>
          <w:lang w:eastAsia="zh-CN"/>
        </w:rPr>
        <w:t>广西政府采购云平台</w:t>
      </w:r>
      <w:r>
        <w:rPr>
          <w:rFonts w:hint="eastAsia" w:asciiTheme="minorEastAsia" w:hAnsiTheme="minorEastAsia" w:eastAsiaTheme="minorEastAsia" w:cstheme="minorEastAsia"/>
          <w:b/>
          <w:color w:val="auto"/>
          <w:kern w:val="0"/>
          <w:sz w:val="22"/>
          <w:szCs w:val="22"/>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 w:val="22"/>
          <w:szCs w:val="2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 w:val="22"/>
          <w:szCs w:val="22"/>
          <w:highlight w:val="none"/>
        </w:rPr>
        <w:t>视为响应文件无效。</w:t>
      </w:r>
      <w:r>
        <w:rPr>
          <w:rFonts w:hint="eastAsia" w:asciiTheme="minorEastAsia" w:hAnsiTheme="minorEastAsia" w:eastAsiaTheme="minorEastAsia" w:cstheme="minorEastAsia"/>
          <w:color w:val="auto"/>
          <w:kern w:val="0"/>
          <w:sz w:val="22"/>
          <w:szCs w:val="22"/>
          <w:highlight w:val="none"/>
        </w:rPr>
        <w:t>（解密</w:t>
      </w:r>
      <w:r>
        <w:rPr>
          <w:rFonts w:hint="eastAsia" w:asciiTheme="minorEastAsia" w:hAnsiTheme="minorEastAsia" w:eastAsiaTheme="minorEastAsia" w:cstheme="minorEastAsia"/>
          <w:bCs/>
          <w:color w:val="auto"/>
          <w:kern w:val="0"/>
          <w:sz w:val="22"/>
          <w:szCs w:val="22"/>
          <w:highlight w:val="none"/>
        </w:rPr>
        <w:t>异常情况处理：详见本章</w:t>
      </w:r>
      <w:r>
        <w:rPr>
          <w:rFonts w:hint="eastAsia" w:asciiTheme="minorEastAsia" w:hAnsiTheme="minorEastAsia" w:eastAsiaTheme="minorEastAsia" w:cstheme="minorEastAsia"/>
          <w:color w:val="auto"/>
          <w:kern w:val="0"/>
          <w:sz w:val="22"/>
          <w:szCs w:val="22"/>
          <w:highlight w:val="none"/>
        </w:rPr>
        <w:t>26.</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电子交易活动的中止。）</w:t>
      </w:r>
    </w:p>
    <w:p w14:paraId="7894EE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eastAsiaTheme="minorEastAsia" w:cstheme="minorEastAsia"/>
          <w:bCs/>
          <w:color w:val="auto"/>
          <w:kern w:val="0"/>
          <w:sz w:val="22"/>
          <w:szCs w:val="22"/>
          <w:highlight w:val="none"/>
        </w:rPr>
        <w:t>供应商成功解密响应文件，但未在“</w:t>
      </w:r>
      <w:r>
        <w:rPr>
          <w:rFonts w:hint="eastAsia" w:asciiTheme="minorEastAsia" w:hAnsiTheme="minorEastAsia" w:eastAsiaTheme="minorEastAsia" w:cstheme="minorEastAsia"/>
          <w:bCs/>
          <w:color w:val="auto"/>
          <w:kern w:val="0"/>
          <w:sz w:val="22"/>
          <w:szCs w:val="22"/>
          <w:highlight w:val="none"/>
          <w:lang w:eastAsia="zh-CN"/>
        </w:rPr>
        <w:t>广西政府采购云平台</w:t>
      </w:r>
      <w:r>
        <w:rPr>
          <w:rFonts w:hint="eastAsia" w:asciiTheme="minorEastAsia" w:hAnsiTheme="minorEastAsia" w:eastAsiaTheme="minorEastAsia" w:cstheme="minorEastAsia"/>
          <w:bCs/>
          <w:color w:val="auto"/>
          <w:kern w:val="0"/>
          <w:sz w:val="22"/>
          <w:szCs w:val="22"/>
          <w:highlight w:val="none"/>
        </w:rPr>
        <w:t>”电子开标大厅参加</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的，视同认可</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过程和结果，</w:t>
      </w:r>
      <w:r>
        <w:rPr>
          <w:rFonts w:hint="eastAsia" w:asciiTheme="minorEastAsia" w:hAnsiTheme="minorEastAsia" w:eastAsiaTheme="minorEastAsia" w:cstheme="minorEastAsia"/>
          <w:color w:val="auto"/>
          <w:kern w:val="0"/>
          <w:sz w:val="22"/>
          <w:szCs w:val="22"/>
          <w:highlight w:val="none"/>
        </w:rPr>
        <w:t>由此产生的后果由供应商自行负责。参与</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的供应商不足3家的，不得</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7D5EE49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26.评审程序、评审方法和评审标准</w:t>
      </w:r>
    </w:p>
    <w:p w14:paraId="0E17484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26.1磋商小组按照“第四章 评审程序、评审方法和评审标准”规定的方法、评审因素、标准和程序对响应文件进行评审。</w:t>
      </w:r>
    </w:p>
    <w:p w14:paraId="7D1E63E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26.2磋商文件内容违反国家有关强制性规定的，磋商小组应当停止评审并向采购人或者采购代理机构说明情况，并在评审报告中书面体现。</w:t>
      </w:r>
    </w:p>
    <w:p w14:paraId="2F604B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采购需求负偏离要求及磋商顺序详见“供应商须知前附表”。</w:t>
      </w:r>
    </w:p>
    <w:p w14:paraId="6DA6547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电子交易活动的中止。采购过程中出现以下情形，导致电子交易平台无法正常运行，或者无法保证电子交易的公平、公正和安全时，采购机构可中止电子交易活动：</w:t>
      </w:r>
    </w:p>
    <w:p w14:paraId="505004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（1）电子交易平台发生故障而无法登录访问的；</w:t>
      </w:r>
    </w:p>
    <w:p w14:paraId="0950DC1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3D8AB31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257AE6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（4）病毒发作导致不能进行正常操作的；</w:t>
      </w:r>
    </w:p>
    <w:p w14:paraId="3E6F8E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）其他无法保证电子交易的公平、公正和安全的情况。</w:t>
      </w:r>
    </w:p>
    <w:p w14:paraId="0402E6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A793EF7">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5" w:name="_Toc9972"/>
      <w:r>
        <w:rPr>
          <w:rFonts w:hint="eastAsia" w:asciiTheme="minorEastAsia" w:hAnsiTheme="minorEastAsia" w:eastAsiaTheme="minorEastAsia" w:cstheme="minorEastAsia"/>
          <w:b/>
          <w:bCs/>
          <w:color w:val="auto"/>
          <w:sz w:val="24"/>
          <w:szCs w:val="24"/>
          <w:highlight w:val="none"/>
        </w:rPr>
        <w:t>五、成交及合同</w:t>
      </w:r>
      <w:bookmarkEnd w:id="45"/>
    </w:p>
    <w:p w14:paraId="60D71D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27.确定成交供应商及结果公告</w:t>
      </w:r>
    </w:p>
    <w:p w14:paraId="1B5E16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27.1确定成交供应商。</w:t>
      </w:r>
      <w:r>
        <w:rPr>
          <w:rFonts w:hint="eastAsia" w:asciiTheme="minorEastAsia" w:hAnsiTheme="minorEastAsia" w:eastAsiaTheme="minorEastAsia" w:cstheme="minorEastAsia"/>
          <w:color w:val="auto"/>
          <w:kern w:val="0"/>
          <w:sz w:val="22"/>
          <w:szCs w:val="22"/>
          <w:highlight w:val="none"/>
          <w:u w:val="single"/>
        </w:rPr>
        <w:t>由采购人</w:t>
      </w:r>
      <w:r>
        <w:rPr>
          <w:rFonts w:hint="eastAsia" w:asciiTheme="minorEastAsia" w:hAnsiTheme="minorEastAsia" w:eastAsiaTheme="minorEastAsia" w:cstheme="minorEastAsia"/>
          <w:color w:val="auto"/>
          <w:kern w:val="0"/>
          <w:sz w:val="22"/>
          <w:szCs w:val="22"/>
          <w:highlight w:val="none"/>
          <w:u w:val="single"/>
          <w:lang w:val="en-US" w:eastAsia="zh-CN"/>
        </w:rPr>
        <w:t>根据</w:t>
      </w:r>
      <w:r>
        <w:rPr>
          <w:rFonts w:hint="eastAsia" w:asciiTheme="minorEastAsia" w:hAnsiTheme="minorEastAsia" w:eastAsiaTheme="minorEastAsia" w:cstheme="minorEastAsia"/>
          <w:color w:val="auto"/>
          <w:sz w:val="22"/>
          <w:szCs w:val="22"/>
          <w:highlight w:val="none"/>
          <w:u w:val="single"/>
        </w:rPr>
        <w:t>评审报告</w:t>
      </w:r>
      <w:r>
        <w:rPr>
          <w:rFonts w:hint="eastAsia" w:asciiTheme="minorEastAsia" w:hAnsiTheme="minorEastAsia" w:eastAsiaTheme="minorEastAsia" w:cstheme="minorEastAsia"/>
          <w:color w:val="auto"/>
          <w:sz w:val="22"/>
          <w:szCs w:val="22"/>
          <w:highlight w:val="none"/>
          <w:u w:val="single"/>
          <w:lang w:val="en-US" w:eastAsia="zh-CN"/>
        </w:rPr>
        <w:t>确认</w:t>
      </w:r>
      <w:r>
        <w:rPr>
          <w:rFonts w:hint="eastAsia" w:asciiTheme="minorEastAsia" w:hAnsiTheme="minorEastAsia" w:eastAsiaTheme="minorEastAsia" w:cstheme="minorEastAsia"/>
          <w:color w:val="auto"/>
          <w:sz w:val="22"/>
          <w:szCs w:val="22"/>
          <w:highlight w:val="none"/>
          <w:u w:val="single"/>
        </w:rPr>
        <w:t>成交供应商。</w:t>
      </w:r>
    </w:p>
    <w:p w14:paraId="10ADF7F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27.2成交通知及成交结果公告。</w:t>
      </w:r>
      <w:r>
        <w:rPr>
          <w:rFonts w:hint="eastAsia" w:asciiTheme="minorEastAsia" w:hAnsiTheme="minorEastAsia" w:eastAsiaTheme="minorEastAsia" w:cstheme="minorEastAsia"/>
          <w:color w:val="auto"/>
          <w:kern w:val="0"/>
          <w:sz w:val="22"/>
          <w:szCs w:val="22"/>
          <w:highlight w:val="none"/>
        </w:rPr>
        <w:t>成交</w:t>
      </w:r>
      <w:r>
        <w:rPr>
          <w:rFonts w:hint="eastAsia" w:asciiTheme="minorEastAsia" w:hAnsiTheme="minorEastAsia" w:eastAsiaTheme="minorEastAsia" w:cstheme="minorEastAsia"/>
          <w:color w:val="auto"/>
          <w:sz w:val="22"/>
          <w:szCs w:val="22"/>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2"/>
          <w:szCs w:val="22"/>
          <w:highlight w:val="none"/>
        </w:rPr>
        <w:t>告成交结果（成交通知及成交结果公告应使用</w:t>
      </w:r>
      <w:r>
        <w:rPr>
          <w:rFonts w:hint="eastAsia" w:asciiTheme="minorEastAsia" w:hAnsiTheme="minorEastAsia" w:eastAsiaTheme="minorEastAsia" w:cstheme="minorEastAsia"/>
          <w:color w:val="auto"/>
          <w:kern w:val="0"/>
          <w:sz w:val="22"/>
          <w:szCs w:val="22"/>
          <w:highlight w:val="none"/>
          <w:lang w:val="en-US" w:eastAsia="zh-CN"/>
        </w:rPr>
        <w:t>相应</w:t>
      </w:r>
      <w:r>
        <w:rPr>
          <w:rFonts w:hint="eastAsia" w:asciiTheme="minorEastAsia" w:hAnsiTheme="minorEastAsia" w:eastAsiaTheme="minorEastAsia" w:cstheme="minorEastAsia"/>
          <w:color w:val="auto"/>
          <w:kern w:val="0"/>
          <w:sz w:val="22"/>
          <w:szCs w:val="22"/>
          <w:highlight w:val="none"/>
        </w:rPr>
        <w:t>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2"/>
          <w:szCs w:val="22"/>
          <w:highlight w:val="none"/>
        </w:rPr>
        <w:t>同时向成交供应商发出成交通知书，成交通知书规定签订合同的时间不得超过25日。</w:t>
      </w:r>
    </w:p>
    <w:p w14:paraId="5287560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27.3采购人或者采购代理机构发出成交通知书前，应当对成交供应商信用进行查询核实，对列入失信被执行人、重大税收违法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1976E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EAAE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27.5</w:t>
      </w:r>
      <w:r>
        <w:rPr>
          <w:rFonts w:hint="eastAsia" w:asciiTheme="minorEastAsia" w:hAnsiTheme="minorEastAsia" w:eastAsiaTheme="minorEastAsia" w:cstheme="minorEastAsia"/>
          <w:color w:val="auto"/>
          <w:sz w:val="22"/>
          <w:szCs w:val="22"/>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C28CCC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28.履约保证金</w:t>
      </w:r>
    </w:p>
    <w:p w14:paraId="6440BEE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详见“供应商须知前附表”</w:t>
      </w:r>
    </w:p>
    <w:p w14:paraId="6CABC69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29.签订合同</w:t>
      </w:r>
    </w:p>
    <w:p w14:paraId="36B25DC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kern w:val="0"/>
          <w:sz w:val="22"/>
          <w:szCs w:val="22"/>
          <w:highlight w:val="none"/>
          <w:lang w:val="zh-CN"/>
        </w:rPr>
        <w:t>如成交供应商为联合体的，由联合体成员各方法定代表人或其授权代表与采购人代表签订合同。</w:t>
      </w:r>
    </w:p>
    <w:p w14:paraId="4B38C6D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125B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8311D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29.4如签订合同并生效后，供应商无故拒绝或延期，除按照合同条款处理外，列入不良行为记录，并给予通报。</w:t>
      </w:r>
    </w:p>
    <w:p w14:paraId="58775F2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29.5采购合同由采购人与成交供应商根据磋商文件、响应文件等内容通过政府采购电子交易平台在线签订，自动备案，在线签订须携带的材料见“供应商须知前附表”。</w:t>
      </w:r>
    </w:p>
    <w:p w14:paraId="6628846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30.政府采购合同公告</w:t>
      </w:r>
    </w:p>
    <w:p w14:paraId="69F8C7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EEF25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31.询问、质疑和投诉</w:t>
      </w:r>
    </w:p>
    <w:p w14:paraId="39584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31.1供应商对政府采购活动事项有疑问的，可以向采购人、采购代理机构提出询问，采购人或者采购代理机构应当在3个工作日内对供应商依法提出的询问作出答复。</w:t>
      </w:r>
    </w:p>
    <w:p w14:paraId="32B3B7E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2"/>
          <w:szCs w:val="22"/>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2"/>
          <w:szCs w:val="22"/>
          <w:highlight w:val="none"/>
        </w:rPr>
        <w:t>“供应商须知前附表”。</w:t>
      </w:r>
      <w:r>
        <w:rPr>
          <w:rFonts w:hint="eastAsia" w:asciiTheme="minorEastAsia" w:hAnsiTheme="minorEastAsia" w:eastAsiaTheme="minorEastAsia" w:cstheme="minorEastAsia"/>
          <w:b/>
          <w:color w:val="auto"/>
          <w:sz w:val="22"/>
          <w:szCs w:val="22"/>
          <w:highlight w:val="none"/>
        </w:rPr>
        <w:t>具体质疑起算时间及处理方式如下：</w:t>
      </w:r>
    </w:p>
    <w:p w14:paraId="49A4A80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2"/>
          <w:szCs w:val="22"/>
          <w:highlight w:val="none"/>
        </w:rPr>
        <w:t>委托代理协议无特殊约定的，</w:t>
      </w:r>
      <w:r>
        <w:rPr>
          <w:rFonts w:hint="eastAsia" w:asciiTheme="minorEastAsia" w:hAnsiTheme="minorEastAsia" w:eastAsiaTheme="minorEastAsia" w:cstheme="minorEastAsia"/>
          <w:bCs/>
          <w:color w:val="auto"/>
          <w:sz w:val="22"/>
          <w:szCs w:val="22"/>
          <w:highlight w:val="none"/>
        </w:rPr>
        <w:t>对竞争性磋商文件中采购需求（含资格要求、采购预算和评分办法）的质疑由采购人受理并负责答复；对竞争性磋商文件中的采购执行程序的质疑由采购代理机构受理并负责答复。</w:t>
      </w:r>
    </w:p>
    <w:p w14:paraId="518B8C9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B89D8F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（3）供应商认为成交结果使自己的权益受到损害的，应当在成交结果公告期限届满之日起7个工作日内提出质疑，由采购人受理并负责答复。</w:t>
      </w:r>
    </w:p>
    <w:p w14:paraId="40F9E0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3D3DB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31.4供应商提出质疑应当提交质疑函和必要的证明材料，针对同一采购程序环节的质疑必须在法定质疑期内一次性提出。质疑函应当包括下列内容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2"/>
          <w:szCs w:val="22"/>
          <w:highlight w:val="none"/>
        </w:rPr>
        <w:t>（质疑函格式后附）</w:t>
      </w:r>
      <w:r>
        <w:rPr>
          <w:rFonts w:hint="eastAsia" w:asciiTheme="minorEastAsia" w:hAnsiTheme="minorEastAsia" w:eastAsiaTheme="minorEastAsia" w:cstheme="minorEastAsia"/>
          <w:color w:val="auto"/>
          <w:sz w:val="22"/>
          <w:szCs w:val="22"/>
          <w:highlight w:val="none"/>
        </w:rPr>
        <w:t>：</w:t>
      </w:r>
    </w:p>
    <w:p w14:paraId="10EE70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（1）供应商的姓名或者名称、地址、邮编、联系人及联系电话；</w:t>
      </w:r>
    </w:p>
    <w:p w14:paraId="5E0CA45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（2）质疑项目的名称、编号；</w:t>
      </w:r>
    </w:p>
    <w:p w14:paraId="4455418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（3）具体、明确的质疑事项和与质疑事项相关的请求；</w:t>
      </w:r>
    </w:p>
    <w:p w14:paraId="7B1A4A3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（4）事实依据；</w:t>
      </w:r>
    </w:p>
    <w:p w14:paraId="30CC19F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（5）必要的法律依据；</w:t>
      </w:r>
    </w:p>
    <w:p w14:paraId="6AF863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（6）提出质疑的日期。</w:t>
      </w:r>
    </w:p>
    <w:p w14:paraId="3D9F44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供应商为自然人的，应当由本人签字；供应商为法人或者其他组织的，应当由法定代表人、主要负责人，或者其委托代理人签字或者盖章，并加盖公章。</w:t>
      </w:r>
    </w:p>
    <w:p w14:paraId="30157B6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31.5采购人、采购代理机构认为供应商质疑不成立，或者成立但未对成交结果构成影响的，继续开展采购活动；认为供应商质疑成立且影响或者可能影响成交结果的，按照下列情况处理：</w:t>
      </w:r>
    </w:p>
    <w:p w14:paraId="05BCCB1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（一）对采购文件提出的质疑，依法通过澄清或者修改可以继续开展采购活动的，澄清或者修改采购文件后继续开展采购活动；否则应当修改采购文件后重新开展采购活动。</w:t>
      </w:r>
    </w:p>
    <w:p w14:paraId="04C5BAC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（二）对采购过程或者成交结果提出的质疑，合格供应商符合法定数量时，可以从合格的成交候选人中另行确定成交供应商的，应当依法另行确定成交供应商；否则应当重新开展采购活动。</w:t>
      </w:r>
    </w:p>
    <w:p w14:paraId="2E9C9C1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质疑答复导致成交结果改变的，采购人或者采购代理机构应当将有关情况书面报告本级财政部门。</w:t>
      </w:r>
    </w:p>
    <w:p w14:paraId="645E88E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6" w:name="_Toc80205930"/>
    </w:p>
    <w:p w14:paraId="6DF13EF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31.7</w:t>
      </w:r>
      <w:r>
        <w:rPr>
          <w:rFonts w:hint="eastAsia" w:asciiTheme="minorEastAsia" w:hAnsiTheme="minorEastAsia" w:eastAsiaTheme="minorEastAsia" w:cstheme="minorEastAsia"/>
          <w:color w:val="auto"/>
          <w:sz w:val="22"/>
          <w:szCs w:val="22"/>
          <w:highlight w:val="none"/>
        </w:rPr>
        <w:t>供应商应明确知悉投诉可能产生的后果并承担相应的责任：</w:t>
      </w:r>
    </w:p>
    <w:p w14:paraId="7C05A31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按照《政府采购质疑和投诉办法》（中华人民共和国财政部令第94号）第三十七条：投诉人在全国范围12个月内三次以上投诉查无实据的，由财政部门列入不良行为记录名单。</w:t>
      </w:r>
    </w:p>
    <w:p w14:paraId="32612E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投诉人有下列行为之一的，属于虚假、恶意投诉，由财政部门列入不良行为记录名单，禁止其1至3年内参加政府采购活动：</w:t>
      </w:r>
    </w:p>
    <w:p w14:paraId="3A234F4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（一）捏造事实</w:t>
      </w:r>
      <w:r>
        <w:rPr>
          <w:rFonts w:hint="eastAsia" w:asciiTheme="minorEastAsia" w:hAnsiTheme="minorEastAsia" w:eastAsiaTheme="minorEastAsia" w:cstheme="minorEastAsia"/>
          <w:color w:val="auto"/>
          <w:sz w:val="22"/>
          <w:szCs w:val="22"/>
          <w:highlight w:val="none"/>
          <w:lang w:eastAsia="zh-CN"/>
        </w:rPr>
        <w:t>；</w:t>
      </w:r>
    </w:p>
    <w:p w14:paraId="0A27D74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（二）提供虚假材料</w:t>
      </w:r>
      <w:r>
        <w:rPr>
          <w:rFonts w:hint="eastAsia" w:asciiTheme="minorEastAsia" w:hAnsiTheme="minorEastAsia" w:eastAsiaTheme="minorEastAsia" w:cstheme="minorEastAsia"/>
          <w:color w:val="auto"/>
          <w:sz w:val="22"/>
          <w:szCs w:val="22"/>
          <w:highlight w:val="none"/>
          <w:lang w:eastAsia="zh-CN"/>
        </w:rPr>
        <w:t>；</w:t>
      </w:r>
    </w:p>
    <w:p w14:paraId="3955EB4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以非法手段取得证明材料。证据来源的合法性存在明显疑问，投诉人无法证明其取得方式合法的，视为以非法手段取得证明材料。</w:t>
      </w:r>
    </w:p>
    <w:p w14:paraId="596E037B">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7" w:name="_Toc8074"/>
      <w:r>
        <w:rPr>
          <w:rFonts w:hint="eastAsia" w:asciiTheme="minorEastAsia" w:hAnsiTheme="minorEastAsia" w:eastAsiaTheme="minorEastAsia" w:cstheme="minorEastAsia"/>
          <w:b/>
          <w:bCs/>
          <w:color w:val="auto"/>
          <w:sz w:val="24"/>
          <w:szCs w:val="24"/>
          <w:highlight w:val="none"/>
        </w:rPr>
        <w:t>六、验收</w:t>
      </w:r>
      <w:bookmarkEnd w:id="46"/>
      <w:bookmarkEnd w:id="47"/>
    </w:p>
    <w:p w14:paraId="7565A481">
      <w:pPr>
        <w:pageBreakBefore w:val="0"/>
        <w:widowControl w:val="0"/>
        <w:tabs>
          <w:tab w:val="left" w:pos="0"/>
        </w:tabs>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32.验收</w:t>
      </w:r>
    </w:p>
    <w:p w14:paraId="3BE892AA">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99A702">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472C3D37">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D688D">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A4EA73">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8" w:name="_Toc9558"/>
      <w:r>
        <w:rPr>
          <w:rFonts w:hint="eastAsia" w:asciiTheme="minorEastAsia" w:hAnsiTheme="minorEastAsia" w:eastAsiaTheme="minorEastAsia" w:cstheme="minorEastAsia"/>
          <w:b/>
          <w:bCs/>
          <w:color w:val="auto"/>
          <w:sz w:val="24"/>
          <w:szCs w:val="24"/>
          <w:highlight w:val="none"/>
        </w:rPr>
        <w:t>七、其他事项</w:t>
      </w:r>
      <w:bookmarkEnd w:id="48"/>
    </w:p>
    <w:p w14:paraId="7C9936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33.代理服务费</w:t>
      </w:r>
    </w:p>
    <w:p w14:paraId="5FD9543F">
      <w:pPr>
        <w:pageBreakBefore w:val="0"/>
        <w:widowControl w:val="0"/>
        <w:tabs>
          <w:tab w:val="left" w:pos="2835"/>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代理服务收费标准详见“供应商须知前附表”。</w:t>
      </w:r>
    </w:p>
    <w:p w14:paraId="73319C0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34.需要补充的其他内容</w:t>
      </w:r>
    </w:p>
    <w:p w14:paraId="5539589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34.1本磋商文件解释规则详见“供应商须知前附表”。</w:t>
      </w:r>
    </w:p>
    <w:p w14:paraId="7692522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34.2其他事项详见“供应商须知前附表”。</w:t>
      </w:r>
    </w:p>
    <w:p w14:paraId="2AC0F6F5">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kern w:val="0"/>
          <w:sz w:val="22"/>
          <w:szCs w:val="22"/>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sz w:val="22"/>
          <w:szCs w:val="22"/>
          <w:highlight w:val="none"/>
        </w:rPr>
        <w:t>，享受本文件规定的中小企业扶持政策。</w:t>
      </w:r>
    </w:p>
    <w:p w14:paraId="123EBB86">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以联合体形式参加政府采购活动，联合体各方均为中小企业的，联合体视同中小企业。其中，联合体各方均为小微企业的，联合体视同小微企业。</w:t>
      </w:r>
    </w:p>
    <w:p w14:paraId="10613244">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依据本文件规定享受扶持政策获得政府采购合同的，小微企业不得将合同分包给大中型企业，中型企业不得将合同分包给大型企业。</w:t>
      </w:r>
    </w:p>
    <w:p w14:paraId="7E8136AF">
      <w:pPr>
        <w:spacing w:line="360" w:lineRule="auto"/>
        <w:jc w:val="center"/>
        <w:textAlignment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color w:val="auto"/>
          <w:kern w:val="0"/>
          <w:sz w:val="24"/>
          <w:szCs w:val="24"/>
          <w:highlight w:val="none"/>
        </w:rPr>
        <w:br w:type="page"/>
      </w:r>
      <w:bookmarkStart w:id="49" w:name="_Toc9978"/>
      <w:r>
        <w:rPr>
          <w:rFonts w:hint="eastAsia" w:ascii="宋体" w:hAnsi="宋体" w:eastAsia="宋体" w:cs="宋体"/>
          <w:b/>
          <w:color w:val="auto"/>
          <w:kern w:val="44"/>
          <w:sz w:val="32"/>
          <w:szCs w:val="32"/>
          <w:highlight w:val="none"/>
        </w:rPr>
        <w:t>第四章  评标方法及评分标准</w:t>
      </w:r>
    </w:p>
    <w:p w14:paraId="73C3B0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0" w:name="_Toc994"/>
      <w:r>
        <w:rPr>
          <w:rFonts w:hint="eastAsia" w:ascii="宋体" w:hAnsi="宋体" w:eastAsia="宋体" w:cs="宋体"/>
          <w:bCs/>
          <w:color w:val="auto"/>
          <w:sz w:val="32"/>
          <w:szCs w:val="32"/>
          <w:highlight w:val="none"/>
        </w:rPr>
        <w:t>第一节 评审程序和评审方法</w:t>
      </w:r>
      <w:bookmarkEnd w:id="50"/>
    </w:p>
    <w:p w14:paraId="35A5689C">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1.确认磋商文件</w:t>
      </w:r>
    </w:p>
    <w:p w14:paraId="06CA05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由磋商小组确认磋商文件。</w:t>
      </w:r>
    </w:p>
    <w:p w14:paraId="4D24189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2.资格审查</w:t>
      </w:r>
    </w:p>
    <w:p w14:paraId="13425A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2.1响应文件开启后，磋商小组依法对供应商的资格证明文件进行审查。</w:t>
      </w:r>
    </w:p>
    <w:p w14:paraId="51C5B80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注：采购人代表或者采购代理机构在资格审查结束前，对供应商进行信用查询。</w:t>
      </w:r>
    </w:p>
    <w:p w14:paraId="6C7348DD">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（1）查询渠道：“</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”平台“信用中国”网站(</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www.creditchina.gov.cn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"http://www.ccgp.gov.cn"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www.ccgp.gov.cn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)链接入口。</w:t>
      </w:r>
    </w:p>
    <w:p w14:paraId="5A5690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（2）信用查询截止时点：资格审查结束前。</w:t>
      </w:r>
    </w:p>
    <w:p w14:paraId="17D5D3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查询记录和证据留存方式：在查询网站中直接打印查询记录，截图另存为电子文档作为评审资料保存。</w:t>
      </w:r>
    </w:p>
    <w:p w14:paraId="4836D9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（3）信用信息使用规则：对在“信用中国”网站(www.creditchina.gov.cn)、中国政府采购网(www.ccgp.gov.cn)被列入失信被执行人、重大税收违法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6CA69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2.2资格审查标准为本磋商文件中载明对供应商资格要求的条件。资格审查采用合格制，凡符合磋商文件规定的供应商资格要求的响应文件均通过资格审查。</w:t>
      </w:r>
    </w:p>
    <w:p w14:paraId="649A8F5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2.3供应商有下列情形之一的，资格审查不通过，其响应文件按无效响应处理：</w:t>
      </w:r>
    </w:p>
    <w:p w14:paraId="77B2144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（1）不具备磋商文件中规定的资格要求的；</w:t>
      </w:r>
    </w:p>
    <w:p w14:paraId="6AB4538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（2）响应文件未提供任一项“供应商须知前附表”资格证明文件规定的“必须提供”的文件资料的；</w:t>
      </w:r>
    </w:p>
    <w:p w14:paraId="5A925DE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（3）响应文件提供的资格证明文件出现任一项不符合“供应商须知前附表”资格证明文件规定的“必须提供”的文件资料要求或者无效的。</w:t>
      </w:r>
    </w:p>
    <w:p w14:paraId="7269E1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bookmarkStart w:id="51" w:name="_Hlk68601553"/>
      <w:r>
        <w:rPr>
          <w:rFonts w:hint="eastAsia" w:asciiTheme="minorEastAsia" w:hAnsiTheme="minorEastAsia" w:eastAsiaTheme="minorEastAsia" w:cstheme="minorEastAsia"/>
          <w:color w:val="auto"/>
          <w:sz w:val="22"/>
          <w:szCs w:val="22"/>
          <w:highlight w:val="none"/>
        </w:rPr>
        <w:t>（4）同一合同项下的不同供应商，单位负责人为同一人或者存在直接控股、管理关系的；为本项目提供过整体设计、规范编制或者项目管理、监理、检测等服务的。</w:t>
      </w:r>
      <w:bookmarkEnd w:id="51"/>
    </w:p>
    <w:p w14:paraId="6D78D8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2.4通过资格审查的合格供应商不足3家的，不得进入符合性审查环节，采购人或者采购代理机构应当重新开展采购活动。</w:t>
      </w:r>
    </w:p>
    <w:p w14:paraId="305E2C39">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3.符合性审查</w:t>
      </w:r>
    </w:p>
    <w:p w14:paraId="7590D6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3.1由磋商小组对通过资格审查的合格供应商的响应文件的响应报价、商务、技术等实质性要求进行符合性审查，以确定其是否满足磋商文件的实质性要求。</w:t>
      </w:r>
    </w:p>
    <w:p w14:paraId="3390F02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9E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3.3磋商小组要求供应商澄清、说明或者更正响应文件应当以电子澄清函形式作出。供应商的澄清、说明或者更正应当</w:t>
      </w:r>
      <w:r>
        <w:rPr>
          <w:rFonts w:hint="eastAsia" w:asciiTheme="minorEastAsia" w:hAnsiTheme="minorEastAsia" w:eastAsiaTheme="minorEastAsia" w:cstheme="minorEastAsia"/>
          <w:color w:val="auto"/>
          <w:sz w:val="22"/>
          <w:szCs w:val="22"/>
          <w:highlight w:val="none"/>
          <w:lang w:val="en-US" w:eastAsia="zh-CN"/>
        </w:rPr>
        <w:t>以</w:t>
      </w:r>
      <w:r>
        <w:rPr>
          <w:rFonts w:hint="eastAsia" w:asciiTheme="minorEastAsia" w:hAnsiTheme="minorEastAsia" w:eastAsiaTheme="minorEastAsia" w:cstheme="minorEastAsia"/>
          <w:color w:val="auto"/>
          <w:sz w:val="22"/>
          <w:szCs w:val="22"/>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2"/>
          <w:szCs w:val="22"/>
          <w:highlight w:val="none"/>
        </w:rPr>
        <w:t>。供应商为自然人的，必须由本人签字并附身份证明。</w:t>
      </w:r>
    </w:p>
    <w:p w14:paraId="18C815D6">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6"/>
          <w:sz w:val="22"/>
          <w:szCs w:val="22"/>
          <w:highlight w:val="none"/>
        </w:rPr>
        <w:t>3.4</w:t>
      </w:r>
      <w:r>
        <w:rPr>
          <w:rFonts w:hint="eastAsia" w:asciiTheme="minorEastAsia" w:hAnsiTheme="minorEastAsia" w:eastAsiaTheme="minorEastAsia" w:cstheme="minorEastAsia"/>
          <w:color w:val="auto"/>
          <w:sz w:val="22"/>
          <w:szCs w:val="22"/>
          <w:highlight w:val="none"/>
        </w:rPr>
        <w:t>首次响应文件报价出现前后不一致的，按照下列规定修正：</w:t>
      </w:r>
    </w:p>
    <w:p w14:paraId="267CCC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（1）响应文件中报价表内容与响应文件中相应内容不一致的，以报价表为准；</w:t>
      </w:r>
    </w:p>
    <w:p w14:paraId="633F305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（2）大写金额和小写金额不一致的，以大写金额为准；</w:t>
      </w:r>
    </w:p>
    <w:p w14:paraId="5437422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（3）单价金额小数点或者百分比有明显错位的，以报价表的总价为准，并修改单价；</w:t>
      </w:r>
    </w:p>
    <w:p w14:paraId="48CC63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（4）总价金额与按单价汇总金额不一致的，以单价金额计算结果为准。</w:t>
      </w:r>
    </w:p>
    <w:p w14:paraId="4695A67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6C1734E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3.5商务技术、报价评审</w:t>
      </w:r>
    </w:p>
    <w:p w14:paraId="5B371E5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在评审时，如发现下列情形之一的，将被视为响应文件无效处理：</w:t>
      </w:r>
    </w:p>
    <w:p w14:paraId="5BC0C9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（1）商务技术评审</w:t>
      </w:r>
    </w:p>
    <w:p w14:paraId="6B3EF75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1）响应文件未按磋商文件要求签署、盖章；</w:t>
      </w:r>
    </w:p>
    <w:p w14:paraId="5CFA5D4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2）委托代理人未能出具有效身份证明或者出具的身份证明与授权委托书中的信息不符；</w:t>
      </w:r>
    </w:p>
    <w:p w14:paraId="03D7B75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94BE6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4）商务条款中标“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”的条款发生负偏离的或者允许负偏离的条款数超过“供应商须知前附表”规定项数的或者标明实质性的要求发生负偏离；</w:t>
      </w:r>
    </w:p>
    <w:p w14:paraId="00684C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5）未对竞标有效期作出响应或者响应文件承诺的竞标有效期不满足磋商文件要求；</w:t>
      </w:r>
    </w:p>
    <w:p w14:paraId="25488B3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6）响应文件的实质性内容未使用中文表述、使用计量单位不符合磋商文件要求；</w:t>
      </w:r>
    </w:p>
    <w:p w14:paraId="115366F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7）响应文件中的文件资料因填写不齐全或者内容虚假或者出现其他情形而导致被磋商小组认定无效；</w:t>
      </w:r>
    </w:p>
    <w:p w14:paraId="38470D8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8）响应文件含有采购人不能接受的附加条件；</w:t>
      </w:r>
    </w:p>
    <w:p w14:paraId="0AEE9F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9）属于“供应商须知正文”第7.5条情形；</w:t>
      </w:r>
    </w:p>
    <w:p w14:paraId="2FFDD4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10）技术需求允许负偏离的条款数超过“供应商须知前附表”规定项数；</w:t>
      </w:r>
    </w:p>
    <w:p w14:paraId="07080AA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11）虚假竞标，或者出现其他情形而导致被磋商小组认定无效；</w:t>
      </w:r>
    </w:p>
    <w:p w14:paraId="4869450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12）竞标技术方案不明确，磋商文件未允许但响应文件中存在一个或者一个以上备选（替代）竞标方案；</w:t>
      </w:r>
    </w:p>
    <w:p w14:paraId="3F9B2B5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13）响应文件标注的项目名称或者项目编号与竞争性磋商文件标注的项目名称或者项目编号不一致的；</w:t>
      </w:r>
    </w:p>
    <w:p w14:paraId="2B7719D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14）未响应磋商文件实质性要求；</w:t>
      </w:r>
    </w:p>
    <w:p w14:paraId="773D74B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15）法律、法规和磋商文件规定的其他无效情形。</w:t>
      </w:r>
    </w:p>
    <w:p w14:paraId="71627E2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（2）报价评审</w:t>
      </w:r>
    </w:p>
    <w:p w14:paraId="6984E3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1）响应文件未提供“供应商须知前附表”报价文件中规定的“响应报价表”；</w:t>
      </w:r>
    </w:p>
    <w:p w14:paraId="525A2D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2）未采用人民币报价或者未按照磋商文件标明的币种报价；</w:t>
      </w:r>
    </w:p>
    <w:p w14:paraId="281BB6E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3）供应商未就所竞标</w:t>
      </w:r>
      <w:r>
        <w:rPr>
          <w:rFonts w:hint="eastAsia" w:asciiTheme="minorEastAsia" w:hAnsiTheme="minorEastAsia" w:eastAsiaTheme="minorEastAsia" w:cstheme="minorEastAsia"/>
          <w:color w:val="auto"/>
          <w:sz w:val="22"/>
          <w:szCs w:val="22"/>
          <w:highlight w:val="none"/>
          <w:lang w:val="en-US" w:eastAsia="zh-CN"/>
        </w:rPr>
        <w:t>内容</w:t>
      </w:r>
      <w:r>
        <w:rPr>
          <w:rFonts w:hint="eastAsia" w:asciiTheme="minorEastAsia" w:hAnsiTheme="minorEastAsia" w:eastAsiaTheme="minorEastAsia" w:cstheme="minorEastAsia"/>
          <w:color w:val="auto"/>
          <w:sz w:val="22"/>
          <w:szCs w:val="22"/>
          <w:highlight w:val="none"/>
        </w:rPr>
        <w:t>进行报价或者存在漏项报价；供应商未就所竞标单项内容作唯一报价；供应商未就所竞标的全部内容作唯一总价报价；供应商响应文件中存在有选择、有条件报价的（磋商文件允许有备选方案或者其他约定的除外）；</w:t>
      </w:r>
    </w:p>
    <w:p w14:paraId="0BE16D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响应报价（包含首次报价、最后报价）超过所竞标规定的采购预算金额或者最高限价的（如本项目公布了最高限价）；响应报价（包含首次报价、最后报价）超过磋商文件分项采购预算金额或者最高限价的（如本项目公布了最高限价）；</w:t>
      </w:r>
    </w:p>
    <w:p w14:paraId="1AE7D7B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2473AC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6）响应文件响应的标的数量及单位与竞争性磋商采购文件要求实质性不一致的。</w:t>
      </w:r>
    </w:p>
    <w:p w14:paraId="3DA13AF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F0F2A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796ED2B">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4.磋商程序</w:t>
      </w:r>
    </w:p>
    <w:p w14:paraId="6624C8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4.1磋商小组按照“供应商须知前附表”确定的</w:t>
      </w:r>
      <w:r>
        <w:rPr>
          <w:rFonts w:hint="eastAsia" w:asciiTheme="minorEastAsia" w:hAnsiTheme="minorEastAsia" w:eastAsiaTheme="minorEastAsia" w:cstheme="minorEastAsia"/>
          <w:color w:val="auto"/>
          <w:sz w:val="22"/>
          <w:szCs w:val="22"/>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0AAC9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E69880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4.3对磋商文件作出的实质性变动是磋商文件的有效组成部分，由磋商小组及时以电子澄清函形式同时通知所有参加磋商的供应商。</w:t>
      </w:r>
    </w:p>
    <w:p w14:paraId="7B3336C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5FBC26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4.5磋商中，</w:t>
      </w:r>
      <w:r>
        <w:rPr>
          <w:rFonts w:hint="eastAsia" w:asciiTheme="minorEastAsia" w:hAnsiTheme="minorEastAsia" w:eastAsiaTheme="minorEastAsia" w:cstheme="minorEastAsia"/>
          <w:color w:val="auto"/>
          <w:spacing w:val="-6"/>
          <w:sz w:val="22"/>
          <w:szCs w:val="22"/>
          <w:highlight w:val="none"/>
        </w:rPr>
        <w:t>磋商的任何一方不得透露与磋商有关的其他供应商的技术资料、价格和其他信息。</w:t>
      </w:r>
    </w:p>
    <w:p w14:paraId="468C28D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2"/>
          <w:szCs w:val="22"/>
          <w:highlight w:val="none"/>
        </w:rPr>
        <w:t>主要内容包括：</w:t>
      </w:r>
    </w:p>
    <w:p w14:paraId="7A220231">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（1）按照相关规定进行公示的，公示情况说明；</w:t>
      </w:r>
    </w:p>
    <w:p w14:paraId="1E32ECBB">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（2）磋商日期和地点，磋商人员名单；</w:t>
      </w:r>
    </w:p>
    <w:p w14:paraId="5662F32A">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（3）合同主要条款及价格商定情况。</w:t>
      </w:r>
    </w:p>
    <w:p w14:paraId="76F4E8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4.7磋商过程中重新提交的响应文件，供应商可以在开启前补充、修改。</w:t>
      </w:r>
    </w:p>
    <w:p w14:paraId="38081259">
      <w:pPr>
        <w:keepNext w:val="0"/>
        <w:keepLines w:val="0"/>
        <w:pageBreakBefore w:val="0"/>
        <w:tabs>
          <w:tab w:val="left" w:pos="2835"/>
        </w:tabs>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4.8对磋商过程提交的响应文件进行有效性、完整性和响应程度审查，通过审查的合格供应商不足3家的，采购人或者采购代理机构应当重新开展采购活动。</w:t>
      </w:r>
    </w:p>
    <w:p w14:paraId="383F87A1">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5.最后报价</w:t>
      </w:r>
    </w:p>
    <w:p w14:paraId="0F7A4E7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53EC7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1422B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F6B03A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5.4已经提交响应文件的供应商，在提交最后报价之前，可以根据磋商情况退出磋商，退出磋商的供应商的响应文件按无效响应处理。</w:t>
      </w:r>
    </w:p>
    <w:p w14:paraId="3DC552A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5.5供应商未在规定时间内提交最后报价的，视同退出磋商。</w:t>
      </w:r>
    </w:p>
    <w:p w14:paraId="45E256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5.6磋商小组收齐最后报价后统一开启，磋商小组对最后报价进行有效性、完整性和响应程度的审查。</w:t>
      </w:r>
    </w:p>
    <w:p w14:paraId="26AD0A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5.7最终响应文件的报价出现前后不一致的，按照本章第3.4条的规定修正。</w:t>
      </w:r>
    </w:p>
    <w:p w14:paraId="01A1843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5.8修正后的最终报价出现下列情形的，按无效响应处理：</w:t>
      </w:r>
    </w:p>
    <w:p w14:paraId="24C7704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（1）供应商不确认的（全流程电子化评标采取在线确认）；</w:t>
      </w:r>
    </w:p>
    <w:p w14:paraId="04A235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（2）经供应商确认修正后的响应报价（包含首次报价、最后报价）超过所竞标规定的采购预算金额或者最高限价的（如本项目公布了最高限价）；</w:t>
      </w:r>
    </w:p>
    <w:p w14:paraId="51E9BDA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（3）经供应商确认修正后的响应报价（包含首次报价、最后报价）超过分项采购预算金额或者最高限价的（如本项目公布了最高限价）。</w:t>
      </w:r>
    </w:p>
    <w:p w14:paraId="7531085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5.9经供应商确认修正后的最后报价作为评审及签订合同的依据。</w:t>
      </w:r>
    </w:p>
    <w:p w14:paraId="6A5D098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5.10供应商出现最后报价按无效响应处理或者响应文件按无效处理时，磋商小组应当告知有关供应商。</w:t>
      </w:r>
    </w:p>
    <w:p w14:paraId="5293084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5.11最后报价结束后，磋商小组不得再与供应商进行任何形式的商谈。</w:t>
      </w:r>
    </w:p>
    <w:p w14:paraId="5E1F6D36">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6.比较与评价</w:t>
      </w:r>
    </w:p>
    <w:p w14:paraId="170AAA9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6.1评审方法：综合评分法。</w:t>
      </w:r>
    </w:p>
    <w:p w14:paraId="0E1BA9F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6.2经磋商确定最终采购需求和提交最后报价的供应商后，由磋商小组采用综合评分法对提交最后报价的供应商的响应文件和最后报价进行综合评分。</w:t>
      </w:r>
    </w:p>
    <w:p w14:paraId="2A48289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6.3评审时，磋商小组各成员应当独立对每个有效响应的文件进行评价、打分，然后汇总每个供应商每项评分因素的得分。</w:t>
      </w:r>
    </w:p>
    <w:p w14:paraId="26F6D96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645669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）磋商小组按照磋商文件中规定的评审标准计算各供应商的报价得分。项目评审过程中，不得去掉最后报价中的最高报价和最低报价。</w:t>
      </w:r>
    </w:p>
    <w:p w14:paraId="5EE307F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）各供应商的得分为磋商小组所有成员的有效评分的算术平均数。</w:t>
      </w:r>
    </w:p>
    <w:p w14:paraId="68B8086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6.4评审价为供应商的最后报价进行政策性扣除后的价格，评审价只是作为评审时使用。最终成交供应商的成交金额等于最后报价（如有修正，以确认修正后的最后报价为准）。</w:t>
      </w:r>
    </w:p>
    <w:p w14:paraId="4458A47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2"/>
          <w:szCs w:val="22"/>
          <w:highlight w:val="none"/>
        </w:rPr>
        <w:t>审报告。符合本章第4.3条情形的，可以推荐2家成交候选供应商。评审得分相同的，按照最后报价由低到高的顺序推荐。评审得分且最后报价相同的，按照技术指标优劣顺序推荐。</w:t>
      </w:r>
    </w:p>
    <w:p w14:paraId="17ECC3A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C42CFD">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7.评审复核</w:t>
      </w:r>
    </w:p>
    <w:p w14:paraId="4A1A545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7.1评审报告签署前，评审委员会要对评审结果进行复核，复核意见要体现在评审报告中。</w:t>
      </w:r>
    </w:p>
    <w:p w14:paraId="2C47E9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5C652A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.评审标准</w:t>
      </w:r>
    </w:p>
    <w:p w14:paraId="19846A6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color w:val="auto"/>
          <w:sz w:val="22"/>
          <w:szCs w:val="22"/>
          <w:highlight w:val="none"/>
          <w:lang w:val="en-US" w:eastAsia="zh-CN"/>
        </w:rPr>
        <w:t>8</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Cs/>
          <w:color w:val="auto"/>
          <w:sz w:val="22"/>
          <w:szCs w:val="22"/>
          <w:highlight w:val="none"/>
        </w:rPr>
        <w:t>1评审依据：磋商小组将以磋商响应文件为评审依据，对供应商的报价、技术、商务等方面内容按百分制打分。（计分方法按四舍五入取至百分位）</w:t>
      </w:r>
    </w:p>
    <w:bookmarkEnd w:id="49"/>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01"/>
        <w:gridCol w:w="7454"/>
      </w:tblGrid>
      <w:tr w14:paraId="7BA1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25A51ED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bookmarkStart w:id="52" w:name="_Hlk164695717"/>
            <w:bookmarkStart w:id="53" w:name="_Toc80205935"/>
            <w:bookmarkStart w:id="54" w:name="_Toc91258508"/>
            <w:r>
              <w:rPr>
                <w:rFonts w:hint="eastAsia" w:ascii="宋体" w:hAnsi="宋体" w:eastAsia="宋体" w:cs="宋体"/>
                <w:b/>
                <w:color w:val="auto"/>
                <w:sz w:val="21"/>
                <w:highlight w:val="none"/>
              </w:rPr>
              <w:t>序号</w:t>
            </w:r>
          </w:p>
        </w:tc>
        <w:tc>
          <w:tcPr>
            <w:tcW w:w="1701" w:type="dxa"/>
            <w:noWrap w:val="0"/>
            <w:vAlign w:val="center"/>
          </w:tcPr>
          <w:p w14:paraId="014764D9">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b/>
                <w:color w:val="auto"/>
                <w:sz w:val="21"/>
                <w:highlight w:val="none"/>
              </w:rPr>
              <w:t>评</w:t>
            </w:r>
            <w:r>
              <w:rPr>
                <w:rFonts w:hint="eastAsia" w:ascii="宋体" w:hAnsi="宋体" w:eastAsia="宋体" w:cs="宋体"/>
                <w:b/>
                <w:bCs/>
                <w:color w:val="auto"/>
                <w:kern w:val="0"/>
                <w:sz w:val="21"/>
                <w:highlight w:val="none"/>
              </w:rPr>
              <w:t>审</w:t>
            </w:r>
            <w:r>
              <w:rPr>
                <w:rFonts w:hint="eastAsia" w:ascii="宋体" w:hAnsi="宋体" w:eastAsia="宋体" w:cs="宋体"/>
                <w:b/>
                <w:color w:val="auto"/>
                <w:sz w:val="21"/>
                <w:highlight w:val="none"/>
              </w:rPr>
              <w:t>因素</w:t>
            </w:r>
          </w:p>
        </w:tc>
        <w:tc>
          <w:tcPr>
            <w:tcW w:w="7454" w:type="dxa"/>
            <w:noWrap w:val="0"/>
            <w:vAlign w:val="center"/>
          </w:tcPr>
          <w:p w14:paraId="77EFBBF8">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b/>
                <w:bCs/>
                <w:color w:val="auto"/>
                <w:kern w:val="0"/>
                <w:sz w:val="21"/>
                <w:highlight w:val="none"/>
              </w:rPr>
              <w:t>评审因素具体内容</w:t>
            </w:r>
          </w:p>
        </w:tc>
      </w:tr>
      <w:tr w14:paraId="064D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179E4600">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701" w:type="dxa"/>
            <w:noWrap w:val="0"/>
            <w:vAlign w:val="center"/>
          </w:tcPr>
          <w:p w14:paraId="5058B30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价格分</w:t>
            </w:r>
          </w:p>
          <w:p w14:paraId="545713B9">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（满分30分）</w:t>
            </w:r>
          </w:p>
        </w:tc>
        <w:tc>
          <w:tcPr>
            <w:tcW w:w="7454" w:type="dxa"/>
            <w:noWrap w:val="0"/>
            <w:vAlign w:val="center"/>
          </w:tcPr>
          <w:p w14:paraId="7D12D0D1">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价为</w:t>
            </w: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的</w:t>
            </w:r>
            <w:r>
              <w:rPr>
                <w:rFonts w:hint="eastAsia" w:ascii="宋体" w:hAnsi="宋体" w:eastAsia="宋体" w:cs="宋体"/>
                <w:bCs/>
                <w:color w:val="auto"/>
                <w:sz w:val="21"/>
                <w:highlight w:val="none"/>
                <w:lang w:val="en-US" w:eastAsia="zh-CN"/>
              </w:rPr>
              <w:t>响应</w:t>
            </w:r>
            <w:r>
              <w:rPr>
                <w:rFonts w:hint="eastAsia" w:ascii="宋体" w:hAnsi="宋体" w:eastAsia="宋体" w:cs="宋体"/>
                <w:bCs/>
                <w:color w:val="auto"/>
                <w:sz w:val="21"/>
                <w:highlight w:val="none"/>
              </w:rPr>
              <w:t>报价进行政策性扣除后的价格，</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价只是作为</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时使用。最终</w:t>
            </w:r>
            <w:r>
              <w:rPr>
                <w:rFonts w:hint="eastAsia" w:ascii="宋体" w:hAnsi="宋体" w:eastAsia="宋体" w:cs="宋体"/>
                <w:bCs/>
                <w:color w:val="auto"/>
                <w:sz w:val="21"/>
                <w:highlight w:val="none"/>
                <w:lang w:val="en-US" w:eastAsia="zh-CN"/>
              </w:rPr>
              <w:t>成交</w:t>
            </w:r>
            <w:r>
              <w:rPr>
                <w:rFonts w:hint="eastAsia" w:ascii="宋体" w:hAnsi="宋体" w:eastAsia="宋体" w:cs="宋体"/>
                <w:bCs/>
                <w:color w:val="auto"/>
                <w:sz w:val="21"/>
                <w:highlight w:val="none"/>
              </w:rPr>
              <w:t>人的</w:t>
            </w:r>
            <w:r>
              <w:rPr>
                <w:rFonts w:hint="eastAsia" w:ascii="宋体" w:hAnsi="宋体" w:eastAsia="宋体" w:cs="宋体"/>
                <w:bCs/>
                <w:color w:val="auto"/>
                <w:sz w:val="21"/>
                <w:highlight w:val="none"/>
                <w:lang w:val="en-US" w:eastAsia="zh-CN"/>
              </w:rPr>
              <w:t>成交</w:t>
            </w:r>
            <w:r>
              <w:rPr>
                <w:rFonts w:hint="eastAsia" w:ascii="宋体" w:hAnsi="宋体" w:eastAsia="宋体" w:cs="宋体"/>
                <w:bCs/>
                <w:color w:val="auto"/>
                <w:sz w:val="21"/>
                <w:highlight w:val="none"/>
              </w:rPr>
              <w:t>金额＝</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w:t>
            </w:r>
          </w:p>
          <w:p w14:paraId="4724654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color w:val="auto"/>
                <w:sz w:val="21"/>
                <w:highlight w:val="none"/>
              </w:rPr>
            </w:pPr>
            <w:r>
              <w:rPr>
                <w:rFonts w:hint="eastAsia" w:ascii="宋体" w:hAnsi="宋体" w:eastAsia="宋体" w:cs="宋体"/>
                <w:bCs/>
                <w:color w:val="auto"/>
                <w:sz w:val="21"/>
                <w:highlight w:val="none"/>
              </w:rPr>
              <w:t>（2）</w:t>
            </w:r>
            <w:r>
              <w:rPr>
                <w:rFonts w:hint="eastAsia" w:ascii="宋体" w:hAnsi="宋体" w:eastAsia="宋体" w:cs="宋体"/>
                <w:color w:val="auto"/>
                <w:sz w:val="21"/>
                <w:highlight w:val="none"/>
              </w:rPr>
              <w:t>按照《政府采购促进中小企业发展管理办法》（财库〔2020〕46号）、《关于进一步加大政府采购支持中小企业力度的通知》（财库〔2022〕19号）之规定，服务全部由小型或者微型企业承接的，对其投标价格给予20%的扣除。</w:t>
            </w:r>
            <w:r>
              <w:rPr>
                <w:rFonts w:hint="eastAsia" w:ascii="宋体" w:hAnsi="宋体" w:eastAsia="宋体" w:cs="宋体"/>
                <w:b/>
                <w:color w:val="auto"/>
                <w:sz w:val="21"/>
                <w:highlight w:val="none"/>
              </w:rPr>
              <w:t>[投标人须在投标文件中提供《中小企业声明函》（按第六章要求格式填写），否则不予价格扣除；</w:t>
            </w:r>
            <w:r>
              <w:rPr>
                <w:rFonts w:hint="eastAsia" w:ascii="宋体" w:hAnsi="宋体" w:eastAsia="宋体" w:cs="宋体"/>
                <w:b/>
                <w:bCs/>
                <w:color w:val="auto"/>
                <w:sz w:val="21"/>
                <w:highlight w:val="none"/>
              </w:rPr>
              <w:t>并随中标结果同时公告其《</w:t>
            </w:r>
            <w:r>
              <w:rPr>
                <w:rFonts w:hint="eastAsia" w:ascii="宋体" w:hAnsi="宋体" w:eastAsia="宋体" w:cs="宋体"/>
                <w:b/>
                <w:color w:val="auto"/>
                <w:sz w:val="21"/>
                <w:highlight w:val="none"/>
              </w:rPr>
              <w:t>中小企业声明函</w:t>
            </w:r>
            <w:r>
              <w:rPr>
                <w:rFonts w:hint="eastAsia" w:ascii="宋体" w:hAnsi="宋体" w:eastAsia="宋体" w:cs="宋体"/>
                <w:b/>
                <w:bCs/>
                <w:color w:val="auto"/>
                <w:sz w:val="21"/>
                <w:highlight w:val="none"/>
              </w:rPr>
              <w:t>》，接受社会监督。</w:t>
            </w:r>
            <w:r>
              <w:rPr>
                <w:rFonts w:hint="eastAsia" w:ascii="宋体" w:hAnsi="宋体" w:eastAsia="宋体" w:cs="宋体"/>
                <w:b/>
                <w:color w:val="auto"/>
                <w:sz w:val="21"/>
                <w:highlight w:val="none"/>
              </w:rPr>
              <w:t>投标人提供的《中小企业声明函》与事实不符的，依照《中华人民共和国政府采购法》第七十七条第一款的规定追究法律责任]。</w:t>
            </w:r>
          </w:p>
          <w:p w14:paraId="7C0EBA7C">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b/>
                <w:bCs/>
                <w:color w:val="auto"/>
                <w:sz w:val="21"/>
                <w:highlight w:val="none"/>
              </w:rPr>
              <w:t>监狱企业参加政府采购活动时，应当提供由省级以上监狱管理局、戒毒管理局(含新疆生产建设兵团)出具的属于监狱企业的证明文件复印件</w:t>
            </w:r>
            <w:r>
              <w:rPr>
                <w:rFonts w:hint="eastAsia" w:ascii="宋体" w:hAnsi="宋体" w:eastAsia="宋体" w:cs="宋体"/>
                <w:bCs/>
                <w:color w:val="auto"/>
                <w:sz w:val="21"/>
                <w:highlight w:val="none"/>
              </w:rPr>
              <w:t>。监狱企业属于小型、微型企业的，不重复享受政策。</w:t>
            </w:r>
          </w:p>
          <w:p w14:paraId="346368B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color w:val="auto"/>
                <w:sz w:val="21"/>
                <w:highlight w:val="none"/>
              </w:rPr>
              <w:t>（4）按照</w:t>
            </w:r>
            <w:r>
              <w:rPr>
                <w:rFonts w:hint="eastAsia" w:ascii="宋体" w:hAnsi="宋体" w:eastAsia="宋体" w:cs="宋体"/>
                <w:bCs/>
                <w:color w:val="auto"/>
                <w:sz w:val="21"/>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ascii="宋体" w:hAnsi="宋体" w:eastAsia="宋体" w:cs="宋体"/>
                <w:b/>
                <w:bCs/>
                <w:color w:val="auto"/>
                <w:sz w:val="21"/>
                <w:highlight w:val="none"/>
              </w:rPr>
              <w:t>[投标人须在投标文件中提供《残疾人福利性单位声明函》（按第六章要求格式填写），否则不予价格扣除；并随中标结果同时公告其《残疾人福利性单位声明函》，接受社会监督。投标人提供的《残疾人福利性单位声明函》与事实不符的，依照《</w:t>
            </w:r>
            <w:r>
              <w:rPr>
                <w:rFonts w:hint="eastAsia" w:ascii="宋体" w:hAnsi="宋体" w:eastAsia="宋体" w:cs="宋体"/>
                <w:b/>
                <w:color w:val="auto"/>
                <w:sz w:val="21"/>
                <w:highlight w:val="none"/>
              </w:rPr>
              <w:t>中华人民共和国</w:t>
            </w:r>
            <w:r>
              <w:rPr>
                <w:rFonts w:hint="eastAsia" w:ascii="宋体" w:hAnsi="宋体" w:eastAsia="宋体" w:cs="宋体"/>
                <w:b/>
                <w:bCs/>
                <w:color w:val="auto"/>
                <w:sz w:val="21"/>
                <w:highlight w:val="none"/>
              </w:rPr>
              <w:t>政府采购法》第七十七条第一款的规定追究法律责任]</w:t>
            </w:r>
          </w:p>
          <w:p w14:paraId="12F4306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（5）政策性扣除计算方法。</w:t>
            </w:r>
          </w:p>
          <w:p w14:paraId="26C20166">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为小型企业或微型企业或监狱企业或残疾人福利性单位，则其</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报价给予20%的扣除，扣除后的价格为</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报价，即</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报价×（1-20%）。除上述情况外，</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w:t>
            </w:r>
            <w:r>
              <w:rPr>
                <w:rFonts w:hint="eastAsia" w:ascii="宋体" w:hAnsi="宋体" w:eastAsia="宋体" w:cs="宋体"/>
                <w:bCs/>
                <w:color w:val="auto"/>
                <w:sz w:val="21"/>
                <w:highlight w:val="none"/>
                <w:lang w:val="en-US" w:eastAsia="zh-CN"/>
              </w:rPr>
              <w:t>最后响应</w:t>
            </w:r>
            <w:r>
              <w:rPr>
                <w:rFonts w:hint="eastAsia" w:ascii="宋体" w:hAnsi="宋体" w:eastAsia="宋体" w:cs="宋体"/>
                <w:bCs/>
                <w:color w:val="auto"/>
                <w:sz w:val="21"/>
                <w:highlight w:val="none"/>
              </w:rPr>
              <w:t>报价。</w:t>
            </w:r>
          </w:p>
          <w:p w14:paraId="77AD6AC0">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（6）以进入综合评分环节的最低的</w:t>
            </w:r>
            <w:r>
              <w:rPr>
                <w:rFonts w:hint="eastAsia" w:ascii="宋体" w:hAnsi="宋体" w:eastAsia="宋体" w:cs="宋体"/>
                <w:bCs/>
                <w:color w:val="auto"/>
                <w:sz w:val="21"/>
                <w:highlight w:val="none"/>
                <w:lang w:val="en-US" w:eastAsia="zh-CN"/>
              </w:rPr>
              <w:t>评审</w:t>
            </w:r>
            <w:r>
              <w:rPr>
                <w:rFonts w:hint="eastAsia" w:ascii="宋体" w:hAnsi="宋体" w:eastAsia="宋体" w:cs="宋体"/>
                <w:bCs/>
                <w:color w:val="auto"/>
                <w:sz w:val="21"/>
                <w:highlight w:val="none"/>
              </w:rPr>
              <w:t>报价为基准价，基准价报价得分为30分。</w:t>
            </w:r>
          </w:p>
          <w:p w14:paraId="1C9A90C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（7）价格分计算公式：某</w:t>
            </w: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价格分=基准价/某</w:t>
            </w:r>
            <w:r>
              <w:rPr>
                <w:rFonts w:hint="eastAsia" w:ascii="宋体" w:hAnsi="宋体" w:eastAsia="宋体" w:cs="宋体"/>
                <w:bCs/>
                <w:color w:val="auto"/>
                <w:sz w:val="21"/>
                <w:highlight w:val="none"/>
                <w:lang w:val="en-US" w:eastAsia="zh-CN"/>
              </w:rPr>
              <w:t>供应商评审</w:t>
            </w:r>
            <w:r>
              <w:rPr>
                <w:rFonts w:hint="eastAsia" w:ascii="宋体" w:hAnsi="宋体" w:eastAsia="宋体" w:cs="宋体"/>
                <w:bCs/>
                <w:color w:val="auto"/>
                <w:sz w:val="21"/>
                <w:highlight w:val="none"/>
              </w:rPr>
              <w:t>报价×30分。</w:t>
            </w:r>
          </w:p>
          <w:p w14:paraId="4DA9C779">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注：</w:t>
            </w:r>
            <w:r>
              <w:rPr>
                <w:rFonts w:hint="eastAsia" w:ascii="宋体" w:hAnsi="宋体" w:eastAsia="宋体" w:cs="宋体"/>
                <w:bCs/>
                <w:color w:val="auto"/>
                <w:sz w:val="21"/>
                <w:highlight w:val="none"/>
                <w:lang w:val="en-US" w:eastAsia="zh-CN"/>
              </w:rPr>
              <w:t>响应</w:t>
            </w:r>
            <w:r>
              <w:rPr>
                <w:rFonts w:hint="eastAsia" w:ascii="宋体" w:hAnsi="宋体" w:eastAsia="宋体" w:cs="宋体"/>
                <w:bCs/>
                <w:color w:val="auto"/>
                <w:sz w:val="21"/>
                <w:highlight w:val="none"/>
              </w:rPr>
              <w:t>报价是指</w:t>
            </w:r>
            <w:r>
              <w:rPr>
                <w:rFonts w:hint="eastAsia" w:ascii="宋体" w:hAnsi="宋体" w:eastAsia="宋体" w:cs="宋体"/>
                <w:bCs/>
                <w:color w:val="auto"/>
                <w:sz w:val="21"/>
                <w:highlight w:val="none"/>
                <w:lang w:val="en-US" w:eastAsia="zh-CN"/>
              </w:rPr>
              <w:t>供应商</w:t>
            </w:r>
            <w:r>
              <w:rPr>
                <w:rFonts w:hint="eastAsia" w:ascii="宋体" w:hAnsi="宋体" w:eastAsia="宋体" w:cs="宋体"/>
                <w:bCs/>
                <w:color w:val="auto"/>
                <w:sz w:val="21"/>
                <w:highlight w:val="none"/>
              </w:rPr>
              <w:t>所报的代煎服务费单价</w:t>
            </w:r>
            <w:r>
              <w:rPr>
                <w:rFonts w:hint="eastAsia" w:ascii="宋体" w:hAnsi="宋体" w:eastAsia="宋体" w:cs="宋体"/>
                <w:bCs/>
                <w:color w:val="auto"/>
                <w:sz w:val="21"/>
                <w:highlight w:val="none"/>
                <w:lang w:eastAsia="zh-CN"/>
              </w:rPr>
              <w:t>【元/付】</w:t>
            </w:r>
            <w:r>
              <w:rPr>
                <w:rFonts w:hint="eastAsia" w:ascii="宋体" w:hAnsi="宋体" w:eastAsia="宋体" w:cs="宋体"/>
                <w:bCs/>
                <w:color w:val="auto"/>
                <w:sz w:val="21"/>
                <w:highlight w:val="none"/>
              </w:rPr>
              <w:t>。</w:t>
            </w:r>
          </w:p>
        </w:tc>
      </w:tr>
      <w:tr w14:paraId="24C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3D0A5C13">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1701" w:type="dxa"/>
            <w:noWrap w:val="0"/>
            <w:vAlign w:val="center"/>
          </w:tcPr>
          <w:p w14:paraId="59B39EA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技术分</w:t>
            </w:r>
          </w:p>
          <w:p w14:paraId="46573245">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（满分60分）</w:t>
            </w:r>
          </w:p>
        </w:tc>
        <w:tc>
          <w:tcPr>
            <w:tcW w:w="7454" w:type="dxa"/>
            <w:noWrap w:val="0"/>
            <w:vAlign w:val="center"/>
          </w:tcPr>
          <w:p w14:paraId="0FFA455B">
            <w:pPr>
              <w:keepNext w:val="0"/>
              <w:keepLines w:val="0"/>
              <w:pageBreakBefore w:val="0"/>
              <w:widowControl w:val="0"/>
              <w:kinsoku/>
              <w:overflowPunct/>
              <w:topLinePunct w:val="0"/>
              <w:autoSpaceDE/>
              <w:autoSpaceDN/>
              <w:bidi w:val="0"/>
              <w:adjustRightInd w:val="0"/>
              <w:spacing w:line="360" w:lineRule="auto"/>
              <w:ind w:left="0" w:leftChars="0" w:right="0" w:firstLine="33" w:firstLineChars="16"/>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评审因素</w:t>
            </w:r>
          </w:p>
        </w:tc>
      </w:tr>
      <w:tr w14:paraId="1AED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42B03030">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p>
        </w:tc>
        <w:tc>
          <w:tcPr>
            <w:tcW w:w="1701" w:type="dxa"/>
            <w:noWrap w:val="0"/>
            <w:vAlign w:val="center"/>
          </w:tcPr>
          <w:p w14:paraId="5A0485AA">
            <w:pPr>
              <w:keepNext w:val="0"/>
              <w:keepLines w:val="0"/>
              <w:pageBreakBefore w:val="0"/>
              <w:widowControl w:val="0"/>
              <w:kinsoku/>
              <w:overflowPunct/>
              <w:topLinePunct w:val="0"/>
              <w:autoSpaceDE/>
              <w:autoSpaceDN/>
              <w:bidi w:val="0"/>
              <w:snapToGrid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服务需求响应分</w:t>
            </w:r>
            <w:r>
              <w:rPr>
                <w:rFonts w:hint="eastAsia" w:ascii="宋体" w:hAnsi="宋体" w:eastAsia="宋体" w:cs="宋体"/>
                <w:color w:val="auto"/>
                <w:sz w:val="21"/>
                <w:highlight w:val="none"/>
              </w:rPr>
              <w:t>（满分</w:t>
            </w:r>
            <w:r>
              <w:rPr>
                <w:rFonts w:hint="eastAsia" w:ascii="宋体" w:hAnsi="宋体" w:eastAsia="宋体" w:cs="宋体"/>
                <w:color w:val="auto"/>
                <w:sz w:val="21"/>
                <w:highlight w:val="none"/>
                <w:lang w:val="en-US" w:eastAsia="zh-CN"/>
              </w:rPr>
              <w:t>15</w:t>
            </w:r>
            <w:r>
              <w:rPr>
                <w:rFonts w:hint="eastAsia" w:ascii="宋体" w:hAnsi="宋体" w:eastAsia="宋体" w:cs="宋体"/>
                <w:color w:val="auto"/>
                <w:sz w:val="21"/>
                <w:highlight w:val="none"/>
              </w:rPr>
              <w:t>分）</w:t>
            </w:r>
          </w:p>
        </w:tc>
        <w:tc>
          <w:tcPr>
            <w:tcW w:w="7454" w:type="dxa"/>
            <w:noWrap w:val="0"/>
            <w:vAlign w:val="center"/>
          </w:tcPr>
          <w:p w14:paraId="37FF9C2D">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服务需求完全满足采购文件要求的得</w:t>
            </w:r>
            <w:r>
              <w:rPr>
                <w:rFonts w:hint="eastAsia" w:ascii="宋体" w:hAnsi="宋体" w:eastAsia="宋体" w:cs="宋体"/>
                <w:bCs/>
                <w:color w:val="auto"/>
                <w:sz w:val="21"/>
                <w:highlight w:val="none"/>
                <w:lang w:val="en-US" w:eastAsia="zh-CN"/>
              </w:rPr>
              <w:t>15</w:t>
            </w:r>
            <w:r>
              <w:rPr>
                <w:rFonts w:hint="eastAsia" w:ascii="宋体" w:hAnsi="宋体" w:eastAsia="宋体" w:cs="宋体"/>
                <w:bCs/>
                <w:color w:val="auto"/>
                <w:sz w:val="21"/>
                <w:highlight w:val="none"/>
              </w:rPr>
              <w:t>分，服务需求在允许负偏离的项数范围内每有1项负偏离扣3分，扣完为止，正偏离不加分。</w:t>
            </w:r>
          </w:p>
        </w:tc>
      </w:tr>
      <w:tr w14:paraId="5DE8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3C067B7F">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2.2</w:t>
            </w:r>
          </w:p>
        </w:tc>
        <w:tc>
          <w:tcPr>
            <w:tcW w:w="1701" w:type="dxa"/>
            <w:noWrap w:val="0"/>
            <w:vAlign w:val="center"/>
          </w:tcPr>
          <w:p w14:paraId="7351BD8D">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经营管理方案分</w:t>
            </w:r>
            <w:r>
              <w:rPr>
                <w:rFonts w:hint="eastAsia" w:ascii="宋体" w:hAnsi="宋体" w:eastAsia="宋体" w:cs="宋体"/>
                <w:color w:val="auto"/>
                <w:sz w:val="21"/>
                <w:highlight w:val="none"/>
              </w:rPr>
              <w:t>（满分</w:t>
            </w:r>
            <w:r>
              <w:rPr>
                <w:rFonts w:hint="eastAsia" w:ascii="宋体" w:hAnsi="宋体" w:eastAsia="宋体" w:cs="宋体"/>
                <w:color w:val="auto"/>
                <w:sz w:val="21"/>
                <w:highlight w:val="none"/>
                <w:lang w:val="en-US" w:eastAsia="zh-CN"/>
              </w:rPr>
              <w:t>15</w:t>
            </w:r>
            <w:r>
              <w:rPr>
                <w:rFonts w:hint="eastAsia" w:ascii="宋体" w:hAnsi="宋体" w:eastAsia="宋体" w:cs="宋体"/>
                <w:color w:val="auto"/>
                <w:sz w:val="21"/>
                <w:highlight w:val="none"/>
              </w:rPr>
              <w:t>分）</w:t>
            </w:r>
          </w:p>
        </w:tc>
        <w:tc>
          <w:tcPr>
            <w:tcW w:w="7454" w:type="dxa"/>
            <w:noWrap w:val="0"/>
            <w:vAlign w:val="center"/>
          </w:tcPr>
          <w:p w14:paraId="08FA4FA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由评委根据各投标人的场地、库房，中药饮片的入库、验收、保管、养护</w:t>
            </w:r>
            <w:bookmarkStart w:id="55" w:name="OLE_LINK10"/>
            <w:bookmarkStart w:id="56" w:name="OLE_LINK9"/>
            <w:r>
              <w:rPr>
                <w:rFonts w:hint="eastAsia" w:ascii="宋体" w:hAnsi="宋体" w:eastAsia="宋体" w:cs="宋体"/>
                <w:bCs/>
                <w:color w:val="auto"/>
                <w:sz w:val="21"/>
                <w:highlight w:val="none"/>
              </w:rPr>
              <w:t>、调剂</w:t>
            </w:r>
            <w:bookmarkEnd w:id="55"/>
            <w:bookmarkEnd w:id="56"/>
            <w:r>
              <w:rPr>
                <w:rFonts w:hint="eastAsia" w:ascii="宋体" w:hAnsi="宋体" w:eastAsia="宋体" w:cs="宋体"/>
                <w:bCs/>
                <w:color w:val="auto"/>
                <w:sz w:val="21"/>
                <w:highlight w:val="none"/>
              </w:rPr>
              <w:t>、煎煮等经营管理内容进行评审，独立打分。</w:t>
            </w:r>
          </w:p>
          <w:p w14:paraId="6148697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一档（0分）：未提供</w:t>
            </w:r>
            <w:r>
              <w:rPr>
                <w:rFonts w:hint="eastAsia" w:ascii="宋体" w:hAnsi="宋体" w:eastAsia="宋体" w:cs="宋体"/>
                <w:color w:val="auto"/>
                <w:kern w:val="0"/>
                <w:sz w:val="21"/>
                <w:highlight w:val="none"/>
              </w:rPr>
              <w:t>经营管理方案或</w:t>
            </w:r>
            <w:r>
              <w:rPr>
                <w:rFonts w:hint="eastAsia" w:ascii="宋体" w:hAnsi="宋体" w:eastAsia="宋体" w:cs="宋体"/>
                <w:bCs/>
                <w:color w:val="auto"/>
                <w:sz w:val="21"/>
                <w:highlight w:val="none"/>
              </w:rPr>
              <w:t>提供的</w:t>
            </w:r>
            <w:r>
              <w:rPr>
                <w:rFonts w:hint="eastAsia" w:ascii="宋体" w:hAnsi="宋体" w:eastAsia="宋体" w:cs="宋体"/>
                <w:color w:val="auto"/>
                <w:kern w:val="0"/>
                <w:sz w:val="21"/>
                <w:highlight w:val="none"/>
              </w:rPr>
              <w:t>经营管理方案与项目不符或达不到二</w:t>
            </w:r>
            <w:r>
              <w:rPr>
                <w:rFonts w:hint="eastAsia" w:ascii="宋体" w:hAnsi="宋体" w:eastAsia="宋体" w:cs="宋体"/>
                <w:bCs/>
                <w:color w:val="auto"/>
                <w:sz w:val="21"/>
                <w:highlight w:val="none"/>
              </w:rPr>
              <w:t>档</w:t>
            </w:r>
            <w:r>
              <w:rPr>
                <w:rFonts w:hint="eastAsia" w:ascii="宋体" w:hAnsi="宋体" w:eastAsia="宋体" w:cs="宋体"/>
                <w:color w:val="auto"/>
                <w:kern w:val="0"/>
                <w:sz w:val="21"/>
                <w:highlight w:val="none"/>
              </w:rPr>
              <w:t>。</w:t>
            </w:r>
          </w:p>
          <w:p w14:paraId="3CB0A664">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分）：场地、库房仓储能力满足采购需求的最低要求，经营管理方案内容基本完整，方案描述简单、考虑有欠缺。</w:t>
            </w:r>
          </w:p>
          <w:p w14:paraId="4AD7486E">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三档（</w:t>
            </w:r>
            <w:r>
              <w:rPr>
                <w:rFonts w:hint="eastAsia" w:ascii="宋体" w:hAnsi="宋体" w:eastAsia="宋体" w:cs="宋体"/>
                <w:bCs/>
                <w:color w:val="auto"/>
                <w:sz w:val="21"/>
                <w:highlight w:val="none"/>
                <w:lang w:val="en-US" w:eastAsia="zh-CN"/>
              </w:rPr>
              <w:t>10</w:t>
            </w:r>
            <w:r>
              <w:rPr>
                <w:rFonts w:hint="eastAsia" w:ascii="宋体" w:hAnsi="宋体" w:eastAsia="宋体" w:cs="宋体"/>
                <w:bCs/>
                <w:color w:val="auto"/>
                <w:sz w:val="21"/>
                <w:highlight w:val="none"/>
              </w:rPr>
              <w:t>分）：场地、库房仓储能力满足采购需求的最低要求，经营管理方案</w:t>
            </w:r>
            <w:r>
              <w:rPr>
                <w:rFonts w:hint="eastAsia" w:ascii="宋体" w:hAnsi="宋体" w:eastAsia="宋体" w:cs="宋体"/>
                <w:color w:val="auto"/>
                <w:sz w:val="21"/>
                <w:highlight w:val="none"/>
              </w:rPr>
              <w:t>内容完整，</w:t>
            </w:r>
            <w:r>
              <w:rPr>
                <w:rFonts w:hint="eastAsia" w:ascii="宋体" w:hAnsi="宋体" w:eastAsia="宋体" w:cs="宋体"/>
                <w:bCs/>
                <w:color w:val="auto"/>
                <w:sz w:val="21"/>
                <w:highlight w:val="none"/>
              </w:rPr>
              <w:t>方案描述较详实、考虑较完善、具备可行性，各经营环节有相应规章管理制度。</w:t>
            </w:r>
          </w:p>
          <w:p w14:paraId="40DF0AE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四档（</w:t>
            </w:r>
            <w:r>
              <w:rPr>
                <w:rFonts w:hint="eastAsia" w:ascii="宋体" w:hAnsi="宋体" w:eastAsia="宋体" w:cs="宋体"/>
                <w:bCs/>
                <w:color w:val="auto"/>
                <w:sz w:val="21"/>
                <w:highlight w:val="none"/>
                <w:lang w:val="en-US" w:eastAsia="zh-CN"/>
              </w:rPr>
              <w:t>15</w:t>
            </w:r>
            <w:r>
              <w:rPr>
                <w:rFonts w:hint="eastAsia" w:ascii="宋体" w:hAnsi="宋体" w:eastAsia="宋体" w:cs="宋体"/>
                <w:bCs/>
                <w:color w:val="auto"/>
                <w:sz w:val="21"/>
                <w:highlight w:val="none"/>
              </w:rPr>
              <w:t>分）：场地、库房仓储能力</w:t>
            </w:r>
            <w:r>
              <w:rPr>
                <w:rFonts w:hint="eastAsia" w:ascii="宋体" w:hAnsi="宋体" w:eastAsia="宋体" w:cs="宋体"/>
                <w:b/>
                <w:bCs/>
                <w:color w:val="auto"/>
                <w:sz w:val="21"/>
                <w:highlight w:val="none"/>
              </w:rPr>
              <w:t>优于</w:t>
            </w:r>
            <w:r>
              <w:rPr>
                <w:rFonts w:hint="eastAsia" w:ascii="宋体" w:hAnsi="宋体" w:eastAsia="宋体" w:cs="宋体"/>
                <w:bCs/>
                <w:color w:val="auto"/>
                <w:sz w:val="21"/>
                <w:highlight w:val="none"/>
              </w:rPr>
              <w:t>采购需求的最低要求，有良好的仓储管理机制，能使用自动化的处方饮片调剂设备进行调剂，经营管理方案</w:t>
            </w:r>
            <w:r>
              <w:rPr>
                <w:rFonts w:hint="eastAsia" w:ascii="宋体" w:hAnsi="宋体" w:eastAsia="宋体" w:cs="宋体"/>
                <w:color w:val="auto"/>
                <w:sz w:val="21"/>
                <w:highlight w:val="none"/>
              </w:rPr>
              <w:t>内容完整，</w:t>
            </w:r>
            <w:r>
              <w:rPr>
                <w:rFonts w:hint="eastAsia" w:ascii="宋体" w:hAnsi="宋体" w:eastAsia="宋体" w:cs="宋体"/>
                <w:bCs/>
                <w:color w:val="auto"/>
                <w:sz w:val="21"/>
                <w:highlight w:val="none"/>
              </w:rPr>
              <w:t>方案描述详实、考虑完善、可操作性好，各经营环节的规章管理制度制定健全、严密、切实可行，能较好保障服务质量。</w:t>
            </w:r>
          </w:p>
        </w:tc>
      </w:tr>
      <w:tr w14:paraId="4A70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5F8929AC">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2.3</w:t>
            </w:r>
          </w:p>
        </w:tc>
        <w:tc>
          <w:tcPr>
            <w:tcW w:w="1701" w:type="dxa"/>
            <w:noWrap w:val="0"/>
            <w:vAlign w:val="center"/>
          </w:tcPr>
          <w:p w14:paraId="3A47FC32">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质量控制方案分</w:t>
            </w:r>
          </w:p>
          <w:p w14:paraId="36F0BEF4">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（满分12分）</w:t>
            </w:r>
          </w:p>
        </w:tc>
        <w:tc>
          <w:tcPr>
            <w:tcW w:w="7454" w:type="dxa"/>
            <w:noWrap w:val="0"/>
            <w:vAlign w:val="center"/>
          </w:tcPr>
          <w:p w14:paraId="2DFE76A4">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由评委根据各投标人的</w:t>
            </w:r>
            <w:r>
              <w:rPr>
                <w:rFonts w:hint="eastAsia" w:ascii="宋体" w:hAnsi="宋体" w:eastAsia="宋体" w:cs="宋体"/>
                <w:color w:val="auto"/>
                <w:sz w:val="21"/>
                <w:highlight w:val="none"/>
              </w:rPr>
              <w:t>质量控制方案</w:t>
            </w:r>
            <w:r>
              <w:rPr>
                <w:rFonts w:hint="eastAsia" w:ascii="宋体" w:hAnsi="宋体" w:eastAsia="宋体" w:cs="宋体"/>
                <w:bCs/>
                <w:color w:val="auto"/>
                <w:sz w:val="21"/>
                <w:highlight w:val="none"/>
              </w:rPr>
              <w:t>（包括但不限于</w:t>
            </w:r>
            <w:r>
              <w:rPr>
                <w:rFonts w:hint="eastAsia" w:ascii="宋体" w:hAnsi="宋体" w:eastAsia="宋体" w:cs="宋体"/>
                <w:color w:val="auto"/>
                <w:sz w:val="21"/>
                <w:highlight w:val="none"/>
              </w:rPr>
              <w:t>处方审核、调剂、煎煮误差控制、各环节监控及人员配置</w:t>
            </w:r>
            <w:r>
              <w:rPr>
                <w:rFonts w:hint="eastAsia" w:ascii="宋体" w:hAnsi="宋体" w:eastAsia="宋体" w:cs="宋体"/>
                <w:bCs/>
                <w:color w:val="auto"/>
                <w:sz w:val="21"/>
                <w:highlight w:val="none"/>
              </w:rPr>
              <w:t>等）进行评审，独立打分。</w:t>
            </w:r>
          </w:p>
          <w:p w14:paraId="6471647B">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一档（0分）：未提供</w:t>
            </w:r>
            <w:r>
              <w:rPr>
                <w:rFonts w:hint="eastAsia" w:ascii="宋体" w:hAnsi="宋体" w:eastAsia="宋体" w:cs="宋体"/>
                <w:color w:val="auto"/>
                <w:sz w:val="21"/>
                <w:highlight w:val="none"/>
              </w:rPr>
              <w:t>质量控制方案或</w:t>
            </w:r>
            <w:r>
              <w:rPr>
                <w:rFonts w:hint="eastAsia" w:ascii="宋体" w:hAnsi="宋体" w:eastAsia="宋体" w:cs="宋体"/>
                <w:bCs/>
                <w:color w:val="auto"/>
                <w:sz w:val="21"/>
                <w:highlight w:val="none"/>
              </w:rPr>
              <w:t>提供的</w:t>
            </w:r>
            <w:r>
              <w:rPr>
                <w:rFonts w:hint="eastAsia" w:ascii="宋体" w:hAnsi="宋体" w:eastAsia="宋体" w:cs="宋体"/>
                <w:color w:val="auto"/>
                <w:sz w:val="21"/>
                <w:highlight w:val="none"/>
              </w:rPr>
              <w:t>质量控制方案与项目不符或达不到二</w:t>
            </w:r>
            <w:r>
              <w:rPr>
                <w:rFonts w:hint="eastAsia" w:ascii="宋体" w:hAnsi="宋体" w:eastAsia="宋体" w:cs="宋体"/>
                <w:bCs/>
                <w:color w:val="auto"/>
                <w:sz w:val="21"/>
                <w:highlight w:val="none"/>
              </w:rPr>
              <w:t>档</w:t>
            </w:r>
            <w:r>
              <w:rPr>
                <w:rFonts w:hint="eastAsia" w:ascii="宋体" w:hAnsi="宋体" w:eastAsia="宋体" w:cs="宋体"/>
                <w:color w:val="auto"/>
                <w:sz w:val="21"/>
                <w:highlight w:val="none"/>
              </w:rPr>
              <w:t>。</w:t>
            </w:r>
          </w:p>
          <w:p w14:paraId="62072C1A">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二档（4分）：</w:t>
            </w:r>
            <w:r>
              <w:rPr>
                <w:rFonts w:hint="eastAsia" w:ascii="宋体" w:hAnsi="宋体" w:eastAsia="宋体" w:cs="宋体"/>
                <w:color w:val="auto"/>
                <w:sz w:val="21"/>
                <w:highlight w:val="none"/>
              </w:rPr>
              <w:t>质量控制方案内容基本完整，有基本的</w:t>
            </w:r>
            <w:r>
              <w:rPr>
                <w:rFonts w:hint="eastAsia" w:ascii="宋体" w:hAnsi="宋体" w:eastAsia="宋体" w:cs="宋体"/>
                <w:bCs/>
                <w:color w:val="auto"/>
                <w:sz w:val="21"/>
                <w:highlight w:val="none"/>
              </w:rPr>
              <w:t>质量控制、保障措施。</w:t>
            </w:r>
          </w:p>
          <w:p w14:paraId="689D4C03">
            <w:pPr>
              <w:pStyle w:val="16"/>
              <w:keepNext w:val="0"/>
              <w:keepLines w:val="0"/>
              <w:pageBreakBefore w:val="0"/>
              <w:widowControl w:val="0"/>
              <w:kinsoku/>
              <w:overflowPunct/>
              <w:topLinePunct w:val="0"/>
              <w:autoSpaceDE/>
              <w:autoSpaceDN/>
              <w:bidi w:val="0"/>
              <w:spacing w:line="360" w:lineRule="auto"/>
              <w:ind w:left="0" w:leftChars="0" w:right="0" w:firstLine="405"/>
              <w:outlineLvl w:val="0"/>
              <w:rPr>
                <w:rFonts w:hint="eastAsia" w:ascii="宋体" w:hAnsi="宋体" w:eastAsia="宋体" w:cs="宋体"/>
                <w:color w:val="auto"/>
                <w:sz w:val="21"/>
                <w:highlight w:val="none"/>
              </w:rPr>
            </w:pPr>
            <w:r>
              <w:rPr>
                <w:rFonts w:hint="eastAsia" w:ascii="宋体" w:hAnsi="宋体" w:eastAsia="宋体" w:cs="宋体"/>
                <w:bCs/>
                <w:color w:val="auto"/>
                <w:sz w:val="21"/>
                <w:highlight w:val="none"/>
              </w:rPr>
              <w:t>三档（8分）：</w:t>
            </w:r>
            <w:r>
              <w:rPr>
                <w:rFonts w:hint="eastAsia" w:ascii="宋体" w:hAnsi="宋体" w:eastAsia="宋体" w:cs="宋体"/>
                <w:color w:val="auto"/>
                <w:sz w:val="21"/>
                <w:highlight w:val="none"/>
              </w:rPr>
              <w:t>质量控制方案内容完整；有煎药处方的具体审核规范及审核流程；制定有中药饮片处方调剂、煎煮制度和操作规范；有误差率的控制措施；建立有相关管理制度及台账；建立有服务质量管控和评估考核体系；入库、验收、养护、中药饮片调剂及煎煮等环节均有视频监控，监控设施设置完善，能监控所有环节的操作，并建档备查；有人员安排表（含岗位职责）。</w:t>
            </w:r>
          </w:p>
          <w:p w14:paraId="78D09D53">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四档（12分）：在三档的基础上，提供的质量控制方案详细、有针对性，服务质量监管体系完善，设置有质量管理班子，各岗位人员的职责划分明确，与各服务环节能够一一对应；有培训制度；针对服务过程中发生的投诉、不良反应和服务质量等问题的有详细具体的解决办法、解决流程、解决时效。</w:t>
            </w:r>
          </w:p>
        </w:tc>
      </w:tr>
      <w:tr w14:paraId="4C7F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1" w:type="dxa"/>
            <w:noWrap w:val="0"/>
            <w:vAlign w:val="center"/>
          </w:tcPr>
          <w:p w14:paraId="4C2EDFCD">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2.4</w:t>
            </w:r>
          </w:p>
        </w:tc>
        <w:tc>
          <w:tcPr>
            <w:tcW w:w="1701" w:type="dxa"/>
            <w:noWrap w:val="0"/>
            <w:vAlign w:val="center"/>
          </w:tcPr>
          <w:p w14:paraId="22353DA9">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kern w:val="0"/>
                <w:sz w:val="21"/>
                <w:highlight w:val="none"/>
              </w:rPr>
              <w:t>配送方案分</w:t>
            </w:r>
          </w:p>
          <w:p w14:paraId="70D83EA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（满分9分）</w:t>
            </w:r>
          </w:p>
        </w:tc>
        <w:tc>
          <w:tcPr>
            <w:tcW w:w="7454" w:type="dxa"/>
            <w:noWrap w:val="0"/>
            <w:vAlign w:val="center"/>
          </w:tcPr>
          <w:p w14:paraId="6B89F733">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由评委根据投标人的配送方案（包括但不限于</w:t>
            </w:r>
            <w:r>
              <w:rPr>
                <w:rFonts w:hint="eastAsia" w:ascii="宋体" w:hAnsi="宋体" w:eastAsia="宋体" w:cs="宋体"/>
                <w:color w:val="auto"/>
                <w:sz w:val="21"/>
                <w:highlight w:val="none"/>
              </w:rPr>
              <w:t>配送计划</w:t>
            </w:r>
            <w:r>
              <w:rPr>
                <w:rFonts w:hint="eastAsia" w:ascii="宋体" w:hAnsi="宋体" w:eastAsia="宋体" w:cs="宋体"/>
                <w:bCs/>
                <w:color w:val="auto"/>
                <w:kern w:val="0"/>
                <w:sz w:val="21"/>
                <w:highlight w:val="none"/>
              </w:rPr>
              <w:t>、配送时效、配送方式、配送范围、是否支持配送到家、</w:t>
            </w:r>
            <w:r>
              <w:rPr>
                <w:rFonts w:hint="eastAsia" w:ascii="宋体" w:hAnsi="宋体" w:eastAsia="宋体" w:cs="宋体"/>
                <w:color w:val="auto"/>
                <w:sz w:val="21"/>
                <w:highlight w:val="none"/>
              </w:rPr>
              <w:t>配送人员安排、</w:t>
            </w:r>
            <w:r>
              <w:rPr>
                <w:rFonts w:hint="eastAsia" w:ascii="宋体" w:hAnsi="宋体" w:eastAsia="宋体" w:cs="宋体"/>
                <w:bCs/>
                <w:color w:val="auto"/>
                <w:kern w:val="0"/>
                <w:sz w:val="21"/>
                <w:highlight w:val="none"/>
              </w:rPr>
              <w:t>运输的交通工具和盛装用具是否符合医药运输规范等）进行评审，独立打分。</w:t>
            </w:r>
          </w:p>
          <w:p w14:paraId="424C2C43">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一档（0分）：未提供</w:t>
            </w:r>
            <w:r>
              <w:rPr>
                <w:rFonts w:hint="eastAsia" w:ascii="宋体" w:hAnsi="宋体" w:eastAsia="宋体" w:cs="宋体"/>
                <w:color w:val="auto"/>
                <w:kern w:val="0"/>
                <w:sz w:val="21"/>
                <w:highlight w:val="none"/>
              </w:rPr>
              <w:t>配送方案</w:t>
            </w:r>
            <w:r>
              <w:rPr>
                <w:rFonts w:hint="eastAsia" w:ascii="宋体" w:hAnsi="宋体" w:eastAsia="宋体" w:cs="宋体"/>
                <w:bCs/>
                <w:color w:val="auto"/>
                <w:kern w:val="0"/>
                <w:sz w:val="21"/>
                <w:highlight w:val="none"/>
              </w:rPr>
              <w:t>或提供的</w:t>
            </w:r>
            <w:r>
              <w:rPr>
                <w:rFonts w:hint="eastAsia" w:ascii="宋体" w:hAnsi="宋体" w:eastAsia="宋体" w:cs="宋体"/>
                <w:color w:val="auto"/>
                <w:kern w:val="0"/>
                <w:sz w:val="21"/>
                <w:highlight w:val="none"/>
              </w:rPr>
              <w:t>配送方案</w:t>
            </w:r>
            <w:r>
              <w:rPr>
                <w:rFonts w:hint="eastAsia" w:ascii="宋体" w:hAnsi="宋体" w:eastAsia="宋体" w:cs="宋体"/>
                <w:bCs/>
                <w:color w:val="auto"/>
                <w:kern w:val="0"/>
                <w:sz w:val="21"/>
                <w:highlight w:val="none"/>
              </w:rPr>
              <w:t>与项目不符</w:t>
            </w:r>
            <w:r>
              <w:rPr>
                <w:rFonts w:hint="eastAsia" w:ascii="宋体" w:hAnsi="宋体" w:eastAsia="宋体" w:cs="宋体"/>
                <w:color w:val="auto"/>
                <w:kern w:val="0"/>
                <w:sz w:val="21"/>
                <w:highlight w:val="none"/>
              </w:rPr>
              <w:t>或达不到二</w:t>
            </w:r>
            <w:r>
              <w:rPr>
                <w:rFonts w:hint="eastAsia" w:ascii="宋体" w:hAnsi="宋体" w:eastAsia="宋体" w:cs="宋体"/>
                <w:bCs/>
                <w:color w:val="auto"/>
                <w:sz w:val="21"/>
                <w:highlight w:val="none"/>
              </w:rPr>
              <w:t>档</w:t>
            </w:r>
            <w:r>
              <w:rPr>
                <w:rFonts w:hint="eastAsia" w:ascii="宋体" w:hAnsi="宋体" w:eastAsia="宋体" w:cs="宋体"/>
                <w:bCs/>
                <w:color w:val="auto"/>
                <w:kern w:val="0"/>
                <w:sz w:val="21"/>
                <w:highlight w:val="none"/>
              </w:rPr>
              <w:t>。</w:t>
            </w:r>
          </w:p>
          <w:p w14:paraId="7FBEE65B">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二档（3分）：</w:t>
            </w:r>
            <w:r>
              <w:rPr>
                <w:rFonts w:hint="eastAsia" w:ascii="宋体" w:hAnsi="宋体" w:eastAsia="宋体" w:cs="宋体"/>
                <w:color w:val="auto"/>
                <w:kern w:val="0"/>
                <w:sz w:val="21"/>
                <w:highlight w:val="none"/>
              </w:rPr>
              <w:t>配送方案</w:t>
            </w:r>
            <w:r>
              <w:rPr>
                <w:rFonts w:hint="eastAsia" w:ascii="宋体" w:hAnsi="宋体" w:eastAsia="宋体" w:cs="宋体"/>
                <w:color w:val="auto"/>
                <w:sz w:val="21"/>
                <w:highlight w:val="none"/>
              </w:rPr>
              <w:t>内容基本完整，</w:t>
            </w:r>
            <w:r>
              <w:rPr>
                <w:rFonts w:hint="eastAsia" w:ascii="宋体" w:hAnsi="宋体" w:eastAsia="宋体" w:cs="宋体"/>
                <w:bCs/>
                <w:color w:val="auto"/>
                <w:kern w:val="0"/>
                <w:sz w:val="21"/>
                <w:highlight w:val="none"/>
              </w:rPr>
              <w:t>方案</w:t>
            </w:r>
            <w:r>
              <w:rPr>
                <w:rFonts w:hint="eastAsia" w:ascii="宋体" w:hAnsi="宋体" w:eastAsia="宋体" w:cs="宋体"/>
                <w:color w:val="auto"/>
                <w:sz w:val="21"/>
                <w:highlight w:val="none"/>
              </w:rPr>
              <w:t>内容描述</w:t>
            </w:r>
            <w:r>
              <w:rPr>
                <w:rFonts w:hint="eastAsia" w:ascii="宋体" w:hAnsi="宋体" w:eastAsia="宋体" w:cs="宋体"/>
                <w:bCs/>
                <w:color w:val="auto"/>
                <w:kern w:val="0"/>
                <w:sz w:val="21"/>
                <w:highlight w:val="none"/>
              </w:rPr>
              <w:t>简单，运输的交通工具和盛装用具符合医药运输规范。</w:t>
            </w:r>
          </w:p>
          <w:p w14:paraId="696B846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三档（6分）：</w:t>
            </w:r>
            <w:r>
              <w:rPr>
                <w:rFonts w:hint="eastAsia" w:ascii="宋体" w:hAnsi="宋体" w:eastAsia="宋体" w:cs="宋体"/>
                <w:color w:val="auto"/>
                <w:kern w:val="0"/>
                <w:sz w:val="21"/>
                <w:highlight w:val="none"/>
              </w:rPr>
              <w:t>配送方案</w:t>
            </w:r>
            <w:r>
              <w:rPr>
                <w:rFonts w:hint="eastAsia" w:ascii="宋体" w:hAnsi="宋体" w:eastAsia="宋体" w:cs="宋体"/>
                <w:color w:val="auto"/>
                <w:sz w:val="21"/>
                <w:highlight w:val="none"/>
              </w:rPr>
              <w:t>内容完整，</w:t>
            </w:r>
            <w:r>
              <w:rPr>
                <w:rFonts w:hint="eastAsia" w:ascii="宋体" w:hAnsi="宋体" w:eastAsia="宋体" w:cs="宋体"/>
                <w:bCs/>
                <w:color w:val="auto"/>
                <w:kern w:val="0"/>
                <w:sz w:val="21"/>
                <w:highlight w:val="none"/>
              </w:rPr>
              <w:t>方案</w:t>
            </w:r>
            <w:r>
              <w:rPr>
                <w:rFonts w:hint="eastAsia" w:ascii="宋体" w:hAnsi="宋体" w:eastAsia="宋体" w:cs="宋体"/>
                <w:color w:val="auto"/>
                <w:sz w:val="21"/>
                <w:highlight w:val="none"/>
              </w:rPr>
              <w:t>内容满足采购需求，描述</w:t>
            </w:r>
            <w:r>
              <w:rPr>
                <w:rFonts w:hint="eastAsia" w:ascii="宋体" w:hAnsi="宋体" w:eastAsia="宋体" w:cs="宋体"/>
                <w:bCs/>
                <w:color w:val="auto"/>
                <w:kern w:val="0"/>
                <w:sz w:val="21"/>
                <w:highlight w:val="none"/>
              </w:rPr>
              <w:t>较详细、全面，运输的交通工具和盛装用具符合医药运输规范。</w:t>
            </w:r>
          </w:p>
          <w:p w14:paraId="7B78E979">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四档（9分）：</w:t>
            </w:r>
            <w:r>
              <w:rPr>
                <w:rFonts w:hint="eastAsia" w:ascii="宋体" w:hAnsi="宋体" w:eastAsia="宋体" w:cs="宋体"/>
                <w:color w:val="auto"/>
                <w:kern w:val="0"/>
                <w:sz w:val="21"/>
                <w:highlight w:val="none"/>
              </w:rPr>
              <w:t>配送方案</w:t>
            </w:r>
            <w:r>
              <w:rPr>
                <w:rFonts w:hint="eastAsia" w:ascii="宋体" w:hAnsi="宋体" w:eastAsia="宋体" w:cs="宋体"/>
                <w:color w:val="auto"/>
                <w:sz w:val="21"/>
                <w:highlight w:val="none"/>
              </w:rPr>
              <w:t>内容完整，</w:t>
            </w:r>
            <w:r>
              <w:rPr>
                <w:rFonts w:hint="eastAsia" w:ascii="宋体" w:hAnsi="宋体" w:eastAsia="宋体" w:cs="宋体"/>
                <w:bCs/>
                <w:color w:val="auto"/>
                <w:sz w:val="21"/>
                <w:highlight w:val="none"/>
              </w:rPr>
              <w:t>配送计划详细合理，配送的流程明确</w:t>
            </w:r>
            <w:r>
              <w:rPr>
                <w:rFonts w:hint="eastAsia" w:ascii="宋体" w:hAnsi="宋体" w:eastAsia="宋体" w:cs="宋体"/>
                <w:color w:val="auto"/>
                <w:sz w:val="21"/>
                <w:highlight w:val="none"/>
              </w:rPr>
              <w:t>，</w:t>
            </w:r>
            <w:r>
              <w:rPr>
                <w:rFonts w:hint="eastAsia" w:ascii="宋体" w:hAnsi="宋体" w:eastAsia="宋体" w:cs="宋体"/>
                <w:bCs/>
                <w:color w:val="auto"/>
                <w:sz w:val="21"/>
                <w:highlight w:val="none"/>
              </w:rPr>
              <w:t>配送时效优于采购需求，</w:t>
            </w:r>
            <w:r>
              <w:rPr>
                <w:rFonts w:hint="eastAsia" w:ascii="宋体" w:hAnsi="宋体" w:eastAsia="宋体" w:cs="宋体"/>
                <w:bCs/>
                <w:color w:val="auto"/>
                <w:kern w:val="0"/>
                <w:sz w:val="21"/>
                <w:highlight w:val="none"/>
              </w:rPr>
              <w:t>支持配送到家，运输的交通工具和盛装用具符合医药运输规范，</w:t>
            </w:r>
            <w:r>
              <w:rPr>
                <w:rFonts w:hint="eastAsia" w:ascii="宋体" w:hAnsi="宋体" w:eastAsia="宋体" w:cs="宋体"/>
                <w:bCs/>
                <w:color w:val="auto"/>
                <w:sz w:val="21"/>
                <w:highlight w:val="none"/>
              </w:rPr>
              <w:t>有具体的配送人员名单及联系方式，配送能力强，有具体、可行的保障措施。</w:t>
            </w:r>
          </w:p>
        </w:tc>
      </w:tr>
      <w:tr w14:paraId="315E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27D71834">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2.5</w:t>
            </w:r>
          </w:p>
        </w:tc>
        <w:tc>
          <w:tcPr>
            <w:tcW w:w="1701" w:type="dxa"/>
            <w:noWrap w:val="0"/>
            <w:vAlign w:val="center"/>
          </w:tcPr>
          <w:p w14:paraId="6A046E84">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应急服务方案分</w:t>
            </w:r>
          </w:p>
          <w:p w14:paraId="0C39417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bCs/>
                <w:color w:val="auto"/>
                <w:sz w:val="21"/>
                <w:highlight w:val="none"/>
              </w:rPr>
            </w:pPr>
            <w:r>
              <w:rPr>
                <w:rFonts w:hint="eastAsia" w:ascii="宋体" w:hAnsi="宋体" w:eastAsia="宋体" w:cs="宋体"/>
                <w:color w:val="auto"/>
                <w:sz w:val="21"/>
                <w:highlight w:val="none"/>
              </w:rPr>
              <w:t>（满分9分）</w:t>
            </w:r>
          </w:p>
        </w:tc>
        <w:tc>
          <w:tcPr>
            <w:tcW w:w="7454" w:type="dxa"/>
            <w:noWrap w:val="0"/>
            <w:vAlign w:val="center"/>
          </w:tcPr>
          <w:p w14:paraId="5740084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sz w:val="21"/>
                <w:highlight w:val="none"/>
              </w:rPr>
              <w:t>由评委根据各投标人的应急处理预案及紧急情况应对措施（包括但不限于设备故障、运送车辆故障、</w:t>
            </w:r>
            <w:r>
              <w:rPr>
                <w:rFonts w:hint="eastAsia" w:ascii="宋体" w:hAnsi="宋体" w:eastAsia="宋体" w:cs="宋体"/>
                <w:color w:val="auto"/>
                <w:spacing w:val="3"/>
                <w:sz w:val="21"/>
                <w:szCs w:val="21"/>
                <w:highlight w:val="none"/>
                <w:lang w:val="en-US" w:eastAsia="zh-CN"/>
              </w:rPr>
              <w:t>代煎成品</w:t>
            </w:r>
            <w:r>
              <w:rPr>
                <w:rFonts w:hint="eastAsia" w:ascii="宋体" w:hAnsi="宋体" w:eastAsia="宋体" w:cs="宋体"/>
                <w:bCs/>
                <w:color w:val="auto"/>
                <w:sz w:val="21"/>
                <w:highlight w:val="none"/>
              </w:rPr>
              <w:t>调剂和配送错误、</w:t>
            </w:r>
            <w:r>
              <w:rPr>
                <w:rFonts w:hint="eastAsia" w:ascii="宋体" w:hAnsi="宋体" w:eastAsia="宋体" w:cs="宋体"/>
                <w:color w:val="auto"/>
                <w:spacing w:val="3"/>
                <w:sz w:val="21"/>
                <w:szCs w:val="21"/>
                <w:highlight w:val="none"/>
                <w:lang w:val="en-US" w:eastAsia="zh-CN"/>
              </w:rPr>
              <w:t>代煎成品</w:t>
            </w:r>
            <w:r>
              <w:rPr>
                <w:rFonts w:hint="eastAsia" w:ascii="宋体" w:hAnsi="宋体" w:eastAsia="宋体" w:cs="宋体"/>
                <w:bCs/>
                <w:color w:val="auto"/>
                <w:sz w:val="21"/>
                <w:highlight w:val="none"/>
              </w:rPr>
              <w:t>质量出现问题、安全事故及应急配送等）的针对性、有效性、完善性等方面内容进行评审，独立打分。</w:t>
            </w:r>
          </w:p>
          <w:p w14:paraId="7B893095">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一档（0分）：未提供</w:t>
            </w:r>
            <w:r>
              <w:rPr>
                <w:rFonts w:hint="eastAsia" w:ascii="宋体" w:hAnsi="宋体" w:eastAsia="宋体" w:cs="宋体"/>
                <w:bCs/>
                <w:color w:val="auto"/>
                <w:sz w:val="21"/>
                <w:highlight w:val="none"/>
              </w:rPr>
              <w:t>应急服务方案</w:t>
            </w:r>
            <w:r>
              <w:rPr>
                <w:rFonts w:hint="eastAsia" w:ascii="宋体" w:hAnsi="宋体" w:eastAsia="宋体" w:cs="宋体"/>
                <w:bCs/>
                <w:color w:val="auto"/>
                <w:kern w:val="0"/>
                <w:sz w:val="21"/>
                <w:highlight w:val="none"/>
              </w:rPr>
              <w:t>或提供的</w:t>
            </w:r>
            <w:r>
              <w:rPr>
                <w:rFonts w:hint="eastAsia" w:ascii="宋体" w:hAnsi="宋体" w:eastAsia="宋体" w:cs="宋体"/>
                <w:bCs/>
                <w:color w:val="auto"/>
                <w:sz w:val="21"/>
                <w:highlight w:val="none"/>
              </w:rPr>
              <w:t>应急服务方案</w:t>
            </w:r>
            <w:r>
              <w:rPr>
                <w:rFonts w:hint="eastAsia" w:ascii="宋体" w:hAnsi="宋体" w:eastAsia="宋体" w:cs="宋体"/>
                <w:bCs/>
                <w:color w:val="auto"/>
                <w:kern w:val="0"/>
                <w:sz w:val="21"/>
                <w:highlight w:val="none"/>
              </w:rPr>
              <w:t>与项目不符或达不到二档。</w:t>
            </w:r>
          </w:p>
          <w:p w14:paraId="3920E02F">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二档（3分）：</w:t>
            </w:r>
            <w:r>
              <w:rPr>
                <w:rFonts w:hint="eastAsia" w:ascii="宋体" w:hAnsi="宋体" w:eastAsia="宋体" w:cs="宋体"/>
                <w:color w:val="auto"/>
                <w:kern w:val="0"/>
                <w:sz w:val="21"/>
                <w:highlight w:val="none"/>
              </w:rPr>
              <w:t>应急服务方案</w:t>
            </w:r>
            <w:r>
              <w:rPr>
                <w:rFonts w:hint="eastAsia" w:ascii="宋体" w:hAnsi="宋体" w:eastAsia="宋体" w:cs="宋体"/>
                <w:color w:val="auto"/>
                <w:sz w:val="21"/>
                <w:highlight w:val="none"/>
              </w:rPr>
              <w:t>内容基本完整，能提供相应应急预案或措施，缺乏可操作性</w:t>
            </w:r>
            <w:r>
              <w:rPr>
                <w:rFonts w:hint="eastAsia" w:ascii="宋体" w:hAnsi="宋体" w:eastAsia="宋体" w:cs="宋体"/>
                <w:bCs/>
                <w:color w:val="auto"/>
                <w:kern w:val="0"/>
                <w:sz w:val="21"/>
                <w:highlight w:val="none"/>
              </w:rPr>
              <w:t>。</w:t>
            </w:r>
          </w:p>
          <w:p w14:paraId="37817447">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color w:val="auto"/>
                <w:sz w:val="21"/>
                <w:highlight w:val="none"/>
              </w:rPr>
            </w:pPr>
            <w:r>
              <w:rPr>
                <w:rFonts w:hint="eastAsia" w:ascii="宋体" w:hAnsi="宋体" w:eastAsia="宋体" w:cs="宋体"/>
                <w:bCs/>
                <w:color w:val="auto"/>
                <w:kern w:val="0"/>
                <w:sz w:val="21"/>
                <w:highlight w:val="none"/>
              </w:rPr>
              <w:t>三档（6分）：</w:t>
            </w:r>
            <w:r>
              <w:rPr>
                <w:rFonts w:hint="eastAsia" w:ascii="宋体" w:hAnsi="宋体" w:eastAsia="宋体" w:cs="宋体"/>
                <w:color w:val="auto"/>
                <w:kern w:val="0"/>
                <w:sz w:val="21"/>
                <w:highlight w:val="none"/>
              </w:rPr>
              <w:t>应急服务方案</w:t>
            </w:r>
            <w:r>
              <w:rPr>
                <w:rFonts w:hint="eastAsia" w:ascii="宋体" w:hAnsi="宋体" w:eastAsia="宋体" w:cs="宋体"/>
                <w:color w:val="auto"/>
                <w:sz w:val="21"/>
                <w:highlight w:val="none"/>
              </w:rPr>
              <w:t>内容完整，能结合采购人特点提供切合项目实际的应急预案或措施，应急预案或措施具备可行性，应急服务有保障。</w:t>
            </w:r>
          </w:p>
          <w:p w14:paraId="0AECE6F7">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rPr>
              <w:t>四档（9分）：</w:t>
            </w:r>
            <w:r>
              <w:rPr>
                <w:rFonts w:hint="eastAsia" w:ascii="宋体" w:hAnsi="宋体" w:eastAsia="宋体" w:cs="宋体"/>
                <w:color w:val="auto"/>
                <w:kern w:val="0"/>
                <w:sz w:val="21"/>
                <w:highlight w:val="none"/>
              </w:rPr>
              <w:t>应急服务方案</w:t>
            </w:r>
            <w:r>
              <w:rPr>
                <w:rFonts w:hint="eastAsia" w:ascii="宋体" w:hAnsi="宋体" w:eastAsia="宋体" w:cs="宋体"/>
                <w:color w:val="auto"/>
                <w:sz w:val="21"/>
                <w:highlight w:val="none"/>
              </w:rPr>
              <w:t>内容完整，</w:t>
            </w:r>
            <w:r>
              <w:rPr>
                <w:rFonts w:hint="eastAsia" w:ascii="宋体" w:hAnsi="宋体" w:eastAsia="宋体" w:cs="宋体"/>
                <w:bCs/>
                <w:color w:val="auto"/>
                <w:kern w:val="0"/>
                <w:sz w:val="21"/>
                <w:highlight w:val="none"/>
              </w:rPr>
              <w:t>能结合采购</w:t>
            </w:r>
            <w:r>
              <w:rPr>
                <w:rFonts w:hint="eastAsia" w:ascii="宋体" w:hAnsi="宋体" w:eastAsia="宋体" w:cs="宋体"/>
                <w:color w:val="auto"/>
                <w:sz w:val="21"/>
                <w:highlight w:val="none"/>
              </w:rPr>
              <w:t>人</w:t>
            </w:r>
            <w:r>
              <w:rPr>
                <w:rFonts w:hint="eastAsia" w:ascii="宋体" w:hAnsi="宋体" w:eastAsia="宋体" w:cs="宋体"/>
                <w:bCs/>
                <w:color w:val="auto"/>
                <w:kern w:val="0"/>
                <w:sz w:val="21"/>
                <w:highlight w:val="none"/>
              </w:rPr>
              <w:t>特点提供切合项目实际的应急预案或措施，应急预案可操作性强、能有效解决问题，在接到临时紧急配送需求后能优于采购文件要求的时间内将代煎成品送达采购人指定地点，且有具体的应急人员安排和后勤保障方案，能保证发生突发事故时能及时应对，以保障采购人、患者的用药需求。</w:t>
            </w:r>
          </w:p>
        </w:tc>
      </w:tr>
      <w:tr w14:paraId="6098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7CE2CD30">
            <w:pPr>
              <w:keepNext w:val="0"/>
              <w:keepLines w:val="0"/>
              <w:pageBreakBefore w:val="0"/>
              <w:widowControl w:val="0"/>
              <w:tabs>
                <w:tab w:val="left" w:pos="0"/>
              </w:tabs>
              <w:kinsoku/>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p>
        </w:tc>
        <w:tc>
          <w:tcPr>
            <w:tcW w:w="1701" w:type="dxa"/>
            <w:noWrap w:val="0"/>
            <w:vAlign w:val="center"/>
          </w:tcPr>
          <w:p w14:paraId="37D7A950">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商务分</w:t>
            </w:r>
          </w:p>
          <w:p w14:paraId="38E93392">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（满分10分）</w:t>
            </w:r>
          </w:p>
        </w:tc>
        <w:tc>
          <w:tcPr>
            <w:tcW w:w="7454" w:type="dxa"/>
            <w:noWrap w:val="0"/>
            <w:vAlign w:val="center"/>
          </w:tcPr>
          <w:p w14:paraId="40495AF4">
            <w:pPr>
              <w:keepNext w:val="0"/>
              <w:keepLines w:val="0"/>
              <w:pageBreakBefore w:val="0"/>
              <w:widowControl w:val="0"/>
              <w:kinsoku/>
              <w:overflowPunct/>
              <w:topLinePunct w:val="0"/>
              <w:autoSpaceDE/>
              <w:autoSpaceDN/>
              <w:bidi w:val="0"/>
              <w:snapToGrid w:val="0"/>
              <w:spacing w:line="360" w:lineRule="auto"/>
              <w:ind w:left="0" w:leftChars="0" w:right="0" w:firstLine="420" w:firstLineChars="20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评审因素</w:t>
            </w:r>
            <w:bookmarkStart w:id="104" w:name="_GoBack"/>
            <w:bookmarkEnd w:id="104"/>
          </w:p>
        </w:tc>
      </w:tr>
      <w:tr w14:paraId="0B35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78C83234">
            <w:pPr>
              <w:keepNext w:val="0"/>
              <w:keepLines w:val="0"/>
              <w:pageBreakBefore w:val="0"/>
              <w:widowControl w:val="0"/>
              <w:tabs>
                <w:tab w:val="left" w:pos="0"/>
              </w:tabs>
              <w:kinsoku/>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3.1</w:t>
            </w:r>
          </w:p>
        </w:tc>
        <w:tc>
          <w:tcPr>
            <w:tcW w:w="1701" w:type="dxa"/>
            <w:noWrap w:val="0"/>
            <w:vAlign w:val="center"/>
          </w:tcPr>
          <w:p w14:paraId="72C39A4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信誉分</w:t>
            </w:r>
          </w:p>
          <w:p w14:paraId="3930FBB3">
            <w:pPr>
              <w:keepNext w:val="0"/>
              <w:keepLines w:val="0"/>
              <w:pageBreakBefore w:val="0"/>
              <w:widowControl w:val="0"/>
              <w:kinsoku/>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（满分3分）</w:t>
            </w:r>
          </w:p>
        </w:tc>
        <w:tc>
          <w:tcPr>
            <w:tcW w:w="7454" w:type="dxa"/>
            <w:noWrap w:val="0"/>
            <w:vAlign w:val="center"/>
          </w:tcPr>
          <w:p w14:paraId="6745090E">
            <w:pPr>
              <w:keepNext w:val="0"/>
              <w:keepLines w:val="0"/>
              <w:pageBreakBefore w:val="0"/>
              <w:widowControl w:val="0"/>
              <w:tabs>
                <w:tab w:val="left" w:pos="0"/>
              </w:tabs>
              <w:kinsoku/>
              <w:wordWrap w:val="0"/>
              <w:overflowPunct/>
              <w:topLinePunct w:val="0"/>
              <w:autoSpaceDE/>
              <w:autoSpaceDN/>
              <w:bidi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（1）投标人通过质量管理体系认证得1分，满分1分。（</w:t>
            </w:r>
            <w:r>
              <w:rPr>
                <w:rFonts w:hint="eastAsia" w:ascii="宋体" w:hAnsi="宋体" w:eastAsia="宋体" w:cs="宋体"/>
                <w:b/>
                <w:bCs/>
                <w:color w:val="auto"/>
                <w:sz w:val="21"/>
                <w:highlight w:val="none"/>
              </w:rPr>
              <w:t>投标文件中提供有效的证书原件扫描件并加盖投标人电子公章，否则不予计分</w:t>
            </w:r>
            <w:r>
              <w:rPr>
                <w:rFonts w:hint="eastAsia" w:ascii="宋体" w:hAnsi="宋体" w:eastAsia="宋体" w:cs="宋体"/>
                <w:bCs/>
                <w:color w:val="auto"/>
                <w:sz w:val="21"/>
                <w:highlight w:val="none"/>
              </w:rPr>
              <w:t>）</w:t>
            </w:r>
          </w:p>
          <w:p w14:paraId="4556402A">
            <w:pPr>
              <w:keepNext w:val="0"/>
              <w:keepLines w:val="0"/>
              <w:pageBreakBefore w:val="0"/>
              <w:widowControl w:val="0"/>
              <w:kinsoku/>
              <w:wordWrap w:val="0"/>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bCs/>
                <w:color w:val="auto"/>
                <w:sz w:val="21"/>
                <w:highlight w:val="none"/>
              </w:rPr>
              <w:t>投标人通过环境管理体系认证得1分，满分1分。（</w:t>
            </w:r>
            <w:r>
              <w:rPr>
                <w:rFonts w:hint="eastAsia" w:ascii="宋体" w:hAnsi="宋体" w:eastAsia="宋体" w:cs="宋体"/>
                <w:b/>
                <w:bCs/>
                <w:color w:val="auto"/>
                <w:sz w:val="21"/>
                <w:highlight w:val="none"/>
              </w:rPr>
              <w:t>投标文件中提供有效的证书原件扫描件并加盖投标人电子公章，否则不予计分</w:t>
            </w:r>
            <w:r>
              <w:rPr>
                <w:rFonts w:hint="eastAsia" w:ascii="宋体" w:hAnsi="宋体" w:eastAsia="宋体" w:cs="宋体"/>
                <w:bCs/>
                <w:color w:val="auto"/>
                <w:sz w:val="21"/>
                <w:highlight w:val="none"/>
              </w:rPr>
              <w:t>）</w:t>
            </w:r>
          </w:p>
          <w:p w14:paraId="1FD53956">
            <w:pPr>
              <w:keepNext w:val="0"/>
              <w:keepLines w:val="0"/>
              <w:pageBreakBefore w:val="0"/>
              <w:widowControl w:val="0"/>
              <w:kinsoku/>
              <w:wordWrap w:val="0"/>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
                <w:bCs/>
                <w:color w:val="auto"/>
                <w:sz w:val="21"/>
                <w:highlight w:val="none"/>
              </w:rPr>
            </w:pPr>
            <w:r>
              <w:rPr>
                <w:rFonts w:hint="eastAsia" w:ascii="宋体" w:hAnsi="宋体" w:eastAsia="宋体" w:cs="宋体"/>
                <w:bCs/>
                <w:color w:val="auto"/>
                <w:sz w:val="21"/>
                <w:highlight w:val="none"/>
              </w:rPr>
              <w:t>（3）投标人通过职业健康安全管理体系认证得1分，满分1分。（</w:t>
            </w:r>
            <w:r>
              <w:rPr>
                <w:rFonts w:hint="eastAsia" w:ascii="宋体" w:hAnsi="宋体" w:eastAsia="宋体" w:cs="宋体"/>
                <w:b/>
                <w:bCs/>
                <w:color w:val="auto"/>
                <w:sz w:val="21"/>
                <w:highlight w:val="none"/>
              </w:rPr>
              <w:t>投标文件中提供有效的证书原件扫描件并加盖投标人电子公章，否则不予计分</w:t>
            </w:r>
            <w:r>
              <w:rPr>
                <w:rFonts w:hint="eastAsia" w:ascii="宋体" w:hAnsi="宋体" w:eastAsia="宋体" w:cs="宋体"/>
                <w:bCs/>
                <w:color w:val="auto"/>
                <w:sz w:val="21"/>
                <w:highlight w:val="none"/>
              </w:rPr>
              <w:t>）</w:t>
            </w:r>
          </w:p>
        </w:tc>
      </w:tr>
      <w:tr w14:paraId="5BE5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noWrap w:val="0"/>
            <w:vAlign w:val="center"/>
          </w:tcPr>
          <w:p w14:paraId="42185113">
            <w:pPr>
              <w:keepNext w:val="0"/>
              <w:keepLines w:val="0"/>
              <w:pageBreakBefore w:val="0"/>
              <w:widowControl w:val="0"/>
              <w:tabs>
                <w:tab w:val="left" w:pos="0"/>
              </w:tabs>
              <w:kinsoku/>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3.2</w:t>
            </w:r>
          </w:p>
        </w:tc>
        <w:tc>
          <w:tcPr>
            <w:tcW w:w="1701" w:type="dxa"/>
            <w:noWrap w:val="0"/>
            <w:vAlign w:val="center"/>
          </w:tcPr>
          <w:p w14:paraId="0220EB5E">
            <w:pPr>
              <w:keepNext w:val="0"/>
              <w:keepLines w:val="0"/>
              <w:pageBreakBefore w:val="0"/>
              <w:widowControl w:val="0"/>
              <w:kinsoku/>
              <w:overflowPunct/>
              <w:topLinePunct w:val="0"/>
              <w:autoSpaceDE/>
              <w:autoSpaceDN/>
              <w:bidi w:val="0"/>
              <w:spacing w:line="360" w:lineRule="auto"/>
              <w:ind w:left="0" w:leftChars="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业绩分</w:t>
            </w:r>
          </w:p>
          <w:p w14:paraId="336B6975">
            <w:pPr>
              <w:keepNext w:val="0"/>
              <w:keepLines w:val="0"/>
              <w:pageBreakBefore w:val="0"/>
              <w:widowControl w:val="0"/>
              <w:kinsoku/>
              <w:overflowPunct/>
              <w:topLinePunct w:val="0"/>
              <w:autoSpaceDE/>
              <w:autoSpaceDN/>
              <w:bidi w:val="0"/>
              <w:spacing w:line="360" w:lineRule="auto"/>
              <w:ind w:left="0" w:leftChars="0" w:right="0" w:firstLine="31" w:firstLineChars="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（满分7分）</w:t>
            </w:r>
          </w:p>
        </w:tc>
        <w:tc>
          <w:tcPr>
            <w:tcW w:w="7454" w:type="dxa"/>
            <w:noWrap w:val="0"/>
            <w:vAlign w:val="center"/>
          </w:tcPr>
          <w:p w14:paraId="5C28D727">
            <w:pPr>
              <w:keepNext w:val="0"/>
              <w:keepLines w:val="0"/>
              <w:pageBreakBefore w:val="0"/>
              <w:widowControl w:val="0"/>
              <w:tabs>
                <w:tab w:val="left" w:pos="0"/>
              </w:tabs>
              <w:kinsoku/>
              <w:wordWrap w:val="0"/>
              <w:overflowPunct/>
              <w:topLinePunct w:val="0"/>
              <w:autoSpaceDE/>
              <w:autoSpaceDN/>
              <w:bidi w:val="0"/>
              <w:spacing w:line="360" w:lineRule="auto"/>
              <w:ind w:left="0" w:leftChars="0" w:right="0" w:firstLine="420" w:firstLineChars="20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投标人自2022年1月1日以来具有同类项目实施业绩（</w:t>
            </w:r>
            <w:r>
              <w:rPr>
                <w:rFonts w:hint="eastAsia" w:ascii="宋体" w:hAnsi="宋体" w:eastAsia="宋体" w:cs="宋体"/>
                <w:b/>
                <w:bCs/>
                <w:color w:val="auto"/>
                <w:sz w:val="21"/>
                <w:highlight w:val="none"/>
              </w:rPr>
              <w:t>以投标文件中提供的合同书原件扫描件为准</w:t>
            </w:r>
            <w:r>
              <w:rPr>
                <w:rFonts w:hint="eastAsia" w:ascii="宋体" w:hAnsi="宋体" w:eastAsia="宋体" w:cs="宋体"/>
                <w:bCs/>
                <w:color w:val="auto"/>
                <w:sz w:val="21"/>
                <w:highlight w:val="none"/>
              </w:rPr>
              <w:t>，并能清晰反映合同中的同类项目名称及内容，否则视为无效不予计分），每提供一份业绩合同得1分，满分7分。</w:t>
            </w:r>
          </w:p>
          <w:p w14:paraId="15E19A07">
            <w:pPr>
              <w:keepNext w:val="0"/>
              <w:keepLines w:val="0"/>
              <w:pageBreakBefore w:val="0"/>
              <w:widowControl w:val="0"/>
              <w:kinsoku/>
              <w:overflowPunct/>
              <w:topLinePunct w:val="0"/>
              <w:autoSpaceDE/>
              <w:autoSpaceDN/>
              <w:bidi w:val="0"/>
              <w:snapToGrid w:val="0"/>
              <w:spacing w:line="360" w:lineRule="auto"/>
              <w:ind w:left="0" w:leftChars="0" w:right="0" w:firstLine="422" w:firstLineChars="200"/>
              <w:jc w:val="both"/>
              <w:rPr>
                <w:rFonts w:hint="eastAsia" w:ascii="宋体" w:hAnsi="宋体" w:eastAsia="宋体" w:cs="宋体"/>
                <w:bCs/>
                <w:color w:val="auto"/>
                <w:sz w:val="21"/>
                <w:highlight w:val="none"/>
              </w:rPr>
            </w:pPr>
            <w:r>
              <w:rPr>
                <w:rFonts w:hint="eastAsia" w:ascii="宋体" w:hAnsi="宋体" w:eastAsia="宋体" w:cs="宋体"/>
                <w:b/>
                <w:bCs/>
                <w:color w:val="auto"/>
                <w:sz w:val="21"/>
                <w:highlight w:val="none"/>
              </w:rPr>
              <w:t>注：1.合同期包含2022年1月1日及之后的业绩均认可。</w:t>
            </w:r>
          </w:p>
        </w:tc>
      </w:tr>
      <w:tr w14:paraId="6024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6" w:type="dxa"/>
            <w:gridSpan w:val="3"/>
            <w:noWrap w:val="0"/>
            <w:vAlign w:val="center"/>
          </w:tcPr>
          <w:p w14:paraId="749574C4">
            <w:pPr>
              <w:pStyle w:val="16"/>
              <w:keepNext w:val="0"/>
              <w:keepLines w:val="0"/>
              <w:pageBreakBefore w:val="0"/>
              <w:widowControl w:val="0"/>
              <w:kinsoku/>
              <w:overflowPunct/>
              <w:topLinePunct w:val="0"/>
              <w:autoSpaceDE/>
              <w:autoSpaceDN/>
              <w:bidi w:val="0"/>
              <w:spacing w:line="360" w:lineRule="auto"/>
              <w:ind w:left="0" w:leftChars="0" w:right="0"/>
              <w:rPr>
                <w:rFonts w:hint="eastAsia" w:ascii="宋体" w:hAnsi="宋体" w:eastAsia="宋体" w:cs="宋体"/>
                <w:bCs/>
                <w:color w:val="auto"/>
                <w:sz w:val="21"/>
                <w:highlight w:val="none"/>
              </w:rPr>
            </w:pPr>
            <w:r>
              <w:rPr>
                <w:rFonts w:hint="eastAsia" w:ascii="宋体" w:hAnsi="宋体" w:eastAsia="宋体" w:cs="宋体"/>
                <w:b/>
                <w:bCs/>
                <w:color w:val="auto"/>
                <w:sz w:val="21"/>
                <w:highlight w:val="none"/>
              </w:rPr>
              <w:t>总得分=1+2+3</w:t>
            </w:r>
          </w:p>
        </w:tc>
      </w:tr>
      <w:bookmarkEnd w:id="52"/>
    </w:tbl>
    <w:p w14:paraId="2212FC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A538B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.终止竞争性磋商采购活动</w:t>
      </w:r>
    </w:p>
    <w:p w14:paraId="504D54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FD0A7AF">
      <w:pPr>
        <w:keepNext/>
        <w:keepLines/>
        <w:spacing w:line="360" w:lineRule="auto"/>
        <w:jc w:val="center"/>
        <w:outlineLvl w:val="1"/>
        <w:rPr>
          <w:rFonts w:hint="eastAsia" w:ascii="宋体" w:hAnsi="宋体" w:eastAsia="宋体" w:cs="宋体"/>
          <w:bCs/>
          <w:color w:val="auto"/>
          <w:sz w:val="32"/>
          <w:szCs w:val="32"/>
          <w:highlight w:val="none"/>
        </w:rPr>
      </w:pPr>
      <w:bookmarkStart w:id="57" w:name="_Toc14052"/>
      <w:r>
        <w:rPr>
          <w:rFonts w:hint="eastAsia" w:ascii="宋体" w:hAnsi="宋体" w:eastAsia="宋体" w:cs="宋体"/>
          <w:bCs/>
          <w:color w:val="auto"/>
          <w:sz w:val="32"/>
          <w:szCs w:val="32"/>
          <w:highlight w:val="none"/>
        </w:rPr>
        <w:t>第二节 评标报告</w:t>
      </w:r>
      <w:bookmarkEnd w:id="53"/>
      <w:bookmarkEnd w:id="57"/>
    </w:p>
    <w:p w14:paraId="5783D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4DCF2D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D347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09090D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9055A38">
      <w:pPr>
        <w:adjustRightInd w:val="0"/>
        <w:spacing w:line="360" w:lineRule="auto"/>
        <w:ind w:firstLine="420" w:firstLineChars="200"/>
        <w:rPr>
          <w:rFonts w:hint="eastAsia" w:ascii="宋体" w:hAnsi="宋体" w:eastAsia="宋体" w:cs="宋体"/>
          <w:color w:val="auto"/>
          <w:highlight w:val="none"/>
        </w:rPr>
      </w:pPr>
    </w:p>
    <w:p w14:paraId="367C7DD1">
      <w:pPr>
        <w:keepNext/>
        <w:keepLines/>
        <w:spacing w:line="360" w:lineRule="auto"/>
        <w:jc w:val="center"/>
        <w:outlineLvl w:val="1"/>
        <w:rPr>
          <w:rFonts w:hint="eastAsia" w:ascii="宋体" w:hAnsi="宋体" w:eastAsia="宋体" w:cs="宋体"/>
          <w:bCs/>
          <w:color w:val="auto"/>
          <w:sz w:val="32"/>
          <w:szCs w:val="32"/>
          <w:highlight w:val="none"/>
        </w:rPr>
      </w:pPr>
      <w:bookmarkStart w:id="58" w:name="_Toc13089"/>
      <w:bookmarkStart w:id="59" w:name="_Toc80205936"/>
      <w:r>
        <w:rPr>
          <w:rFonts w:hint="eastAsia" w:ascii="宋体" w:hAnsi="宋体" w:eastAsia="宋体" w:cs="宋体"/>
          <w:bCs/>
          <w:color w:val="auto"/>
          <w:sz w:val="32"/>
          <w:szCs w:val="32"/>
          <w:highlight w:val="none"/>
        </w:rPr>
        <w:t>第三节 评审过程的保密与录像</w:t>
      </w:r>
      <w:bookmarkEnd w:id="58"/>
      <w:bookmarkEnd w:id="59"/>
    </w:p>
    <w:p w14:paraId="14E176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A943C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3F0FA8F">
      <w:p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2.录音录像</w:t>
      </w:r>
    </w:p>
    <w:p w14:paraId="7CDFFB89">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E11B85">
      <w:pPr>
        <w:rPr>
          <w:rFonts w:hint="eastAsia"/>
          <w:color w:val="auto"/>
          <w:highlight w:val="none"/>
        </w:rPr>
      </w:pPr>
      <w:r>
        <w:rPr>
          <w:rFonts w:hint="eastAsia" w:ascii="宋体" w:hAnsi="宋体" w:eastAsia="宋体" w:cs="宋体"/>
          <w:bCs/>
          <w:color w:val="auto"/>
          <w:kern w:val="2"/>
          <w:szCs w:val="24"/>
          <w:highlight w:val="none"/>
          <w:lang w:val="en-US" w:eastAsia="zh-CN" w:bidi="ar-SA"/>
        </w:rPr>
        <w:br w:type="page"/>
      </w:r>
      <w:bookmarkEnd w:id="54"/>
    </w:p>
    <w:p w14:paraId="6F79E01A">
      <w:pPr>
        <w:keepNext/>
        <w:keepLines/>
        <w:numPr>
          <w:ilvl w:val="0"/>
          <w:numId w:val="1"/>
        </w:numPr>
        <w:spacing w:before="340" w:after="330" w:line="578" w:lineRule="auto"/>
        <w:jc w:val="center"/>
        <w:outlineLvl w:val="0"/>
        <w:rPr>
          <w:rFonts w:hint="eastAsia" w:ascii="宋体" w:hAnsi="宋体" w:eastAsia="宋体" w:cs="宋体"/>
          <w:b/>
          <w:bCs/>
          <w:color w:val="auto"/>
          <w:kern w:val="44"/>
          <w:sz w:val="32"/>
          <w:szCs w:val="32"/>
          <w:highlight w:val="none"/>
        </w:rPr>
      </w:pPr>
      <w:bookmarkStart w:id="60" w:name="_Toc26450"/>
      <w:r>
        <w:rPr>
          <w:rFonts w:hint="eastAsia" w:ascii="宋体" w:hAnsi="宋体" w:eastAsia="宋体" w:cs="宋体"/>
          <w:b/>
          <w:bCs/>
          <w:color w:val="auto"/>
          <w:kern w:val="44"/>
          <w:sz w:val="32"/>
          <w:szCs w:val="32"/>
          <w:highlight w:val="none"/>
        </w:rPr>
        <w:t>响应文件格式</w:t>
      </w:r>
      <w:bookmarkEnd w:id="60"/>
    </w:p>
    <w:p w14:paraId="4DDEDD7E">
      <w:pPr>
        <w:keepNext/>
        <w:keepLines/>
        <w:spacing w:before="260" w:after="260" w:line="416"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响应文件封面格式</w:t>
      </w:r>
    </w:p>
    <w:p w14:paraId="08D782A5">
      <w:pPr>
        <w:shd w:val="clear" w:color="auto" w:fill="auto"/>
        <w:snapToGrid w:val="0"/>
        <w:spacing w:before="158" w:beforeLines="50" w:after="50"/>
        <w:jc w:val="right"/>
        <w:rPr>
          <w:rFonts w:hint="eastAsia" w:ascii="宋体" w:hAnsi="宋体" w:eastAsia="宋体" w:cs="宋体"/>
          <w:bCs/>
          <w:color w:val="auto"/>
          <w:sz w:val="32"/>
          <w:szCs w:val="20"/>
          <w:highlight w:val="none"/>
        </w:rPr>
      </w:pPr>
      <w:r>
        <w:rPr>
          <w:rFonts w:hint="eastAsia" w:ascii="宋体" w:hAnsi="宋体" w:eastAsia="宋体" w:cs="宋体"/>
          <w:bCs/>
          <w:color w:val="auto"/>
          <w:sz w:val="24"/>
          <w:szCs w:val="32"/>
          <w:highlight w:val="none"/>
        </w:rPr>
        <w:t>全流程电子文件</w:t>
      </w:r>
    </w:p>
    <w:p w14:paraId="39A8E5B8">
      <w:pPr>
        <w:shd w:val="clear" w:color="auto" w:fill="auto"/>
        <w:snapToGrid w:val="0"/>
        <w:spacing w:before="158" w:beforeLines="50" w:after="50"/>
        <w:rPr>
          <w:rFonts w:hint="eastAsia" w:ascii="宋体" w:hAnsi="宋体" w:eastAsia="宋体" w:cs="宋体"/>
          <w:color w:val="auto"/>
          <w:sz w:val="24"/>
          <w:szCs w:val="20"/>
          <w:highlight w:val="none"/>
        </w:rPr>
      </w:pPr>
    </w:p>
    <w:p w14:paraId="6C3F52F9">
      <w:pPr>
        <w:shd w:val="clear" w:color="auto" w:fill="auto"/>
        <w:snapToGrid w:val="0"/>
        <w:spacing w:before="158" w:beforeLines="50" w:after="50"/>
        <w:rPr>
          <w:rFonts w:hint="eastAsia" w:ascii="宋体" w:hAnsi="宋体" w:eastAsia="宋体" w:cs="宋体"/>
          <w:color w:val="auto"/>
          <w:sz w:val="24"/>
          <w:szCs w:val="20"/>
          <w:highlight w:val="none"/>
        </w:rPr>
      </w:pPr>
    </w:p>
    <w:p w14:paraId="068FAD7E">
      <w:pPr>
        <w:shd w:val="clear" w:color="auto" w:fill="auto"/>
        <w:snapToGrid w:val="0"/>
        <w:spacing w:before="158" w:beforeLines="50" w:after="50"/>
        <w:rPr>
          <w:rFonts w:hint="eastAsia" w:ascii="宋体" w:hAnsi="宋体" w:eastAsia="宋体" w:cs="宋体"/>
          <w:color w:val="auto"/>
          <w:sz w:val="24"/>
          <w:szCs w:val="20"/>
          <w:highlight w:val="none"/>
        </w:rPr>
      </w:pPr>
    </w:p>
    <w:p w14:paraId="4985E1A5">
      <w:pPr>
        <w:shd w:val="clear" w:color="auto" w:fill="auto"/>
        <w:snapToGrid w:val="0"/>
        <w:spacing w:before="158" w:beforeLines="50" w:after="50"/>
        <w:rPr>
          <w:rFonts w:hint="eastAsia" w:ascii="宋体" w:hAnsi="宋体" w:eastAsia="宋体" w:cs="宋体"/>
          <w:color w:val="auto"/>
          <w:sz w:val="24"/>
          <w:szCs w:val="20"/>
          <w:highlight w:val="none"/>
        </w:rPr>
      </w:pPr>
    </w:p>
    <w:p w14:paraId="6DF757CE">
      <w:pPr>
        <w:shd w:val="clear" w:color="auto" w:fill="auto"/>
        <w:snapToGrid w:val="0"/>
        <w:spacing w:before="158" w:beforeLines="50" w:after="50"/>
        <w:rPr>
          <w:rFonts w:hint="eastAsia" w:ascii="宋体" w:hAnsi="宋体" w:eastAsia="宋体" w:cs="宋体"/>
          <w:color w:val="auto"/>
          <w:sz w:val="24"/>
          <w:szCs w:val="20"/>
          <w:highlight w:val="none"/>
        </w:rPr>
      </w:pPr>
    </w:p>
    <w:p w14:paraId="271B9F88">
      <w:pPr>
        <w:shd w:val="clear" w:color="auto" w:fill="auto"/>
        <w:snapToGrid w:val="0"/>
        <w:spacing w:before="158"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资格证明文件\商务技术文件\报价文件</w:t>
      </w:r>
    </w:p>
    <w:p w14:paraId="322F71D7">
      <w:pPr>
        <w:snapToGrid w:val="0"/>
        <w:spacing w:before="120" w:beforeLines="50" w:after="50"/>
        <w:rPr>
          <w:rFonts w:hint="eastAsia" w:ascii="宋体" w:hAnsi="宋体" w:eastAsia="宋体" w:cs="宋体"/>
          <w:bCs/>
          <w:color w:val="auto"/>
          <w:sz w:val="24"/>
          <w:szCs w:val="20"/>
          <w:highlight w:val="none"/>
        </w:rPr>
      </w:pPr>
    </w:p>
    <w:p w14:paraId="38EE5158">
      <w:pPr>
        <w:snapToGrid w:val="0"/>
        <w:spacing w:before="120" w:beforeLines="50" w:after="50"/>
        <w:rPr>
          <w:rFonts w:hint="eastAsia" w:ascii="宋体" w:hAnsi="宋体" w:eastAsia="宋体" w:cs="宋体"/>
          <w:bCs/>
          <w:color w:val="auto"/>
          <w:sz w:val="24"/>
          <w:szCs w:val="20"/>
          <w:highlight w:val="none"/>
        </w:rPr>
      </w:pPr>
    </w:p>
    <w:p w14:paraId="70C2DA2E">
      <w:pPr>
        <w:snapToGrid w:val="0"/>
        <w:spacing w:before="120" w:beforeLines="50" w:after="50"/>
        <w:rPr>
          <w:rFonts w:hint="eastAsia" w:ascii="宋体" w:hAnsi="宋体" w:eastAsia="宋体" w:cs="宋体"/>
          <w:bCs/>
          <w:color w:val="auto"/>
          <w:sz w:val="32"/>
          <w:szCs w:val="32"/>
          <w:highlight w:val="none"/>
        </w:rPr>
      </w:pPr>
    </w:p>
    <w:p w14:paraId="54FF41A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BB69FDE">
      <w:pPr>
        <w:snapToGrid w:val="0"/>
        <w:spacing w:before="120" w:beforeLines="50" w:after="50"/>
        <w:ind w:firstLine="480" w:firstLineChars="150"/>
        <w:rPr>
          <w:rFonts w:hint="eastAsia" w:ascii="宋体" w:hAnsi="宋体" w:eastAsia="宋体" w:cs="宋体"/>
          <w:bCs/>
          <w:color w:val="auto"/>
          <w:sz w:val="32"/>
          <w:szCs w:val="32"/>
          <w:highlight w:val="none"/>
        </w:rPr>
      </w:pPr>
    </w:p>
    <w:p w14:paraId="59F45DC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6FC9EDE">
      <w:pPr>
        <w:snapToGrid w:val="0"/>
        <w:spacing w:before="120" w:beforeLines="50" w:after="50"/>
        <w:rPr>
          <w:rFonts w:hint="eastAsia" w:ascii="宋体" w:hAnsi="宋体" w:eastAsia="宋体" w:cs="宋体"/>
          <w:bCs/>
          <w:color w:val="auto"/>
          <w:sz w:val="32"/>
          <w:szCs w:val="32"/>
          <w:highlight w:val="none"/>
        </w:rPr>
      </w:pPr>
    </w:p>
    <w:p w14:paraId="2298AEC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02DD34">
      <w:pPr>
        <w:snapToGrid w:val="0"/>
        <w:spacing w:before="120" w:beforeLines="50" w:after="50"/>
        <w:rPr>
          <w:rFonts w:hint="eastAsia" w:ascii="宋体" w:hAnsi="宋体" w:eastAsia="宋体" w:cs="宋体"/>
          <w:bCs/>
          <w:color w:val="auto"/>
          <w:sz w:val="32"/>
          <w:szCs w:val="32"/>
          <w:highlight w:val="none"/>
        </w:rPr>
      </w:pPr>
    </w:p>
    <w:p w14:paraId="49AEDE9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889E8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E8991A5">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69C72CF">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color w:val="auto"/>
          <w:highlight w:val="none"/>
        </w:rPr>
        <w:br w:type="page"/>
      </w:r>
    </w:p>
    <w:p w14:paraId="0B274B1C">
      <w:pPr>
        <w:shd w:val="clear" w:color="auto" w:fill="auto"/>
        <w:snapToGrid w:val="0"/>
        <w:spacing w:line="360" w:lineRule="auto"/>
        <w:ind w:right="480"/>
        <w:jc w:val="center"/>
        <w:rPr>
          <w:rFonts w:hint="eastAsia" w:ascii="宋体" w:hAnsi="宋体" w:eastAsia="宋体" w:cs="宋体"/>
          <w:b/>
          <w:color w:val="auto"/>
          <w:kern w:val="2"/>
          <w:sz w:val="30"/>
          <w:szCs w:val="30"/>
          <w:highlight w:val="none"/>
          <w:lang w:eastAsia="zh-CN"/>
        </w:rPr>
      </w:pPr>
      <w:r>
        <w:rPr>
          <w:rFonts w:hint="eastAsia" w:ascii="宋体" w:hAnsi="宋体" w:cs="宋体"/>
          <w:b/>
          <w:color w:val="auto"/>
          <w:sz w:val="30"/>
          <w:szCs w:val="30"/>
          <w:highlight w:val="none"/>
          <w:lang w:eastAsia="zh-CN"/>
        </w:rPr>
        <w:t>政府采购供应商资格信用承诺函</w:t>
      </w:r>
    </w:p>
    <w:p w14:paraId="7F98A186">
      <w:pPr>
        <w:snapToGrid w:val="0"/>
        <w:spacing w:line="360" w:lineRule="auto"/>
        <w:ind w:firstLine="480" w:firstLineChars="200"/>
        <w:rPr>
          <w:rFonts w:hint="eastAsia" w:ascii="宋体" w:hAnsi="宋体" w:eastAsia="宋体" w:cs="宋体"/>
          <w:color w:val="auto"/>
          <w:sz w:val="24"/>
          <w:highlight w:val="none"/>
        </w:rPr>
      </w:pPr>
    </w:p>
    <w:p w14:paraId="38E1F5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val="en-US" w:eastAsia="zh-CN"/>
        </w:rPr>
        <w:t>柳州市柳江区中医医院</w:t>
      </w:r>
      <w:r>
        <w:rPr>
          <w:rFonts w:hint="eastAsia" w:ascii="宋体" w:hAnsi="宋体" w:eastAsia="宋体" w:cs="宋体"/>
          <w:color w:val="auto"/>
          <w:spacing w:val="6"/>
          <w:sz w:val="24"/>
          <w:highlight w:val="none"/>
          <w:u w:val="single"/>
        </w:rPr>
        <w:t>、</w:t>
      </w:r>
      <w:r>
        <w:rPr>
          <w:rFonts w:hint="eastAsia" w:ascii="宋体" w:hAnsi="宋体" w:eastAsia="宋体" w:cs="宋体"/>
          <w:color w:val="auto"/>
          <w:spacing w:val="6"/>
          <w:sz w:val="24"/>
          <w:highlight w:val="none"/>
          <w:u w:val="single"/>
          <w:lang w:eastAsia="zh-CN"/>
        </w:rPr>
        <w:t>广西景钲工程咨询有限公司</w:t>
      </w:r>
      <w:r>
        <w:rPr>
          <w:rFonts w:hint="eastAsia" w:ascii="宋体" w:hAnsi="宋体" w:eastAsia="宋体" w:cs="宋体"/>
          <w:color w:val="auto"/>
          <w:spacing w:val="6"/>
          <w:sz w:val="24"/>
          <w:highlight w:val="none"/>
        </w:rPr>
        <w:t>：</w:t>
      </w:r>
    </w:p>
    <w:p w14:paraId="398DEF46">
      <w:pPr>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514" w:firstLineChars="204"/>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我方自愿参加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w:t>
      </w:r>
      <w:r>
        <w:rPr>
          <w:rFonts w:hint="eastAsia" w:ascii="宋体" w:hAnsi="宋体" w:cs="宋体"/>
          <w:color w:val="auto"/>
          <w:spacing w:val="6"/>
          <w:sz w:val="24"/>
          <w:highlight w:val="none"/>
          <w:lang w:eastAsia="zh-CN"/>
        </w:rPr>
        <w:t>项目编号：</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 xml:space="preserve">）的政府采购活动，并郑重承诺我方符合《中华人民共和国政府采购法》第二十二条规定的条件： </w:t>
      </w:r>
    </w:p>
    <w:p w14:paraId="52D36DF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（一）具有独立承担民事责任的能力； </w:t>
      </w:r>
    </w:p>
    <w:p w14:paraId="2673C84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（二）具有良好的商业信誉和健全的财务会计制度； </w:t>
      </w:r>
    </w:p>
    <w:p w14:paraId="2A0979D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（三）具有履行合同所必需的设备和专业技术能力； </w:t>
      </w:r>
    </w:p>
    <w:p w14:paraId="7D73002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（四）有依法缴纳税收和社会保障资金的良好记录； </w:t>
      </w:r>
    </w:p>
    <w:p w14:paraId="3F8F27A1">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（五）参加政府采购活动前三年内，在经营活动中没有重大违法记录； </w:t>
      </w:r>
    </w:p>
    <w:p w14:paraId="733BD62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（六）法律、行政法规规定的其他条件。 </w:t>
      </w:r>
    </w:p>
    <w:p w14:paraId="2A10E116">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2C2A982D">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b w:val="0"/>
          <w:bCs w:val="0"/>
          <w:color w:val="auto"/>
          <w:spacing w:val="6"/>
          <w:sz w:val="24"/>
          <w:highlight w:val="none"/>
        </w:rPr>
        <w:t>特此声明！</w:t>
      </w:r>
      <w:r>
        <w:rPr>
          <w:rFonts w:hint="eastAsia" w:ascii="宋体" w:hAnsi="宋体" w:eastAsia="宋体" w:cs="宋体"/>
          <w:color w:val="auto"/>
          <w:spacing w:val="6"/>
          <w:sz w:val="24"/>
          <w:highlight w:val="none"/>
        </w:rPr>
        <w:t xml:space="preserve"> </w:t>
      </w:r>
    </w:p>
    <w:p w14:paraId="627E5C4D">
      <w:pPr>
        <w:spacing w:line="300" w:lineRule="auto"/>
        <w:rPr>
          <w:rFonts w:hint="eastAsia" w:ascii="宋体" w:hAnsi="宋体" w:eastAsia="宋体" w:cs="宋体"/>
          <w:color w:val="auto"/>
          <w:szCs w:val="21"/>
          <w:highlight w:val="none"/>
        </w:rPr>
      </w:pPr>
    </w:p>
    <w:p w14:paraId="59E5A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1300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E3D823">
      <w:pPr>
        <w:jc w:val="center"/>
        <w:rPr>
          <w:rFonts w:hint="eastAsia" w:ascii="宋体" w:hAnsi="宋体" w:eastAsia="宋体" w:cs="宋体"/>
          <w:b/>
          <w:bCs/>
          <w:color w:val="auto"/>
          <w:sz w:val="36"/>
          <w:szCs w:val="36"/>
          <w:highlight w:val="none"/>
          <w:lang w:val="en"/>
        </w:rPr>
      </w:pPr>
    </w:p>
    <w:p w14:paraId="767872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val="0"/>
          <w:color w:val="auto"/>
          <w:sz w:val="30"/>
          <w:szCs w:val="30"/>
          <w:highlight w:val="none"/>
          <w:lang w:val="en-US" w:eastAsia="zh-CN"/>
        </w:rPr>
        <w:t>供应商</w:t>
      </w:r>
      <w:r>
        <w:rPr>
          <w:rFonts w:hint="eastAsia" w:ascii="宋体" w:hAnsi="宋体" w:eastAsia="宋体" w:cs="宋体"/>
          <w:b/>
          <w:bCs w:val="0"/>
          <w:color w:val="auto"/>
          <w:sz w:val="30"/>
          <w:szCs w:val="30"/>
          <w:highlight w:val="none"/>
          <w:lang w:val="en-US"/>
        </w:rPr>
        <w:t>直接控股</w:t>
      </w:r>
      <w:r>
        <w:rPr>
          <w:rFonts w:hint="eastAsia" w:ascii="宋体" w:hAnsi="宋体" w:eastAsia="宋体" w:cs="宋体"/>
          <w:b/>
          <w:bCs w:val="0"/>
          <w:color w:val="auto"/>
          <w:sz w:val="30"/>
          <w:szCs w:val="30"/>
          <w:highlight w:val="none"/>
          <w:lang w:val="en"/>
        </w:rPr>
        <w:t>、管理关系信息表</w:t>
      </w:r>
    </w:p>
    <w:p w14:paraId="053EF76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直接控股股东信息表</w:t>
      </w:r>
    </w:p>
    <w:tbl>
      <w:tblPr>
        <w:tblStyle w:val="32"/>
        <w:tblW w:w="0" w:type="auto"/>
        <w:jc w:val="center"/>
        <w:shd w:val="clear" w:color="auto" w:fill="FBFBFB"/>
        <w:tblLayout w:type="fixed"/>
        <w:tblCellMar>
          <w:top w:w="0" w:type="dxa"/>
          <w:left w:w="0" w:type="dxa"/>
          <w:bottom w:w="0" w:type="dxa"/>
          <w:right w:w="0" w:type="dxa"/>
        </w:tblCellMar>
      </w:tblPr>
      <w:tblGrid>
        <w:gridCol w:w="828"/>
        <w:gridCol w:w="2269"/>
        <w:gridCol w:w="1239"/>
        <w:gridCol w:w="4256"/>
        <w:gridCol w:w="1128"/>
      </w:tblGrid>
      <w:tr w14:paraId="62D8B05F">
        <w:tblPrEx>
          <w:shd w:val="clear" w:color="auto" w:fill="FBFBFB"/>
          <w:tblCellMar>
            <w:top w:w="0" w:type="dxa"/>
            <w:left w:w="0" w:type="dxa"/>
            <w:bottom w:w="0" w:type="dxa"/>
            <w:right w:w="0" w:type="dxa"/>
          </w:tblCellMar>
        </w:tblPrEx>
        <w:trPr>
          <w:trHeight w:val="454"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B57AB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29E58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713F9">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5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61D5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1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F5B50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72285C">
        <w:tblPrEx>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9F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918B7">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3082">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13B03">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5CEE7">
            <w:pPr>
              <w:jc w:val="center"/>
              <w:rPr>
                <w:rFonts w:hint="eastAsia" w:ascii="宋体" w:hAnsi="宋体" w:eastAsia="宋体" w:cs="宋体"/>
                <w:color w:val="auto"/>
                <w:kern w:val="0"/>
                <w:sz w:val="24"/>
                <w:highlight w:val="none"/>
              </w:rPr>
            </w:pPr>
          </w:p>
        </w:tc>
      </w:tr>
      <w:tr w14:paraId="0B7D3CBC">
        <w:tblPrEx>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16F2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C9969">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3F4BA">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2A367A">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5FD49">
            <w:pPr>
              <w:jc w:val="center"/>
              <w:rPr>
                <w:rFonts w:hint="eastAsia" w:ascii="宋体" w:hAnsi="宋体" w:eastAsia="宋体" w:cs="宋体"/>
                <w:color w:val="auto"/>
                <w:kern w:val="0"/>
                <w:sz w:val="24"/>
                <w:highlight w:val="none"/>
              </w:rPr>
            </w:pPr>
          </w:p>
        </w:tc>
      </w:tr>
      <w:tr w14:paraId="3592D636">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5D1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FBB88E">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A3488">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B7C97">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88B260">
            <w:pPr>
              <w:jc w:val="center"/>
              <w:rPr>
                <w:rFonts w:hint="eastAsia" w:ascii="宋体" w:hAnsi="宋体" w:eastAsia="宋体" w:cs="宋体"/>
                <w:color w:val="auto"/>
                <w:kern w:val="0"/>
                <w:sz w:val="24"/>
                <w:highlight w:val="none"/>
              </w:rPr>
            </w:pPr>
          </w:p>
        </w:tc>
      </w:tr>
    </w:tbl>
    <w:p w14:paraId="2A6CE97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98886A">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F02B0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194511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2F6AA67A">
      <w:pPr>
        <w:spacing w:line="300" w:lineRule="auto"/>
        <w:rPr>
          <w:rFonts w:hint="eastAsia" w:ascii="宋体" w:hAnsi="宋体" w:eastAsia="宋体" w:cs="宋体"/>
          <w:color w:val="auto"/>
          <w:szCs w:val="21"/>
          <w:highlight w:val="none"/>
        </w:rPr>
      </w:pPr>
    </w:p>
    <w:p w14:paraId="07EB50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2271E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B2AB5C">
      <w:pPr>
        <w:snapToGrid w:val="0"/>
        <w:jc w:val="center"/>
        <w:rPr>
          <w:rFonts w:hint="eastAsia" w:ascii="宋体" w:hAnsi="宋体" w:eastAsia="宋体" w:cs="宋体"/>
          <w:b/>
          <w:color w:val="auto"/>
          <w:sz w:val="28"/>
          <w:szCs w:val="28"/>
          <w:highlight w:val="none"/>
        </w:rPr>
      </w:pPr>
    </w:p>
    <w:p w14:paraId="3157B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直接管理关系信息表</w:t>
      </w:r>
    </w:p>
    <w:tbl>
      <w:tblPr>
        <w:tblStyle w:val="32"/>
        <w:tblW w:w="0" w:type="auto"/>
        <w:jc w:val="center"/>
        <w:shd w:val="clear" w:color="auto" w:fill="FBFBFB"/>
        <w:tblLayout w:type="fixed"/>
        <w:tblCellMar>
          <w:top w:w="0" w:type="dxa"/>
          <w:left w:w="0" w:type="dxa"/>
          <w:bottom w:w="0" w:type="dxa"/>
          <w:right w:w="0" w:type="dxa"/>
        </w:tblCellMar>
      </w:tblPr>
      <w:tblGrid>
        <w:gridCol w:w="1005"/>
        <w:gridCol w:w="2659"/>
        <w:gridCol w:w="3924"/>
        <w:gridCol w:w="2226"/>
      </w:tblGrid>
      <w:tr w14:paraId="7CA7BD4E">
        <w:tblPrEx>
          <w:shd w:val="clear" w:color="auto" w:fill="FBFBFB"/>
          <w:tblCellMar>
            <w:top w:w="0" w:type="dxa"/>
            <w:left w:w="0" w:type="dxa"/>
            <w:bottom w:w="0" w:type="dxa"/>
            <w:right w:w="0" w:type="dxa"/>
          </w:tblCellMar>
        </w:tblPrEx>
        <w:trPr>
          <w:trHeight w:val="454" w:hRule="atLeast"/>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02DD2A">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A3638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F05640">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22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C5C1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10DC24">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E2F7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5F7E6">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89F24">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7920B">
            <w:pPr>
              <w:jc w:val="center"/>
              <w:rPr>
                <w:rFonts w:hint="eastAsia" w:ascii="宋体" w:hAnsi="宋体" w:eastAsia="宋体" w:cs="宋体"/>
                <w:color w:val="auto"/>
                <w:kern w:val="0"/>
                <w:sz w:val="24"/>
                <w:highlight w:val="none"/>
              </w:rPr>
            </w:pPr>
          </w:p>
        </w:tc>
      </w:tr>
      <w:tr w14:paraId="4D6A9851">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5873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35B90">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78FEA">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EA73D">
            <w:pPr>
              <w:jc w:val="center"/>
              <w:rPr>
                <w:rFonts w:hint="eastAsia" w:ascii="宋体" w:hAnsi="宋体" w:eastAsia="宋体" w:cs="宋体"/>
                <w:color w:val="auto"/>
                <w:kern w:val="0"/>
                <w:sz w:val="24"/>
                <w:highlight w:val="none"/>
              </w:rPr>
            </w:pPr>
          </w:p>
        </w:tc>
      </w:tr>
      <w:tr w14:paraId="4243023A">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0F3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AA8A7">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9A2F1">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7E8ABF">
            <w:pPr>
              <w:jc w:val="center"/>
              <w:rPr>
                <w:rFonts w:hint="eastAsia" w:ascii="宋体" w:hAnsi="宋体" w:eastAsia="宋体" w:cs="宋体"/>
                <w:color w:val="auto"/>
                <w:kern w:val="0"/>
                <w:sz w:val="24"/>
                <w:highlight w:val="none"/>
              </w:rPr>
            </w:pPr>
          </w:p>
        </w:tc>
      </w:tr>
    </w:tbl>
    <w:p w14:paraId="40FDBB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0EE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1A490A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3F9ED200">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791A2778">
      <w:pPr>
        <w:spacing w:line="300" w:lineRule="auto"/>
        <w:rPr>
          <w:rFonts w:hint="eastAsia" w:ascii="宋体" w:hAnsi="宋体" w:eastAsia="宋体" w:cs="宋体"/>
          <w:color w:val="auto"/>
          <w:szCs w:val="21"/>
          <w:highlight w:val="none"/>
        </w:rPr>
      </w:pPr>
    </w:p>
    <w:p w14:paraId="6FDD1B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EC5F2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B7163A9">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val="0"/>
          <w:caps w:val="0"/>
          <w:smallCaps w:val="0"/>
          <w:color w:val="auto"/>
          <w:spacing w:val="0"/>
          <w:kern w:val="2"/>
          <w:sz w:val="30"/>
          <w:szCs w:val="30"/>
          <w:highlight w:val="none"/>
          <w:lang w:val="en-US" w:eastAsia="zh-CN"/>
        </w:rPr>
        <w:br w:type="page"/>
      </w:r>
    </w:p>
    <w:p w14:paraId="028B0E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无串通竞标行为的承诺函</w:t>
      </w:r>
    </w:p>
    <w:p w14:paraId="1D69746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13D92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294E6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6FDC0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82F5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CEA3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A7B0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035887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0332F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29AB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D7486F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D5589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56B89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28978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3A22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3AEEBB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A69DFE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7B9CF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val="0"/>
          <w:color w:val="auto"/>
          <w:sz w:val="30"/>
          <w:szCs w:val="30"/>
          <w:highlight w:val="none"/>
        </w:rPr>
        <w:br w:type="page"/>
      </w:r>
    </w:p>
    <w:p w14:paraId="7F4A304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val="0"/>
          <w:color w:val="auto"/>
          <w:sz w:val="30"/>
          <w:szCs w:val="30"/>
          <w:highlight w:val="none"/>
        </w:rPr>
        <w:t>法定代表人证明书</w:t>
      </w:r>
    </w:p>
    <w:p w14:paraId="5897AE98">
      <w:pPr>
        <w:spacing w:line="360" w:lineRule="auto"/>
        <w:ind w:left="540"/>
        <w:contextualSpacing/>
        <w:rPr>
          <w:rFonts w:hint="eastAsia" w:ascii="宋体" w:hAnsi="宋体" w:eastAsia="宋体" w:cs="宋体"/>
          <w:color w:val="auto"/>
          <w:sz w:val="32"/>
          <w:szCs w:val="32"/>
          <w:highlight w:val="none"/>
        </w:rPr>
      </w:pPr>
    </w:p>
    <w:p w14:paraId="3872CD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86B3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79D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27DA5E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3FBBE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E7D05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3EB73A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76BA62">
      <w:pPr>
        <w:spacing w:line="360" w:lineRule="auto"/>
        <w:ind w:left="540"/>
        <w:contextualSpacing/>
        <w:rPr>
          <w:rFonts w:hint="eastAsia" w:ascii="宋体" w:hAnsi="宋体" w:eastAsia="宋体" w:cs="宋体"/>
          <w:color w:val="auto"/>
          <w:sz w:val="24"/>
          <w:highlight w:val="none"/>
        </w:rPr>
      </w:pPr>
    </w:p>
    <w:p w14:paraId="086A82A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tbl>
      <w:tblPr>
        <w:tblStyle w:val="3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090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480" w:type="dxa"/>
            <w:noWrap w:val="0"/>
            <w:vAlign w:val="top"/>
          </w:tcPr>
          <w:p w14:paraId="4B5856AE">
            <w:pPr>
              <w:spacing w:line="360" w:lineRule="auto"/>
              <w:rPr>
                <w:rFonts w:hint="eastAsia" w:ascii="宋体" w:hAnsi="宋体" w:eastAsia="宋体" w:cs="宋体"/>
                <w:b/>
                <w:color w:val="auto"/>
                <w:sz w:val="24"/>
                <w:highlight w:val="none"/>
              </w:rPr>
            </w:pPr>
          </w:p>
          <w:p w14:paraId="4E5E43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7B3BDBC9">
      <w:pPr>
        <w:spacing w:line="360" w:lineRule="auto"/>
        <w:ind w:left="540"/>
        <w:contextualSpacing/>
        <w:rPr>
          <w:rFonts w:hint="eastAsia" w:ascii="宋体" w:hAnsi="宋体" w:eastAsia="宋体" w:cs="宋体"/>
          <w:color w:val="auto"/>
          <w:sz w:val="24"/>
          <w:highlight w:val="none"/>
        </w:rPr>
      </w:pPr>
    </w:p>
    <w:p w14:paraId="48B1E73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B52E92">
      <w:pPr>
        <w:autoSpaceDE w:val="0"/>
        <w:autoSpaceDN w:val="0"/>
        <w:spacing w:line="360" w:lineRule="auto"/>
        <w:ind w:firstLine="5280" w:firstLineChars="2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3048884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939179">
      <w:pPr>
        <w:spacing w:line="360" w:lineRule="auto"/>
        <w:contextualSpacing/>
        <w:jc w:val="left"/>
        <w:rPr>
          <w:rFonts w:hint="eastAsia" w:ascii="宋体" w:hAnsi="宋体" w:eastAsia="宋体" w:cs="宋体"/>
          <w:color w:val="auto"/>
          <w:sz w:val="24"/>
          <w:highlight w:val="none"/>
        </w:rPr>
      </w:pPr>
    </w:p>
    <w:p w14:paraId="555E30C1">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B23098">
      <w:pPr>
        <w:numPr>
          <w:ilvl w:val="0"/>
          <w:numId w:val="0"/>
        </w:numPr>
        <w:spacing w:line="360" w:lineRule="auto"/>
        <w:ind w:firstLine="480" w:firstLineChars="200"/>
        <w:contextualSpacing/>
        <w:jc w:val="left"/>
        <w:rPr>
          <w:rFonts w:hint="eastAsia" w:ascii="宋体" w:hAnsi="宋体" w:eastAsia="宋体" w:cs="宋体"/>
          <w:color w:val="auto"/>
          <w:sz w:val="24"/>
          <w:highlight w:val="none"/>
          <w:lang w:val="en-US" w:eastAsia="zh-CN"/>
        </w:rPr>
      </w:pPr>
    </w:p>
    <w:p w14:paraId="413B6750">
      <w:pPr>
        <w:spacing w:line="520" w:lineRule="exact"/>
        <w:jc w:val="center"/>
        <w:rPr>
          <w:rFonts w:hint="eastAsia" w:ascii="宋体" w:hAnsi="宋体" w:eastAsia="宋体" w:cs="宋体"/>
          <w:b/>
          <w:color w:val="auto"/>
          <w:kern w:val="2"/>
          <w:sz w:val="30"/>
          <w:szCs w:val="30"/>
          <w:highlight w:val="none"/>
          <w:lang w:val="en-US" w:eastAsia="zh-CN"/>
        </w:rPr>
      </w:pPr>
    </w:p>
    <w:p w14:paraId="0AB382DA">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9D78F4A">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授权委托书</w:t>
      </w:r>
    </w:p>
    <w:p w14:paraId="1A6FE563">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（如有委托时）</w:t>
      </w:r>
    </w:p>
    <w:p w14:paraId="501FB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3B2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BC79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0794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A71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6FDD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F070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A862E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2B652F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tbl>
      <w:tblPr>
        <w:tblStyle w:val="33"/>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0"/>
      </w:tblGrid>
      <w:tr w14:paraId="44C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0" w:type="dxa"/>
            <w:noWrap w:val="0"/>
            <w:vAlign w:val="top"/>
          </w:tcPr>
          <w:p w14:paraId="0191173B">
            <w:pPr>
              <w:autoSpaceDE w:val="0"/>
              <w:autoSpaceDN w:val="0"/>
              <w:spacing w:line="360" w:lineRule="auto"/>
              <w:rPr>
                <w:rFonts w:hint="eastAsia" w:ascii="宋体" w:hAnsi="宋体" w:eastAsia="宋体" w:cs="宋体"/>
                <w:b/>
                <w:bCs/>
                <w:color w:val="auto"/>
                <w:sz w:val="24"/>
                <w:highlight w:val="none"/>
                <w:vertAlign w:val="baseline"/>
              </w:rPr>
            </w:pPr>
            <w:r>
              <w:rPr>
                <w:rFonts w:hint="eastAsia" w:ascii="宋体" w:hAnsi="宋体" w:eastAsia="宋体" w:cs="宋体"/>
                <w:b/>
                <w:color w:val="auto"/>
                <w:sz w:val="24"/>
                <w:highlight w:val="none"/>
              </w:rPr>
              <w:t>委托代理人有效身份证正反面复印件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3896B42F">
      <w:pPr>
        <w:autoSpaceDE w:val="0"/>
        <w:autoSpaceDN w:val="0"/>
        <w:spacing w:line="360" w:lineRule="auto"/>
        <w:ind w:left="4365" w:leftChars="1850" w:hanging="480" w:hangingChars="200"/>
        <w:rPr>
          <w:rFonts w:hint="eastAsia" w:ascii="宋体" w:hAnsi="宋体" w:eastAsia="宋体" w:cs="宋体"/>
          <w:color w:val="auto"/>
          <w:sz w:val="24"/>
          <w:highlight w:val="none"/>
        </w:rPr>
      </w:pPr>
    </w:p>
    <w:p w14:paraId="6A6403E3">
      <w:pPr>
        <w:autoSpaceDE w:val="0"/>
        <w:autoSpaceDN w:val="0"/>
        <w:spacing w:line="360" w:lineRule="auto"/>
        <w:ind w:left="4365" w:leftChars="1850" w:hanging="480" w:hanging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1E1C2EC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B41CDE">
      <w:pPr>
        <w:spacing w:line="360" w:lineRule="auto"/>
        <w:rPr>
          <w:rFonts w:hint="eastAsia" w:ascii="宋体" w:hAnsi="宋体" w:eastAsia="宋体" w:cs="宋体"/>
          <w:color w:val="auto"/>
          <w:sz w:val="24"/>
          <w:highlight w:val="none"/>
        </w:rPr>
      </w:pPr>
    </w:p>
    <w:p w14:paraId="070FB1C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注：1.法定代表人必须在授权委托书上亲笔签字或盖章，委托代理人必须在授权委托书上亲笔签字，</w:t>
      </w:r>
      <w:r>
        <w:rPr>
          <w:rFonts w:hint="eastAsia" w:ascii="宋体" w:hAnsi="宋体" w:eastAsia="宋体" w:cs="宋体"/>
          <w:b/>
          <w:color w:val="auto"/>
          <w:sz w:val="22"/>
          <w:szCs w:val="22"/>
          <w:highlight w:val="none"/>
        </w:rPr>
        <w:t>否则其响应文件按无效响应处理。</w:t>
      </w:r>
    </w:p>
    <w:p w14:paraId="65FFD7F1">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20D4A9">
      <w:pPr>
        <w:spacing w:line="360" w:lineRule="auto"/>
        <w:ind w:firstLine="440" w:firstLineChars="200"/>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3.法人、其他组织竞标时“我方”是指“我单位”，自然人竞标时“我方”是指“本人”。</w:t>
      </w:r>
    </w:p>
    <w:p w14:paraId="5B7EDA45">
      <w:pPr>
        <w:autoSpaceDE w:val="0"/>
        <w:autoSpaceDN w:val="0"/>
        <w:spacing w:line="360" w:lineRule="auto"/>
        <w:ind w:firstLine="6144" w:firstLineChars="2550"/>
        <w:rPr>
          <w:rFonts w:hint="eastAsia" w:ascii="宋体" w:hAnsi="宋体" w:eastAsia="宋体" w:cs="宋体"/>
          <w:b/>
          <w:bCs/>
          <w:color w:val="auto"/>
          <w:sz w:val="24"/>
          <w:highlight w:val="none"/>
        </w:rPr>
      </w:pPr>
    </w:p>
    <w:p w14:paraId="4357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6"/>
          <w:szCs w:val="36"/>
          <w:highlight w:val="none"/>
          <w:lang w:val="en"/>
        </w:rPr>
      </w:pPr>
      <w:r>
        <w:rPr>
          <w:rFonts w:hint="eastAsia" w:ascii="宋体" w:hAnsi="宋体" w:eastAsia="宋体" w:cs="宋体"/>
          <w:b/>
          <w:bCs/>
          <w:color w:val="auto"/>
          <w:sz w:val="36"/>
          <w:szCs w:val="36"/>
          <w:highlight w:val="none"/>
          <w:lang w:val="en"/>
        </w:rPr>
        <w:br w:type="page"/>
      </w:r>
      <w:r>
        <w:rPr>
          <w:rFonts w:hint="eastAsia" w:ascii="宋体" w:hAnsi="宋体" w:eastAsia="宋体" w:cs="宋体"/>
          <w:b/>
          <w:bCs/>
          <w:color w:val="auto"/>
          <w:sz w:val="30"/>
          <w:szCs w:val="30"/>
          <w:highlight w:val="none"/>
          <w:lang w:val="en"/>
        </w:rPr>
        <w:t>商务条款偏离表</w:t>
      </w:r>
    </w:p>
    <w:p w14:paraId="0D23FB66">
      <w:pPr>
        <w:jc w:val="center"/>
        <w:rPr>
          <w:rFonts w:hint="eastAsia" w:ascii="宋体" w:hAnsi="宋体" w:eastAsia="宋体" w:cs="宋体"/>
          <w:b/>
          <w:bCs/>
          <w:color w:val="auto"/>
          <w:sz w:val="28"/>
          <w:szCs w:val="28"/>
          <w:highlight w:val="none"/>
        </w:rPr>
      </w:pPr>
    </w:p>
    <w:p w14:paraId="03B7AF6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450B05D8">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p>
    <w:p w14:paraId="5885D37A">
      <w:pPr>
        <w:spacing w:line="360" w:lineRule="auto"/>
        <w:contextualSpacing/>
        <w:rPr>
          <w:rFonts w:hint="eastAsia" w:ascii="宋体" w:hAnsi="宋体" w:eastAsia="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BD6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7FAFF3C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11488A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3804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165CDF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C1A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3632C2AA">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3B00206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49D79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5C9B1FA">
            <w:pPr>
              <w:spacing w:line="360" w:lineRule="auto"/>
              <w:contextualSpacing/>
              <w:jc w:val="center"/>
              <w:rPr>
                <w:rFonts w:ascii="宋体" w:hAnsi="宋体" w:cs="宋体"/>
                <w:color w:val="auto"/>
                <w:sz w:val="24"/>
                <w:highlight w:val="none"/>
              </w:rPr>
            </w:pPr>
          </w:p>
        </w:tc>
      </w:tr>
      <w:tr w14:paraId="1F18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5FB9C930">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1208F1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BF63BC">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00B0805">
            <w:pPr>
              <w:spacing w:line="360" w:lineRule="auto"/>
              <w:ind w:left="43"/>
              <w:contextualSpacing/>
              <w:jc w:val="center"/>
              <w:rPr>
                <w:rFonts w:ascii="宋体" w:hAnsi="宋体" w:cs="宋体"/>
                <w:color w:val="auto"/>
                <w:sz w:val="24"/>
                <w:highlight w:val="none"/>
              </w:rPr>
            </w:pPr>
          </w:p>
        </w:tc>
      </w:tr>
      <w:tr w14:paraId="32D9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493708F9">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6D25E1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86A4F9">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4CC7F05">
            <w:pPr>
              <w:spacing w:line="360" w:lineRule="auto"/>
              <w:contextualSpacing/>
              <w:jc w:val="center"/>
              <w:rPr>
                <w:rFonts w:ascii="宋体" w:hAnsi="宋体" w:cs="宋体"/>
                <w:color w:val="auto"/>
                <w:sz w:val="24"/>
                <w:highlight w:val="none"/>
              </w:rPr>
            </w:pPr>
          </w:p>
        </w:tc>
      </w:tr>
      <w:tr w14:paraId="39C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56694CB">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392E2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8575DE">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899FB">
            <w:pPr>
              <w:spacing w:line="360" w:lineRule="auto"/>
              <w:contextualSpacing/>
              <w:jc w:val="center"/>
              <w:rPr>
                <w:rFonts w:ascii="宋体" w:hAnsi="宋体" w:cs="宋体"/>
                <w:color w:val="auto"/>
                <w:sz w:val="24"/>
                <w:highlight w:val="none"/>
              </w:rPr>
            </w:pPr>
          </w:p>
        </w:tc>
      </w:tr>
      <w:tr w14:paraId="7D18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F18E314">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1D5682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D7D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FA3C726">
            <w:pPr>
              <w:spacing w:line="360" w:lineRule="auto"/>
              <w:contextualSpacing/>
              <w:jc w:val="center"/>
              <w:rPr>
                <w:rFonts w:ascii="宋体" w:hAnsi="宋体" w:cs="宋体"/>
                <w:color w:val="auto"/>
                <w:sz w:val="24"/>
                <w:highlight w:val="none"/>
              </w:rPr>
            </w:pPr>
          </w:p>
        </w:tc>
      </w:tr>
    </w:tbl>
    <w:p w14:paraId="04F350DD">
      <w:pPr>
        <w:spacing w:line="400" w:lineRule="exact"/>
        <w:contextualSpacing/>
        <w:rPr>
          <w:rFonts w:hint="eastAsia" w:ascii="宋体" w:hAnsi="宋体" w:eastAsia="宋体" w:cs="宋体"/>
          <w:color w:val="auto"/>
          <w:kern w:val="0"/>
          <w:sz w:val="24"/>
          <w:highlight w:val="none"/>
        </w:rPr>
      </w:pPr>
    </w:p>
    <w:p w14:paraId="37052325">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656BEDC">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lang w:val="en-US" w:eastAsia="zh-CN"/>
        </w:rPr>
        <w:t>九</w:t>
      </w:r>
      <w:r>
        <w:rPr>
          <w:rFonts w:hint="eastAsia" w:ascii="宋体" w:hAnsi="宋体" w:cs="宋体"/>
          <w:b/>
          <w:bCs/>
          <w:color w:val="auto"/>
          <w:kern w:val="0"/>
          <w:sz w:val="24"/>
          <w:highlight w:val="none"/>
          <w:lang w:eastAsia="zh-CN"/>
        </w:rPr>
        <w:t>、商务要求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逐条作出明确响应，并作出偏离说明。</w:t>
      </w:r>
    </w:p>
    <w:p w14:paraId="4C917632">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688E0E2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6603051">
      <w:pPr>
        <w:spacing w:line="360" w:lineRule="auto"/>
        <w:ind w:firstLine="3840" w:firstLineChars="1600"/>
        <w:rPr>
          <w:rFonts w:hint="eastAsia" w:ascii="宋体" w:hAnsi="宋体" w:eastAsia="宋体" w:cs="宋体"/>
          <w:color w:val="auto"/>
          <w:kern w:val="0"/>
          <w:sz w:val="24"/>
          <w:highlight w:val="none"/>
        </w:rPr>
      </w:pPr>
    </w:p>
    <w:p w14:paraId="146CA18D">
      <w:pPr>
        <w:spacing w:line="360" w:lineRule="auto"/>
        <w:ind w:firstLine="3840" w:firstLineChars="16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59166403">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  年  月   日</w:t>
      </w:r>
    </w:p>
    <w:p w14:paraId="392F310D">
      <w:pPr>
        <w:autoSpaceDE w:val="0"/>
        <w:autoSpaceDN w:val="0"/>
        <w:spacing w:line="360" w:lineRule="auto"/>
        <w:ind w:firstLine="6144" w:firstLineChars="2550"/>
        <w:rPr>
          <w:rFonts w:hint="eastAsia" w:ascii="宋体" w:hAnsi="宋体" w:eastAsia="宋体" w:cs="宋体"/>
          <w:b/>
          <w:bCs/>
          <w:color w:val="auto"/>
          <w:sz w:val="24"/>
          <w:highlight w:val="none"/>
        </w:rPr>
      </w:pPr>
    </w:p>
    <w:p w14:paraId="572BF9F4">
      <w:pPr>
        <w:pStyle w:val="31"/>
        <w:jc w:val="cente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7DC10F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服务需求偏离表</w:t>
      </w:r>
    </w:p>
    <w:p w14:paraId="697975B9">
      <w:pPr>
        <w:spacing w:line="360" w:lineRule="auto"/>
        <w:contextualSpacing/>
        <w:rPr>
          <w:rFonts w:hint="eastAsia" w:ascii="宋体" w:hAnsi="宋体" w:eastAsia="宋体" w:cs="宋体"/>
          <w:color w:val="auto"/>
          <w:kern w:val="0"/>
          <w:sz w:val="24"/>
          <w:highlight w:val="none"/>
        </w:rPr>
      </w:pPr>
    </w:p>
    <w:tbl>
      <w:tblPr>
        <w:tblStyle w:val="32"/>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00"/>
        <w:gridCol w:w="2989"/>
        <w:gridCol w:w="2690"/>
        <w:gridCol w:w="1467"/>
      </w:tblGrid>
      <w:tr w14:paraId="33DCA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tcBorders>
              <w:top w:val="single" w:color="auto" w:sz="4" w:space="0"/>
            </w:tcBorders>
            <w:vAlign w:val="center"/>
          </w:tcPr>
          <w:p w14:paraId="5D6CF1A2">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61" w:name="_Toc295404981"/>
            <w:bookmarkStart w:id="62" w:name="_Toc383699906"/>
            <w:bookmarkStart w:id="63" w:name="_Toc254970588"/>
            <w:bookmarkStart w:id="64" w:name="_Toc173066401"/>
            <w:bookmarkStart w:id="65" w:name="_Toc373333689"/>
            <w:bookmarkStart w:id="66" w:name="_Toc173211900"/>
            <w:bookmarkStart w:id="67" w:name="_Toc297193185"/>
            <w:bookmarkStart w:id="68" w:name="_Toc254970729"/>
            <w:bookmarkStart w:id="69" w:name="_Toc301781611"/>
            <w:r>
              <w:rPr>
                <w:rFonts w:hint="eastAsia" w:ascii="宋体" w:hAnsi="宋体" w:eastAsia="宋体" w:cs="宋体"/>
                <w:color w:val="auto"/>
                <w:kern w:val="2"/>
                <w:sz w:val="24"/>
                <w:szCs w:val="24"/>
                <w:highlight w:val="none"/>
              </w:rPr>
              <w:t>序号</w:t>
            </w:r>
            <w:bookmarkEnd w:id="61"/>
            <w:bookmarkEnd w:id="62"/>
            <w:bookmarkEnd w:id="63"/>
            <w:bookmarkEnd w:id="64"/>
            <w:bookmarkEnd w:id="65"/>
            <w:bookmarkEnd w:id="66"/>
            <w:bookmarkEnd w:id="67"/>
            <w:bookmarkEnd w:id="68"/>
            <w:bookmarkEnd w:id="69"/>
          </w:p>
        </w:tc>
        <w:tc>
          <w:tcPr>
            <w:tcW w:w="900" w:type="dxa"/>
            <w:tcBorders>
              <w:top w:val="single" w:color="auto" w:sz="4" w:space="0"/>
              <w:right w:val="single" w:color="auto" w:sz="4" w:space="0"/>
            </w:tcBorders>
            <w:vAlign w:val="center"/>
          </w:tcPr>
          <w:p w14:paraId="60045F49">
            <w:pPr>
              <w:pStyle w:val="13"/>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0BF499FC">
            <w:pPr>
              <w:pStyle w:val="13"/>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服务要求</w:t>
            </w:r>
          </w:p>
        </w:tc>
        <w:tc>
          <w:tcPr>
            <w:tcW w:w="2690" w:type="dxa"/>
            <w:tcBorders>
              <w:top w:val="single" w:color="auto" w:sz="4" w:space="0"/>
            </w:tcBorders>
            <w:vAlign w:val="center"/>
          </w:tcPr>
          <w:p w14:paraId="6B63EDC0">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70" w:name="_Toc301781613"/>
            <w:bookmarkStart w:id="71" w:name="_Toc173066403"/>
            <w:bookmarkStart w:id="72" w:name="_Toc383699908"/>
            <w:bookmarkStart w:id="73" w:name="_Toc254970590"/>
            <w:bookmarkStart w:id="74" w:name="_Toc295404983"/>
            <w:bookmarkStart w:id="75" w:name="_Toc254970731"/>
            <w:bookmarkStart w:id="76" w:name="_Toc373333691"/>
            <w:bookmarkStart w:id="77" w:name="_Toc297193187"/>
            <w:bookmarkStart w:id="78" w:name="_Toc173211902"/>
            <w:r>
              <w:rPr>
                <w:rFonts w:hint="eastAsia" w:ascii="宋体" w:hAnsi="宋体" w:eastAsia="宋体" w:cs="宋体"/>
                <w:color w:val="auto"/>
                <w:kern w:val="2"/>
                <w:sz w:val="24"/>
                <w:szCs w:val="24"/>
                <w:highlight w:val="none"/>
              </w:rPr>
              <w:t>竞标响应</w:t>
            </w:r>
            <w:bookmarkEnd w:id="70"/>
            <w:bookmarkEnd w:id="71"/>
            <w:bookmarkEnd w:id="72"/>
            <w:bookmarkEnd w:id="73"/>
            <w:bookmarkEnd w:id="74"/>
            <w:bookmarkEnd w:id="75"/>
            <w:bookmarkEnd w:id="76"/>
            <w:bookmarkEnd w:id="77"/>
            <w:bookmarkEnd w:id="78"/>
          </w:p>
        </w:tc>
        <w:tc>
          <w:tcPr>
            <w:tcW w:w="1467" w:type="dxa"/>
            <w:tcBorders>
              <w:top w:val="single" w:color="auto" w:sz="4" w:space="0"/>
            </w:tcBorders>
            <w:vAlign w:val="center"/>
          </w:tcPr>
          <w:p w14:paraId="7A94799C">
            <w:pPr>
              <w:pStyle w:val="13"/>
              <w:spacing w:line="360" w:lineRule="auto"/>
              <w:ind w:firstLine="0" w:firstLineChars="0"/>
              <w:contextualSpacing/>
              <w:jc w:val="center"/>
              <w:rPr>
                <w:rFonts w:ascii="宋体" w:hAnsi="宋体" w:eastAsia="宋体" w:cs="宋体"/>
                <w:color w:val="auto"/>
                <w:kern w:val="2"/>
                <w:sz w:val="24"/>
                <w:szCs w:val="24"/>
                <w:highlight w:val="none"/>
              </w:rPr>
            </w:pPr>
            <w:bookmarkStart w:id="79" w:name="_Toc295404984"/>
            <w:bookmarkStart w:id="80" w:name="_Toc254970591"/>
            <w:bookmarkStart w:id="81" w:name="_Toc173211903"/>
            <w:bookmarkStart w:id="82" w:name="_Toc254970732"/>
            <w:bookmarkStart w:id="83" w:name="_Toc383699909"/>
            <w:bookmarkStart w:id="84" w:name="_Toc373333692"/>
            <w:bookmarkStart w:id="85" w:name="_Toc173066404"/>
            <w:bookmarkStart w:id="86" w:name="_Toc301781614"/>
            <w:bookmarkStart w:id="87" w:name="_Toc297193188"/>
            <w:r>
              <w:rPr>
                <w:rFonts w:hint="eastAsia" w:ascii="宋体" w:hAnsi="宋体" w:eastAsia="宋体" w:cs="宋体"/>
                <w:color w:val="auto"/>
                <w:kern w:val="2"/>
                <w:sz w:val="24"/>
                <w:szCs w:val="24"/>
                <w:highlight w:val="none"/>
              </w:rPr>
              <w:t>偏离</w:t>
            </w:r>
            <w:bookmarkEnd w:id="79"/>
            <w:bookmarkEnd w:id="80"/>
            <w:bookmarkEnd w:id="81"/>
            <w:bookmarkEnd w:id="82"/>
            <w:bookmarkEnd w:id="83"/>
            <w:bookmarkEnd w:id="84"/>
            <w:bookmarkEnd w:id="85"/>
            <w:bookmarkEnd w:id="86"/>
            <w:bookmarkEnd w:id="87"/>
            <w:bookmarkStart w:id="88" w:name="_Toc254970733"/>
            <w:bookmarkStart w:id="89" w:name="_Toc383699910"/>
            <w:bookmarkStart w:id="90" w:name="_Toc254970592"/>
            <w:bookmarkStart w:id="91" w:name="_Toc295404985"/>
            <w:bookmarkStart w:id="92" w:name="_Toc173066405"/>
            <w:bookmarkStart w:id="93" w:name="_Toc173211904"/>
            <w:bookmarkStart w:id="94" w:name="_Toc373333693"/>
            <w:bookmarkStart w:id="95" w:name="_Toc301781615"/>
            <w:bookmarkStart w:id="96" w:name="_Toc297193189"/>
            <w:r>
              <w:rPr>
                <w:rFonts w:hint="eastAsia" w:ascii="宋体" w:hAnsi="宋体" w:eastAsia="宋体" w:cs="宋体"/>
                <w:color w:val="auto"/>
                <w:kern w:val="2"/>
                <w:sz w:val="24"/>
                <w:szCs w:val="24"/>
                <w:highlight w:val="none"/>
              </w:rPr>
              <w:t>说明</w:t>
            </w:r>
            <w:bookmarkEnd w:id="88"/>
            <w:bookmarkEnd w:id="89"/>
            <w:bookmarkEnd w:id="90"/>
            <w:bookmarkEnd w:id="91"/>
            <w:bookmarkEnd w:id="92"/>
            <w:bookmarkEnd w:id="93"/>
            <w:bookmarkEnd w:id="94"/>
            <w:bookmarkEnd w:id="95"/>
            <w:bookmarkEnd w:id="96"/>
          </w:p>
        </w:tc>
      </w:tr>
      <w:tr w14:paraId="128C8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58DB5554">
            <w:pPr>
              <w:pStyle w:val="13"/>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w:t>
            </w:r>
          </w:p>
        </w:tc>
        <w:tc>
          <w:tcPr>
            <w:tcW w:w="900" w:type="dxa"/>
            <w:tcBorders>
              <w:right w:val="single" w:color="auto" w:sz="4" w:space="0"/>
            </w:tcBorders>
            <w:vAlign w:val="center"/>
          </w:tcPr>
          <w:p w14:paraId="2D7227D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61AC9CF4">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E06597C">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9AC9F6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350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B497545">
            <w:pPr>
              <w:pStyle w:val="13"/>
              <w:spacing w:line="360" w:lineRule="auto"/>
              <w:ind w:firstLine="0" w:firstLineChars="0"/>
              <w:contextualSpacing/>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w:t>
            </w:r>
          </w:p>
        </w:tc>
        <w:tc>
          <w:tcPr>
            <w:tcW w:w="900" w:type="dxa"/>
            <w:tcBorders>
              <w:right w:val="single" w:color="auto" w:sz="4" w:space="0"/>
            </w:tcBorders>
            <w:vAlign w:val="center"/>
          </w:tcPr>
          <w:p w14:paraId="19CD166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1259C9FF">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4CAB4CD">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038F771D">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18806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0F1D3E55">
            <w:pPr>
              <w:pStyle w:val="13"/>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p>
        </w:tc>
        <w:tc>
          <w:tcPr>
            <w:tcW w:w="900" w:type="dxa"/>
            <w:tcBorders>
              <w:right w:val="single" w:color="auto" w:sz="4" w:space="0"/>
            </w:tcBorders>
            <w:vAlign w:val="center"/>
          </w:tcPr>
          <w:p w14:paraId="1E050C02">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2DBC8A53">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F93AFC2">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C012C12">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r w14:paraId="46CD3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698D06B7">
            <w:pPr>
              <w:pStyle w:val="13"/>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八</w:t>
            </w:r>
          </w:p>
        </w:tc>
        <w:tc>
          <w:tcPr>
            <w:tcW w:w="900" w:type="dxa"/>
            <w:tcBorders>
              <w:right w:val="single" w:color="auto" w:sz="4" w:space="0"/>
            </w:tcBorders>
            <w:vAlign w:val="center"/>
          </w:tcPr>
          <w:p w14:paraId="5631957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71CD3161">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651522C8">
            <w:pPr>
              <w:pStyle w:val="13"/>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1FEF08C">
            <w:pPr>
              <w:pStyle w:val="13"/>
              <w:spacing w:line="360" w:lineRule="auto"/>
              <w:ind w:firstLine="0" w:firstLineChars="0"/>
              <w:contextualSpacing/>
              <w:jc w:val="center"/>
              <w:rPr>
                <w:rFonts w:ascii="宋体" w:hAnsi="宋体" w:eastAsia="宋体" w:cs="宋体"/>
                <w:color w:val="auto"/>
                <w:kern w:val="2"/>
                <w:sz w:val="24"/>
                <w:szCs w:val="24"/>
                <w:highlight w:val="none"/>
              </w:rPr>
            </w:pPr>
          </w:p>
        </w:tc>
      </w:tr>
    </w:tbl>
    <w:p w14:paraId="210962A5">
      <w:pPr>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318847">
      <w:pPr>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lang w:eastAsia="zh-CN"/>
        </w:rPr>
        <w:t>服务参数</w:t>
      </w:r>
      <w:r>
        <w:rPr>
          <w:rFonts w:hint="eastAsia" w:ascii="宋体" w:hAnsi="宋体" w:eastAsia="宋体" w:cs="宋体"/>
          <w:color w:val="auto"/>
          <w:kern w:val="0"/>
          <w:szCs w:val="21"/>
          <w:highlight w:val="none"/>
        </w:rPr>
        <w:t>条款逐条作出明确响应，并作出偏离说明。</w:t>
      </w:r>
    </w:p>
    <w:p w14:paraId="44503BA3">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3F80A21">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4D9B65C">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4.如技术偏离表中的竞标响应与佐证材料不一致的，以佐证材料为准。</w:t>
      </w:r>
    </w:p>
    <w:p w14:paraId="5DED5854">
      <w:pPr>
        <w:snapToGrid w:val="0"/>
        <w:spacing w:line="360" w:lineRule="auto"/>
        <w:ind w:firstLine="602" w:firstLineChars="200"/>
        <w:rPr>
          <w:rFonts w:hint="eastAsia" w:ascii="宋体" w:hAnsi="宋体" w:eastAsia="宋体" w:cs="宋体"/>
          <w:b/>
          <w:color w:val="auto"/>
          <w:sz w:val="30"/>
          <w:szCs w:val="30"/>
          <w:highlight w:val="none"/>
        </w:rPr>
      </w:pPr>
    </w:p>
    <w:p w14:paraId="39BA19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1CDEFF">
      <w:pPr>
        <w:autoSpaceDE w:val="0"/>
        <w:autoSpaceDN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CA47B40">
      <w:pPr>
        <w:autoSpaceDE w:val="0"/>
        <w:autoSpaceDN w:val="0"/>
        <w:spacing w:line="360" w:lineRule="auto"/>
        <w:ind w:firstLine="6480" w:firstLineChars="2700"/>
        <w:rPr>
          <w:rFonts w:hint="eastAsia" w:ascii="宋体" w:hAnsi="宋体" w:eastAsia="宋体" w:cs="宋体"/>
          <w:color w:val="auto"/>
          <w:sz w:val="24"/>
          <w:highlight w:val="none"/>
        </w:rPr>
      </w:pPr>
    </w:p>
    <w:p w14:paraId="6D4B10F4">
      <w:pPr>
        <w:autoSpaceDE w:val="0"/>
        <w:autoSpaceDN w:val="0"/>
        <w:spacing w:line="360" w:lineRule="auto"/>
        <w:ind w:firstLine="6480" w:firstLineChars="2700"/>
        <w:rPr>
          <w:rFonts w:hint="eastAsia" w:ascii="宋体" w:hAnsi="宋体" w:eastAsia="宋体" w:cs="宋体"/>
          <w:color w:val="auto"/>
          <w:sz w:val="24"/>
          <w:highlight w:val="none"/>
        </w:rPr>
      </w:pPr>
    </w:p>
    <w:p w14:paraId="74C01A09">
      <w:pPr>
        <w:autoSpaceDE w:val="0"/>
        <w:autoSpaceDN w:val="0"/>
        <w:spacing w:line="360" w:lineRule="auto"/>
        <w:ind w:firstLine="6480" w:firstLineChars="2700"/>
        <w:rPr>
          <w:rFonts w:hint="eastAsia" w:ascii="宋体" w:hAnsi="宋体" w:eastAsia="宋体" w:cs="宋体"/>
          <w:color w:val="auto"/>
          <w:sz w:val="24"/>
          <w:highlight w:val="none"/>
        </w:rPr>
      </w:pPr>
    </w:p>
    <w:p w14:paraId="0A11A6B4">
      <w:pPr>
        <w:autoSpaceDE w:val="0"/>
        <w:autoSpaceDN w:val="0"/>
        <w:spacing w:line="360" w:lineRule="auto"/>
        <w:ind w:firstLine="6480" w:firstLineChars="2700"/>
        <w:rPr>
          <w:rFonts w:hint="eastAsia" w:ascii="宋体" w:hAnsi="宋体" w:eastAsia="宋体" w:cs="宋体"/>
          <w:color w:val="auto"/>
          <w:sz w:val="24"/>
          <w:highlight w:val="none"/>
        </w:rPr>
      </w:pPr>
    </w:p>
    <w:p w14:paraId="55B74BB2">
      <w:pPr>
        <w:autoSpaceDE w:val="0"/>
        <w:autoSpaceDN w:val="0"/>
        <w:spacing w:line="360" w:lineRule="auto"/>
        <w:ind w:firstLine="6480" w:firstLineChars="2700"/>
        <w:rPr>
          <w:rFonts w:hint="eastAsia" w:ascii="宋体" w:hAnsi="宋体" w:eastAsia="宋体" w:cs="宋体"/>
          <w:color w:val="auto"/>
          <w:sz w:val="24"/>
          <w:highlight w:val="none"/>
        </w:rPr>
      </w:pPr>
    </w:p>
    <w:p w14:paraId="3FF4E5FE">
      <w:pPr>
        <w:autoSpaceDE w:val="0"/>
        <w:autoSpaceDN w:val="0"/>
        <w:spacing w:line="360" w:lineRule="auto"/>
        <w:ind w:firstLine="6480" w:firstLineChars="2700"/>
        <w:rPr>
          <w:rFonts w:hint="eastAsia" w:ascii="宋体" w:hAnsi="宋体" w:eastAsia="宋体" w:cs="宋体"/>
          <w:color w:val="auto"/>
          <w:sz w:val="24"/>
          <w:highlight w:val="none"/>
          <w:lang w:val="zh-CN"/>
        </w:rPr>
      </w:pPr>
    </w:p>
    <w:p w14:paraId="3D7BC239">
      <w:pPr>
        <w:pStyle w:val="31"/>
        <w:jc w:val="both"/>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24"/>
          <w:highlight w:val="none"/>
        </w:rPr>
        <w:br w:type="page"/>
      </w:r>
    </w:p>
    <w:p w14:paraId="15631166">
      <w:pPr>
        <w:rPr>
          <w:rFonts w:hint="eastAsia" w:ascii="宋体" w:hAnsi="宋体" w:eastAsia="宋体" w:cs="宋体"/>
          <w:b/>
          <w:bCs w:val="0"/>
          <w:caps w:val="0"/>
          <w:smallCaps w:val="0"/>
          <w:color w:val="auto"/>
          <w:spacing w:val="0"/>
          <w:kern w:val="2"/>
          <w:sz w:val="30"/>
          <w:szCs w:val="30"/>
          <w:highlight w:val="none"/>
          <w:lang w:val="en-US" w:eastAsia="zh-CN"/>
        </w:rPr>
      </w:pPr>
    </w:p>
    <w:p w14:paraId="573C2459">
      <w:pPr>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响应函</w:t>
      </w:r>
    </w:p>
    <w:p w14:paraId="59047C02">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（采购代理机构名称）</w:t>
      </w:r>
    </w:p>
    <w:p w14:paraId="5EB3C986">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我方已仔细阅读了贵方组织的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eastAsia="zh-CN"/>
        </w:rPr>
        <w:t>项目编号：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）的竞争性磋商采购文件的全部内容，现正式递交下述文件参加贵方组织的本次政府采购活动： </w:t>
      </w:r>
    </w:p>
    <w:p w14:paraId="3C391749">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文件电子版</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壹</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lang w:val="en-US" w:eastAsia="zh-CN"/>
        </w:rPr>
        <w:t>套</w:t>
      </w:r>
      <w:r>
        <w:rPr>
          <w:rFonts w:hint="eastAsia" w:ascii="宋体" w:hAnsi="宋体" w:eastAsia="宋体" w:cs="宋体"/>
          <w:color w:val="auto"/>
          <w:kern w:val="0"/>
          <w:sz w:val="24"/>
          <w:szCs w:val="24"/>
          <w:highlight w:val="none"/>
        </w:rPr>
        <w:t>（包含按“第三章 供应商须知”提交的全部文件）；</w:t>
      </w:r>
    </w:p>
    <w:p w14:paraId="1F07AEE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据此函，签字人兹宣布：</w:t>
      </w:r>
    </w:p>
    <w:p w14:paraId="7F7620C6">
      <w:pPr>
        <w:pStyle w:val="16"/>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我方愿意以报价文件电子版</w:t>
      </w:r>
      <w:r>
        <w:rPr>
          <w:rFonts w:hint="eastAsia" w:ascii="宋体" w:hAnsi="宋体" w:eastAsia="宋体" w:cs="宋体"/>
          <w:color w:val="auto"/>
          <w:sz w:val="24"/>
          <w:szCs w:val="24"/>
          <w:highlight w:val="none"/>
          <w:lang w:val="en-US" w:eastAsia="zh-CN"/>
        </w:rPr>
        <w:t>的响应报价表中</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val="en-US" w:eastAsia="zh-CN"/>
        </w:rPr>
        <w:t>按照我方承诺的内容</w:t>
      </w:r>
      <w:r>
        <w:rPr>
          <w:rFonts w:hint="eastAsia" w:ascii="宋体" w:hAnsi="宋体" w:eastAsia="宋体" w:cs="宋体"/>
          <w:color w:val="auto"/>
          <w:sz w:val="24"/>
          <w:szCs w:val="24"/>
          <w:highlight w:val="none"/>
        </w:rPr>
        <w:t>提供本项目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需求”中的相应的采购内容。</w:t>
      </w:r>
    </w:p>
    <w:p w14:paraId="3B812CDD">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325B5DF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3、我方在此声明，所递交的响应文件及有关资料内容完整、真实和准确。</w:t>
      </w:r>
    </w:p>
    <w:p w14:paraId="6F59B40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4、如本项目采购内容涉及须符合国家强制规定的，我方承诺我方本次竞标均符合国家有关强制规定。</w:t>
      </w:r>
    </w:p>
    <w:p w14:paraId="6E9DEF2A">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5、我方承诺未被列入失信被执行人、</w:t>
      </w:r>
      <w:r>
        <w:rPr>
          <w:rFonts w:hint="eastAsia" w:ascii="宋体" w:hAnsi="宋体" w:eastAsia="宋体" w:cs="宋体"/>
          <w:color w:val="auto"/>
          <w:sz w:val="24"/>
          <w:szCs w:val="24"/>
          <w:highlight w:val="none"/>
        </w:rPr>
        <w:t>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kern w:val="0"/>
          <w:sz w:val="24"/>
          <w:szCs w:val="24"/>
          <w:highlight w:val="none"/>
        </w:rPr>
        <w:t>、政府采购严重违法失信行为记录名单，并已经具备《中华人民共和国政府采购法》中规定的参加政府采购活动的供应商应当具备的条件：</w:t>
      </w:r>
    </w:p>
    <w:p w14:paraId="6E105B9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具有独立承担民事责任的能力；</w:t>
      </w:r>
    </w:p>
    <w:p w14:paraId="4A340B8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具有良好的商业信誉和健全的财务会计制度；</w:t>
      </w:r>
    </w:p>
    <w:p w14:paraId="1002075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具有履行合同所必需的设备和专业技术能力；</w:t>
      </w:r>
    </w:p>
    <w:p w14:paraId="6322AF2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p w14:paraId="6E83754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参加政府采购活动前三年内，在经营活动中没有重大违法记录；</w:t>
      </w:r>
    </w:p>
    <w:p w14:paraId="676CAC9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14:paraId="05EB8E89">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4E7419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7、我方已详细审核竞争性磋商采购文件，我方知道必须放弃提出含糊不清或误解问题的权利。</w:t>
      </w:r>
    </w:p>
    <w:p w14:paraId="4D051DE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8、我方承诺满足竞争性磋商采购文件第六章“合同文本”的条款，承担完成合同的责任和义务。</w:t>
      </w:r>
    </w:p>
    <w:p w14:paraId="0113238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9、我方同意应贵方要求提供与本竞标有关的任何数据或资料。若贵方需要，我方愿意提供我方作出的一切承诺的证明材料。</w:t>
      </w:r>
    </w:p>
    <w:p w14:paraId="48A49AD1">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10、我方完全理解贵方不一定接受响应报价最低的竞标人为成交供应商的行为。</w:t>
      </w:r>
    </w:p>
    <w:p w14:paraId="084B711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628220">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提供虚假材料谋取中标、成交的；</w:t>
      </w:r>
    </w:p>
    <w:p w14:paraId="53E53CCF">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采取不正当手段诋毁、排挤其他供应商的；</w:t>
      </w:r>
    </w:p>
    <w:p w14:paraId="3F3DD52D">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与采购人、其他供应商或者采购代理机构恶意串通的；</w:t>
      </w:r>
    </w:p>
    <w:p w14:paraId="163BCA44">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向采购人、采购代理机构行贿或者提供其他不正当利益的；</w:t>
      </w:r>
    </w:p>
    <w:p w14:paraId="2B7B89E6">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在采购过程中与采购人进行协商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w:t>
      </w:r>
    </w:p>
    <w:p w14:paraId="6F58CB3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拒绝有关部门监督检查或提供虚假情况的。</w:t>
      </w:r>
    </w:p>
    <w:p w14:paraId="04D0894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12.与本磋商有关的一切正式往来信函请寄：</w:t>
      </w:r>
    </w:p>
    <w:p w14:paraId="4D9CFEA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A24FFC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w:t>
      </w:r>
    </w:p>
    <w:p w14:paraId="7202427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w:t>
      </w:r>
    </w:p>
    <w:p w14:paraId="5408B6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554CC4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开户名称：</w:t>
      </w:r>
      <w:r>
        <w:rPr>
          <w:rFonts w:hint="eastAsia" w:ascii="宋体" w:hAnsi="宋体" w:eastAsia="宋体" w:cs="宋体"/>
          <w:color w:val="auto"/>
          <w:kern w:val="0"/>
          <w:sz w:val="24"/>
          <w:szCs w:val="24"/>
          <w:highlight w:val="none"/>
          <w:u w:val="single"/>
        </w:rPr>
        <w:t xml:space="preserve">                                                    </w:t>
      </w:r>
    </w:p>
    <w:p w14:paraId="59E39C2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p>
    <w:p w14:paraId="7A3A1D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银行账号：</w:t>
      </w:r>
      <w:r>
        <w:rPr>
          <w:rFonts w:hint="eastAsia" w:ascii="宋体" w:hAnsi="宋体" w:eastAsia="宋体" w:cs="宋体"/>
          <w:color w:val="auto"/>
          <w:kern w:val="0"/>
          <w:sz w:val="24"/>
          <w:szCs w:val="24"/>
          <w:highlight w:val="none"/>
          <w:u w:val="single"/>
        </w:rPr>
        <w:t xml:space="preserve">                                                    </w:t>
      </w:r>
    </w:p>
    <w:p w14:paraId="180519CB">
      <w:pPr>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C716EA9">
      <w:pPr>
        <w:spacing w:line="360" w:lineRule="auto"/>
        <w:contextualSpacing/>
        <w:jc w:val="left"/>
        <w:rPr>
          <w:rFonts w:hint="eastAsia" w:ascii="宋体" w:hAnsi="宋体" w:eastAsia="宋体" w:cs="宋体"/>
          <w:color w:val="auto"/>
          <w:sz w:val="24"/>
          <w:szCs w:val="24"/>
          <w:highlight w:val="none"/>
        </w:rPr>
      </w:pPr>
    </w:p>
    <w:p w14:paraId="746AA3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0D22B2F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73190D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p>
    <w:p w14:paraId="10E963B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8BA5D8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D02036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0"/>
          <w:szCs w:val="30"/>
          <w:highlight w:val="none"/>
        </w:rPr>
        <w:t>响应报价表</w:t>
      </w:r>
    </w:p>
    <w:p w14:paraId="1D11B8C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4A3D19">
      <w:pPr>
        <w:snapToGrid w:val="0"/>
        <w:spacing w:before="50" w:after="50" w:line="360" w:lineRule="auto"/>
        <w:rPr>
          <w:rFonts w:hint="default" w:ascii="宋体" w:hAnsi="宋体" w:eastAsia="宋体" w:cs="宋体"/>
          <w:color w:val="auto"/>
          <w:sz w:val="24"/>
          <w:highlight w:val="none"/>
          <w:u w:val="single"/>
          <w:lang w:val="en-US"/>
        </w:rPr>
      </w:pP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52DD0719">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tbl>
      <w:tblPr>
        <w:tblStyle w:val="32"/>
        <w:tblpPr w:leftFromText="180" w:rightFromText="180" w:vertAnchor="text" w:horzAnchor="page" w:tblpX="1404" w:tblpY="182"/>
        <w:tblOverlap w:val="never"/>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21"/>
        <w:gridCol w:w="3330"/>
        <w:gridCol w:w="2154"/>
      </w:tblGrid>
      <w:tr w14:paraId="002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92" w:type="dxa"/>
            <w:tcBorders>
              <w:top w:val="single" w:color="auto" w:sz="4" w:space="0"/>
              <w:left w:val="single" w:color="auto" w:sz="4" w:space="0"/>
              <w:bottom w:val="single" w:color="auto" w:sz="4" w:space="0"/>
              <w:right w:val="single" w:color="auto" w:sz="4" w:space="0"/>
            </w:tcBorders>
            <w:vAlign w:val="center"/>
          </w:tcPr>
          <w:p w14:paraId="49701C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21" w:type="dxa"/>
            <w:tcBorders>
              <w:top w:val="single" w:color="auto" w:sz="4" w:space="0"/>
              <w:left w:val="single" w:color="auto" w:sz="4" w:space="0"/>
              <w:bottom w:val="single" w:color="auto" w:sz="4" w:space="0"/>
              <w:right w:val="single" w:color="auto" w:sz="4" w:space="0"/>
            </w:tcBorders>
            <w:vAlign w:val="center"/>
          </w:tcPr>
          <w:p w14:paraId="68533FBE">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标的的名称</w:t>
            </w:r>
          </w:p>
        </w:tc>
        <w:tc>
          <w:tcPr>
            <w:tcW w:w="3330" w:type="dxa"/>
            <w:tcBorders>
              <w:top w:val="single" w:color="auto" w:sz="4" w:space="0"/>
              <w:left w:val="single" w:color="auto" w:sz="4" w:space="0"/>
              <w:bottom w:val="single" w:color="auto" w:sz="4" w:space="0"/>
              <w:right w:val="single" w:color="auto" w:sz="4" w:space="0"/>
            </w:tcBorders>
            <w:vAlign w:val="center"/>
          </w:tcPr>
          <w:p w14:paraId="693D54CA">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投标报价（代煎服务费单价）</w:t>
            </w:r>
          </w:p>
        </w:tc>
        <w:tc>
          <w:tcPr>
            <w:tcW w:w="2154" w:type="dxa"/>
            <w:tcBorders>
              <w:top w:val="single" w:color="auto" w:sz="4" w:space="0"/>
              <w:left w:val="single" w:color="auto" w:sz="4" w:space="0"/>
              <w:bottom w:val="single" w:color="auto" w:sz="4" w:space="0"/>
              <w:right w:val="single" w:color="auto" w:sz="4" w:space="0"/>
            </w:tcBorders>
            <w:vAlign w:val="center"/>
          </w:tcPr>
          <w:p w14:paraId="048A5D68">
            <w:pPr>
              <w:spacing w:line="360" w:lineRule="auto"/>
              <w:jc w:val="cente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备注</w:t>
            </w:r>
          </w:p>
        </w:tc>
      </w:tr>
      <w:tr w14:paraId="3E1B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792" w:type="dxa"/>
            <w:tcBorders>
              <w:top w:val="single" w:color="auto" w:sz="4" w:space="0"/>
              <w:left w:val="single" w:color="auto" w:sz="4" w:space="0"/>
              <w:bottom w:val="single" w:color="auto" w:sz="4" w:space="0"/>
              <w:right w:val="single" w:color="auto" w:sz="4" w:space="0"/>
            </w:tcBorders>
            <w:vAlign w:val="center"/>
          </w:tcPr>
          <w:p w14:paraId="6E3527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21" w:type="dxa"/>
            <w:tcBorders>
              <w:top w:val="single" w:color="auto" w:sz="4" w:space="0"/>
              <w:left w:val="single" w:color="auto" w:sz="4" w:space="0"/>
              <w:bottom w:val="single" w:color="auto" w:sz="4" w:space="0"/>
              <w:right w:val="single" w:color="auto" w:sz="4" w:space="0"/>
            </w:tcBorders>
            <w:vAlign w:val="center"/>
          </w:tcPr>
          <w:p w14:paraId="2C2B8D3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柳州市柳江区中医医院2025-2027年度中药饮片代煎和配送服务采购项目（重）</w:t>
            </w:r>
          </w:p>
        </w:tc>
        <w:tc>
          <w:tcPr>
            <w:tcW w:w="3330" w:type="dxa"/>
            <w:tcBorders>
              <w:top w:val="single" w:color="auto" w:sz="4" w:space="0"/>
              <w:left w:val="single" w:color="auto" w:sz="4" w:space="0"/>
              <w:bottom w:val="single" w:color="auto" w:sz="4" w:space="0"/>
              <w:right w:val="single" w:color="auto" w:sz="4" w:space="0"/>
            </w:tcBorders>
            <w:vAlign w:val="center"/>
          </w:tcPr>
          <w:p w14:paraId="7D93E80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元/付</w:t>
            </w:r>
          </w:p>
        </w:tc>
        <w:tc>
          <w:tcPr>
            <w:tcW w:w="2154" w:type="dxa"/>
            <w:tcBorders>
              <w:top w:val="single" w:color="auto" w:sz="4" w:space="0"/>
              <w:left w:val="single" w:color="auto" w:sz="4" w:space="0"/>
              <w:bottom w:val="single" w:color="auto" w:sz="4" w:space="0"/>
              <w:right w:val="single" w:color="auto" w:sz="4" w:space="0"/>
            </w:tcBorders>
            <w:vAlign w:val="center"/>
          </w:tcPr>
          <w:p w14:paraId="5127847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代煎服务费单价不得高于3.5元/付，否则</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无效。</w:t>
            </w:r>
          </w:p>
        </w:tc>
      </w:tr>
    </w:tbl>
    <w:p w14:paraId="4EA834AB">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5D2D32C">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4370672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w:t>
      </w:r>
      <w:r>
        <w:rPr>
          <w:rFonts w:hint="eastAsia" w:ascii="宋体" w:hAnsi="宋体" w:eastAsia="宋体" w:cs="宋体"/>
          <w:b w:val="0"/>
          <w:bCs/>
          <w:color w:val="auto"/>
          <w:kern w:val="0"/>
          <w:sz w:val="21"/>
          <w:szCs w:val="21"/>
          <w:highlight w:val="none"/>
          <w:lang w:val="zh-CN"/>
        </w:rPr>
        <w:t>。</w:t>
      </w:r>
    </w:p>
    <w:p w14:paraId="7B21CE97">
      <w:pPr>
        <w:snapToGrid w:val="0"/>
        <w:ind w:firstLine="422" w:firstLineChars="200"/>
        <w:jc w:val="left"/>
        <w:rPr>
          <w:rFonts w:hint="eastAsia" w:ascii="宋体" w:hAnsi="宋体" w:eastAsia="宋体" w:cs="宋体"/>
          <w:b/>
          <w:bCs/>
          <w:color w:val="auto"/>
          <w:kern w:val="0"/>
          <w:sz w:val="21"/>
          <w:szCs w:val="21"/>
          <w:highlight w:val="none"/>
          <w:lang w:val="zh-CN"/>
        </w:rPr>
      </w:pPr>
    </w:p>
    <w:p w14:paraId="6A6F07A8">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7AE0CCC7">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03F91F7F">
      <w:pPr>
        <w:spacing w:line="36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  年  月   日</w:t>
      </w:r>
    </w:p>
    <w:p w14:paraId="6EBF09E0">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E68CFF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中小企业声明函（服务）</w:t>
      </w:r>
    </w:p>
    <w:p w14:paraId="3544AEA6">
      <w:pPr>
        <w:spacing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6E0A6BAF">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360" w:lineRule="auto"/>
        <w:ind w:right="142" w:firstLine="686" w:firstLineChars="28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834F11F">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14EF543">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p>
    <w:p w14:paraId="028794EB">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847A7D4">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198E252">
      <w:pPr>
        <w:spacing w:line="360" w:lineRule="auto"/>
        <w:ind w:left="3960" w:right="1808"/>
        <w:contextualSpacing/>
        <w:rPr>
          <w:rFonts w:hint="eastAsia" w:ascii="宋体" w:hAnsi="宋体" w:eastAsia="宋体" w:cs="宋体"/>
          <w:color w:val="auto"/>
          <w:sz w:val="24"/>
          <w:highlight w:val="none"/>
        </w:rPr>
      </w:pPr>
    </w:p>
    <w:p w14:paraId="3D5C820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0FCBD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80B4C5A">
      <w:pPr>
        <w:spacing w:line="360" w:lineRule="auto"/>
        <w:ind w:left="3960" w:right="1808"/>
        <w:contextualSpacing/>
        <w:rPr>
          <w:rFonts w:hint="eastAsia" w:ascii="宋体" w:hAnsi="宋体" w:eastAsia="宋体" w:cs="宋体"/>
          <w:color w:val="auto"/>
          <w:highlight w:val="none"/>
        </w:rPr>
      </w:pPr>
    </w:p>
    <w:p w14:paraId="18E4B6CF">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AEA528F">
      <w:pPr>
        <w:spacing w:line="528" w:lineRule="exact"/>
        <w:jc w:val="center"/>
        <w:rPr>
          <w:rFonts w:hint="eastAsia" w:ascii="宋体" w:hAnsi="宋体" w:eastAsia="宋体" w:cs="宋体"/>
          <w:color w:val="auto"/>
          <w:kern w:val="0"/>
          <w:sz w:val="24"/>
          <w:highlight w:val="none"/>
          <w:lang w:val="zh-CN"/>
        </w:rPr>
      </w:pPr>
    </w:p>
    <w:p w14:paraId="539D9013">
      <w:pPr>
        <w:spacing w:line="360" w:lineRule="auto"/>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、采购标的对应的中小企业划分标准所属行业：根据《关于印发中小企业划型标准规定的通知》（工信部联企业〔2011〕300号），本次采购标的属于其他未列明行业。</w:t>
      </w:r>
    </w:p>
    <w:p w14:paraId="064252FC">
      <w:pPr>
        <w:spacing w:line="528" w:lineRule="exact"/>
        <w:jc w:val="center"/>
        <w:rPr>
          <w:rFonts w:hint="eastAsia" w:ascii="宋体" w:hAnsi="宋体" w:eastAsia="宋体" w:cs="宋体"/>
          <w:color w:val="auto"/>
          <w:kern w:val="0"/>
          <w:sz w:val="24"/>
          <w:highlight w:val="none"/>
          <w:lang w:val="zh-CN"/>
        </w:rPr>
      </w:pPr>
    </w:p>
    <w:p w14:paraId="20DECE78">
      <w:pPr>
        <w:spacing w:line="528" w:lineRule="exact"/>
        <w:jc w:val="center"/>
        <w:rPr>
          <w:rFonts w:hint="eastAsia" w:ascii="宋体" w:hAnsi="宋体" w:eastAsia="宋体" w:cs="宋体"/>
          <w:color w:val="auto"/>
          <w:kern w:val="0"/>
          <w:sz w:val="24"/>
          <w:highlight w:val="none"/>
          <w:lang w:val="zh-CN"/>
        </w:rPr>
      </w:pPr>
    </w:p>
    <w:p w14:paraId="58C62932">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bCs/>
          <w:color w:val="auto"/>
          <w:sz w:val="30"/>
          <w:szCs w:val="30"/>
          <w:highlight w:val="none"/>
        </w:rPr>
        <w:t>中小微企业划型标准</w:t>
      </w:r>
    </w:p>
    <w:tbl>
      <w:tblPr>
        <w:tblStyle w:val="32"/>
        <w:tblW w:w="9536" w:type="dxa"/>
        <w:jc w:val="center"/>
        <w:tblLayout w:type="fixed"/>
        <w:tblCellMar>
          <w:top w:w="0" w:type="dxa"/>
          <w:left w:w="108" w:type="dxa"/>
          <w:bottom w:w="0" w:type="dxa"/>
          <w:right w:w="108" w:type="dxa"/>
        </w:tblCellMar>
      </w:tblPr>
      <w:tblGrid>
        <w:gridCol w:w="1550"/>
        <w:gridCol w:w="1915"/>
        <w:gridCol w:w="961"/>
        <w:gridCol w:w="2071"/>
        <w:gridCol w:w="1836"/>
        <w:gridCol w:w="1203"/>
      </w:tblGrid>
      <w:tr w14:paraId="02316D7D">
        <w:tblPrEx>
          <w:tblCellMar>
            <w:top w:w="0" w:type="dxa"/>
            <w:left w:w="108" w:type="dxa"/>
            <w:bottom w:w="0" w:type="dxa"/>
            <w:right w:w="108" w:type="dxa"/>
          </w:tblCellMar>
        </w:tblPrEx>
        <w:trPr>
          <w:trHeight w:val="742"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14:paraId="57494BD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915" w:type="dxa"/>
            <w:tcBorders>
              <w:top w:val="single" w:color="auto" w:sz="4" w:space="0"/>
              <w:left w:val="nil"/>
              <w:bottom w:val="single" w:color="auto" w:sz="4" w:space="0"/>
              <w:right w:val="single" w:color="auto" w:sz="4" w:space="0"/>
            </w:tcBorders>
            <w:noWrap w:val="0"/>
            <w:vAlign w:val="center"/>
          </w:tcPr>
          <w:p w14:paraId="7C87C6F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961" w:type="dxa"/>
            <w:tcBorders>
              <w:top w:val="single" w:color="auto" w:sz="4" w:space="0"/>
              <w:left w:val="nil"/>
              <w:bottom w:val="single" w:color="auto" w:sz="4" w:space="0"/>
              <w:right w:val="single" w:color="auto" w:sz="4" w:space="0"/>
            </w:tcBorders>
            <w:noWrap w:val="0"/>
            <w:vAlign w:val="center"/>
          </w:tcPr>
          <w:p w14:paraId="70E84CB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71" w:type="dxa"/>
            <w:tcBorders>
              <w:top w:val="single" w:color="auto" w:sz="4" w:space="0"/>
              <w:left w:val="nil"/>
              <w:bottom w:val="single" w:color="auto" w:sz="4" w:space="0"/>
              <w:right w:val="single" w:color="auto" w:sz="4" w:space="0"/>
            </w:tcBorders>
            <w:noWrap w:val="0"/>
            <w:vAlign w:val="center"/>
          </w:tcPr>
          <w:p w14:paraId="07CAE36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36" w:type="dxa"/>
            <w:tcBorders>
              <w:top w:val="single" w:color="auto" w:sz="4" w:space="0"/>
              <w:left w:val="nil"/>
              <w:bottom w:val="single" w:color="auto" w:sz="4" w:space="0"/>
              <w:right w:val="single" w:color="auto" w:sz="4" w:space="0"/>
            </w:tcBorders>
            <w:noWrap w:val="0"/>
            <w:vAlign w:val="center"/>
          </w:tcPr>
          <w:p w14:paraId="6D544A45">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203" w:type="dxa"/>
            <w:tcBorders>
              <w:top w:val="single" w:color="auto" w:sz="4" w:space="0"/>
              <w:left w:val="nil"/>
              <w:bottom w:val="single" w:color="auto" w:sz="4" w:space="0"/>
              <w:right w:val="single" w:color="auto" w:sz="4" w:space="0"/>
            </w:tcBorders>
            <w:noWrap w:val="0"/>
            <w:vAlign w:val="center"/>
          </w:tcPr>
          <w:p w14:paraId="3EEE1CD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3B563D97">
        <w:tblPrEx>
          <w:tblCellMar>
            <w:top w:w="0" w:type="dxa"/>
            <w:left w:w="108" w:type="dxa"/>
            <w:bottom w:w="0" w:type="dxa"/>
            <w:right w:w="108" w:type="dxa"/>
          </w:tblCellMar>
        </w:tblPrEx>
        <w:trPr>
          <w:trHeight w:val="337" w:hRule="atLeast"/>
          <w:jc w:val="center"/>
        </w:trPr>
        <w:tc>
          <w:tcPr>
            <w:tcW w:w="1550" w:type="dxa"/>
            <w:tcBorders>
              <w:top w:val="nil"/>
              <w:left w:val="single" w:color="auto" w:sz="4" w:space="0"/>
              <w:bottom w:val="single" w:color="auto" w:sz="4" w:space="0"/>
              <w:right w:val="single" w:color="auto" w:sz="4" w:space="0"/>
            </w:tcBorders>
            <w:noWrap w:val="0"/>
            <w:vAlign w:val="center"/>
          </w:tcPr>
          <w:p w14:paraId="0E1AF3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915" w:type="dxa"/>
            <w:tcBorders>
              <w:top w:val="nil"/>
              <w:left w:val="nil"/>
              <w:bottom w:val="single" w:color="auto" w:sz="4" w:space="0"/>
              <w:right w:val="single" w:color="auto" w:sz="4" w:space="0"/>
            </w:tcBorders>
            <w:noWrap w:val="0"/>
            <w:vAlign w:val="center"/>
          </w:tcPr>
          <w:p w14:paraId="7776629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CBBB2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A0DB07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2BA2FD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203" w:type="dxa"/>
            <w:tcBorders>
              <w:top w:val="nil"/>
              <w:left w:val="nil"/>
              <w:bottom w:val="single" w:color="auto" w:sz="4" w:space="0"/>
              <w:right w:val="single" w:color="auto" w:sz="4" w:space="0"/>
            </w:tcBorders>
            <w:noWrap w:val="0"/>
            <w:vAlign w:val="center"/>
          </w:tcPr>
          <w:p w14:paraId="7EA45C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3245854C">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CDD4A2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915" w:type="dxa"/>
            <w:tcBorders>
              <w:top w:val="nil"/>
              <w:left w:val="nil"/>
              <w:bottom w:val="single" w:color="auto" w:sz="4" w:space="0"/>
              <w:right w:val="single" w:color="auto" w:sz="4" w:space="0"/>
            </w:tcBorders>
            <w:noWrap w:val="0"/>
            <w:vAlign w:val="center"/>
          </w:tcPr>
          <w:p w14:paraId="093B157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BDCFE0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3C7C7B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1278545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0FE9126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8D058BF">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5E393CC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221853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3769E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74A203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36" w:type="dxa"/>
            <w:tcBorders>
              <w:top w:val="nil"/>
              <w:left w:val="nil"/>
              <w:bottom w:val="single" w:color="auto" w:sz="4" w:space="0"/>
              <w:right w:val="single" w:color="auto" w:sz="4" w:space="0"/>
            </w:tcBorders>
            <w:noWrap w:val="0"/>
            <w:vAlign w:val="center"/>
          </w:tcPr>
          <w:p w14:paraId="4D65F32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203" w:type="dxa"/>
            <w:tcBorders>
              <w:top w:val="nil"/>
              <w:left w:val="nil"/>
              <w:bottom w:val="single" w:color="auto" w:sz="4" w:space="0"/>
              <w:right w:val="single" w:color="auto" w:sz="4" w:space="0"/>
            </w:tcBorders>
            <w:noWrap w:val="0"/>
            <w:vAlign w:val="center"/>
          </w:tcPr>
          <w:p w14:paraId="6C0FD1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4DB16584">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0375A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915" w:type="dxa"/>
            <w:tcBorders>
              <w:top w:val="nil"/>
              <w:left w:val="nil"/>
              <w:bottom w:val="single" w:color="auto" w:sz="4" w:space="0"/>
              <w:right w:val="single" w:color="auto" w:sz="4" w:space="0"/>
            </w:tcBorders>
            <w:noWrap w:val="0"/>
            <w:vAlign w:val="center"/>
          </w:tcPr>
          <w:p w14:paraId="45D7B1E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27CF89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1EC578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36" w:type="dxa"/>
            <w:tcBorders>
              <w:top w:val="nil"/>
              <w:left w:val="nil"/>
              <w:bottom w:val="single" w:color="auto" w:sz="4" w:space="0"/>
              <w:right w:val="single" w:color="auto" w:sz="4" w:space="0"/>
            </w:tcBorders>
            <w:noWrap w:val="0"/>
            <w:vAlign w:val="center"/>
          </w:tcPr>
          <w:p w14:paraId="5BE5B54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203" w:type="dxa"/>
            <w:tcBorders>
              <w:top w:val="nil"/>
              <w:left w:val="nil"/>
              <w:bottom w:val="single" w:color="auto" w:sz="4" w:space="0"/>
              <w:right w:val="single" w:color="auto" w:sz="4" w:space="0"/>
            </w:tcBorders>
            <w:noWrap w:val="0"/>
            <w:vAlign w:val="center"/>
          </w:tcPr>
          <w:p w14:paraId="4D281DF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0D4EE987">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D9D47E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343E68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297554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CC76D6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36" w:type="dxa"/>
            <w:tcBorders>
              <w:top w:val="nil"/>
              <w:left w:val="nil"/>
              <w:bottom w:val="single" w:color="auto" w:sz="4" w:space="0"/>
              <w:right w:val="single" w:color="auto" w:sz="4" w:space="0"/>
            </w:tcBorders>
            <w:noWrap w:val="0"/>
            <w:vAlign w:val="center"/>
          </w:tcPr>
          <w:p w14:paraId="2ED8E54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203" w:type="dxa"/>
            <w:tcBorders>
              <w:top w:val="nil"/>
              <w:left w:val="nil"/>
              <w:bottom w:val="single" w:color="auto" w:sz="4" w:space="0"/>
              <w:right w:val="single" w:color="auto" w:sz="4" w:space="0"/>
            </w:tcBorders>
            <w:noWrap w:val="0"/>
            <w:vAlign w:val="center"/>
          </w:tcPr>
          <w:p w14:paraId="04C0B4E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5BDF64D3">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0729D4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915" w:type="dxa"/>
            <w:tcBorders>
              <w:top w:val="nil"/>
              <w:left w:val="nil"/>
              <w:bottom w:val="single" w:color="auto" w:sz="4" w:space="0"/>
              <w:right w:val="single" w:color="auto" w:sz="4" w:space="0"/>
            </w:tcBorders>
            <w:noWrap w:val="0"/>
            <w:vAlign w:val="center"/>
          </w:tcPr>
          <w:p w14:paraId="2023C9F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C1118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EACEC0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36" w:type="dxa"/>
            <w:tcBorders>
              <w:top w:val="nil"/>
              <w:left w:val="nil"/>
              <w:bottom w:val="single" w:color="auto" w:sz="4" w:space="0"/>
              <w:right w:val="single" w:color="auto" w:sz="4" w:space="0"/>
            </w:tcBorders>
            <w:noWrap w:val="0"/>
            <w:vAlign w:val="center"/>
          </w:tcPr>
          <w:p w14:paraId="5016420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203" w:type="dxa"/>
            <w:tcBorders>
              <w:top w:val="nil"/>
              <w:left w:val="nil"/>
              <w:bottom w:val="single" w:color="auto" w:sz="4" w:space="0"/>
              <w:right w:val="single" w:color="auto" w:sz="4" w:space="0"/>
            </w:tcBorders>
            <w:noWrap w:val="0"/>
            <w:vAlign w:val="center"/>
          </w:tcPr>
          <w:p w14:paraId="54B17A6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65F1756F">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214ABED">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4228E8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F954B7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D406E8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36" w:type="dxa"/>
            <w:tcBorders>
              <w:top w:val="nil"/>
              <w:left w:val="nil"/>
              <w:bottom w:val="single" w:color="auto" w:sz="4" w:space="0"/>
              <w:right w:val="single" w:color="auto" w:sz="4" w:space="0"/>
            </w:tcBorders>
            <w:noWrap w:val="0"/>
            <w:vAlign w:val="center"/>
          </w:tcPr>
          <w:p w14:paraId="04BC42D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203" w:type="dxa"/>
            <w:tcBorders>
              <w:top w:val="nil"/>
              <w:left w:val="nil"/>
              <w:bottom w:val="single" w:color="auto" w:sz="4" w:space="0"/>
              <w:right w:val="single" w:color="auto" w:sz="4" w:space="0"/>
            </w:tcBorders>
            <w:noWrap w:val="0"/>
            <w:vAlign w:val="center"/>
          </w:tcPr>
          <w:p w14:paraId="2E606D5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7C35CB5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8A2C5D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915" w:type="dxa"/>
            <w:tcBorders>
              <w:top w:val="nil"/>
              <w:left w:val="nil"/>
              <w:bottom w:val="single" w:color="auto" w:sz="4" w:space="0"/>
              <w:right w:val="single" w:color="auto" w:sz="4" w:space="0"/>
            </w:tcBorders>
            <w:noWrap w:val="0"/>
            <w:vAlign w:val="center"/>
          </w:tcPr>
          <w:p w14:paraId="16A5DD3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03511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328E49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36" w:type="dxa"/>
            <w:tcBorders>
              <w:top w:val="nil"/>
              <w:left w:val="nil"/>
              <w:bottom w:val="single" w:color="auto" w:sz="4" w:space="0"/>
              <w:right w:val="single" w:color="auto" w:sz="4" w:space="0"/>
            </w:tcBorders>
            <w:noWrap w:val="0"/>
            <w:vAlign w:val="center"/>
          </w:tcPr>
          <w:p w14:paraId="78D2311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203" w:type="dxa"/>
            <w:tcBorders>
              <w:top w:val="nil"/>
              <w:left w:val="nil"/>
              <w:bottom w:val="single" w:color="auto" w:sz="4" w:space="0"/>
              <w:right w:val="single" w:color="auto" w:sz="4" w:space="0"/>
            </w:tcBorders>
            <w:noWrap w:val="0"/>
            <w:vAlign w:val="center"/>
          </w:tcPr>
          <w:p w14:paraId="0C066C3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E035C56">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C2A82A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65653F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6D8A5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C5D755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16FE0D3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203" w:type="dxa"/>
            <w:tcBorders>
              <w:top w:val="nil"/>
              <w:left w:val="nil"/>
              <w:bottom w:val="single" w:color="auto" w:sz="4" w:space="0"/>
              <w:right w:val="single" w:color="auto" w:sz="4" w:space="0"/>
            </w:tcBorders>
            <w:noWrap w:val="0"/>
            <w:vAlign w:val="center"/>
          </w:tcPr>
          <w:p w14:paraId="130D872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6A5CFD0">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C043C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915" w:type="dxa"/>
            <w:tcBorders>
              <w:top w:val="nil"/>
              <w:left w:val="nil"/>
              <w:bottom w:val="single" w:color="auto" w:sz="4" w:space="0"/>
              <w:right w:val="single" w:color="auto" w:sz="4" w:space="0"/>
            </w:tcBorders>
            <w:noWrap w:val="0"/>
            <w:vAlign w:val="center"/>
          </w:tcPr>
          <w:p w14:paraId="16E323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6E2467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A84038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5E33ED5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14F3A16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4D621C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B76133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87F46B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5EAD5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4086804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36" w:type="dxa"/>
            <w:tcBorders>
              <w:top w:val="nil"/>
              <w:left w:val="nil"/>
              <w:bottom w:val="single" w:color="auto" w:sz="4" w:space="0"/>
              <w:right w:val="single" w:color="auto" w:sz="4" w:space="0"/>
            </w:tcBorders>
            <w:noWrap w:val="0"/>
            <w:vAlign w:val="center"/>
          </w:tcPr>
          <w:p w14:paraId="76660E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203" w:type="dxa"/>
            <w:tcBorders>
              <w:top w:val="nil"/>
              <w:left w:val="nil"/>
              <w:bottom w:val="single" w:color="auto" w:sz="4" w:space="0"/>
              <w:right w:val="single" w:color="auto" w:sz="4" w:space="0"/>
            </w:tcBorders>
            <w:noWrap w:val="0"/>
            <w:vAlign w:val="center"/>
          </w:tcPr>
          <w:p w14:paraId="6EF997C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00D9F5A8">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4F5263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915" w:type="dxa"/>
            <w:tcBorders>
              <w:top w:val="nil"/>
              <w:left w:val="nil"/>
              <w:bottom w:val="single" w:color="auto" w:sz="4" w:space="0"/>
              <w:right w:val="single" w:color="auto" w:sz="4" w:space="0"/>
            </w:tcBorders>
            <w:noWrap w:val="0"/>
            <w:vAlign w:val="center"/>
          </w:tcPr>
          <w:p w14:paraId="27975F6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BA5BBA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715381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36" w:type="dxa"/>
            <w:tcBorders>
              <w:top w:val="nil"/>
              <w:left w:val="nil"/>
              <w:bottom w:val="single" w:color="auto" w:sz="4" w:space="0"/>
              <w:right w:val="single" w:color="auto" w:sz="4" w:space="0"/>
            </w:tcBorders>
            <w:noWrap w:val="0"/>
            <w:vAlign w:val="center"/>
          </w:tcPr>
          <w:p w14:paraId="441E455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203" w:type="dxa"/>
            <w:tcBorders>
              <w:top w:val="nil"/>
              <w:left w:val="nil"/>
              <w:bottom w:val="single" w:color="auto" w:sz="4" w:space="0"/>
              <w:right w:val="single" w:color="auto" w:sz="4" w:space="0"/>
            </w:tcBorders>
            <w:noWrap w:val="0"/>
            <w:vAlign w:val="center"/>
          </w:tcPr>
          <w:p w14:paraId="4C5A42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B1A620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979D513">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207784D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0B102F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E59F3B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36" w:type="dxa"/>
            <w:tcBorders>
              <w:top w:val="nil"/>
              <w:left w:val="nil"/>
              <w:bottom w:val="single" w:color="auto" w:sz="4" w:space="0"/>
              <w:right w:val="single" w:color="auto" w:sz="4" w:space="0"/>
            </w:tcBorders>
            <w:noWrap w:val="0"/>
            <w:vAlign w:val="center"/>
          </w:tcPr>
          <w:p w14:paraId="35F00B6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0A402CC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C42CEED">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40D55D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915" w:type="dxa"/>
            <w:tcBorders>
              <w:top w:val="nil"/>
              <w:left w:val="nil"/>
              <w:bottom w:val="single" w:color="auto" w:sz="4" w:space="0"/>
              <w:right w:val="single" w:color="auto" w:sz="4" w:space="0"/>
            </w:tcBorders>
            <w:noWrap w:val="0"/>
            <w:vAlign w:val="center"/>
          </w:tcPr>
          <w:p w14:paraId="649E1FD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304DB4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9626D0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59F486D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3D8FBC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937D23A">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1FE084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96359B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3B643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3BE358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36" w:type="dxa"/>
            <w:tcBorders>
              <w:top w:val="nil"/>
              <w:left w:val="nil"/>
              <w:bottom w:val="single" w:color="auto" w:sz="4" w:space="0"/>
              <w:right w:val="single" w:color="auto" w:sz="4" w:space="0"/>
            </w:tcBorders>
            <w:noWrap w:val="0"/>
            <w:vAlign w:val="center"/>
          </w:tcPr>
          <w:p w14:paraId="71B3D07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1288EA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CB56115">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F402E4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915" w:type="dxa"/>
            <w:tcBorders>
              <w:top w:val="nil"/>
              <w:left w:val="nil"/>
              <w:bottom w:val="single" w:color="auto" w:sz="4" w:space="0"/>
              <w:right w:val="single" w:color="auto" w:sz="4" w:space="0"/>
            </w:tcBorders>
            <w:noWrap w:val="0"/>
            <w:vAlign w:val="center"/>
          </w:tcPr>
          <w:p w14:paraId="4F25182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8457BF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3A6176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6D37B90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002A354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1166CBE">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5423500">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90A93B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4E0553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40FA31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7C99BDB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6FF0E2A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983E0F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EC73AE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915" w:type="dxa"/>
            <w:tcBorders>
              <w:top w:val="nil"/>
              <w:left w:val="nil"/>
              <w:bottom w:val="single" w:color="auto" w:sz="4" w:space="0"/>
              <w:right w:val="single" w:color="auto" w:sz="4" w:space="0"/>
            </w:tcBorders>
            <w:noWrap w:val="0"/>
            <w:vAlign w:val="center"/>
          </w:tcPr>
          <w:p w14:paraId="3B115E8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02AAB0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EEFB5C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5A82383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708E202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40E29A4">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5F629C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698412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8678CF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B6DF60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0B46C5C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48D76CC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1AE72AF">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D66FFA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915" w:type="dxa"/>
            <w:tcBorders>
              <w:top w:val="nil"/>
              <w:left w:val="nil"/>
              <w:bottom w:val="single" w:color="auto" w:sz="4" w:space="0"/>
              <w:right w:val="single" w:color="auto" w:sz="4" w:space="0"/>
            </w:tcBorders>
            <w:noWrap w:val="0"/>
            <w:vAlign w:val="center"/>
          </w:tcPr>
          <w:p w14:paraId="42F4AF5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B039F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4E1CEFC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836" w:type="dxa"/>
            <w:tcBorders>
              <w:top w:val="nil"/>
              <w:left w:val="nil"/>
              <w:bottom w:val="single" w:color="auto" w:sz="4" w:space="0"/>
              <w:right w:val="single" w:color="auto" w:sz="4" w:space="0"/>
            </w:tcBorders>
            <w:noWrap w:val="0"/>
            <w:vAlign w:val="center"/>
          </w:tcPr>
          <w:p w14:paraId="726F68E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5C67DA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D506DA1">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9AEFB62">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36529C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16306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C6811A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836" w:type="dxa"/>
            <w:tcBorders>
              <w:top w:val="nil"/>
              <w:left w:val="nil"/>
              <w:bottom w:val="single" w:color="auto" w:sz="4" w:space="0"/>
              <w:right w:val="single" w:color="auto" w:sz="4" w:space="0"/>
            </w:tcBorders>
            <w:noWrap w:val="0"/>
            <w:vAlign w:val="center"/>
          </w:tcPr>
          <w:p w14:paraId="57B04B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5E1149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43EA675">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4BD6F1E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915" w:type="dxa"/>
            <w:tcBorders>
              <w:top w:val="nil"/>
              <w:left w:val="nil"/>
              <w:bottom w:val="single" w:color="auto" w:sz="4" w:space="0"/>
              <w:right w:val="single" w:color="auto" w:sz="4" w:space="0"/>
            </w:tcBorders>
            <w:noWrap w:val="0"/>
            <w:vAlign w:val="center"/>
          </w:tcPr>
          <w:p w14:paraId="312DC8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5CC25D6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1DBC309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FF7E1E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3FB8FCE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F33250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0A48BA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31870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66CF2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A9C88D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836" w:type="dxa"/>
            <w:tcBorders>
              <w:top w:val="nil"/>
              <w:left w:val="nil"/>
              <w:bottom w:val="single" w:color="auto" w:sz="4" w:space="0"/>
              <w:right w:val="single" w:color="auto" w:sz="4" w:space="0"/>
            </w:tcBorders>
            <w:noWrap w:val="0"/>
            <w:vAlign w:val="center"/>
          </w:tcPr>
          <w:p w14:paraId="277B56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203" w:type="dxa"/>
            <w:tcBorders>
              <w:top w:val="nil"/>
              <w:left w:val="nil"/>
              <w:bottom w:val="single" w:color="auto" w:sz="4" w:space="0"/>
              <w:right w:val="single" w:color="auto" w:sz="4" w:space="0"/>
            </w:tcBorders>
            <w:noWrap w:val="0"/>
            <w:vAlign w:val="center"/>
          </w:tcPr>
          <w:p w14:paraId="4B1D60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5877F99B">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58A832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915" w:type="dxa"/>
            <w:tcBorders>
              <w:top w:val="nil"/>
              <w:left w:val="nil"/>
              <w:bottom w:val="single" w:color="auto" w:sz="4" w:space="0"/>
              <w:right w:val="single" w:color="auto" w:sz="4" w:space="0"/>
            </w:tcBorders>
            <w:noWrap w:val="0"/>
            <w:vAlign w:val="center"/>
          </w:tcPr>
          <w:p w14:paraId="68119D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91879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8683DE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36" w:type="dxa"/>
            <w:tcBorders>
              <w:top w:val="nil"/>
              <w:left w:val="nil"/>
              <w:bottom w:val="single" w:color="auto" w:sz="4" w:space="0"/>
              <w:right w:val="single" w:color="auto" w:sz="4" w:space="0"/>
            </w:tcBorders>
            <w:noWrap w:val="0"/>
            <w:vAlign w:val="center"/>
          </w:tcPr>
          <w:p w14:paraId="1445962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203" w:type="dxa"/>
            <w:tcBorders>
              <w:top w:val="nil"/>
              <w:left w:val="nil"/>
              <w:bottom w:val="single" w:color="auto" w:sz="4" w:space="0"/>
              <w:right w:val="single" w:color="auto" w:sz="4" w:space="0"/>
            </w:tcBorders>
            <w:noWrap w:val="0"/>
            <w:vAlign w:val="center"/>
          </w:tcPr>
          <w:p w14:paraId="207A6C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2D3CE67B">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536D43E1">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A19342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4006537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57ADA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36" w:type="dxa"/>
            <w:tcBorders>
              <w:top w:val="nil"/>
              <w:left w:val="nil"/>
              <w:bottom w:val="single" w:color="auto" w:sz="4" w:space="0"/>
              <w:right w:val="single" w:color="auto" w:sz="4" w:space="0"/>
            </w:tcBorders>
            <w:noWrap w:val="0"/>
            <w:vAlign w:val="center"/>
          </w:tcPr>
          <w:p w14:paraId="3FFFADB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203" w:type="dxa"/>
            <w:tcBorders>
              <w:top w:val="nil"/>
              <w:left w:val="nil"/>
              <w:bottom w:val="single" w:color="auto" w:sz="4" w:space="0"/>
              <w:right w:val="single" w:color="auto" w:sz="4" w:space="0"/>
            </w:tcBorders>
            <w:noWrap w:val="0"/>
            <w:vAlign w:val="center"/>
          </w:tcPr>
          <w:p w14:paraId="72A0D32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77A641B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5C8051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915" w:type="dxa"/>
            <w:tcBorders>
              <w:top w:val="nil"/>
              <w:left w:val="nil"/>
              <w:bottom w:val="single" w:color="auto" w:sz="4" w:space="0"/>
              <w:right w:val="single" w:color="auto" w:sz="4" w:space="0"/>
            </w:tcBorders>
            <w:noWrap w:val="0"/>
            <w:vAlign w:val="center"/>
          </w:tcPr>
          <w:p w14:paraId="0A658D0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5E7377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86124A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2E21ECC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203" w:type="dxa"/>
            <w:tcBorders>
              <w:top w:val="nil"/>
              <w:left w:val="nil"/>
              <w:bottom w:val="single" w:color="auto" w:sz="4" w:space="0"/>
              <w:right w:val="single" w:color="auto" w:sz="4" w:space="0"/>
            </w:tcBorders>
            <w:noWrap w:val="0"/>
            <w:vAlign w:val="center"/>
          </w:tcPr>
          <w:p w14:paraId="46EDE27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197E86F2">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2FD66B63">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13DA05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4EDD372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0ADB7D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36" w:type="dxa"/>
            <w:tcBorders>
              <w:top w:val="nil"/>
              <w:left w:val="nil"/>
              <w:bottom w:val="single" w:color="auto" w:sz="4" w:space="0"/>
              <w:right w:val="single" w:color="auto" w:sz="4" w:space="0"/>
            </w:tcBorders>
            <w:noWrap w:val="0"/>
            <w:vAlign w:val="center"/>
          </w:tcPr>
          <w:p w14:paraId="4739BA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203" w:type="dxa"/>
            <w:tcBorders>
              <w:top w:val="nil"/>
              <w:left w:val="nil"/>
              <w:bottom w:val="single" w:color="auto" w:sz="4" w:space="0"/>
              <w:right w:val="single" w:color="auto" w:sz="4" w:space="0"/>
            </w:tcBorders>
            <w:noWrap w:val="0"/>
            <w:vAlign w:val="center"/>
          </w:tcPr>
          <w:p w14:paraId="7C47BA8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1FF99E2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67FEDD7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915" w:type="dxa"/>
            <w:tcBorders>
              <w:top w:val="nil"/>
              <w:left w:val="nil"/>
              <w:bottom w:val="single" w:color="auto" w:sz="4" w:space="0"/>
              <w:right w:val="single" w:color="auto" w:sz="4" w:space="0"/>
            </w:tcBorders>
            <w:noWrap w:val="0"/>
            <w:vAlign w:val="center"/>
          </w:tcPr>
          <w:p w14:paraId="436AEF5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07570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6A51D8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627C1FC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0E327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F895B67">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41F5FF8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28209A5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2AF4DCE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35C348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36" w:type="dxa"/>
            <w:tcBorders>
              <w:top w:val="nil"/>
              <w:left w:val="nil"/>
              <w:bottom w:val="single" w:color="auto" w:sz="4" w:space="0"/>
              <w:right w:val="single" w:color="auto" w:sz="4" w:space="0"/>
            </w:tcBorders>
            <w:noWrap w:val="0"/>
            <w:vAlign w:val="center"/>
          </w:tcPr>
          <w:p w14:paraId="4547DF4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203" w:type="dxa"/>
            <w:tcBorders>
              <w:top w:val="nil"/>
              <w:left w:val="nil"/>
              <w:bottom w:val="single" w:color="auto" w:sz="4" w:space="0"/>
              <w:right w:val="single" w:color="auto" w:sz="4" w:space="0"/>
            </w:tcBorders>
            <w:noWrap w:val="0"/>
            <w:vAlign w:val="center"/>
          </w:tcPr>
          <w:p w14:paraId="6DDDD09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9174F0D">
        <w:tblPrEx>
          <w:tblCellMar>
            <w:top w:w="0" w:type="dxa"/>
            <w:left w:w="108" w:type="dxa"/>
            <w:bottom w:w="0" w:type="dxa"/>
            <w:right w:w="108" w:type="dxa"/>
          </w:tblCellMar>
        </w:tblPrEx>
        <w:trPr>
          <w:trHeight w:val="359" w:hRule="atLeast"/>
          <w:jc w:val="center"/>
        </w:trPr>
        <w:tc>
          <w:tcPr>
            <w:tcW w:w="1550" w:type="dxa"/>
            <w:tcBorders>
              <w:top w:val="nil"/>
              <w:left w:val="single" w:color="auto" w:sz="4" w:space="0"/>
              <w:bottom w:val="single" w:color="auto" w:sz="4" w:space="0"/>
              <w:right w:val="single" w:color="auto" w:sz="4" w:space="0"/>
            </w:tcBorders>
            <w:noWrap w:val="0"/>
            <w:vAlign w:val="center"/>
          </w:tcPr>
          <w:p w14:paraId="32339CD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915" w:type="dxa"/>
            <w:tcBorders>
              <w:top w:val="nil"/>
              <w:left w:val="nil"/>
              <w:bottom w:val="single" w:color="auto" w:sz="4" w:space="0"/>
              <w:right w:val="single" w:color="auto" w:sz="4" w:space="0"/>
            </w:tcBorders>
            <w:noWrap w:val="0"/>
            <w:vAlign w:val="center"/>
          </w:tcPr>
          <w:p w14:paraId="6832F48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9E7BF8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1F008E2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7D20D69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558E90B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68CE7171">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D868134">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24"/>
          <w:highlight w:val="none"/>
          <w:lang w:val="zh-CN"/>
        </w:rPr>
        <w:br w:type="page"/>
      </w:r>
      <w:r>
        <w:rPr>
          <w:rFonts w:hint="eastAsia" w:ascii="宋体" w:hAnsi="宋体" w:eastAsia="宋体" w:cs="宋体"/>
          <w:b/>
          <w:bCs/>
          <w:color w:val="auto"/>
          <w:sz w:val="30"/>
          <w:szCs w:val="30"/>
          <w:highlight w:val="none"/>
        </w:rPr>
        <w:t>残疾人福利性单位声明函</w:t>
      </w:r>
    </w:p>
    <w:p w14:paraId="7A2D3749">
      <w:pPr>
        <w:spacing w:line="520" w:lineRule="exact"/>
        <w:rPr>
          <w:rFonts w:hint="eastAsia" w:ascii="宋体" w:hAnsi="宋体" w:eastAsia="宋体" w:cs="宋体"/>
          <w:color w:val="auto"/>
          <w:sz w:val="32"/>
          <w:szCs w:val="32"/>
          <w:highlight w:val="none"/>
        </w:rPr>
      </w:pPr>
    </w:p>
    <w:p w14:paraId="703E733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1AFA818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7241B3B">
      <w:pPr>
        <w:spacing w:line="360" w:lineRule="auto"/>
        <w:contextualSpacing/>
        <w:rPr>
          <w:rFonts w:hint="eastAsia" w:ascii="宋体" w:hAnsi="宋体" w:eastAsia="宋体" w:cs="宋体"/>
          <w:color w:val="auto"/>
          <w:sz w:val="24"/>
          <w:highlight w:val="none"/>
        </w:rPr>
      </w:pPr>
    </w:p>
    <w:p w14:paraId="7D741843">
      <w:pPr>
        <w:spacing w:line="360" w:lineRule="auto"/>
        <w:contextualSpacing/>
        <w:rPr>
          <w:rFonts w:hint="eastAsia" w:ascii="宋体" w:hAnsi="宋体" w:eastAsia="宋体" w:cs="宋体"/>
          <w:color w:val="auto"/>
          <w:sz w:val="24"/>
          <w:highlight w:val="none"/>
        </w:rPr>
      </w:pPr>
    </w:p>
    <w:p w14:paraId="2C95C961">
      <w:pPr>
        <w:spacing w:line="360" w:lineRule="auto"/>
        <w:contextualSpacing/>
        <w:rPr>
          <w:rFonts w:hint="eastAsia" w:ascii="宋体" w:hAnsi="宋体" w:eastAsia="宋体" w:cs="宋体"/>
          <w:color w:val="auto"/>
          <w:sz w:val="24"/>
          <w:highlight w:val="none"/>
        </w:rPr>
      </w:pPr>
    </w:p>
    <w:p w14:paraId="37F6F180">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FAA7011">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9C26239">
      <w:pPr>
        <w:spacing w:line="360" w:lineRule="auto"/>
        <w:contextualSpacing/>
        <w:rPr>
          <w:rFonts w:hint="eastAsia" w:ascii="宋体" w:hAnsi="宋体" w:eastAsia="宋体" w:cs="宋体"/>
          <w:color w:val="auto"/>
          <w:sz w:val="24"/>
          <w:highlight w:val="none"/>
        </w:rPr>
      </w:pPr>
    </w:p>
    <w:p w14:paraId="6C5249E6">
      <w:pPr>
        <w:spacing w:line="360" w:lineRule="auto"/>
        <w:contextualSpacing/>
        <w:rPr>
          <w:rFonts w:hint="eastAsia" w:ascii="宋体" w:hAnsi="宋体" w:eastAsia="宋体" w:cs="宋体"/>
          <w:color w:val="auto"/>
          <w:sz w:val="24"/>
          <w:highlight w:val="none"/>
        </w:rPr>
      </w:pPr>
    </w:p>
    <w:p w14:paraId="5D0D3BFC">
      <w:pPr>
        <w:spacing w:line="360" w:lineRule="auto"/>
        <w:contextualSpacing/>
        <w:rPr>
          <w:rFonts w:hint="eastAsia" w:ascii="宋体" w:hAnsi="宋体" w:eastAsia="宋体" w:cs="宋体"/>
          <w:color w:val="auto"/>
          <w:sz w:val="24"/>
          <w:highlight w:val="none"/>
        </w:rPr>
      </w:pPr>
    </w:p>
    <w:p w14:paraId="6E1311AE">
      <w:pPr>
        <w:keepNext w:val="0"/>
        <w:keepLines w:val="0"/>
        <w:pageBreakBefore w:val="0"/>
        <w:widowControl w:val="0"/>
        <w:kinsoku/>
        <w:wordWrap/>
        <w:overflowPunct/>
        <w:topLinePunct w:val="0"/>
        <w:autoSpaceDE w:val="0"/>
        <w:autoSpaceDN w:val="0"/>
        <w:bidi w:val="0"/>
        <w:adjustRightInd/>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BBC76A5">
      <w:pPr>
        <w:pStyle w:val="12"/>
        <w:rPr>
          <w:rFonts w:hint="eastAsia" w:ascii="宋体" w:hAnsi="宋体" w:eastAsia="宋体" w:cs="宋体"/>
          <w:color w:val="auto"/>
          <w:kern w:val="0"/>
          <w:sz w:val="24"/>
          <w:highlight w:val="none"/>
          <w:lang w:val="zh-CN"/>
        </w:rPr>
      </w:pPr>
    </w:p>
    <w:p w14:paraId="76E77F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9CA0BC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8ED33C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4C81B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615F2F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24A59E4">
      <w:pPr>
        <w:rPr>
          <w:rFonts w:hint="eastAsia" w:ascii="宋体" w:hAnsi="宋体" w:eastAsia="宋体" w:cs="宋体"/>
          <w:color w:val="auto"/>
          <w:kern w:val="0"/>
          <w:sz w:val="24"/>
          <w:highlight w:val="none"/>
          <w:lang w:val="zh-CN"/>
        </w:rPr>
      </w:pPr>
    </w:p>
    <w:p w14:paraId="157B8535">
      <w:pPr>
        <w:rPr>
          <w:rFonts w:hint="eastAsia" w:ascii="宋体" w:hAnsi="宋体" w:eastAsia="宋体" w:cs="宋体"/>
          <w:color w:val="auto"/>
          <w:kern w:val="0"/>
          <w:sz w:val="24"/>
          <w:highlight w:val="none"/>
          <w:lang w:val="zh-CN"/>
        </w:rPr>
      </w:pPr>
    </w:p>
    <w:p w14:paraId="130BE727">
      <w:pPr>
        <w:rPr>
          <w:rFonts w:hint="eastAsia" w:ascii="宋体" w:hAnsi="宋体" w:eastAsia="宋体" w:cs="宋体"/>
          <w:color w:val="auto"/>
          <w:kern w:val="0"/>
          <w:sz w:val="24"/>
          <w:highlight w:val="none"/>
          <w:lang w:val="zh-CN"/>
        </w:rPr>
      </w:pPr>
    </w:p>
    <w:p w14:paraId="4B750C2E">
      <w:pPr>
        <w:rPr>
          <w:rFonts w:hint="eastAsia" w:ascii="宋体" w:hAnsi="宋体" w:eastAsia="宋体" w:cs="宋体"/>
          <w:color w:val="auto"/>
          <w:kern w:val="0"/>
          <w:sz w:val="24"/>
          <w:highlight w:val="none"/>
          <w:lang w:val="zh-CN"/>
        </w:rPr>
      </w:pPr>
    </w:p>
    <w:p w14:paraId="3AD85260">
      <w:pPr>
        <w:rPr>
          <w:rFonts w:hint="eastAsia" w:ascii="宋体" w:hAnsi="宋体" w:eastAsia="宋体" w:cs="宋体"/>
          <w:color w:val="auto"/>
          <w:kern w:val="0"/>
          <w:sz w:val="24"/>
          <w:highlight w:val="none"/>
          <w:lang w:val="zh-CN"/>
        </w:rPr>
      </w:pPr>
    </w:p>
    <w:p w14:paraId="308E3FFB">
      <w:pPr>
        <w:pStyle w:val="12"/>
        <w:rPr>
          <w:rFonts w:hint="eastAsia" w:ascii="宋体" w:hAnsi="宋体" w:eastAsia="宋体" w:cs="宋体"/>
          <w:color w:val="auto"/>
          <w:kern w:val="0"/>
          <w:sz w:val="24"/>
          <w:highlight w:val="none"/>
          <w:lang w:val="zh-CN"/>
        </w:rPr>
      </w:pPr>
    </w:p>
    <w:p w14:paraId="48025009">
      <w:pPr>
        <w:pStyle w:val="25"/>
        <w:rPr>
          <w:rFonts w:hint="eastAsia" w:ascii="宋体" w:hAnsi="宋体" w:eastAsia="宋体" w:cs="宋体"/>
          <w:color w:val="auto"/>
          <w:highlight w:val="none"/>
          <w:lang w:val="zh-CN"/>
        </w:rPr>
        <w:sectPr>
          <w:headerReference r:id="rId7" w:type="default"/>
          <w:footerReference r:id="rId8" w:type="default"/>
          <w:pgSz w:w="11910" w:h="16840"/>
          <w:pgMar w:top="1440" w:right="1423" w:bottom="1440" w:left="1423" w:header="720" w:footer="720" w:gutter="0"/>
          <w:pgNumType w:fmt="decimal"/>
          <w:cols w:space="720" w:num="1"/>
          <w:rtlGutter w:val="0"/>
        </w:sectPr>
      </w:pPr>
    </w:p>
    <w:p w14:paraId="44B5E21A">
      <w:pPr>
        <w:spacing w:line="360" w:lineRule="auto"/>
        <w:contextualSpacing/>
        <w:rPr>
          <w:rFonts w:hint="eastAsia" w:ascii="宋体" w:hAnsi="宋体" w:eastAsia="宋体" w:cs="宋体"/>
          <w:color w:val="auto"/>
          <w:sz w:val="24"/>
          <w:highlight w:val="none"/>
        </w:rPr>
      </w:pPr>
    </w:p>
    <w:p w14:paraId="2A19B416">
      <w:pPr>
        <w:spacing w:line="520" w:lineRule="exact"/>
        <w:jc w:val="center"/>
        <w:rPr>
          <w:rFonts w:hint="eastAsia" w:ascii="宋体" w:hAnsi="宋体" w:eastAsia="宋体" w:cs="宋体"/>
          <w:color w:val="auto"/>
          <w:sz w:val="24"/>
          <w:highlight w:val="none"/>
        </w:rPr>
      </w:pPr>
    </w:p>
    <w:p w14:paraId="041DA314">
      <w:pPr>
        <w:spacing w:line="520" w:lineRule="exact"/>
        <w:jc w:val="center"/>
        <w:rPr>
          <w:rFonts w:hint="eastAsia" w:ascii="宋体" w:hAnsi="宋体" w:eastAsia="宋体" w:cs="宋体"/>
          <w:color w:val="auto"/>
          <w:sz w:val="24"/>
          <w:highlight w:val="none"/>
        </w:rPr>
      </w:pPr>
    </w:p>
    <w:p w14:paraId="43533CF7">
      <w:pPr>
        <w:spacing w:line="520" w:lineRule="exact"/>
        <w:jc w:val="center"/>
        <w:rPr>
          <w:rFonts w:hint="eastAsia" w:ascii="宋体" w:hAnsi="宋体" w:eastAsia="宋体" w:cs="宋体"/>
          <w:color w:val="auto"/>
          <w:sz w:val="24"/>
          <w:highlight w:val="none"/>
        </w:rPr>
      </w:pPr>
    </w:p>
    <w:p w14:paraId="2E324440">
      <w:pPr>
        <w:spacing w:line="520" w:lineRule="exact"/>
        <w:jc w:val="center"/>
        <w:rPr>
          <w:rFonts w:hint="eastAsia" w:ascii="宋体" w:hAnsi="宋体" w:eastAsia="宋体" w:cs="宋体"/>
          <w:color w:val="auto"/>
          <w:sz w:val="24"/>
          <w:highlight w:val="none"/>
        </w:rPr>
      </w:pPr>
    </w:p>
    <w:p w14:paraId="67540204">
      <w:pPr>
        <w:keepNext/>
        <w:keepLines/>
        <w:spacing w:before="340" w:after="330" w:line="578" w:lineRule="auto"/>
        <w:jc w:val="center"/>
        <w:outlineLvl w:val="0"/>
        <w:rPr>
          <w:rFonts w:hint="eastAsia" w:ascii="宋体" w:hAnsi="宋体" w:eastAsia="宋体" w:cs="宋体"/>
          <w:b/>
          <w:bCs/>
          <w:color w:val="auto"/>
          <w:kern w:val="44"/>
          <w:sz w:val="32"/>
          <w:szCs w:val="32"/>
          <w:highlight w:val="none"/>
        </w:rPr>
      </w:pPr>
    </w:p>
    <w:p w14:paraId="544B55BB">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97" w:name="_Toc25338"/>
      <w:r>
        <w:rPr>
          <w:rFonts w:hint="eastAsia" w:ascii="宋体" w:hAnsi="宋体" w:eastAsia="宋体" w:cs="宋体"/>
          <w:b/>
          <w:bCs/>
          <w:color w:val="auto"/>
          <w:kern w:val="44"/>
          <w:sz w:val="32"/>
          <w:szCs w:val="32"/>
          <w:highlight w:val="none"/>
        </w:rPr>
        <w:t>第六章  合同文本</w:t>
      </w:r>
      <w:r>
        <w:rPr>
          <w:rFonts w:hint="eastAsia" w:ascii="宋体" w:hAnsi="宋体" w:eastAsia="宋体" w:cs="宋体"/>
          <w:color w:val="auto"/>
          <w:kern w:val="44"/>
          <w:sz w:val="44"/>
          <w:szCs w:val="44"/>
          <w:highlight w:val="none"/>
        </w:rPr>
        <w:br w:type="page"/>
      </w:r>
      <w:bookmarkEnd w:id="97"/>
    </w:p>
    <w:p w14:paraId="510E4109">
      <w:pPr>
        <w:tabs>
          <w:tab w:val="left" w:pos="2472"/>
        </w:tabs>
        <w:spacing w:line="460" w:lineRule="exact"/>
        <w:jc w:val="left"/>
        <w:outlineLvl w:val="9"/>
        <w:rPr>
          <w:rFonts w:hint="eastAsia" w:ascii="宋体" w:hAnsi="宋体" w:eastAsia="宋体" w:cs="宋体"/>
          <w:b/>
          <w:color w:val="auto"/>
          <w:sz w:val="21"/>
          <w:szCs w:val="11"/>
          <w:highlight w:val="none"/>
        </w:rPr>
      </w:pPr>
      <w:r>
        <w:rPr>
          <w:rFonts w:hint="eastAsia" w:ascii="宋体" w:hAnsi="宋体" w:eastAsia="宋体" w:cs="宋体"/>
          <w:b/>
          <w:color w:val="auto"/>
          <w:sz w:val="21"/>
          <w:szCs w:val="11"/>
          <w:highlight w:val="none"/>
        </w:rPr>
        <w:t>说明：</w:t>
      </w:r>
    </w:p>
    <w:p w14:paraId="6D315AB6">
      <w:pPr>
        <w:tabs>
          <w:tab w:val="left" w:pos="2472"/>
        </w:tabs>
        <w:spacing w:line="460" w:lineRule="exact"/>
        <w:jc w:val="left"/>
        <w:outlineLvl w:val="9"/>
        <w:rPr>
          <w:rFonts w:hint="eastAsia" w:ascii="宋体" w:hAnsi="宋体" w:eastAsia="宋体" w:cs="宋体"/>
          <w:b/>
          <w:color w:val="auto"/>
          <w:sz w:val="21"/>
          <w:szCs w:val="11"/>
          <w:highlight w:val="none"/>
        </w:rPr>
      </w:pPr>
      <w:r>
        <w:rPr>
          <w:rFonts w:hint="eastAsia" w:ascii="宋体" w:hAnsi="宋体" w:eastAsia="宋体" w:cs="宋体"/>
          <w:b/>
          <w:color w:val="auto"/>
          <w:sz w:val="21"/>
          <w:szCs w:val="11"/>
          <w:highlight w:val="none"/>
        </w:rPr>
        <w:t>1、以下合同书仅供签订正式合同时参考用，正式合同书应包括此参考格式</w:t>
      </w:r>
      <w:r>
        <w:rPr>
          <w:rFonts w:hint="eastAsia" w:ascii="宋体" w:hAnsi="宋体" w:eastAsia="宋体" w:cs="宋体"/>
          <w:b/>
          <w:color w:val="auto"/>
          <w:sz w:val="21"/>
          <w:szCs w:val="11"/>
          <w:highlight w:val="none"/>
          <w:lang w:val="en-US" w:eastAsia="zh-CN"/>
        </w:rPr>
        <w:t>的</w:t>
      </w:r>
      <w:r>
        <w:rPr>
          <w:rFonts w:hint="eastAsia" w:ascii="宋体" w:hAnsi="宋体" w:eastAsia="宋体" w:cs="宋体"/>
          <w:b/>
          <w:color w:val="auto"/>
          <w:sz w:val="21"/>
          <w:szCs w:val="11"/>
          <w:highlight w:val="none"/>
        </w:rPr>
        <w:t>内容。</w:t>
      </w:r>
    </w:p>
    <w:p w14:paraId="1B51B624">
      <w:pPr>
        <w:pStyle w:val="16"/>
        <w:jc w:val="left"/>
        <w:rPr>
          <w:rFonts w:hint="eastAsia" w:ascii="宋体" w:hAnsi="宋体" w:eastAsia="宋体" w:cs="宋体"/>
          <w:b/>
          <w:color w:val="auto"/>
          <w:sz w:val="52"/>
          <w:szCs w:val="52"/>
          <w:highlight w:val="none"/>
        </w:rPr>
      </w:pPr>
      <w:r>
        <w:rPr>
          <w:rFonts w:hint="eastAsia" w:ascii="宋体" w:hAnsi="宋体" w:eastAsia="宋体" w:cs="宋体"/>
          <w:b/>
          <w:color w:val="auto"/>
          <w:sz w:val="21"/>
          <w:szCs w:val="11"/>
          <w:highlight w:val="none"/>
        </w:rPr>
        <w:t>2、合同签订双方可根据项目的具体要求进行修订，但合同条款不得与</w:t>
      </w:r>
      <w:r>
        <w:rPr>
          <w:rFonts w:hint="eastAsia" w:ascii="宋体" w:hAnsi="宋体" w:eastAsia="宋体" w:cs="宋体"/>
          <w:b/>
          <w:color w:val="auto"/>
          <w:sz w:val="21"/>
          <w:szCs w:val="11"/>
          <w:highlight w:val="none"/>
          <w:lang w:val="en-US" w:eastAsia="zh-CN"/>
        </w:rPr>
        <w:t>竞争性磋商</w:t>
      </w:r>
      <w:r>
        <w:rPr>
          <w:rFonts w:hint="eastAsia" w:ascii="宋体" w:hAnsi="宋体" w:eastAsia="宋体" w:cs="宋体"/>
          <w:b/>
          <w:color w:val="auto"/>
          <w:sz w:val="21"/>
          <w:szCs w:val="11"/>
          <w:highlight w:val="none"/>
        </w:rPr>
        <w:t>文件和</w:t>
      </w:r>
      <w:r>
        <w:rPr>
          <w:rFonts w:hint="eastAsia" w:ascii="宋体" w:hAnsi="宋体" w:eastAsia="宋体" w:cs="宋体"/>
          <w:b/>
          <w:color w:val="auto"/>
          <w:sz w:val="21"/>
          <w:szCs w:val="11"/>
          <w:highlight w:val="none"/>
          <w:lang w:val="en-US" w:eastAsia="zh-CN"/>
        </w:rPr>
        <w:t>成交</w:t>
      </w:r>
      <w:r>
        <w:rPr>
          <w:rFonts w:hint="eastAsia" w:ascii="宋体" w:hAnsi="宋体" w:eastAsia="宋体" w:cs="宋体"/>
          <w:b/>
          <w:color w:val="auto"/>
          <w:sz w:val="21"/>
          <w:szCs w:val="11"/>
          <w:highlight w:val="none"/>
        </w:rPr>
        <w:t>供应商</w:t>
      </w:r>
      <w:r>
        <w:rPr>
          <w:rFonts w:hint="eastAsia" w:ascii="宋体" w:hAnsi="宋体" w:eastAsia="宋体" w:cs="宋体"/>
          <w:b/>
          <w:color w:val="auto"/>
          <w:sz w:val="21"/>
          <w:szCs w:val="11"/>
          <w:highlight w:val="none"/>
          <w:lang w:val="en-US" w:eastAsia="zh-CN"/>
        </w:rPr>
        <w:t>响应</w:t>
      </w:r>
      <w:r>
        <w:rPr>
          <w:rFonts w:hint="eastAsia" w:ascii="宋体" w:hAnsi="宋体" w:eastAsia="宋体" w:cs="宋体"/>
          <w:b/>
          <w:color w:val="auto"/>
          <w:sz w:val="21"/>
          <w:szCs w:val="11"/>
          <w:highlight w:val="none"/>
        </w:rPr>
        <w:t>文件有实质性偏离。</w:t>
      </w:r>
    </w:p>
    <w:p w14:paraId="6442AE21">
      <w:pPr>
        <w:pStyle w:val="16"/>
        <w:jc w:val="center"/>
        <w:rPr>
          <w:rFonts w:hint="eastAsia" w:ascii="宋体" w:hAnsi="宋体" w:eastAsia="宋体" w:cs="宋体"/>
          <w:b/>
          <w:color w:val="auto"/>
          <w:sz w:val="52"/>
          <w:szCs w:val="52"/>
          <w:highlight w:val="none"/>
        </w:rPr>
      </w:pPr>
    </w:p>
    <w:p w14:paraId="675FEC7B">
      <w:pPr>
        <w:pStyle w:val="16"/>
        <w:jc w:val="center"/>
        <w:rPr>
          <w:rFonts w:hint="eastAsia" w:ascii="宋体" w:hAnsi="宋体" w:eastAsia="宋体" w:cs="宋体"/>
          <w:b/>
          <w:color w:val="auto"/>
          <w:sz w:val="52"/>
          <w:szCs w:val="52"/>
          <w:highlight w:val="none"/>
        </w:rPr>
      </w:pPr>
    </w:p>
    <w:p w14:paraId="5962B971">
      <w:pPr>
        <w:pStyle w:val="16"/>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0255765B">
      <w:pPr>
        <w:pStyle w:val="16"/>
        <w:rPr>
          <w:rFonts w:hint="eastAsia" w:ascii="宋体" w:hAnsi="宋体" w:eastAsia="宋体" w:cs="宋体"/>
          <w:color w:val="auto"/>
          <w:highlight w:val="none"/>
        </w:rPr>
      </w:pPr>
    </w:p>
    <w:p w14:paraId="41A249B2">
      <w:pPr>
        <w:pStyle w:val="16"/>
        <w:rPr>
          <w:rFonts w:hint="eastAsia" w:ascii="宋体" w:hAnsi="宋体" w:eastAsia="宋体" w:cs="宋体"/>
          <w:color w:val="auto"/>
          <w:highlight w:val="none"/>
        </w:rPr>
      </w:pPr>
    </w:p>
    <w:p w14:paraId="2144412A">
      <w:pPr>
        <w:pStyle w:val="16"/>
        <w:rPr>
          <w:rFonts w:hint="eastAsia" w:ascii="宋体" w:hAnsi="宋体" w:eastAsia="宋体" w:cs="宋体"/>
          <w:color w:val="auto"/>
          <w:highlight w:val="none"/>
        </w:rPr>
      </w:pPr>
    </w:p>
    <w:p w14:paraId="678C1243">
      <w:pPr>
        <w:pStyle w:val="16"/>
        <w:rPr>
          <w:rFonts w:hint="eastAsia" w:ascii="宋体" w:hAnsi="宋体" w:eastAsia="宋体" w:cs="宋体"/>
          <w:color w:val="auto"/>
          <w:highlight w:val="none"/>
        </w:rPr>
      </w:pPr>
    </w:p>
    <w:p w14:paraId="15164F51">
      <w:pPr>
        <w:pStyle w:val="16"/>
        <w:rPr>
          <w:rFonts w:hint="eastAsia" w:ascii="宋体" w:hAnsi="宋体" w:eastAsia="宋体" w:cs="宋体"/>
          <w:color w:val="auto"/>
          <w:highlight w:val="none"/>
        </w:rPr>
      </w:pPr>
    </w:p>
    <w:p w14:paraId="11D12565">
      <w:pPr>
        <w:pStyle w:val="16"/>
        <w:rPr>
          <w:rFonts w:hint="eastAsia" w:ascii="宋体" w:hAnsi="宋体" w:eastAsia="宋体" w:cs="宋体"/>
          <w:color w:val="auto"/>
          <w:highlight w:val="none"/>
        </w:rPr>
      </w:pPr>
    </w:p>
    <w:p w14:paraId="79F10FF6">
      <w:pPr>
        <w:pStyle w:val="16"/>
        <w:rPr>
          <w:rFonts w:hint="eastAsia" w:ascii="宋体" w:hAnsi="宋体" w:eastAsia="宋体" w:cs="宋体"/>
          <w:color w:val="auto"/>
          <w:highlight w:val="none"/>
        </w:rPr>
      </w:pPr>
    </w:p>
    <w:p w14:paraId="43A6CEB5">
      <w:pPr>
        <w:pStyle w:val="16"/>
        <w:rPr>
          <w:rFonts w:hint="eastAsia" w:ascii="宋体" w:hAnsi="宋体" w:eastAsia="宋体" w:cs="宋体"/>
          <w:color w:val="auto"/>
          <w:highlight w:val="none"/>
        </w:rPr>
      </w:pPr>
    </w:p>
    <w:p w14:paraId="5AA09C98">
      <w:pPr>
        <w:pStyle w:val="16"/>
        <w:rPr>
          <w:rFonts w:hint="eastAsia" w:ascii="宋体" w:hAnsi="宋体" w:eastAsia="宋体" w:cs="宋体"/>
          <w:color w:val="auto"/>
          <w:highlight w:val="none"/>
        </w:rPr>
      </w:pPr>
    </w:p>
    <w:p w14:paraId="0EA56EF8">
      <w:pPr>
        <w:pStyle w:val="16"/>
        <w:rPr>
          <w:rFonts w:hint="eastAsia" w:ascii="宋体" w:hAnsi="宋体" w:eastAsia="宋体" w:cs="宋体"/>
          <w:color w:val="auto"/>
          <w:highlight w:val="none"/>
        </w:rPr>
      </w:pPr>
    </w:p>
    <w:p w14:paraId="1CD8628D">
      <w:pPr>
        <w:pStyle w:val="16"/>
        <w:rPr>
          <w:rFonts w:hint="eastAsia" w:ascii="宋体" w:hAnsi="宋体" w:eastAsia="宋体" w:cs="宋体"/>
          <w:color w:val="auto"/>
          <w:highlight w:val="none"/>
        </w:rPr>
      </w:pPr>
    </w:p>
    <w:p w14:paraId="06E3ADE9">
      <w:pPr>
        <w:pStyle w:val="16"/>
        <w:rPr>
          <w:rFonts w:hint="eastAsia" w:ascii="宋体" w:hAnsi="宋体" w:eastAsia="宋体" w:cs="宋体"/>
          <w:color w:val="auto"/>
          <w:highlight w:val="none"/>
        </w:rPr>
      </w:pPr>
    </w:p>
    <w:p w14:paraId="53E33C04">
      <w:pPr>
        <w:pStyle w:val="16"/>
        <w:rPr>
          <w:rFonts w:hint="eastAsia" w:ascii="宋体" w:hAnsi="宋体" w:eastAsia="宋体" w:cs="宋体"/>
          <w:color w:val="auto"/>
          <w:highlight w:val="none"/>
        </w:rPr>
      </w:pPr>
    </w:p>
    <w:p w14:paraId="0F0007AB">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rPr>
        <w:t xml:space="preserve">                    </w:t>
      </w:r>
    </w:p>
    <w:p w14:paraId="399C30E4">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66195C0C">
      <w:pPr>
        <w:pStyle w:val="16"/>
        <w:jc w:val="center"/>
        <w:rPr>
          <w:rFonts w:hint="eastAsia" w:ascii="宋体" w:hAnsi="宋体" w:eastAsia="宋体" w:cs="宋体"/>
          <w:color w:val="auto"/>
          <w:highlight w:val="none"/>
        </w:rPr>
      </w:pPr>
    </w:p>
    <w:p w14:paraId="0DDDF5FE">
      <w:pPr>
        <w:pStyle w:val="16"/>
        <w:jc w:val="center"/>
        <w:rPr>
          <w:rFonts w:hint="eastAsia" w:ascii="宋体" w:hAnsi="宋体" w:eastAsia="宋体" w:cs="宋体"/>
          <w:color w:val="auto"/>
          <w:highlight w:val="none"/>
        </w:rPr>
      </w:pPr>
    </w:p>
    <w:p w14:paraId="7BFEDFA1">
      <w:pPr>
        <w:pStyle w:val="16"/>
        <w:jc w:val="center"/>
        <w:rPr>
          <w:rFonts w:hint="eastAsia" w:ascii="宋体" w:hAnsi="宋体" w:eastAsia="宋体" w:cs="宋体"/>
          <w:color w:val="auto"/>
          <w:highlight w:val="none"/>
        </w:rPr>
      </w:pPr>
    </w:p>
    <w:p w14:paraId="08AFCBA3">
      <w:pPr>
        <w:pStyle w:val="16"/>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采购单位（甲方）</w:t>
      </w:r>
      <w:r>
        <w:rPr>
          <w:rFonts w:hint="eastAsia" w:ascii="宋体" w:hAnsi="宋体" w:eastAsia="宋体" w:cs="宋体"/>
          <w:b/>
          <w:color w:val="auto"/>
          <w:sz w:val="32"/>
          <w:szCs w:val="32"/>
          <w:highlight w:val="none"/>
          <w:u w:val="single"/>
        </w:rPr>
        <w:t xml:space="preserve">                    </w:t>
      </w:r>
    </w:p>
    <w:p w14:paraId="4DFF128A">
      <w:pPr>
        <w:pStyle w:val="16"/>
        <w:spacing w:line="340" w:lineRule="exact"/>
        <w:ind w:firstLine="1590" w:firstLineChars="495"/>
        <w:rPr>
          <w:rFonts w:hint="eastAsia" w:ascii="宋体" w:hAnsi="宋体" w:eastAsia="宋体" w:cs="宋体"/>
          <w:b/>
          <w:color w:val="auto"/>
          <w:sz w:val="32"/>
          <w:szCs w:val="32"/>
          <w:highlight w:val="none"/>
        </w:rPr>
      </w:pPr>
    </w:p>
    <w:p w14:paraId="65423225">
      <w:pPr>
        <w:pStyle w:val="16"/>
        <w:spacing w:line="340" w:lineRule="exact"/>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u w:val="single"/>
        </w:rPr>
        <w:t xml:space="preserve">                    </w:t>
      </w:r>
    </w:p>
    <w:p w14:paraId="3062B06C">
      <w:pPr>
        <w:pStyle w:val="16"/>
        <w:jc w:val="center"/>
        <w:rPr>
          <w:rFonts w:hint="eastAsia" w:ascii="宋体" w:hAnsi="宋体" w:eastAsia="宋体" w:cs="宋体"/>
          <w:color w:val="auto"/>
          <w:highlight w:val="none"/>
        </w:rPr>
      </w:pPr>
    </w:p>
    <w:p w14:paraId="38861BD9">
      <w:pPr>
        <w:pStyle w:val="16"/>
        <w:jc w:val="center"/>
        <w:rPr>
          <w:rFonts w:hint="eastAsia" w:ascii="宋体" w:hAnsi="宋体" w:eastAsia="宋体" w:cs="宋体"/>
          <w:color w:val="auto"/>
          <w:highlight w:val="none"/>
        </w:rPr>
      </w:pPr>
    </w:p>
    <w:p w14:paraId="4827E2F6">
      <w:pPr>
        <w:pStyle w:val="16"/>
        <w:jc w:val="center"/>
        <w:rPr>
          <w:rFonts w:hint="eastAsia" w:ascii="宋体" w:hAnsi="宋体" w:eastAsia="宋体" w:cs="宋体"/>
          <w:color w:val="auto"/>
          <w:highlight w:val="none"/>
        </w:rPr>
      </w:pPr>
    </w:p>
    <w:p w14:paraId="33558A9F">
      <w:pPr>
        <w:pStyle w:val="16"/>
        <w:jc w:val="center"/>
        <w:rPr>
          <w:rFonts w:hint="eastAsia" w:ascii="宋体" w:hAnsi="宋体" w:eastAsia="宋体" w:cs="宋体"/>
          <w:color w:val="auto"/>
          <w:highlight w:val="none"/>
        </w:rPr>
      </w:pPr>
    </w:p>
    <w:p w14:paraId="5D7C32A0">
      <w:pPr>
        <w:pStyle w:val="16"/>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p>
    <w:p w14:paraId="0683684E">
      <w:pPr>
        <w:pStyle w:val="16"/>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1C3099CD">
      <w:pPr>
        <w:pStyle w:val="16"/>
        <w:jc w:val="center"/>
        <w:rPr>
          <w:rFonts w:hint="eastAsia" w:ascii="宋体" w:hAnsi="宋体" w:eastAsia="宋体" w:cs="宋体"/>
          <w:color w:val="auto"/>
          <w:highlight w:val="none"/>
        </w:rPr>
      </w:pPr>
    </w:p>
    <w:p w14:paraId="33BE3918">
      <w:pPr>
        <w:pStyle w:val="16"/>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合同</w:t>
      </w:r>
      <w:r>
        <w:rPr>
          <w:rFonts w:hint="eastAsia" w:hAnsi="宋体" w:cs="宋体"/>
          <w:b/>
          <w:bCs/>
          <w:color w:val="auto"/>
          <w:sz w:val="32"/>
          <w:szCs w:val="32"/>
          <w:highlight w:val="none"/>
          <w:lang w:val="en-US" w:eastAsia="zh-CN"/>
        </w:rPr>
        <w:t>书</w:t>
      </w:r>
    </w:p>
    <w:p w14:paraId="3A0489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采购计划文号：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25058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供应商（乙方）：</w:t>
      </w:r>
      <w:r>
        <w:rPr>
          <w:rFonts w:hint="eastAsia" w:ascii="宋体" w:hAnsi="宋体" w:eastAsia="宋体" w:cs="宋体"/>
          <w:color w:val="auto"/>
          <w:sz w:val="21"/>
          <w:szCs w:val="21"/>
          <w:highlight w:val="none"/>
          <w:u w:val="single"/>
        </w:rPr>
        <w:t xml:space="preserve">                           </w:t>
      </w:r>
    </w:p>
    <w:p w14:paraId="3CC3DC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p w14:paraId="2CE7AB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年    月    日        </w:t>
      </w:r>
    </w:p>
    <w:p w14:paraId="0072E2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0CDB5AA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根据《中华人民共和国政府采购法》、《中华人民共和国民法典(合同编)》等法律、法规规定，甲方为提高医院的服务质量和工作效率，提升患者满意度，现委托乙方提供中药饮片、调剂、代煎和配送服务，双方经友好协商达成以下协议。</w:t>
      </w:r>
    </w:p>
    <w:p w14:paraId="7ED8A8B9">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第一条  资质证明</w:t>
      </w:r>
    </w:p>
    <w:p w14:paraId="1E0D64F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须通过广西中药药事质控中心中药煎药资质评估小组评估并备案成功或者中标后45个日历日内能在项目所在地设立代煎场地并通过广西中药药事质控中心中药煎药资质评估小组评估和备案，且相关场地、设备及人员等须满足甲方煎煮业务量需求，如不能满足，甲方有权终止合同。</w:t>
      </w:r>
    </w:p>
    <w:p w14:paraId="50256C1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2.乙方需向甲方提供合法有效的《营业执照》、《药品生产或经营许可证》、业务人员法人委托书(需明确委托事项，有效期限)及身份证复印件等资料。</w:t>
      </w:r>
    </w:p>
    <w:p w14:paraId="2FED2AFC">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第二条  合作内容</w:t>
      </w:r>
    </w:p>
    <w:p w14:paraId="5F89D03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1.乙方为甲方提供中药饮片煎煮及配送服务，乙方作为甲方药物合法供应商，同甲方建立中药饮片代煎配送服务合作关系。</w:t>
      </w:r>
    </w:p>
    <w:p w14:paraId="115EECC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2.甲方向乙方系统提供HIS接口，将患者需要代煎、配送服务的处方传输给乙方，委托乙方进行处方二次审核、调剂、代煎、配送等服务，乙方按甲方和患者指定地点将药品送达甲方和患者。</w:t>
      </w:r>
    </w:p>
    <w:p w14:paraId="3B65F9F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3.甲方按相关规定向患者收取代煎费，并按本协议约定向乙方支付费用。</w:t>
      </w:r>
    </w:p>
    <w:p w14:paraId="68D8580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4.乙方若有企业名称、住所地等信息变更，需向甲方书面说明，并在信息变更后10个工作日内到甲方指定部门办理变更备案手续。</w:t>
      </w:r>
    </w:p>
    <w:p w14:paraId="1F718FF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5.乙方承担代煎服务系统对接、安装、运行、维护、升级等的相关费用。</w:t>
      </w:r>
    </w:p>
    <w:p w14:paraId="36E73D3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6.乙方需提供免费配送服务及代煎中药储存条件，同时安排2名配送工接受并配合医院工作安排，提供病区配送延伸服务。</w:t>
      </w:r>
    </w:p>
    <w:p w14:paraId="21329DC4">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第三条  质量要求</w:t>
      </w:r>
    </w:p>
    <w:p w14:paraId="5D7B596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（一）中药饮片调剂、煎煮质量要求</w:t>
      </w:r>
    </w:p>
    <w:p w14:paraId="77658D5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1.乙方须按照《医疗机构处方审核规范》等法规要求对委托煎药的处方进行审核，审核合格后方可调剂。</w:t>
      </w:r>
    </w:p>
    <w:p w14:paraId="310AA1F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14:paraId="0290787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3.中药饮片调剂、加药等环节应全程在视频监控下进行，并对已完成调配、复核的每张处方进行拍照，重点环节相关视频和照片应留档备查。</w:t>
      </w:r>
    </w:p>
    <w:p w14:paraId="56D4561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4.乙方须按照《医疗机构中药煎药室管理规范》、《广西中药饮片代煎质量管理规范》建立“中药饮片煎煮”相关的管理制度，同时应建立“中药饮片煎煮”相关记录原始台账。</w:t>
      </w:r>
    </w:p>
    <w:p w14:paraId="13C53C0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5.乙方须按照《医疗机构中药煎药室管理规范》中相关规定要求完成中药饮片煎煮操作：</w:t>
      </w:r>
    </w:p>
    <w:p w14:paraId="2F078A1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煎煮前应当浸泡饮片30分钟以上（药物置于煎药袋浸泡的应不少于40分钟），加水量应当浸过药面2-5cm；应根据不同方剂的功能主治和饮片功效选择煎煮方案。每剂药必须煎煮两次，再将两次药汁混合、浓缩、分装，煎煮过程中应搅拌药料2-3次（如使用自动化设备煎煮，应具有不少于两次的自动挤压药包操作步骤）。</w:t>
      </w:r>
    </w:p>
    <w:p w14:paraId="7CC5EF7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（2）在中药煎煮、混合、浓缩、分装过程中应当规范操作，减少细菌污染，保证代煎中药在2-10℃冰箱内可以存放15日不变质。</w:t>
      </w:r>
    </w:p>
    <w:p w14:paraId="4599EAE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（3）凡注明有先煎、久煎、后下、另煎、烊化、包煎、煎汤代水等特殊要求的中药饮片，应当按照《医疗机构中药煎药室管理规范》或医嘱操作。</w:t>
      </w:r>
    </w:p>
    <w:p w14:paraId="2F38818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包装好的药液应认真检查，确保药液包装袋无破漏，并根据处方，认真核对患者姓名、剂数、剂量、是否外用等信息。内服药与外用药应当使用不同的标签区分。每袋药液应有患者姓名、性别、年龄、药液量、服用方法等相关信息和标识。</w:t>
      </w:r>
    </w:p>
    <w:p w14:paraId="246AC2B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（二）物流配送服务质量要求</w:t>
      </w:r>
    </w:p>
    <w:p w14:paraId="1D7F78B3">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1.代煎中药汤剂由乙方按规定时间运送至甲方指定部门。运输的交通工具和盛装用具应符合医药运输规范。如因使用不规范交通工具和盛装用具，导致的不良后果，由乙方自行负责。</w:t>
      </w:r>
    </w:p>
    <w:p w14:paraId="70FB3B0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提供免费配送服务，安排配送专员2名常驻医院，接受医院管理及工作安排，提供病区配送延伸服务，提供代煎中药储存条件。配送专员在院内活动及配送到患者指定位置时必须严格遵守甲方各项规章制度，不得做出有损甲方形象和利益的事情。送达后与采购人各科室接收人员交接时，应做好交接记录并签字确认留档。</w:t>
      </w:r>
    </w:p>
    <w:p w14:paraId="2F64806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3.乙方应按甲方要求，积极提升配送服务质量，避免因物流配送原因导致有损甲方形象和利益的事情。</w:t>
      </w:r>
    </w:p>
    <w:p w14:paraId="35F68241">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第四条  配送时间及地点</w:t>
      </w:r>
    </w:p>
    <w:p w14:paraId="4FC7982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节假日配送时间按医院节假日工作安排执行，如遇特殊情况双方再进行协商，周一至周日供应商配送到医院时间：</w:t>
      </w:r>
    </w:p>
    <w:p w14:paraId="0579C57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1.门诊代煎中药交付时间：</w:t>
      </w:r>
    </w:p>
    <w:p w14:paraId="2701F8E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⑴甲方当日12：00前发送的所有门诊处方，患者自取的须当日18：30前送达医院的指定接收处；</w:t>
      </w:r>
    </w:p>
    <w:p w14:paraId="1AF788D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⑵甲方当日12:00—17:30的门诊处方，患者自取的须于次日上午11：30前送达医院的指定接收处;</w:t>
      </w:r>
    </w:p>
    <w:p w14:paraId="17CB305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⑶甲方当日17:30—24:00的门诊处方，患者自取的须于次日下午18：30前送达医院的指定接收处；</w:t>
      </w:r>
    </w:p>
    <w:p w14:paraId="15511EB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2.住院部代煎中药交付时间：</w:t>
      </w:r>
    </w:p>
    <w:p w14:paraId="11A70F0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⑴甲方当日12：00以前的住院处方，应于当日下午18：30前送达医院的指定接收处集中存放；</w:t>
      </w:r>
    </w:p>
    <w:p w14:paraId="3776FB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⑵甲方当日12：00—17:30的住院处方，应于次日11：30送达医院的指定接收处集中存放；</w:t>
      </w:r>
    </w:p>
    <w:p w14:paraId="6D774FEA">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⑶甲方当日17:30—24：00的住院处方，应于次日下午18：30前送达医院的指定接收处集中存放；</w:t>
      </w:r>
    </w:p>
    <w:p w14:paraId="2AC8B39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3.急煎中药饮片代煎处方交付时间：三小时内送达医院相关临床科室。</w:t>
      </w:r>
    </w:p>
    <w:p w14:paraId="23E21D3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4.快递配送时效及地点范围</w:t>
      </w:r>
    </w:p>
    <w:p w14:paraId="1AD96CC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需直接快递配送到患者指定地点，地点范围在柳州市及柳州市辖各县城、各乡都在免费配送范围内：</w:t>
      </w:r>
    </w:p>
    <w:p w14:paraId="1F9439F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⑴柳州市中心城区范围送达时间：</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4019"/>
      </w:tblGrid>
      <w:tr w14:paraId="3D8F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5052" w:type="dxa"/>
          </w:tcPr>
          <w:p w14:paraId="251FC0D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柳州市中心城区范围</w:t>
            </w:r>
          </w:p>
        </w:tc>
        <w:tc>
          <w:tcPr>
            <w:tcW w:w="4019" w:type="dxa"/>
          </w:tcPr>
          <w:p w14:paraId="33451DE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送达时间</w:t>
            </w:r>
          </w:p>
        </w:tc>
      </w:tr>
      <w:tr w14:paraId="40A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tblHeader/>
          <w:jc w:val="center"/>
        </w:trPr>
        <w:tc>
          <w:tcPr>
            <w:tcW w:w="5052" w:type="dxa"/>
            <w:vAlign w:val="center"/>
          </w:tcPr>
          <w:p w14:paraId="0F488BF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正南面：旧南环以内市区，不超过莲花客运站；</w:t>
            </w:r>
          </w:p>
          <w:p w14:paraId="7675287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西南面：柳州市帽合动物园--柳州地区民族高中以内市区；</w:t>
            </w:r>
          </w:p>
          <w:p w14:paraId="68BDF94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西面：瑞龙路以内市区；</w:t>
            </w:r>
          </w:p>
          <w:p w14:paraId="24055EF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北面：鹧鸪江大桥--北外环路以内；</w:t>
            </w:r>
          </w:p>
          <w:p w14:paraId="38C9B7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东面：三门江大桥、古亭山、阳和大桥以内；</w:t>
            </w:r>
          </w:p>
          <w:p w14:paraId="52F1E5C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柳江区：拉堡城区及基隆开发区</w:t>
            </w:r>
          </w:p>
          <w:p w14:paraId="5263AF7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按区域分为：鱼峰区、城中区、柳南区、柳北区、柳江区。</w:t>
            </w:r>
          </w:p>
        </w:tc>
        <w:tc>
          <w:tcPr>
            <w:tcW w:w="4019" w:type="dxa"/>
            <w:vAlign w:val="center"/>
          </w:tcPr>
          <w:p w14:paraId="3D9BCA9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①在当日12</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00前登记邮寄的，则当日21</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00点前送达。</w:t>
            </w:r>
          </w:p>
          <w:p w14:paraId="1627A17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②在当日12</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00--17</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30前登记邮寄的，则次日中午14</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00点前送达。</w:t>
            </w:r>
          </w:p>
          <w:p w14:paraId="6BCB21A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③在当日17</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30后登记邮寄的，则次日16</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00前送达。</w:t>
            </w:r>
          </w:p>
        </w:tc>
      </w:tr>
    </w:tbl>
    <w:p w14:paraId="2FF9F43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⑵柳州市外围城区及所辖县城（鹿寨县、融水县、融安县、三江县、柳城县、柳江区）送达时间。</w:t>
      </w:r>
    </w:p>
    <w:p w14:paraId="6AE0F10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当日15</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00前登记邮寄的，次日21</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00前送达</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当日15</w:t>
      </w:r>
      <w:r>
        <w:rPr>
          <w:rFonts w:hint="eastAsia" w:ascii="宋体" w:hAnsi="宋体" w:cs="宋体"/>
          <w:snapToGrid/>
          <w:color w:val="auto"/>
          <w:spacing w:val="3"/>
          <w:kern w:val="2"/>
          <w:sz w:val="21"/>
          <w:szCs w:val="21"/>
          <w:highlight w:val="none"/>
          <w:lang w:val="en-US" w:eastAsia="zh-CN"/>
        </w:rPr>
        <w:t>:</w:t>
      </w:r>
      <w:r>
        <w:rPr>
          <w:rFonts w:hint="eastAsia" w:ascii="宋体" w:hAnsi="宋体" w:eastAsia="宋体" w:cs="宋体"/>
          <w:snapToGrid/>
          <w:color w:val="auto"/>
          <w:spacing w:val="3"/>
          <w:kern w:val="2"/>
          <w:sz w:val="21"/>
          <w:szCs w:val="21"/>
          <w:highlight w:val="none"/>
          <w:lang w:val="en-US" w:eastAsia="zh-CN"/>
        </w:rPr>
        <w:t>00后登记邮寄的，从登记时间起48小时内送达。</w:t>
      </w:r>
    </w:p>
    <w:p w14:paraId="282F184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⑶柳州市外围城区及所辖县城的乡、镇、村送达时效以到达柳州市外围城区及所辖县城的点部时间起算，多加12小时时效。</w:t>
      </w:r>
    </w:p>
    <w:p w14:paraId="47DF40E8">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5.快递配送地点范围在广西区内（除柳州地区外）的，需自行承担邮寄费用，从登记当天起算，3-4日送达。广西区外送达时效，寄递收费标准以快递派件为准，送达时间以快递派件时效为准。</w:t>
      </w:r>
    </w:p>
    <w:p w14:paraId="46DE92A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6.能为甲方提供柳州市范围内自煎中药饮片免费配送。</w:t>
      </w:r>
    </w:p>
    <w:p w14:paraId="6228E6F6">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第五条  费用与结算</w:t>
      </w:r>
    </w:p>
    <w:p w14:paraId="3DEE266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1.药品费：乙方按甲方供货价（购进价）及对账一致后的药品金额，按月开具发票交付甲方。</w:t>
      </w:r>
    </w:p>
    <w:p w14:paraId="00F8E91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2.代煎费：按自治区相关规定的医疗服务收费标准，由甲方代乙方向患者收取，</w:t>
      </w:r>
      <w:r>
        <w:rPr>
          <w:rFonts w:hint="eastAsia" w:ascii="宋体" w:hAnsi="宋体" w:cs="宋体"/>
          <w:snapToGrid/>
          <w:color w:val="auto"/>
          <w:spacing w:val="3"/>
          <w:kern w:val="2"/>
          <w:sz w:val="21"/>
          <w:szCs w:val="21"/>
          <w:highlight w:val="none"/>
          <w:lang w:val="en-US" w:eastAsia="zh-CN"/>
        </w:rPr>
        <w:t>对账</w:t>
      </w:r>
      <w:r>
        <w:rPr>
          <w:rFonts w:hint="eastAsia" w:ascii="宋体" w:hAnsi="宋体" w:eastAsia="宋体" w:cs="宋体"/>
          <w:snapToGrid/>
          <w:color w:val="auto"/>
          <w:spacing w:val="3"/>
          <w:kern w:val="2"/>
          <w:sz w:val="21"/>
          <w:szCs w:val="21"/>
          <w:highlight w:val="none"/>
          <w:lang w:val="en-US" w:eastAsia="zh-CN"/>
        </w:rPr>
        <w:t>一致后，乙方以</w:t>
      </w:r>
      <w:r>
        <w:rPr>
          <w:rFonts w:hint="eastAsia" w:ascii="宋体" w:hAnsi="宋体" w:eastAsia="宋体" w:cs="宋体"/>
          <w:snapToGrid/>
          <w:color w:val="auto"/>
          <w:spacing w:val="3"/>
          <w:kern w:val="2"/>
          <w:sz w:val="21"/>
          <w:szCs w:val="21"/>
          <w:highlight w:val="none"/>
          <w:u w:val="single"/>
          <w:lang w:val="en-US" w:eastAsia="zh-CN"/>
        </w:rPr>
        <w:t xml:space="preserve">     元/付</w:t>
      </w:r>
      <w:r>
        <w:rPr>
          <w:rFonts w:hint="eastAsia" w:ascii="宋体" w:hAnsi="宋体" w:eastAsia="宋体" w:cs="宋体"/>
          <w:snapToGrid/>
          <w:color w:val="auto"/>
          <w:spacing w:val="3"/>
          <w:kern w:val="2"/>
          <w:sz w:val="21"/>
          <w:szCs w:val="21"/>
          <w:highlight w:val="none"/>
          <w:lang w:val="en-US" w:eastAsia="zh-CN"/>
        </w:rPr>
        <w:t>的代煎费，按月开具发票交付甲方。</w:t>
      </w:r>
    </w:p>
    <w:p w14:paraId="4B3D89A1">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3.配送费：乙方免费配送区域仅限柳州地区。超出免费配送区域，由患者在指定区域办理快递缴费登记手续。</w:t>
      </w:r>
    </w:p>
    <w:p w14:paraId="3942E3D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4.对账、结算：</w:t>
      </w:r>
    </w:p>
    <w:p w14:paraId="7680A85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（1）乙方每月10日前将上月煎煮中心服务的代煎费按照双方约定的方式同甲方指定部门进行对账。</w:t>
      </w:r>
    </w:p>
    <w:p w14:paraId="3D01BEFE">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（2）乙方每月10日前将上月代煎费用结算清单和发票交付给甲方，甲方应在收到结算清单和发票后6个月内付款给乙方。</w:t>
      </w:r>
    </w:p>
    <w:p w14:paraId="2B3F99C0">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bookmarkStart w:id="98" w:name="bookmark5"/>
      <w:bookmarkEnd w:id="98"/>
      <w:r>
        <w:rPr>
          <w:rFonts w:hint="eastAsia" w:ascii="宋体" w:hAnsi="宋体" w:eastAsia="宋体" w:cs="宋体"/>
          <w:b/>
          <w:bCs/>
          <w:snapToGrid/>
          <w:color w:val="auto"/>
          <w:spacing w:val="3"/>
          <w:kern w:val="2"/>
          <w:sz w:val="21"/>
          <w:szCs w:val="21"/>
          <w:highlight w:val="none"/>
          <w:lang w:val="en-US" w:eastAsia="zh-CN"/>
        </w:rPr>
        <w:t>第六条  服务期限</w:t>
      </w:r>
    </w:p>
    <w:p w14:paraId="61D9E80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自合同签订生效之日起2年（2025年   月   日至2027年   月   日）。</w:t>
      </w:r>
    </w:p>
    <w:p w14:paraId="08E407A1">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第七条  权利、义务和责任</w:t>
      </w:r>
    </w:p>
    <w:p w14:paraId="5A84C34F">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1.甲方有权随时抽查、检验，并对乙方代煎药物、成品质量和服务质量进行监督。</w:t>
      </w:r>
    </w:p>
    <w:p w14:paraId="770E43F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2.甲方有权针对乙方的代煎药物质量、代煎中药饮片质量、配送服务等向患者进行满意度调查，并制订相应的制度对乙方进行满意度测评、考核、惩处。</w:t>
      </w:r>
    </w:p>
    <w:p w14:paraId="1E880D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3.甲方负责推荐乙方的煎煮中心服务模式，并确保项目在医院顺利对接上线，同时为本协议项下的服务提供宣传、流程优化等便利。</w:t>
      </w:r>
    </w:p>
    <w:p w14:paraId="59EF4ED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4.甲方负责将需要代煎的药物处方、患者电话、收货地址等详细信息按照双方约定的方式实时传送给乙方，乙方核实确认后反馈甲方。</w:t>
      </w:r>
    </w:p>
    <w:p w14:paraId="52670C4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5.当出现客诉纠纷时，甲方需协助乙方完成客诉处理。</w:t>
      </w:r>
    </w:p>
    <w:p w14:paraId="633B4B9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6.甲方对所提供的处方的合理性负责，因甲方的处方不合理性导致第三方要求索赔的责任由甲方承担。</w:t>
      </w:r>
    </w:p>
    <w:p w14:paraId="742E6F92">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7.因甲方失误造成送达地点或收货人错误的，甲方应承担由此造成的损失和新增加的费用。</w:t>
      </w:r>
    </w:p>
    <w:p w14:paraId="6F8DF74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8.乙方提供的代煎成品包装应完好无损，如因配送过程中发生破损由乙方与快递公司承担责任并与患者协商解决。</w:t>
      </w:r>
    </w:p>
    <w:p w14:paraId="4A8D079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9.若因乙方原因导致未能及时将代煎成品送至</w:t>
      </w:r>
      <w:r>
        <w:rPr>
          <w:rFonts w:hint="eastAsia" w:ascii="宋体" w:hAnsi="宋体" w:cs="宋体"/>
          <w:snapToGrid/>
          <w:color w:val="auto"/>
          <w:spacing w:val="3"/>
          <w:kern w:val="2"/>
          <w:sz w:val="21"/>
          <w:szCs w:val="21"/>
          <w:highlight w:val="none"/>
          <w:lang w:val="en-US" w:eastAsia="zh-CN"/>
        </w:rPr>
        <w:t>指定</w:t>
      </w:r>
      <w:r>
        <w:rPr>
          <w:rFonts w:hint="eastAsia" w:ascii="宋体" w:hAnsi="宋体" w:eastAsia="宋体" w:cs="宋体"/>
          <w:snapToGrid/>
          <w:color w:val="auto"/>
          <w:spacing w:val="3"/>
          <w:kern w:val="2"/>
          <w:sz w:val="21"/>
          <w:szCs w:val="21"/>
          <w:highlight w:val="none"/>
          <w:lang w:val="en-US" w:eastAsia="zh-CN"/>
        </w:rPr>
        <w:t>交付对象时，乙方应及时向甲方报备，并做好患者告知工作。</w:t>
      </w:r>
    </w:p>
    <w:p w14:paraId="30C677F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10.乙方煎煮中心项目实施中如提供虚假文件、提供不合格产品、不足量或不按时供货，给甲方造成实际损失的，乙方应承担相应责任。</w:t>
      </w:r>
    </w:p>
    <w:p w14:paraId="73833A2A">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11.因乙方药物安全、质量、调剂、煎煮质量、配送等出现问题，乙方应承担责任。如因此产生投诉、诉讼等纠纷或质量、安全问题，由乙方承担相应责任并负责解决：如因此致甲方涉诉的，乙方应承担由此给甲方造成的损失，包括不限于经济赔偿、诉讼费、律师费等。</w:t>
      </w:r>
    </w:p>
    <w:p w14:paraId="76CB7615">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12.甲方对乙方的模式、流程以及服务等具有保密的义务，未经乙方同意不得向第三方</w:t>
      </w:r>
      <w:r>
        <w:rPr>
          <w:rFonts w:hint="eastAsia" w:ascii="宋体" w:hAnsi="宋体" w:cs="宋体"/>
          <w:snapToGrid/>
          <w:color w:val="auto"/>
          <w:spacing w:val="3"/>
          <w:kern w:val="2"/>
          <w:sz w:val="21"/>
          <w:szCs w:val="21"/>
          <w:highlight w:val="none"/>
          <w:lang w:val="en-US" w:eastAsia="zh-CN"/>
        </w:rPr>
        <w:t>透露</w:t>
      </w:r>
      <w:r>
        <w:rPr>
          <w:rFonts w:hint="eastAsia" w:ascii="宋体" w:hAnsi="宋体" w:eastAsia="宋体" w:cs="宋体"/>
          <w:snapToGrid/>
          <w:color w:val="auto"/>
          <w:spacing w:val="3"/>
          <w:kern w:val="2"/>
          <w:sz w:val="21"/>
          <w:szCs w:val="21"/>
          <w:highlight w:val="none"/>
          <w:lang w:val="en-US" w:eastAsia="zh-CN"/>
        </w:rPr>
        <w:t>运营细节。乙方不得泄露甲方提供的任何处方信息及患者信息，未经甲方允许不得私自用于任何商业用途，甲乙双方按双方约定的安全手段保障各自的网络和系统安全。</w:t>
      </w:r>
    </w:p>
    <w:p w14:paraId="640ED78D">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13.甲方对系统数据享有所有权、知情权、支配权等甲方需要主张的权利。</w:t>
      </w:r>
    </w:p>
    <w:p w14:paraId="09EB969C">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第八条  争议解决</w:t>
      </w:r>
    </w:p>
    <w:p w14:paraId="1CB3F6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对于实施本协议而发生的任何争议，双方首先应当通过友好协商方式解决，协商不成，任何一方均可向甲方所在地人民法院提起诉讼。</w:t>
      </w:r>
    </w:p>
    <w:p w14:paraId="762C7180">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第九条  合同生效及其它</w:t>
      </w:r>
    </w:p>
    <w:p w14:paraId="104DA52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1.合同经双方法定代表人或授权代表签字并加盖单位公章后生效。</w:t>
      </w:r>
    </w:p>
    <w:p w14:paraId="5DDB3017">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2.合同执行中涉及采购资金和采购内容修改或补充的，须经财政部门审批，并</w:t>
      </w:r>
      <w:r>
        <w:rPr>
          <w:rFonts w:hint="eastAsia" w:ascii="宋体" w:hAnsi="宋体" w:cs="宋体"/>
          <w:snapToGrid/>
          <w:color w:val="auto"/>
          <w:spacing w:val="3"/>
          <w:kern w:val="2"/>
          <w:sz w:val="21"/>
          <w:szCs w:val="21"/>
          <w:highlight w:val="none"/>
          <w:lang w:val="en-US" w:eastAsia="zh-CN"/>
        </w:rPr>
        <w:t>签订</w:t>
      </w:r>
      <w:r>
        <w:rPr>
          <w:rFonts w:hint="eastAsia" w:ascii="宋体" w:hAnsi="宋体" w:eastAsia="宋体" w:cs="宋体"/>
          <w:snapToGrid/>
          <w:color w:val="auto"/>
          <w:spacing w:val="3"/>
          <w:kern w:val="2"/>
          <w:sz w:val="21"/>
          <w:szCs w:val="21"/>
          <w:highlight w:val="none"/>
          <w:lang w:val="en-US" w:eastAsia="zh-CN"/>
        </w:rPr>
        <w:t>书面补充协议报财政部门备案，方可作为主合同不可分割的一部分。</w:t>
      </w:r>
    </w:p>
    <w:p w14:paraId="4EB0FBD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3.本合同未尽事宜，遵照《中华人民共和国民法典(合同编)》有关条文执行。</w:t>
      </w:r>
    </w:p>
    <w:p w14:paraId="1F9AB6AE">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第十条  合同的变更、终止与转让</w:t>
      </w:r>
    </w:p>
    <w:p w14:paraId="7389EFC0">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1.除《中华人民共和国政府采购法》第五十条规定的情形外，本合同一经签订，甲乙双方不得擅自变更、中止或终止。</w:t>
      </w:r>
    </w:p>
    <w:p w14:paraId="4DBFD926">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2.乙方不得擅自转让(无进口资格的供应商委托进口货物除外)其应履行的合同义务。</w:t>
      </w:r>
    </w:p>
    <w:p w14:paraId="076463AC">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第十一条  签订本合同依据</w:t>
      </w:r>
    </w:p>
    <w:p w14:paraId="6EFC4959">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1.政府采购文件；</w:t>
      </w:r>
    </w:p>
    <w:p w14:paraId="01B4D654">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2.乙方提供的响应文件；</w:t>
      </w:r>
    </w:p>
    <w:p w14:paraId="4D51496C">
      <w:pPr>
        <w:keepNext w:val="0"/>
        <w:keepLines w:val="0"/>
        <w:pageBreakBefore w:val="0"/>
        <w:widowControl w:val="0"/>
        <w:kinsoku/>
        <w:wordWrap/>
        <w:overflowPunct/>
        <w:topLinePunct w:val="0"/>
        <w:autoSpaceDE/>
        <w:autoSpaceDN/>
        <w:bidi w:val="0"/>
        <w:adjustRightInd/>
        <w:snapToGrid/>
        <w:spacing w:line="360" w:lineRule="auto"/>
        <w:ind w:firstLine="432"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snapToGrid/>
          <w:color w:val="auto"/>
          <w:spacing w:val="3"/>
          <w:kern w:val="2"/>
          <w:sz w:val="21"/>
          <w:szCs w:val="21"/>
          <w:highlight w:val="none"/>
          <w:lang w:val="en-US" w:eastAsia="zh-CN"/>
        </w:rPr>
        <w:t>3.成交通知书。</w:t>
      </w:r>
    </w:p>
    <w:p w14:paraId="64B51AC7">
      <w:pPr>
        <w:keepNext w:val="0"/>
        <w:keepLines w:val="0"/>
        <w:pageBreakBefore w:val="0"/>
        <w:widowControl w:val="0"/>
        <w:kinsoku/>
        <w:wordWrap/>
        <w:overflowPunct/>
        <w:topLinePunct w:val="0"/>
        <w:autoSpaceDE/>
        <w:autoSpaceDN/>
        <w:bidi w:val="0"/>
        <w:adjustRightInd/>
        <w:snapToGrid/>
        <w:spacing w:line="360" w:lineRule="auto"/>
        <w:ind w:firstLine="434" w:firstLineChars="200"/>
        <w:jc w:val="both"/>
        <w:textAlignment w:val="auto"/>
        <w:rPr>
          <w:rFonts w:hint="eastAsia" w:ascii="宋体" w:hAnsi="宋体" w:eastAsia="宋体" w:cs="宋体"/>
          <w:snapToGrid/>
          <w:color w:val="auto"/>
          <w:spacing w:val="3"/>
          <w:kern w:val="2"/>
          <w:sz w:val="21"/>
          <w:szCs w:val="21"/>
          <w:highlight w:val="none"/>
          <w:lang w:val="en-US" w:eastAsia="zh-CN"/>
        </w:rPr>
      </w:pPr>
      <w:r>
        <w:rPr>
          <w:rFonts w:hint="eastAsia" w:ascii="宋体" w:hAnsi="宋体" w:eastAsia="宋体" w:cs="宋体"/>
          <w:b/>
          <w:bCs/>
          <w:snapToGrid/>
          <w:color w:val="auto"/>
          <w:spacing w:val="3"/>
          <w:kern w:val="2"/>
          <w:sz w:val="21"/>
          <w:szCs w:val="21"/>
          <w:highlight w:val="none"/>
          <w:lang w:val="en-US" w:eastAsia="zh-CN"/>
        </w:rPr>
        <w:t xml:space="preserve">第十二条  </w:t>
      </w:r>
      <w:r>
        <w:rPr>
          <w:rFonts w:hint="eastAsia" w:ascii="宋体" w:hAnsi="宋体" w:eastAsia="宋体" w:cs="宋体"/>
          <w:snapToGrid/>
          <w:color w:val="auto"/>
          <w:spacing w:val="3"/>
          <w:kern w:val="2"/>
          <w:sz w:val="21"/>
          <w:szCs w:val="21"/>
          <w:highlight w:val="none"/>
          <w:lang w:val="en-US" w:eastAsia="zh-CN"/>
        </w:rPr>
        <w:t>本合同一式伍份，具有同等法律效力，甲方贰份，乙方贰份，采购代理机构壹份(可根据需要另增加)</w:t>
      </w:r>
    </w:p>
    <w:p w14:paraId="313337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476"/>
      </w:tblGrid>
      <w:tr w14:paraId="4B0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5D5E62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67F553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7E5EB6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53E59E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475585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14:paraId="631279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A68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2F98F1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76B719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0DA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8CE816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10BB22E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法定代表人（负责人或自然人）：</w:t>
            </w:r>
          </w:p>
        </w:tc>
      </w:tr>
      <w:tr w14:paraId="7102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055E15D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406511D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w:t>
            </w:r>
          </w:p>
        </w:tc>
      </w:tr>
      <w:tr w14:paraId="06E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F85BE7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7C3294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r>
      <w:tr w14:paraId="721F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672779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0976AA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558F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0D41A2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30FE451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1DF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374C63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5E0598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tc>
      </w:tr>
      <w:tr w14:paraId="7609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376" w:type="dxa"/>
            <w:tcBorders>
              <w:top w:val="single" w:color="auto" w:sz="4" w:space="0"/>
              <w:left w:val="single" w:color="auto" w:sz="4" w:space="0"/>
              <w:bottom w:val="single" w:color="auto" w:sz="4" w:space="0"/>
              <w:right w:val="single" w:color="auto" w:sz="4" w:space="0"/>
            </w:tcBorders>
            <w:noWrap w:val="0"/>
            <w:vAlign w:val="center"/>
          </w:tcPr>
          <w:p w14:paraId="58FB4ED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085A0D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39BE01A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767A12B1">
      <w:pPr>
        <w:tabs>
          <w:tab w:val="left" w:pos="3261"/>
        </w:tabs>
        <w:spacing w:line="360" w:lineRule="auto"/>
        <w:contextualSpacing/>
        <w:jc w:val="center"/>
        <w:rPr>
          <w:rFonts w:hint="eastAsia" w:ascii="宋体" w:hAnsi="宋体" w:eastAsia="宋体" w:cs="宋体"/>
          <w:b/>
          <w:color w:val="auto"/>
          <w:sz w:val="44"/>
          <w:szCs w:val="44"/>
          <w:highlight w:val="none"/>
        </w:rPr>
      </w:pPr>
    </w:p>
    <w:p w14:paraId="1090653E">
      <w:pPr>
        <w:spacing w:line="360" w:lineRule="auto"/>
        <w:jc w:val="center"/>
        <w:rPr>
          <w:rFonts w:hint="eastAsia" w:ascii="宋体" w:hAnsi="宋体" w:eastAsia="宋体" w:cs="宋体"/>
          <w:b/>
          <w:bCs/>
          <w:color w:val="auto"/>
          <w:sz w:val="44"/>
          <w:szCs w:val="44"/>
          <w:highlight w:val="none"/>
        </w:rPr>
        <w:sectPr>
          <w:headerReference r:id="rId9" w:type="default"/>
          <w:footerReference r:id="rId10" w:type="default"/>
          <w:pgSz w:w="11910" w:h="16840"/>
          <w:pgMar w:top="1134" w:right="1134" w:bottom="1134" w:left="1134" w:header="720" w:footer="720" w:gutter="0"/>
          <w:pgNumType w:fmt="decimal"/>
          <w:cols w:space="720" w:num="1"/>
          <w:rtlGutter w:val="0"/>
        </w:sectPr>
      </w:pPr>
    </w:p>
    <w:p w14:paraId="19A21CE7">
      <w:pPr>
        <w:tabs>
          <w:tab w:val="left" w:pos="3261"/>
        </w:tabs>
        <w:spacing w:line="360" w:lineRule="auto"/>
        <w:contextualSpacing/>
        <w:jc w:val="center"/>
        <w:rPr>
          <w:rFonts w:hint="eastAsia" w:ascii="宋体" w:hAnsi="宋体" w:eastAsia="宋体" w:cs="宋体"/>
          <w:b/>
          <w:color w:val="auto"/>
          <w:sz w:val="44"/>
          <w:szCs w:val="44"/>
          <w:highlight w:val="none"/>
        </w:rPr>
      </w:pPr>
    </w:p>
    <w:p w14:paraId="6393767D">
      <w:pPr>
        <w:tabs>
          <w:tab w:val="left" w:pos="3261"/>
        </w:tabs>
        <w:spacing w:line="360" w:lineRule="auto"/>
        <w:contextualSpacing/>
        <w:jc w:val="center"/>
        <w:rPr>
          <w:rFonts w:hint="eastAsia" w:ascii="宋体" w:hAnsi="宋体" w:eastAsia="宋体" w:cs="宋体"/>
          <w:b/>
          <w:color w:val="auto"/>
          <w:sz w:val="44"/>
          <w:szCs w:val="44"/>
          <w:highlight w:val="none"/>
        </w:rPr>
      </w:pPr>
    </w:p>
    <w:p w14:paraId="60D6B914">
      <w:pPr>
        <w:tabs>
          <w:tab w:val="left" w:pos="3261"/>
        </w:tabs>
        <w:spacing w:line="360" w:lineRule="auto"/>
        <w:contextualSpacing/>
        <w:jc w:val="center"/>
        <w:rPr>
          <w:rFonts w:hint="eastAsia" w:ascii="宋体" w:hAnsi="宋体" w:eastAsia="宋体" w:cs="宋体"/>
          <w:b/>
          <w:color w:val="auto"/>
          <w:sz w:val="44"/>
          <w:szCs w:val="44"/>
          <w:highlight w:val="none"/>
        </w:rPr>
      </w:pPr>
    </w:p>
    <w:p w14:paraId="612F3A30">
      <w:pPr>
        <w:tabs>
          <w:tab w:val="left" w:pos="3261"/>
        </w:tabs>
        <w:spacing w:line="360" w:lineRule="auto"/>
        <w:contextualSpacing/>
        <w:jc w:val="center"/>
        <w:rPr>
          <w:rFonts w:hint="eastAsia" w:ascii="宋体" w:hAnsi="宋体" w:eastAsia="宋体" w:cs="宋体"/>
          <w:b/>
          <w:color w:val="auto"/>
          <w:sz w:val="44"/>
          <w:szCs w:val="44"/>
          <w:highlight w:val="none"/>
        </w:rPr>
      </w:pPr>
    </w:p>
    <w:p w14:paraId="3AE34823">
      <w:pPr>
        <w:tabs>
          <w:tab w:val="left" w:pos="3261"/>
        </w:tabs>
        <w:spacing w:line="360" w:lineRule="auto"/>
        <w:contextualSpacing/>
        <w:jc w:val="center"/>
        <w:rPr>
          <w:rFonts w:hint="eastAsia" w:ascii="宋体" w:hAnsi="宋体" w:eastAsia="宋体" w:cs="宋体"/>
          <w:b/>
          <w:color w:val="auto"/>
          <w:sz w:val="44"/>
          <w:szCs w:val="44"/>
          <w:highlight w:val="none"/>
        </w:rPr>
      </w:pPr>
    </w:p>
    <w:p w14:paraId="7A113F48">
      <w:pPr>
        <w:keepNext/>
        <w:keepLines/>
        <w:spacing w:before="340" w:after="330" w:line="578" w:lineRule="auto"/>
        <w:jc w:val="center"/>
        <w:outlineLvl w:val="0"/>
        <w:rPr>
          <w:rFonts w:hint="eastAsia" w:ascii="宋体" w:hAnsi="宋体" w:eastAsia="宋体" w:cs="宋体"/>
          <w:b/>
          <w:bCs w:val="0"/>
          <w:color w:val="auto"/>
          <w:kern w:val="44"/>
          <w:sz w:val="40"/>
          <w:szCs w:val="40"/>
          <w:highlight w:val="none"/>
        </w:rPr>
        <w:sectPr>
          <w:pgSz w:w="11910" w:h="16840"/>
          <w:pgMar w:top="1134" w:right="1134" w:bottom="1134" w:left="1134" w:header="720" w:footer="720" w:gutter="0"/>
          <w:pgNumType w:fmt="decimal"/>
          <w:cols w:space="720" w:num="1"/>
          <w:rtlGutter w:val="0"/>
        </w:sectPr>
      </w:pPr>
      <w:bookmarkStart w:id="99" w:name="_Toc3113"/>
      <w:r>
        <w:rPr>
          <w:rFonts w:hint="eastAsia" w:ascii="宋体" w:hAnsi="宋体" w:eastAsia="宋体" w:cs="宋体"/>
          <w:b/>
          <w:bCs w:val="0"/>
          <w:color w:val="auto"/>
          <w:kern w:val="44"/>
          <w:sz w:val="40"/>
          <w:szCs w:val="40"/>
          <w:highlight w:val="none"/>
        </w:rPr>
        <w:t>第七章 质疑、投诉材料格式</w:t>
      </w:r>
      <w:bookmarkEnd w:id="99"/>
    </w:p>
    <w:p w14:paraId="64B70B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EF848F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7932E83">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CB2007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02AA6F3">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D3449E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3F5C32A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B55A5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A476BE">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60816C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53E251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93D231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0C6DEE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46672C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463D0FE">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49347CC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477212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66684B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E41BA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4B25F28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887AC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B30A5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5178ED2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D0C46E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7B5DA0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09F653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7DAE9F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1ADBB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5210DAB6">
      <w:pPr>
        <w:spacing w:line="360" w:lineRule="auto"/>
        <w:contextualSpacing/>
        <w:rPr>
          <w:rFonts w:hint="eastAsia" w:ascii="宋体" w:hAnsi="宋体" w:eastAsia="宋体" w:cs="宋体"/>
          <w:b/>
          <w:color w:val="auto"/>
          <w:kern w:val="0"/>
          <w:sz w:val="24"/>
          <w:highlight w:val="none"/>
        </w:rPr>
      </w:pPr>
    </w:p>
    <w:p w14:paraId="22227CF8">
      <w:pPr>
        <w:spacing w:line="360" w:lineRule="auto"/>
        <w:contextualSpacing/>
        <w:rPr>
          <w:rFonts w:hint="eastAsia" w:ascii="宋体" w:hAnsi="宋体" w:eastAsia="宋体" w:cs="宋体"/>
          <w:b/>
          <w:color w:val="auto"/>
          <w:kern w:val="0"/>
          <w:sz w:val="24"/>
          <w:highlight w:val="none"/>
        </w:rPr>
      </w:pPr>
    </w:p>
    <w:p w14:paraId="29A86F2A">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BF29E0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4BBFD7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AED257">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1E1B3B3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3C2AEB08">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487C5A30">
      <w:pPr>
        <w:snapToGrid w:val="0"/>
        <w:rPr>
          <w:rFonts w:hint="eastAsia" w:ascii="宋体" w:hAnsi="宋体" w:eastAsia="宋体" w:cs="宋体"/>
          <w:b/>
          <w:color w:val="auto"/>
          <w:kern w:val="0"/>
          <w:sz w:val="24"/>
          <w:highlight w:val="none"/>
        </w:rPr>
      </w:pPr>
    </w:p>
    <w:p w14:paraId="78B1CCC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678CF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AD4FBC5">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A9BEF2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p>
    <w:p w14:paraId="7F307C8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77AD0C9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CAE9E7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555C1C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5203F7C">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732D23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D30AC8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F16C5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575BD5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A40509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93323F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BA2A1E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4FD0B4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4F70A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E19C53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8F5515B">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F92F503">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0EBFFD4">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27F70957">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380E8B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84685DA">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9E50678">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2E397B3">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3C5F28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5A914185">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D2AF33">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DFE55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2C71B008">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33C183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4988900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3A91EF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7B679F1B">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C97EE3B">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0E574FE">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60B06D5C">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064F5C6">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2130D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AACAE6F">
      <w:pPr>
        <w:spacing w:line="360" w:lineRule="auto"/>
        <w:ind w:left="25" w:leftChars="12" w:firstLine="352" w:firstLineChars="147"/>
        <w:rPr>
          <w:rFonts w:hint="eastAsia" w:ascii="宋体" w:hAnsi="宋体" w:eastAsia="宋体" w:cs="宋体"/>
          <w:color w:val="auto"/>
          <w:kern w:val="0"/>
          <w:sz w:val="24"/>
          <w:highlight w:val="none"/>
        </w:rPr>
      </w:pPr>
    </w:p>
    <w:p w14:paraId="3DB713EC">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76DFF38">
      <w:pPr>
        <w:spacing w:line="360" w:lineRule="auto"/>
        <w:ind w:left="25" w:leftChars="12" w:firstLine="352" w:firstLineChars="147"/>
        <w:rPr>
          <w:rFonts w:hint="eastAsia" w:ascii="宋体" w:hAnsi="宋体" w:eastAsia="宋体" w:cs="宋体"/>
          <w:color w:val="auto"/>
          <w:kern w:val="0"/>
          <w:sz w:val="24"/>
          <w:highlight w:val="none"/>
        </w:rPr>
      </w:pPr>
    </w:p>
    <w:p w14:paraId="78CFE07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60B051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61639436">
      <w:pPr>
        <w:snapToGrid w:val="0"/>
        <w:spacing w:line="360" w:lineRule="auto"/>
        <w:rPr>
          <w:rFonts w:hint="eastAsia" w:ascii="宋体" w:hAnsi="宋体" w:eastAsia="宋体" w:cs="宋体"/>
          <w:b/>
          <w:color w:val="auto"/>
          <w:kern w:val="0"/>
          <w:sz w:val="24"/>
          <w:highlight w:val="none"/>
        </w:rPr>
      </w:pPr>
    </w:p>
    <w:p w14:paraId="56B128DA">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8065A4F">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1A63D13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31828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11598B1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8EB818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33AC2471">
      <w:pPr>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3EB7BD6E">
      <w:pPr>
        <w:bidi w:val="0"/>
        <w:jc w:val="center"/>
        <w:outlineLvl w:val="0"/>
        <w:rPr>
          <w:rFonts w:hint="eastAsia" w:ascii="宋体" w:hAnsi="宋体" w:eastAsia="宋体" w:cs="宋体"/>
          <w:b/>
          <w:bCs/>
          <w:color w:val="auto"/>
          <w:kern w:val="44"/>
          <w:sz w:val="44"/>
          <w:szCs w:val="44"/>
          <w:highlight w:val="none"/>
          <w:lang w:val="en-US" w:eastAsia="zh-CN" w:bidi="ar-SA"/>
        </w:rPr>
      </w:pPr>
      <w:bookmarkStart w:id="100" w:name="_Toc12838"/>
      <w:bookmarkStart w:id="101" w:name="_Toc8819"/>
      <w:bookmarkStart w:id="102" w:name="_Toc32167"/>
    </w:p>
    <w:p w14:paraId="3BCB3934">
      <w:pPr>
        <w:bidi w:val="0"/>
        <w:jc w:val="center"/>
        <w:outlineLvl w:val="0"/>
        <w:rPr>
          <w:rFonts w:hint="eastAsia" w:ascii="宋体" w:hAnsi="宋体" w:eastAsia="宋体" w:cs="宋体"/>
          <w:b/>
          <w:bCs/>
          <w:color w:val="auto"/>
          <w:kern w:val="44"/>
          <w:sz w:val="44"/>
          <w:szCs w:val="44"/>
          <w:highlight w:val="none"/>
          <w:lang w:val="en-US" w:eastAsia="zh-CN" w:bidi="ar-SA"/>
        </w:rPr>
      </w:pPr>
    </w:p>
    <w:p w14:paraId="1364E4A5">
      <w:pPr>
        <w:bidi w:val="0"/>
        <w:jc w:val="center"/>
        <w:outlineLvl w:val="0"/>
        <w:rPr>
          <w:rFonts w:hint="eastAsia" w:ascii="宋体" w:hAnsi="宋体" w:eastAsia="宋体" w:cs="宋体"/>
          <w:b/>
          <w:bCs/>
          <w:color w:val="auto"/>
          <w:kern w:val="44"/>
          <w:sz w:val="44"/>
          <w:szCs w:val="44"/>
          <w:highlight w:val="none"/>
          <w:lang w:val="en-US" w:eastAsia="zh-CN" w:bidi="ar-SA"/>
        </w:rPr>
      </w:pPr>
    </w:p>
    <w:p w14:paraId="56DC3596">
      <w:pPr>
        <w:bidi w:val="0"/>
        <w:jc w:val="center"/>
        <w:outlineLvl w:val="0"/>
        <w:rPr>
          <w:rFonts w:hint="eastAsia" w:ascii="宋体" w:hAnsi="宋体" w:eastAsia="宋体" w:cs="宋体"/>
          <w:b/>
          <w:bCs/>
          <w:color w:val="auto"/>
          <w:kern w:val="44"/>
          <w:sz w:val="44"/>
          <w:szCs w:val="44"/>
          <w:highlight w:val="none"/>
          <w:lang w:val="en-US" w:eastAsia="zh-CN" w:bidi="ar-SA"/>
        </w:rPr>
      </w:pPr>
    </w:p>
    <w:p w14:paraId="4B2F9F04">
      <w:pPr>
        <w:bidi w:val="0"/>
        <w:jc w:val="center"/>
        <w:outlineLvl w:val="0"/>
        <w:rPr>
          <w:rFonts w:hint="eastAsia" w:ascii="宋体" w:hAnsi="宋体" w:eastAsia="宋体" w:cs="宋体"/>
          <w:b/>
          <w:bCs/>
          <w:color w:val="auto"/>
          <w:kern w:val="44"/>
          <w:sz w:val="44"/>
          <w:szCs w:val="44"/>
          <w:highlight w:val="none"/>
          <w:lang w:val="en-US" w:eastAsia="zh-CN" w:bidi="ar-SA"/>
        </w:rPr>
      </w:pPr>
    </w:p>
    <w:p w14:paraId="3A0A259A">
      <w:pPr>
        <w:bidi w:val="0"/>
        <w:jc w:val="center"/>
        <w:outlineLvl w:val="0"/>
        <w:rPr>
          <w:rFonts w:hint="eastAsia" w:ascii="宋体" w:hAnsi="宋体" w:eastAsia="宋体" w:cs="宋体"/>
          <w:b/>
          <w:bCs/>
          <w:color w:val="auto"/>
          <w:kern w:val="44"/>
          <w:sz w:val="44"/>
          <w:szCs w:val="44"/>
          <w:highlight w:val="none"/>
          <w:lang w:val="en-US" w:eastAsia="zh-CN" w:bidi="ar-SA"/>
        </w:rPr>
      </w:pPr>
    </w:p>
    <w:p w14:paraId="209FA302">
      <w:pPr>
        <w:bidi w:val="0"/>
        <w:jc w:val="center"/>
        <w:outlineLvl w:val="0"/>
        <w:rPr>
          <w:rFonts w:hint="eastAsia" w:ascii="宋体" w:hAnsi="宋体" w:eastAsia="宋体" w:cs="宋体"/>
          <w:b/>
          <w:bCs/>
          <w:color w:val="auto"/>
          <w:kern w:val="44"/>
          <w:sz w:val="44"/>
          <w:szCs w:val="44"/>
          <w:highlight w:val="none"/>
          <w:lang w:val="en-US" w:eastAsia="zh-CN" w:bidi="ar-SA"/>
        </w:rPr>
      </w:pPr>
    </w:p>
    <w:p w14:paraId="1FA8316A">
      <w:pPr>
        <w:bidi w:val="0"/>
        <w:jc w:val="center"/>
        <w:outlineLvl w:val="0"/>
        <w:rPr>
          <w:rFonts w:hint="eastAsia" w:ascii="宋体" w:hAnsi="宋体" w:eastAsia="宋体" w:cs="宋体"/>
          <w:b/>
          <w:bCs/>
          <w:color w:val="auto"/>
          <w:kern w:val="44"/>
          <w:sz w:val="44"/>
          <w:szCs w:val="44"/>
          <w:highlight w:val="none"/>
          <w:lang w:val="en-US" w:eastAsia="zh-CN" w:bidi="ar-SA"/>
        </w:rPr>
      </w:pPr>
    </w:p>
    <w:p w14:paraId="533DF91B">
      <w:pPr>
        <w:bidi w:val="0"/>
        <w:jc w:val="center"/>
        <w:outlineLvl w:val="0"/>
        <w:rPr>
          <w:rFonts w:hint="eastAsia" w:ascii="宋体" w:hAnsi="宋体" w:eastAsia="宋体" w:cs="宋体"/>
          <w:b/>
          <w:bCs/>
          <w:color w:val="auto"/>
          <w:kern w:val="44"/>
          <w:sz w:val="44"/>
          <w:szCs w:val="44"/>
          <w:highlight w:val="none"/>
          <w:lang w:val="en-US" w:eastAsia="zh-CN" w:bidi="ar-SA"/>
        </w:rPr>
      </w:pPr>
    </w:p>
    <w:p w14:paraId="59A4B77E">
      <w:pPr>
        <w:bidi w:val="0"/>
        <w:jc w:val="center"/>
        <w:outlineLvl w:val="0"/>
        <w:rPr>
          <w:rFonts w:hint="eastAsia" w:ascii="宋体" w:hAnsi="宋体" w:eastAsia="宋体" w:cs="宋体"/>
          <w:b/>
          <w:bCs/>
          <w:color w:val="auto"/>
          <w:kern w:val="44"/>
          <w:sz w:val="44"/>
          <w:szCs w:val="44"/>
          <w:highlight w:val="none"/>
          <w:lang w:val="en-US" w:eastAsia="zh-CN" w:bidi="ar-SA"/>
        </w:rPr>
      </w:pPr>
    </w:p>
    <w:p w14:paraId="74C0BBDD">
      <w:pPr>
        <w:bidi w:val="0"/>
        <w:jc w:val="center"/>
        <w:outlineLvl w:val="0"/>
        <w:rPr>
          <w:rFonts w:hint="eastAsia" w:ascii="宋体" w:hAnsi="宋体" w:eastAsia="宋体" w:cs="宋体"/>
          <w:b/>
          <w:bCs/>
          <w:color w:val="auto"/>
          <w:kern w:val="44"/>
          <w:sz w:val="44"/>
          <w:szCs w:val="44"/>
          <w:highlight w:val="none"/>
          <w:lang w:val="en-US" w:eastAsia="zh-CN" w:bidi="ar-SA"/>
        </w:rPr>
      </w:pPr>
    </w:p>
    <w:p w14:paraId="69A69F74">
      <w:pPr>
        <w:bidi w:val="0"/>
        <w:jc w:val="center"/>
        <w:outlineLvl w:val="0"/>
        <w:rPr>
          <w:rFonts w:hint="eastAsia" w:ascii="宋体" w:hAnsi="宋体" w:eastAsia="宋体" w:cs="宋体"/>
          <w:b/>
          <w:bCs/>
          <w:color w:val="auto"/>
          <w:kern w:val="44"/>
          <w:sz w:val="44"/>
          <w:szCs w:val="44"/>
          <w:highlight w:val="none"/>
          <w:lang w:val="en-US" w:eastAsia="zh-CN" w:bidi="ar-SA"/>
        </w:rPr>
      </w:pPr>
      <w:bookmarkStart w:id="103" w:name="_Toc15064"/>
      <w:r>
        <w:rPr>
          <w:rFonts w:hint="eastAsia" w:ascii="宋体" w:hAnsi="宋体" w:eastAsia="宋体" w:cs="宋体"/>
          <w:b/>
          <w:bCs/>
          <w:color w:val="auto"/>
          <w:kern w:val="44"/>
          <w:sz w:val="44"/>
          <w:szCs w:val="44"/>
          <w:highlight w:val="none"/>
          <w:lang w:val="en-US" w:eastAsia="zh-CN" w:bidi="ar-SA"/>
        </w:rPr>
        <w:t>第八章 政府采购合同验收书范本</w:t>
      </w:r>
      <w:bookmarkEnd w:id="100"/>
      <w:bookmarkEnd w:id="101"/>
      <w:bookmarkEnd w:id="102"/>
      <w:bookmarkEnd w:id="103"/>
    </w:p>
    <w:p w14:paraId="67696E8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5B22ED86">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政府采购项目中标（或成交）供应商（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提供的货物（或工程、服务）进行了验收，验收情况如下：</w:t>
      </w:r>
    </w:p>
    <w:tbl>
      <w:tblPr>
        <w:tblStyle w:val="3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6B716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6A2CC0B2">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44ABA30F">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□自行验收         □委托验收</w:t>
            </w:r>
          </w:p>
        </w:tc>
      </w:tr>
      <w:tr w14:paraId="1D1C3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5092D26">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63BD53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5F5F257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82FE8FB">
            <w:pPr>
              <w:widowControl/>
              <w:snapToGrid w:val="0"/>
              <w:spacing w:before="100" w:beforeAutospacing="1" w:after="100" w:afterAutospacing="1"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EB9BBA">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  额</w:t>
            </w:r>
          </w:p>
        </w:tc>
      </w:tr>
      <w:tr w14:paraId="51159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245E3D4">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BEDE2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441D9B2">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04EFF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78459B4">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5C7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BAB54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30A7033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829D18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A9EFE3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9B038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0A4D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089E0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AD4B9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18A089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CA06A7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2B6067">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2D7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16FB04F">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2299820">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61038E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69C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17F1A663">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合计大写金额：   仟    佰    拾    万    仟    佰    拾    元</w:t>
            </w:r>
          </w:p>
        </w:tc>
      </w:tr>
      <w:tr w14:paraId="7F577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2C9759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612D4F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C3BFA0">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163CFD47">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62D6F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429DA0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2384927A">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5150EB">
            <w:pPr>
              <w:snapToGrid w:val="0"/>
              <w:spacing w:before="100" w:beforeAutospacing="1" w:after="100" w:afterAutospacing="1" w:line="320" w:lineRule="exact"/>
              <w:ind w:left="590" w:firstLine="480" w:firstLineChars="200"/>
              <w:jc w:val="left"/>
              <w:rPr>
                <w:rFonts w:hint="eastAsia" w:ascii="宋体" w:hAnsi="宋体" w:eastAsia="宋体" w:cs="宋体"/>
                <w:color w:val="auto"/>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CE4DFF">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04F70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39ACA">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DC2">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（应</w:t>
            </w:r>
            <w:r>
              <w:rPr>
                <w:rFonts w:hint="eastAsia" w:ascii="宋体" w:hAnsi="宋体" w:eastAsia="宋体" w:cs="宋体"/>
                <w:color w:val="auto"/>
                <w:kern w:val="0"/>
                <w:sz w:val="24"/>
                <w:highlight w:val="none"/>
              </w:rPr>
              <w:t>按采购合同、采购文件、投标响应文件及验收方案等进行验收；并核对</w:t>
            </w:r>
            <w:r>
              <w:rPr>
                <w:rFonts w:hint="eastAsia" w:ascii="宋体" w:hAnsi="宋体" w:eastAsia="宋体" w:cs="宋体"/>
                <w:color w:val="auto"/>
                <w:sz w:val="24"/>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highlight w:val="none"/>
              </w:rPr>
              <w:t>。可附件)</w:t>
            </w:r>
          </w:p>
        </w:tc>
      </w:tr>
      <w:tr w14:paraId="12B43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30881">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253B02">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验收结论性意见：</w:t>
            </w:r>
          </w:p>
          <w:p w14:paraId="4E071871">
            <w:pPr>
              <w:widowControl/>
              <w:spacing w:before="100" w:beforeAutospacing="1" w:after="100" w:afterAutospacing="1" w:line="320" w:lineRule="exact"/>
              <w:jc w:val="left"/>
              <w:rPr>
                <w:rFonts w:hint="eastAsia" w:ascii="宋体" w:hAnsi="宋体" w:eastAsia="宋体" w:cs="宋体"/>
                <w:color w:val="auto"/>
                <w:kern w:val="0"/>
                <w:sz w:val="24"/>
                <w:highlight w:val="none"/>
              </w:rPr>
            </w:pPr>
          </w:p>
        </w:tc>
      </w:tr>
      <w:tr w14:paraId="5592C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037D27B">
            <w:pPr>
              <w:widowControl/>
              <w:spacing w:line="320" w:lineRule="exact"/>
              <w:jc w:val="left"/>
              <w:rPr>
                <w:rFonts w:hint="eastAsia" w:ascii="宋体" w:hAnsi="宋体" w:eastAsia="宋体" w:cs="宋体"/>
                <w:color w:val="auto"/>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431785C">
            <w:pPr>
              <w:spacing w:before="100" w:beforeAutospacing="1" w:after="100" w:afterAutospacing="1" w:line="320" w:lineRule="exact"/>
              <w:ind w:firstLine="96" w:firstLineChars="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有异议的意见和说明理由：</w:t>
            </w:r>
          </w:p>
          <w:p w14:paraId="7F98140F">
            <w:pPr>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签字：</w:t>
            </w:r>
          </w:p>
        </w:tc>
      </w:tr>
      <w:tr w14:paraId="716B4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5D9BDD">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验收小组成员签字：</w:t>
            </w:r>
          </w:p>
        </w:tc>
      </w:tr>
      <w:tr w14:paraId="3FB77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BF39C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监督人员或其他相关人员签字：</w:t>
            </w:r>
          </w:p>
          <w:p w14:paraId="207571A4">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或受邀机构的意见（盖章）：</w:t>
            </w:r>
          </w:p>
        </w:tc>
      </w:tr>
      <w:tr w14:paraId="591C9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C5BCECE">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中标或者成交供应商负责人签字或盖章：</w:t>
            </w:r>
          </w:p>
          <w:p w14:paraId="00C4AF9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286D4F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采购人或受托机构的意见（盖章）：</w:t>
            </w:r>
          </w:p>
          <w:p w14:paraId="7907A20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r>
    </w:tbl>
    <w:p w14:paraId="3A1601F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554A52B">
      <w:pPr>
        <w:rPr>
          <w:rFonts w:hint="eastAsia" w:ascii="宋体" w:hAnsi="宋体" w:eastAsia="宋体" w:cs="宋体"/>
          <w:color w:val="auto"/>
          <w:highlight w:val="none"/>
        </w:rPr>
      </w:pPr>
    </w:p>
    <w:p w14:paraId="3462C71B">
      <w:pPr>
        <w:rPr>
          <w:rFonts w:hint="eastAsia" w:ascii="宋体" w:hAnsi="宋体" w:eastAsia="宋体" w:cs="宋体"/>
          <w:color w:val="auto"/>
          <w:highlight w:val="none"/>
        </w:rPr>
      </w:pPr>
    </w:p>
    <w:sectPr>
      <w:footerReference r:id="rId12" w:type="first"/>
      <w:footerReference r:id="rId11" w:type="default"/>
      <w:pgSz w:w="11910" w:h="16840"/>
      <w:pgMar w:top="1134" w:right="1134" w:bottom="1134" w:left="1134" w:header="85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88FD0F4-0574-4A6F-A6BD-3E6288B449EB}"/>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embedRegular r:id="rId2" w:fontKey="{19B2E8E6-AFAF-4C7E-B991-E40F7C9C80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11A5">
    <w:pPr>
      <w:pStyle w:val="20"/>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2757">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E7B2E"/>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206E7B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CA54">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0B1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14:paraId="2C460B1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4463">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674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Fp9E4QEAAMEDAAAOAAAA&#10;AAAAAAEAIAAAAB4BAABkcnMvZTJvRG9jLnhtbFBLBQYAAAAABgAGAFkBAABxBQAAAAA=&#10;">
              <v:fill on="f" focussize="0,0"/>
              <v:stroke on="f"/>
              <v:imagedata o:title=""/>
              <o:lock v:ext="edit" aspectratio="f"/>
              <v:textbox inset="0mm,0mm,0mm,0mm" style="mso-fit-shape-to-text:t;">
                <w:txbxContent>
                  <w:p w14:paraId="5D8B6740">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A066">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8F9B">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2PtuEBAADBAwAADgAAAGRycy9lMm9Eb2MueG1srVPNjtMwEL4j8Q6W&#10;7zRpQ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rzpywNPDTzx+nX39Ov7+z&#10;efn8R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9vY+24QEAAMEDAAAOAAAA&#10;AAAAAAEAIAAAAB4BAABkcnMvZTJvRG9jLnhtbFBLBQYAAAAABgAGAFkBAABxBQAAAAA=&#10;">
              <v:fill on="f" focussize="0,0"/>
              <v:stroke on="f"/>
              <v:imagedata o:title=""/>
              <o:lock v:ext="edit" aspectratio="f"/>
              <v:textbox inset="0mm,0mm,0mm,0mm" style="mso-fit-shape-to-text:t;">
                <w:txbxContent>
                  <w:p w14:paraId="71A28F9B">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p w14:paraId="45C47E2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38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5E84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dSp8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ReUWG5w4Offv85//p3//iTL&#10;+fUy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nUqfLAQAAnAMAAA4AAAAAAAAAAQAgAAAAHgEAAGRycy9lMm9E&#10;b2MueG1sUEsFBgAAAAAGAAYAWQEAAFsFAAAAAA==&#10;">
              <v:fill on="f" focussize="0,0"/>
              <v:stroke on="f"/>
              <v:imagedata o:title=""/>
              <o:lock v:ext="edit" aspectratio="f"/>
              <v:textbox inset="0mm,0mm,0mm,0mm" style="mso-fit-shape-to-text:t;">
                <w:txbxContent>
                  <w:p w14:paraId="4FF5E843">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7F51">
    <w:pPr>
      <w:pStyle w:val="21"/>
      <w:tabs>
        <w:tab w:val="center" w:pos="0"/>
        <w:tab w:val="clear" w:pos="4153"/>
      </w:tabs>
    </w:pPr>
    <w:r>
      <w:rPr>
        <w:rFonts w:hint="eastAsia"/>
        <w:lang w:eastAsia="zh-CN"/>
      </w:rPr>
      <w:t>柳州市柳江区中医医院2025-2027年度中药饮片代煎和配送服务采购项目（重）</w:t>
    </w:r>
    <w:r>
      <w:rPr>
        <w:rFonts w:hint="eastAsia"/>
      </w:rPr>
      <w:t>（</w:t>
    </w:r>
    <w:r>
      <w:rPr>
        <w:rFonts w:hint="eastAsia"/>
        <w:lang w:eastAsia="zh-CN"/>
      </w:rPr>
      <w:t>项目编号：LZZC2025-C3-060053-GXJZ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ED">
    <w:pPr>
      <w:pStyle w:val="21"/>
      <w:pBdr>
        <w:bottom w:val="none" w:color="auto" w:sz="0" w:space="1"/>
      </w:pBdr>
      <w:tabs>
        <w:tab w:val="center" w:pos="0"/>
        <w:tab w:val="clear" w:pos="4153"/>
      </w:tabs>
      <w:jc w:val="cente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8C2">
    <w:pPr>
      <w:pStyle w:val="21"/>
      <w:tabs>
        <w:tab w:val="center" w:pos="0"/>
        <w:tab w:val="clear" w:pos="4153"/>
      </w:tabs>
    </w:pPr>
    <w:r>
      <w:rPr>
        <w:rFonts w:hint="eastAsia" w:ascii="宋体" w:hAnsi="宋体"/>
        <w:lang w:eastAsia="zh-CN"/>
      </w:rPr>
      <w:t>柳州市柳江区中医医院2025-2027年度中药饮片代煎和配送服务采购项目（重）</w:t>
    </w:r>
    <w:r>
      <w:rPr>
        <w:rFonts w:hint="eastAsia" w:ascii="宋体" w:hAnsi="宋体"/>
      </w:rPr>
      <w:t>（项目编号：</w:t>
    </w:r>
    <w:r>
      <w:rPr>
        <w:rFonts w:hint="eastAsia" w:ascii="宋体" w:hAnsi="宋体"/>
        <w:lang w:eastAsia="zh-CN"/>
      </w:rPr>
      <w:t>LZZC2025-C3-060053-GXJZ</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908E">
    <w:pPr>
      <w:pStyle w:val="21"/>
      <w:tabs>
        <w:tab w:val="center" w:pos="0"/>
        <w:tab w:val="clear" w:pos="4153"/>
      </w:tabs>
    </w:pPr>
    <w:r>
      <w:rPr>
        <w:rFonts w:hint="eastAsia" w:ascii="宋体" w:hAnsi="宋体"/>
        <w:lang w:eastAsia="zh-CN"/>
      </w:rPr>
      <w:t>柳州市柳江区中医医院2025-2027年度中药饮片代煎和配送服务采购项目（重）</w:t>
    </w:r>
    <w:r>
      <w:rPr>
        <w:rFonts w:hint="eastAsia" w:ascii="宋体" w:hAnsi="宋体"/>
      </w:rPr>
      <w:t>（</w:t>
    </w:r>
    <w:r>
      <w:rPr>
        <w:rFonts w:hint="eastAsia" w:ascii="宋体" w:hAnsi="宋体"/>
        <w:lang w:eastAsia="zh-CN"/>
      </w:rPr>
      <w:t>项目编号：LZZC2025-C3-060053-GXJZ</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2B42"/>
    <w:multiLevelType w:val="singleLevel"/>
    <w:tmpl w:val="E4B72B4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KIx2WSwn/96cYnqEMv7HmI/WwPg=" w:salt="YX4YoAEXkILoxDny3Q1vb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GZkYWE3YzIzZWUyNDFiZWViZTAzNDE4MWIxND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53EE"/>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1F52"/>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ADB"/>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25D"/>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E7EB6"/>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EA5"/>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0FD"/>
    <w:rsid w:val="00EB559F"/>
    <w:rsid w:val="00EB566C"/>
    <w:rsid w:val="00EB5F3D"/>
    <w:rsid w:val="00EC0C38"/>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30DD"/>
    <w:rsid w:val="01425E7E"/>
    <w:rsid w:val="01AF3D99"/>
    <w:rsid w:val="01CA0799"/>
    <w:rsid w:val="01EC3E90"/>
    <w:rsid w:val="020B6A0C"/>
    <w:rsid w:val="020E02AA"/>
    <w:rsid w:val="02511F9D"/>
    <w:rsid w:val="02624152"/>
    <w:rsid w:val="02D9681D"/>
    <w:rsid w:val="02FE031F"/>
    <w:rsid w:val="03123DE2"/>
    <w:rsid w:val="0350044F"/>
    <w:rsid w:val="03A314B8"/>
    <w:rsid w:val="03D82B98"/>
    <w:rsid w:val="03E60EE9"/>
    <w:rsid w:val="03EA43FF"/>
    <w:rsid w:val="03F83E8B"/>
    <w:rsid w:val="03FA6D38"/>
    <w:rsid w:val="041E2451"/>
    <w:rsid w:val="044B1342"/>
    <w:rsid w:val="04651CD8"/>
    <w:rsid w:val="04980A96"/>
    <w:rsid w:val="04B72D09"/>
    <w:rsid w:val="04BB09C2"/>
    <w:rsid w:val="04EE4BE6"/>
    <w:rsid w:val="052878D5"/>
    <w:rsid w:val="054A55F5"/>
    <w:rsid w:val="054B5371"/>
    <w:rsid w:val="05C56868"/>
    <w:rsid w:val="064642DC"/>
    <w:rsid w:val="06640499"/>
    <w:rsid w:val="06866335"/>
    <w:rsid w:val="069A3EBB"/>
    <w:rsid w:val="077E0292"/>
    <w:rsid w:val="07B72767"/>
    <w:rsid w:val="08077E72"/>
    <w:rsid w:val="084762C4"/>
    <w:rsid w:val="08882DD0"/>
    <w:rsid w:val="08B17109"/>
    <w:rsid w:val="08B60D54"/>
    <w:rsid w:val="0983157E"/>
    <w:rsid w:val="098D649E"/>
    <w:rsid w:val="09AA6BA2"/>
    <w:rsid w:val="09BA6059"/>
    <w:rsid w:val="09CC2AAC"/>
    <w:rsid w:val="09D26E76"/>
    <w:rsid w:val="09F00295"/>
    <w:rsid w:val="0A0F4BBF"/>
    <w:rsid w:val="0A121ED8"/>
    <w:rsid w:val="0A652D3E"/>
    <w:rsid w:val="0A6B75FC"/>
    <w:rsid w:val="0B326F2A"/>
    <w:rsid w:val="0B496B71"/>
    <w:rsid w:val="0B785C4C"/>
    <w:rsid w:val="0B960C20"/>
    <w:rsid w:val="0BA80E28"/>
    <w:rsid w:val="0BC1013B"/>
    <w:rsid w:val="0BC96FF0"/>
    <w:rsid w:val="0BF10997"/>
    <w:rsid w:val="0C1C1DE3"/>
    <w:rsid w:val="0C1E2888"/>
    <w:rsid w:val="0C6F5DE9"/>
    <w:rsid w:val="0C92213C"/>
    <w:rsid w:val="0C965EFB"/>
    <w:rsid w:val="0D84032B"/>
    <w:rsid w:val="0D913B3D"/>
    <w:rsid w:val="0DBF1056"/>
    <w:rsid w:val="0DDC74AE"/>
    <w:rsid w:val="0E641ACC"/>
    <w:rsid w:val="0E6D53D9"/>
    <w:rsid w:val="0EE02FCE"/>
    <w:rsid w:val="0EE71996"/>
    <w:rsid w:val="0F0071CD"/>
    <w:rsid w:val="0F192123"/>
    <w:rsid w:val="0F2A74C4"/>
    <w:rsid w:val="0F872008"/>
    <w:rsid w:val="0F8B3AAF"/>
    <w:rsid w:val="0FCD5301"/>
    <w:rsid w:val="0FEE0360"/>
    <w:rsid w:val="10090303"/>
    <w:rsid w:val="1015407B"/>
    <w:rsid w:val="10973B61"/>
    <w:rsid w:val="10A27F31"/>
    <w:rsid w:val="117B0D8C"/>
    <w:rsid w:val="11927058"/>
    <w:rsid w:val="11993A94"/>
    <w:rsid w:val="119A6D6D"/>
    <w:rsid w:val="11AC7198"/>
    <w:rsid w:val="122907E8"/>
    <w:rsid w:val="12443874"/>
    <w:rsid w:val="127A0F0E"/>
    <w:rsid w:val="12854BA0"/>
    <w:rsid w:val="12AB56A1"/>
    <w:rsid w:val="12E7492B"/>
    <w:rsid w:val="12F4157F"/>
    <w:rsid w:val="12F72695"/>
    <w:rsid w:val="1319085D"/>
    <w:rsid w:val="131F61E1"/>
    <w:rsid w:val="138944F2"/>
    <w:rsid w:val="13AF4F03"/>
    <w:rsid w:val="141B2535"/>
    <w:rsid w:val="14736E66"/>
    <w:rsid w:val="147541B9"/>
    <w:rsid w:val="147F0D6F"/>
    <w:rsid w:val="147F458F"/>
    <w:rsid w:val="14BD6D92"/>
    <w:rsid w:val="14D958EC"/>
    <w:rsid w:val="151C4634"/>
    <w:rsid w:val="1534169A"/>
    <w:rsid w:val="153A4457"/>
    <w:rsid w:val="156C2EC6"/>
    <w:rsid w:val="15842905"/>
    <w:rsid w:val="15C03E03"/>
    <w:rsid w:val="15DD5B72"/>
    <w:rsid w:val="15E5351D"/>
    <w:rsid w:val="160873D2"/>
    <w:rsid w:val="162A25EB"/>
    <w:rsid w:val="164E4CC1"/>
    <w:rsid w:val="16FD2A55"/>
    <w:rsid w:val="17067C1A"/>
    <w:rsid w:val="17366761"/>
    <w:rsid w:val="177C01F0"/>
    <w:rsid w:val="17CE6630"/>
    <w:rsid w:val="17D62037"/>
    <w:rsid w:val="1844012A"/>
    <w:rsid w:val="186D2112"/>
    <w:rsid w:val="19403F0C"/>
    <w:rsid w:val="19A17E04"/>
    <w:rsid w:val="19A5109C"/>
    <w:rsid w:val="19B32412"/>
    <w:rsid w:val="1AB23A71"/>
    <w:rsid w:val="1AF23E6D"/>
    <w:rsid w:val="1AFF0AFE"/>
    <w:rsid w:val="1B351FAC"/>
    <w:rsid w:val="1B4F19F8"/>
    <w:rsid w:val="1B675ED9"/>
    <w:rsid w:val="1BA57132"/>
    <w:rsid w:val="1BFD52C8"/>
    <w:rsid w:val="1C18194D"/>
    <w:rsid w:val="1C192C9B"/>
    <w:rsid w:val="1C1E6EE4"/>
    <w:rsid w:val="1C226F03"/>
    <w:rsid w:val="1D2D677E"/>
    <w:rsid w:val="1D35537D"/>
    <w:rsid w:val="1D5C7CC4"/>
    <w:rsid w:val="1D6B43AB"/>
    <w:rsid w:val="1D9C075B"/>
    <w:rsid w:val="1DAF24EA"/>
    <w:rsid w:val="1DFF767F"/>
    <w:rsid w:val="1E0A7720"/>
    <w:rsid w:val="1E6A6411"/>
    <w:rsid w:val="1E85324A"/>
    <w:rsid w:val="1E8F5E77"/>
    <w:rsid w:val="1EBD3A16"/>
    <w:rsid w:val="1ECC44FA"/>
    <w:rsid w:val="1F063325"/>
    <w:rsid w:val="1F203EA9"/>
    <w:rsid w:val="1F457880"/>
    <w:rsid w:val="1F7237CF"/>
    <w:rsid w:val="1F75092B"/>
    <w:rsid w:val="1F9445B5"/>
    <w:rsid w:val="1F9C084C"/>
    <w:rsid w:val="1FBC5DF5"/>
    <w:rsid w:val="1FD60202"/>
    <w:rsid w:val="1FF90588"/>
    <w:rsid w:val="20003F5E"/>
    <w:rsid w:val="20140D2A"/>
    <w:rsid w:val="20492BE1"/>
    <w:rsid w:val="208A1342"/>
    <w:rsid w:val="209E3A28"/>
    <w:rsid w:val="20A57BD4"/>
    <w:rsid w:val="20B6593D"/>
    <w:rsid w:val="20C3623F"/>
    <w:rsid w:val="21423675"/>
    <w:rsid w:val="21781212"/>
    <w:rsid w:val="21962E15"/>
    <w:rsid w:val="21B83F86"/>
    <w:rsid w:val="21C75C1C"/>
    <w:rsid w:val="221178A8"/>
    <w:rsid w:val="221213CF"/>
    <w:rsid w:val="221C5C74"/>
    <w:rsid w:val="22327A92"/>
    <w:rsid w:val="227D77A3"/>
    <w:rsid w:val="2294314B"/>
    <w:rsid w:val="230C5B9D"/>
    <w:rsid w:val="231D53A2"/>
    <w:rsid w:val="232B2612"/>
    <w:rsid w:val="23403BE4"/>
    <w:rsid w:val="236D5383"/>
    <w:rsid w:val="23B7504C"/>
    <w:rsid w:val="2454390A"/>
    <w:rsid w:val="2455546D"/>
    <w:rsid w:val="24564E1D"/>
    <w:rsid w:val="245711E5"/>
    <w:rsid w:val="24571307"/>
    <w:rsid w:val="245A58F0"/>
    <w:rsid w:val="246A0F18"/>
    <w:rsid w:val="24B77ED6"/>
    <w:rsid w:val="25110A2A"/>
    <w:rsid w:val="25150ABC"/>
    <w:rsid w:val="25156BB8"/>
    <w:rsid w:val="25182B95"/>
    <w:rsid w:val="256C0944"/>
    <w:rsid w:val="25B108FE"/>
    <w:rsid w:val="25DB68A1"/>
    <w:rsid w:val="26061115"/>
    <w:rsid w:val="26446DE3"/>
    <w:rsid w:val="264509AD"/>
    <w:rsid w:val="267B618C"/>
    <w:rsid w:val="26812549"/>
    <w:rsid w:val="269669E7"/>
    <w:rsid w:val="26D7699F"/>
    <w:rsid w:val="26E0017C"/>
    <w:rsid w:val="27334D21"/>
    <w:rsid w:val="27407542"/>
    <w:rsid w:val="274243CE"/>
    <w:rsid w:val="278C564A"/>
    <w:rsid w:val="27DC037F"/>
    <w:rsid w:val="289A78F2"/>
    <w:rsid w:val="28B02089"/>
    <w:rsid w:val="28BE70AE"/>
    <w:rsid w:val="28C6049C"/>
    <w:rsid w:val="28F12EC9"/>
    <w:rsid w:val="29AB6A4E"/>
    <w:rsid w:val="29DA269C"/>
    <w:rsid w:val="2A032BFD"/>
    <w:rsid w:val="2B1F1E19"/>
    <w:rsid w:val="2B2F4C6A"/>
    <w:rsid w:val="2B404781"/>
    <w:rsid w:val="2B647D96"/>
    <w:rsid w:val="2B774624"/>
    <w:rsid w:val="2C583E50"/>
    <w:rsid w:val="2C6A7D6E"/>
    <w:rsid w:val="2C7A72BE"/>
    <w:rsid w:val="2C82282E"/>
    <w:rsid w:val="2C9A7D75"/>
    <w:rsid w:val="2CB216AE"/>
    <w:rsid w:val="2CC17412"/>
    <w:rsid w:val="2CC81AE1"/>
    <w:rsid w:val="2D0E010F"/>
    <w:rsid w:val="2DCD7B19"/>
    <w:rsid w:val="2DF67CC1"/>
    <w:rsid w:val="2E2B72CC"/>
    <w:rsid w:val="2E6C7CF6"/>
    <w:rsid w:val="2E9976CE"/>
    <w:rsid w:val="2F340AA1"/>
    <w:rsid w:val="2F401D3C"/>
    <w:rsid w:val="2F4B45C9"/>
    <w:rsid w:val="2F5B24E1"/>
    <w:rsid w:val="2F722492"/>
    <w:rsid w:val="2FA21EAE"/>
    <w:rsid w:val="2FA95C88"/>
    <w:rsid w:val="2FB475A5"/>
    <w:rsid w:val="2FE07B7F"/>
    <w:rsid w:val="3009298E"/>
    <w:rsid w:val="3041370F"/>
    <w:rsid w:val="306F4706"/>
    <w:rsid w:val="3070356C"/>
    <w:rsid w:val="308C2216"/>
    <w:rsid w:val="3102275C"/>
    <w:rsid w:val="31046534"/>
    <w:rsid w:val="312B50A3"/>
    <w:rsid w:val="313E5C07"/>
    <w:rsid w:val="318C4BC4"/>
    <w:rsid w:val="31E51F90"/>
    <w:rsid w:val="31F2079F"/>
    <w:rsid w:val="3207424B"/>
    <w:rsid w:val="323D7737"/>
    <w:rsid w:val="32453A27"/>
    <w:rsid w:val="3263064A"/>
    <w:rsid w:val="32A43132"/>
    <w:rsid w:val="32AC0C06"/>
    <w:rsid w:val="32B119E2"/>
    <w:rsid w:val="32D372B0"/>
    <w:rsid w:val="32D9144E"/>
    <w:rsid w:val="32FB3B27"/>
    <w:rsid w:val="33096899"/>
    <w:rsid w:val="33344EF5"/>
    <w:rsid w:val="337A0A4C"/>
    <w:rsid w:val="33A04957"/>
    <w:rsid w:val="34241494"/>
    <w:rsid w:val="34452E08"/>
    <w:rsid w:val="345D4CD2"/>
    <w:rsid w:val="34AA5B2B"/>
    <w:rsid w:val="34AA710F"/>
    <w:rsid w:val="34B36265"/>
    <w:rsid w:val="34B87A7E"/>
    <w:rsid w:val="34CF1A69"/>
    <w:rsid w:val="3537750C"/>
    <w:rsid w:val="3537798C"/>
    <w:rsid w:val="35AD335B"/>
    <w:rsid w:val="35BD118C"/>
    <w:rsid w:val="35C13FC9"/>
    <w:rsid w:val="35E0728C"/>
    <w:rsid w:val="364257B6"/>
    <w:rsid w:val="36631C6B"/>
    <w:rsid w:val="366E2AEA"/>
    <w:rsid w:val="36A52284"/>
    <w:rsid w:val="37A70123"/>
    <w:rsid w:val="37EA5922"/>
    <w:rsid w:val="37F50EF6"/>
    <w:rsid w:val="38276B93"/>
    <w:rsid w:val="388F6D48"/>
    <w:rsid w:val="38AC3431"/>
    <w:rsid w:val="38AE3672"/>
    <w:rsid w:val="38E5105E"/>
    <w:rsid w:val="3905700A"/>
    <w:rsid w:val="392F2E16"/>
    <w:rsid w:val="397C5741"/>
    <w:rsid w:val="398D2353"/>
    <w:rsid w:val="39BD0402"/>
    <w:rsid w:val="39E00529"/>
    <w:rsid w:val="3A0B64A7"/>
    <w:rsid w:val="3A39340F"/>
    <w:rsid w:val="3A574DDA"/>
    <w:rsid w:val="3A617697"/>
    <w:rsid w:val="3A80103E"/>
    <w:rsid w:val="3AA73588"/>
    <w:rsid w:val="3AC84793"/>
    <w:rsid w:val="3AD3075A"/>
    <w:rsid w:val="3ADE5EC6"/>
    <w:rsid w:val="3AF74C02"/>
    <w:rsid w:val="3B262614"/>
    <w:rsid w:val="3B710987"/>
    <w:rsid w:val="3C0059A5"/>
    <w:rsid w:val="3C134E78"/>
    <w:rsid w:val="3C5D0E77"/>
    <w:rsid w:val="3CB6184C"/>
    <w:rsid w:val="3CCC6628"/>
    <w:rsid w:val="3D0C4E0B"/>
    <w:rsid w:val="3D94624D"/>
    <w:rsid w:val="3D976036"/>
    <w:rsid w:val="3DAE7C70"/>
    <w:rsid w:val="3DBA03C3"/>
    <w:rsid w:val="3DBD494D"/>
    <w:rsid w:val="3DEC7285"/>
    <w:rsid w:val="3DF15DAF"/>
    <w:rsid w:val="3DF6345D"/>
    <w:rsid w:val="3DF77EB6"/>
    <w:rsid w:val="3E2B5515"/>
    <w:rsid w:val="3E4D4F28"/>
    <w:rsid w:val="3E500D27"/>
    <w:rsid w:val="3E7A51E9"/>
    <w:rsid w:val="3E8D1F7B"/>
    <w:rsid w:val="3E9571B9"/>
    <w:rsid w:val="3EE13701"/>
    <w:rsid w:val="3EEF0540"/>
    <w:rsid w:val="3F0A7128"/>
    <w:rsid w:val="3F1A4BB3"/>
    <w:rsid w:val="3F580527"/>
    <w:rsid w:val="40192BA6"/>
    <w:rsid w:val="40321273"/>
    <w:rsid w:val="403C5199"/>
    <w:rsid w:val="40727F0B"/>
    <w:rsid w:val="411F38FE"/>
    <w:rsid w:val="412B15D8"/>
    <w:rsid w:val="415A4C65"/>
    <w:rsid w:val="41635215"/>
    <w:rsid w:val="41766EA9"/>
    <w:rsid w:val="41EE06C6"/>
    <w:rsid w:val="42550A18"/>
    <w:rsid w:val="429D496A"/>
    <w:rsid w:val="42A963D4"/>
    <w:rsid w:val="42F473A1"/>
    <w:rsid w:val="43AC182F"/>
    <w:rsid w:val="43B9736F"/>
    <w:rsid w:val="43CF0940"/>
    <w:rsid w:val="43D47D05"/>
    <w:rsid w:val="43E17D70"/>
    <w:rsid w:val="43FD7920"/>
    <w:rsid w:val="441E62C0"/>
    <w:rsid w:val="444620F1"/>
    <w:rsid w:val="44556671"/>
    <w:rsid w:val="44627A06"/>
    <w:rsid w:val="44705C7F"/>
    <w:rsid w:val="44CE29A6"/>
    <w:rsid w:val="45325D14"/>
    <w:rsid w:val="455A06DD"/>
    <w:rsid w:val="4574179F"/>
    <w:rsid w:val="45811C7C"/>
    <w:rsid w:val="458F7C24"/>
    <w:rsid w:val="45906116"/>
    <w:rsid w:val="46004DE1"/>
    <w:rsid w:val="468B3EFB"/>
    <w:rsid w:val="470A6193"/>
    <w:rsid w:val="47385210"/>
    <w:rsid w:val="47613CD5"/>
    <w:rsid w:val="4783216D"/>
    <w:rsid w:val="47890416"/>
    <w:rsid w:val="47967477"/>
    <w:rsid w:val="47DC4F5C"/>
    <w:rsid w:val="48B40671"/>
    <w:rsid w:val="48E21116"/>
    <w:rsid w:val="49180694"/>
    <w:rsid w:val="492928A1"/>
    <w:rsid w:val="493A685C"/>
    <w:rsid w:val="493E581B"/>
    <w:rsid w:val="49506EA2"/>
    <w:rsid w:val="499A379E"/>
    <w:rsid w:val="499B5738"/>
    <w:rsid w:val="499F244D"/>
    <w:rsid w:val="49F3372F"/>
    <w:rsid w:val="4A221E38"/>
    <w:rsid w:val="4A3F31F8"/>
    <w:rsid w:val="4A40184C"/>
    <w:rsid w:val="4A585020"/>
    <w:rsid w:val="4A930494"/>
    <w:rsid w:val="4A956924"/>
    <w:rsid w:val="4A973F3F"/>
    <w:rsid w:val="4ABD7744"/>
    <w:rsid w:val="4ACF1226"/>
    <w:rsid w:val="4AF96BC7"/>
    <w:rsid w:val="4B5A416B"/>
    <w:rsid w:val="4B862A85"/>
    <w:rsid w:val="4BC82F36"/>
    <w:rsid w:val="4C3035DB"/>
    <w:rsid w:val="4C325706"/>
    <w:rsid w:val="4C40066C"/>
    <w:rsid w:val="4CA02CF2"/>
    <w:rsid w:val="4CEF36E2"/>
    <w:rsid w:val="4CEF4DC5"/>
    <w:rsid w:val="4D55429F"/>
    <w:rsid w:val="4D8C1650"/>
    <w:rsid w:val="4DEC26D8"/>
    <w:rsid w:val="4E0D2791"/>
    <w:rsid w:val="4E257655"/>
    <w:rsid w:val="4E2F2C3B"/>
    <w:rsid w:val="4E8E7871"/>
    <w:rsid w:val="4EAC1FAA"/>
    <w:rsid w:val="4EAF077C"/>
    <w:rsid w:val="4EC64474"/>
    <w:rsid w:val="4F3629AB"/>
    <w:rsid w:val="4F372380"/>
    <w:rsid w:val="4F372FFB"/>
    <w:rsid w:val="4F4421E2"/>
    <w:rsid w:val="4F5320EB"/>
    <w:rsid w:val="4F6C798B"/>
    <w:rsid w:val="500030A6"/>
    <w:rsid w:val="5025116D"/>
    <w:rsid w:val="508D4F4B"/>
    <w:rsid w:val="51511837"/>
    <w:rsid w:val="51D11D27"/>
    <w:rsid w:val="51FF77F8"/>
    <w:rsid w:val="52173BDE"/>
    <w:rsid w:val="52395ECD"/>
    <w:rsid w:val="52431936"/>
    <w:rsid w:val="52C10D75"/>
    <w:rsid w:val="52E23374"/>
    <w:rsid w:val="53081779"/>
    <w:rsid w:val="531D7AE8"/>
    <w:rsid w:val="532C7BB6"/>
    <w:rsid w:val="533F163E"/>
    <w:rsid w:val="53A3360A"/>
    <w:rsid w:val="53B316E5"/>
    <w:rsid w:val="53C27FF8"/>
    <w:rsid w:val="53EC32AF"/>
    <w:rsid w:val="543071D9"/>
    <w:rsid w:val="543665CF"/>
    <w:rsid w:val="543E7ADC"/>
    <w:rsid w:val="549E1A80"/>
    <w:rsid w:val="54BF6FE2"/>
    <w:rsid w:val="54C658F4"/>
    <w:rsid w:val="55005C33"/>
    <w:rsid w:val="550C4BD7"/>
    <w:rsid w:val="55172147"/>
    <w:rsid w:val="554C1D56"/>
    <w:rsid w:val="55572986"/>
    <w:rsid w:val="555E1333"/>
    <w:rsid w:val="55A979FD"/>
    <w:rsid w:val="55C062DD"/>
    <w:rsid w:val="563B6A02"/>
    <w:rsid w:val="565340FA"/>
    <w:rsid w:val="568B48DA"/>
    <w:rsid w:val="5723343E"/>
    <w:rsid w:val="573D7EAB"/>
    <w:rsid w:val="576C0528"/>
    <w:rsid w:val="5876212B"/>
    <w:rsid w:val="58E029EC"/>
    <w:rsid w:val="59E24AD2"/>
    <w:rsid w:val="5A2348F9"/>
    <w:rsid w:val="5A2F2CC8"/>
    <w:rsid w:val="5A9B3696"/>
    <w:rsid w:val="5AB346C0"/>
    <w:rsid w:val="5B0B44FC"/>
    <w:rsid w:val="5B556AB8"/>
    <w:rsid w:val="5B7D043B"/>
    <w:rsid w:val="5B9C33A6"/>
    <w:rsid w:val="5BA26962"/>
    <w:rsid w:val="5C10702D"/>
    <w:rsid w:val="5C152601"/>
    <w:rsid w:val="5C205D85"/>
    <w:rsid w:val="5C591F03"/>
    <w:rsid w:val="5C7E284D"/>
    <w:rsid w:val="5C8A1B2F"/>
    <w:rsid w:val="5C901728"/>
    <w:rsid w:val="5CCB5CF1"/>
    <w:rsid w:val="5D183972"/>
    <w:rsid w:val="5D8B722E"/>
    <w:rsid w:val="5D914004"/>
    <w:rsid w:val="5DED613B"/>
    <w:rsid w:val="5DEF5B8D"/>
    <w:rsid w:val="5DF55B8C"/>
    <w:rsid w:val="5DFE5C52"/>
    <w:rsid w:val="5E3F195D"/>
    <w:rsid w:val="5E613B0E"/>
    <w:rsid w:val="5E802B0B"/>
    <w:rsid w:val="5EB42026"/>
    <w:rsid w:val="5EB87D13"/>
    <w:rsid w:val="5EEE216B"/>
    <w:rsid w:val="5F561B72"/>
    <w:rsid w:val="5F6B37BB"/>
    <w:rsid w:val="5F8605F5"/>
    <w:rsid w:val="5FF7119A"/>
    <w:rsid w:val="600B26C3"/>
    <w:rsid w:val="606007BB"/>
    <w:rsid w:val="607246D5"/>
    <w:rsid w:val="60AC7F66"/>
    <w:rsid w:val="61113EEE"/>
    <w:rsid w:val="616B7AA3"/>
    <w:rsid w:val="61BF10D9"/>
    <w:rsid w:val="61DA3D4C"/>
    <w:rsid w:val="61F0599D"/>
    <w:rsid w:val="62160916"/>
    <w:rsid w:val="622413A9"/>
    <w:rsid w:val="622F0AD0"/>
    <w:rsid w:val="62361E5F"/>
    <w:rsid w:val="62774F17"/>
    <w:rsid w:val="62AC22DC"/>
    <w:rsid w:val="62F12229"/>
    <w:rsid w:val="637833E8"/>
    <w:rsid w:val="639037F0"/>
    <w:rsid w:val="63D4115E"/>
    <w:rsid w:val="64CD7548"/>
    <w:rsid w:val="64E45EF7"/>
    <w:rsid w:val="64F102BF"/>
    <w:rsid w:val="64FF464D"/>
    <w:rsid w:val="651644C7"/>
    <w:rsid w:val="651E6BDA"/>
    <w:rsid w:val="65426D6C"/>
    <w:rsid w:val="656B62C3"/>
    <w:rsid w:val="6596486A"/>
    <w:rsid w:val="65E12667"/>
    <w:rsid w:val="662912B4"/>
    <w:rsid w:val="663F32AC"/>
    <w:rsid w:val="664F7993"/>
    <w:rsid w:val="6691014E"/>
    <w:rsid w:val="669762C2"/>
    <w:rsid w:val="66C87CCE"/>
    <w:rsid w:val="66ED2D08"/>
    <w:rsid w:val="6714680B"/>
    <w:rsid w:val="672317E1"/>
    <w:rsid w:val="673D77EB"/>
    <w:rsid w:val="67584625"/>
    <w:rsid w:val="6760172C"/>
    <w:rsid w:val="677435B2"/>
    <w:rsid w:val="677456CA"/>
    <w:rsid w:val="679114C1"/>
    <w:rsid w:val="67EF75F1"/>
    <w:rsid w:val="67F24A7A"/>
    <w:rsid w:val="68134D5F"/>
    <w:rsid w:val="68365042"/>
    <w:rsid w:val="687234C5"/>
    <w:rsid w:val="687C54A8"/>
    <w:rsid w:val="69124F16"/>
    <w:rsid w:val="691A347C"/>
    <w:rsid w:val="69427A59"/>
    <w:rsid w:val="694A5205"/>
    <w:rsid w:val="69815A80"/>
    <w:rsid w:val="698F449D"/>
    <w:rsid w:val="69907037"/>
    <w:rsid w:val="69C42446"/>
    <w:rsid w:val="69CD5C14"/>
    <w:rsid w:val="69CF0D33"/>
    <w:rsid w:val="69F34AD9"/>
    <w:rsid w:val="6A1C5DDE"/>
    <w:rsid w:val="6A283FCE"/>
    <w:rsid w:val="6A384778"/>
    <w:rsid w:val="6A4E3ABD"/>
    <w:rsid w:val="6A8B4A13"/>
    <w:rsid w:val="6AD2649C"/>
    <w:rsid w:val="6B11594B"/>
    <w:rsid w:val="6B376C47"/>
    <w:rsid w:val="6B600F02"/>
    <w:rsid w:val="6B731183"/>
    <w:rsid w:val="6B9946B3"/>
    <w:rsid w:val="6BD9335E"/>
    <w:rsid w:val="6C07661A"/>
    <w:rsid w:val="6C335D5C"/>
    <w:rsid w:val="6C3A7223"/>
    <w:rsid w:val="6C516795"/>
    <w:rsid w:val="6C662189"/>
    <w:rsid w:val="6C7007C7"/>
    <w:rsid w:val="6C9107E3"/>
    <w:rsid w:val="6CAD0F6F"/>
    <w:rsid w:val="6CDE7428"/>
    <w:rsid w:val="6CEB12F7"/>
    <w:rsid w:val="6D483E21"/>
    <w:rsid w:val="6D7B106D"/>
    <w:rsid w:val="6D8560A4"/>
    <w:rsid w:val="6DAE2350"/>
    <w:rsid w:val="6DE76850"/>
    <w:rsid w:val="6E034799"/>
    <w:rsid w:val="6E1640F9"/>
    <w:rsid w:val="6E296D1B"/>
    <w:rsid w:val="6E34121C"/>
    <w:rsid w:val="6E423939"/>
    <w:rsid w:val="6E8B52E0"/>
    <w:rsid w:val="6EBC7B8F"/>
    <w:rsid w:val="6F2862D1"/>
    <w:rsid w:val="6F6759C1"/>
    <w:rsid w:val="6F925F92"/>
    <w:rsid w:val="6FB20BD4"/>
    <w:rsid w:val="6FB45D17"/>
    <w:rsid w:val="6FB650F7"/>
    <w:rsid w:val="6FBA59BE"/>
    <w:rsid w:val="70296B3E"/>
    <w:rsid w:val="704C0E05"/>
    <w:rsid w:val="70611204"/>
    <w:rsid w:val="70C1323B"/>
    <w:rsid w:val="70C25205"/>
    <w:rsid w:val="70E91FE8"/>
    <w:rsid w:val="71015309"/>
    <w:rsid w:val="71241A1C"/>
    <w:rsid w:val="71324139"/>
    <w:rsid w:val="714E1C11"/>
    <w:rsid w:val="719A3A8C"/>
    <w:rsid w:val="71B132B0"/>
    <w:rsid w:val="71CD79BE"/>
    <w:rsid w:val="71F15DA2"/>
    <w:rsid w:val="7251239D"/>
    <w:rsid w:val="725A21C1"/>
    <w:rsid w:val="72623BBD"/>
    <w:rsid w:val="73346EA4"/>
    <w:rsid w:val="733D0B73"/>
    <w:rsid w:val="73445350"/>
    <w:rsid w:val="735465E8"/>
    <w:rsid w:val="738329DB"/>
    <w:rsid w:val="73D51657"/>
    <w:rsid w:val="74240B0A"/>
    <w:rsid w:val="74D50BC0"/>
    <w:rsid w:val="74EB6AD9"/>
    <w:rsid w:val="74FA2C30"/>
    <w:rsid w:val="754D5C4B"/>
    <w:rsid w:val="755E374E"/>
    <w:rsid w:val="765608C9"/>
    <w:rsid w:val="76593F16"/>
    <w:rsid w:val="76C240A7"/>
    <w:rsid w:val="76F04B13"/>
    <w:rsid w:val="76FD0D45"/>
    <w:rsid w:val="770C71DA"/>
    <w:rsid w:val="775246B7"/>
    <w:rsid w:val="77AA5BFA"/>
    <w:rsid w:val="78061696"/>
    <w:rsid w:val="781E69D1"/>
    <w:rsid w:val="78281DF2"/>
    <w:rsid w:val="78A23952"/>
    <w:rsid w:val="78A730F6"/>
    <w:rsid w:val="78B7340B"/>
    <w:rsid w:val="78B867DD"/>
    <w:rsid w:val="79706276"/>
    <w:rsid w:val="797E44D4"/>
    <w:rsid w:val="7A0F55DA"/>
    <w:rsid w:val="7A263B6B"/>
    <w:rsid w:val="7A7C4677"/>
    <w:rsid w:val="7AA41B4F"/>
    <w:rsid w:val="7ACA3634"/>
    <w:rsid w:val="7AE75F94"/>
    <w:rsid w:val="7AF46346"/>
    <w:rsid w:val="7AF83CFD"/>
    <w:rsid w:val="7B0F54EB"/>
    <w:rsid w:val="7B0F5EBF"/>
    <w:rsid w:val="7B130FB9"/>
    <w:rsid w:val="7B697FFC"/>
    <w:rsid w:val="7B75534E"/>
    <w:rsid w:val="7BB06386"/>
    <w:rsid w:val="7BCB6C3C"/>
    <w:rsid w:val="7BD1454E"/>
    <w:rsid w:val="7BDA78A7"/>
    <w:rsid w:val="7BEB5610"/>
    <w:rsid w:val="7BEE3352"/>
    <w:rsid w:val="7BF64EDE"/>
    <w:rsid w:val="7C377D3A"/>
    <w:rsid w:val="7C3C5E6C"/>
    <w:rsid w:val="7C400C1E"/>
    <w:rsid w:val="7C635251"/>
    <w:rsid w:val="7C8C559B"/>
    <w:rsid w:val="7C947A56"/>
    <w:rsid w:val="7C9A2D33"/>
    <w:rsid w:val="7CB5616E"/>
    <w:rsid w:val="7CF361D0"/>
    <w:rsid w:val="7DB67EA0"/>
    <w:rsid w:val="7DBB1012"/>
    <w:rsid w:val="7DD11708"/>
    <w:rsid w:val="7DD411EF"/>
    <w:rsid w:val="7E21356B"/>
    <w:rsid w:val="7E4255B9"/>
    <w:rsid w:val="7E427099"/>
    <w:rsid w:val="7E722019"/>
    <w:rsid w:val="7E991353"/>
    <w:rsid w:val="7EBD579E"/>
    <w:rsid w:val="7EC167BD"/>
    <w:rsid w:val="7EED5B43"/>
    <w:rsid w:val="7F272D9E"/>
    <w:rsid w:val="7F5B485B"/>
    <w:rsid w:val="7F7E1E38"/>
    <w:rsid w:val="7F935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2"/>
    <w:link w:val="47"/>
    <w:qFormat/>
    <w:uiPriority w:val="9"/>
    <w:pPr>
      <w:keepNext/>
      <w:keepLines/>
      <w:spacing w:before="280" w:after="290" w:line="376" w:lineRule="auto"/>
      <w:outlineLvl w:val="4"/>
    </w:pPr>
    <w:rPr>
      <w:b/>
      <w:bCs/>
      <w:sz w:val="28"/>
      <w:szCs w:val="28"/>
    </w:rPr>
  </w:style>
  <w:style w:type="paragraph" w:styleId="8">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9"/>
    <w:qFormat/>
    <w:uiPriority w:val="0"/>
    <w:pPr>
      <w:jc w:val="left"/>
    </w:pPr>
  </w:style>
  <w:style w:type="paragraph" w:styleId="11">
    <w:name w:val="Body Text 3"/>
    <w:basedOn w:val="1"/>
    <w:link w:val="50"/>
    <w:unhideWhenUsed/>
    <w:qFormat/>
    <w:uiPriority w:val="99"/>
    <w:pPr>
      <w:spacing w:after="120"/>
    </w:pPr>
    <w:rPr>
      <w:sz w:val="16"/>
      <w:szCs w:val="16"/>
    </w:rPr>
  </w:style>
  <w:style w:type="paragraph" w:styleId="12">
    <w:name w:val="Body Text"/>
    <w:basedOn w:val="1"/>
    <w:next w:val="1"/>
    <w:link w:val="51"/>
    <w:unhideWhenUsed/>
    <w:qFormat/>
    <w:uiPriority w:val="0"/>
    <w:pPr>
      <w:spacing w:after="120"/>
    </w:pPr>
  </w:style>
  <w:style w:type="paragraph" w:styleId="13">
    <w:name w:val="Body Text Indent"/>
    <w:basedOn w:val="1"/>
    <w:link w:val="44"/>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next w:val="1"/>
    <w:link w:val="52"/>
    <w:qFormat/>
    <w:uiPriority w:val="0"/>
    <w:rPr>
      <w:rFonts w:ascii="宋体" w:hAnsi="Courier New"/>
      <w:kern w:val="0"/>
      <w:sz w:val="20"/>
      <w:szCs w:val="21"/>
    </w:rPr>
  </w:style>
  <w:style w:type="paragraph" w:styleId="17">
    <w:name w:val="Date"/>
    <w:basedOn w:val="1"/>
    <w:next w:val="1"/>
    <w:link w:val="53"/>
    <w:unhideWhenUsed/>
    <w:qFormat/>
    <w:uiPriority w:val="99"/>
    <w:pPr>
      <w:ind w:left="100" w:leftChars="2500"/>
    </w:pPr>
  </w:style>
  <w:style w:type="paragraph" w:styleId="18">
    <w:name w:val="Body Text Indent 2"/>
    <w:basedOn w:val="1"/>
    <w:qFormat/>
    <w:uiPriority w:val="0"/>
    <w:pPr>
      <w:spacing w:after="120" w:afterLines="0" w:line="480" w:lineRule="auto"/>
      <w:ind w:left="420" w:leftChars="200"/>
    </w:pPr>
  </w:style>
  <w:style w:type="paragraph" w:styleId="19">
    <w:name w:val="Balloon Text"/>
    <w:basedOn w:val="1"/>
    <w:link w:val="54"/>
    <w:semiHidden/>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kern w:val="0"/>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7">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0"/>
    <w:next w:val="10"/>
    <w:link w:val="57"/>
    <w:qFormat/>
    <w:uiPriority w:val="99"/>
    <w:rPr>
      <w:b/>
      <w:bCs/>
    </w:rPr>
  </w:style>
  <w:style w:type="paragraph" w:styleId="30">
    <w:name w:val="Body Text First Indent"/>
    <w:basedOn w:val="12"/>
    <w:qFormat/>
    <w:uiPriority w:val="0"/>
    <w:pPr>
      <w:ind w:firstLine="420" w:firstLineChars="100"/>
    </w:pPr>
  </w:style>
  <w:style w:type="paragraph" w:styleId="31">
    <w:name w:val="Body Text First Indent 2"/>
    <w:basedOn w:val="13"/>
    <w:qFormat/>
    <w:uiPriority w:val="0"/>
    <w:pPr>
      <w:ind w:firstLine="420" w:firstLineChars="200"/>
    </w:pPr>
    <w:rPr>
      <w:rFonts w:eastAsia="仿宋"/>
      <w:sz w:val="28"/>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qFormat/>
    <w:uiPriority w:val="0"/>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标题 3 Char"/>
    <w:link w:val="5"/>
    <w:qFormat/>
    <w:uiPriority w:val="9"/>
    <w:rPr>
      <w:b/>
      <w:bCs/>
      <w:kern w:val="2"/>
      <w:sz w:val="32"/>
      <w:szCs w:val="32"/>
    </w:rPr>
  </w:style>
  <w:style w:type="paragraph" w:customStyle="1" w:styleId="43">
    <w:name w:val="Body Text First Indent1"/>
    <w:basedOn w:val="12"/>
    <w:next w:val="1"/>
    <w:qFormat/>
    <w:uiPriority w:val="0"/>
    <w:pPr>
      <w:spacing w:after="120" w:afterLines="0"/>
      <w:ind w:firstLine="420" w:firstLineChars="100"/>
    </w:pPr>
    <w:rPr>
      <w:sz w:val="21"/>
    </w:rPr>
  </w:style>
  <w:style w:type="character" w:customStyle="1" w:styleId="44">
    <w:name w:val="正文文本缩进 Char"/>
    <w:link w:val="13"/>
    <w:qFormat/>
    <w:uiPriority w:val="0"/>
    <w:rPr>
      <w:rFonts w:ascii="仿宋_GB2312" w:hAnsi="Times New Roman" w:eastAsia="仿宋_GB2312" w:cs="Times New Roman"/>
      <w:sz w:val="32"/>
      <w:szCs w:val="20"/>
    </w:rPr>
  </w:style>
  <w:style w:type="character" w:customStyle="1" w:styleId="45">
    <w:name w:val="标题 1 Char"/>
    <w:link w:val="3"/>
    <w:qFormat/>
    <w:uiPriority w:val="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5 Char"/>
    <w:link w:val="7"/>
    <w:qFormat/>
    <w:uiPriority w:val="9"/>
    <w:rPr>
      <w:rFonts w:ascii="Times New Roman" w:hAnsi="Times New Roman"/>
      <w:b/>
      <w:bCs/>
      <w:kern w:val="2"/>
      <w:sz w:val="28"/>
      <w:szCs w:val="28"/>
    </w:rPr>
  </w:style>
  <w:style w:type="character" w:customStyle="1" w:styleId="48">
    <w:name w:val="标题 8 Char1"/>
    <w:link w:val="8"/>
    <w:qFormat/>
    <w:uiPriority w:val="9"/>
    <w:rPr>
      <w:rFonts w:ascii="等线 Light" w:hAnsi="等线 Light" w:eastAsia="等线 Light" w:cs="Times New Roman"/>
      <w:kern w:val="2"/>
      <w:sz w:val="24"/>
      <w:szCs w:val="24"/>
    </w:rPr>
  </w:style>
  <w:style w:type="character" w:customStyle="1" w:styleId="49">
    <w:name w:val="批注文字 Char1"/>
    <w:link w:val="10"/>
    <w:qFormat/>
    <w:uiPriority w:val="0"/>
    <w:rPr>
      <w:rFonts w:ascii="Times New Roman" w:hAnsi="Times New Roman"/>
      <w:kern w:val="2"/>
      <w:sz w:val="21"/>
      <w:szCs w:val="24"/>
    </w:rPr>
  </w:style>
  <w:style w:type="character" w:customStyle="1" w:styleId="50">
    <w:name w:val="正文文本 3 Char"/>
    <w:link w:val="11"/>
    <w:qFormat/>
    <w:uiPriority w:val="99"/>
    <w:rPr>
      <w:kern w:val="2"/>
      <w:sz w:val="16"/>
      <w:szCs w:val="16"/>
    </w:rPr>
  </w:style>
  <w:style w:type="character" w:customStyle="1" w:styleId="51">
    <w:name w:val="正文文本 Char1"/>
    <w:link w:val="12"/>
    <w:qFormat/>
    <w:uiPriority w:val="0"/>
    <w:rPr>
      <w:rFonts w:ascii="Times New Roman" w:hAnsi="Times New Roman"/>
      <w:kern w:val="2"/>
      <w:sz w:val="21"/>
      <w:szCs w:val="24"/>
    </w:rPr>
  </w:style>
  <w:style w:type="character" w:customStyle="1" w:styleId="52">
    <w:name w:val="纯文本 Char1"/>
    <w:link w:val="16"/>
    <w:qFormat/>
    <w:uiPriority w:val="0"/>
    <w:rPr>
      <w:rFonts w:ascii="宋体" w:hAnsi="Courier New" w:eastAsia="宋体" w:cs="Courier New"/>
      <w:szCs w:val="21"/>
    </w:rPr>
  </w:style>
  <w:style w:type="character" w:customStyle="1" w:styleId="53">
    <w:name w:val="日期 Char"/>
    <w:link w:val="17"/>
    <w:qFormat/>
    <w:uiPriority w:val="99"/>
    <w:rPr>
      <w:rFonts w:ascii="Times New Roman" w:hAnsi="Times New Roman"/>
      <w:kern w:val="2"/>
      <w:sz w:val="21"/>
      <w:szCs w:val="24"/>
    </w:rPr>
  </w:style>
  <w:style w:type="character" w:customStyle="1" w:styleId="54">
    <w:name w:val="批注框文本 Char"/>
    <w:link w:val="19"/>
    <w:semiHidden/>
    <w:qFormat/>
    <w:uiPriority w:val="0"/>
    <w:rPr>
      <w:kern w:val="2"/>
      <w:sz w:val="18"/>
      <w:szCs w:val="18"/>
    </w:rPr>
  </w:style>
  <w:style w:type="character" w:customStyle="1" w:styleId="55">
    <w:name w:val="页脚 Char"/>
    <w:link w:val="20"/>
    <w:qFormat/>
    <w:uiPriority w:val="99"/>
    <w:rPr>
      <w:sz w:val="18"/>
      <w:szCs w:val="18"/>
    </w:rPr>
  </w:style>
  <w:style w:type="character" w:customStyle="1" w:styleId="56">
    <w:name w:val="页眉 Char"/>
    <w:link w:val="21"/>
    <w:qFormat/>
    <w:uiPriority w:val="99"/>
    <w:rPr>
      <w:sz w:val="18"/>
      <w:szCs w:val="18"/>
    </w:rPr>
  </w:style>
  <w:style w:type="character" w:customStyle="1" w:styleId="57">
    <w:name w:val="批注主题 Char"/>
    <w:link w:val="29"/>
    <w:qFormat/>
    <w:uiPriority w:val="99"/>
    <w:rPr>
      <w:rFonts w:ascii="Times New Roman" w:hAnsi="Times New Roman"/>
      <w:b/>
      <w:bCs/>
      <w:kern w:val="2"/>
      <w:sz w:val="21"/>
      <w:szCs w:val="24"/>
    </w:rPr>
  </w:style>
  <w:style w:type="paragraph" w:customStyle="1" w:styleId="58">
    <w:name w:val="表格文字"/>
    <w:basedOn w:val="13"/>
    <w:next w:val="12"/>
    <w:qFormat/>
    <w:uiPriority w:val="0"/>
    <w:pPr>
      <w:adjustRightInd w:val="0"/>
      <w:spacing w:line="420" w:lineRule="atLeast"/>
      <w:jc w:val="left"/>
      <w:textAlignment w:val="baseline"/>
    </w:pPr>
    <w:rPr>
      <w:kern w:val="0"/>
    </w:rPr>
  </w:style>
  <w:style w:type="character" w:customStyle="1" w:styleId="59">
    <w:name w:val="批注文字 Char"/>
    <w:qFormat/>
    <w:uiPriority w:val="0"/>
    <w:rPr>
      <w:rFonts w:ascii="Times New Roman" w:hAnsi="Times New Roman"/>
      <w:kern w:val="2"/>
      <w:sz w:val="21"/>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未处理的提及"/>
    <w:unhideWhenUsed/>
    <w:qFormat/>
    <w:uiPriority w:val="99"/>
    <w:rPr>
      <w:color w:val="605E5C"/>
      <w:shd w:val="clear" w:color="auto" w:fill="E1DFDD"/>
    </w:rPr>
  </w:style>
  <w:style w:type="character" w:customStyle="1" w:styleId="62">
    <w:name w:val="标题 8 Char"/>
    <w:qFormat/>
    <w:uiPriority w:val="0"/>
    <w:rPr>
      <w:rFonts w:ascii="Arial" w:hAnsi="Arial" w:eastAsia="黑体"/>
      <w:kern w:val="2"/>
      <w:sz w:val="24"/>
      <w:szCs w:val="24"/>
    </w:rPr>
  </w:style>
  <w:style w:type="character" w:customStyle="1" w:styleId="63">
    <w:name w:val="apple-style-span"/>
    <w:qFormat/>
    <w:uiPriority w:val="0"/>
  </w:style>
  <w:style w:type="character" w:customStyle="1" w:styleId="64">
    <w:name w:val="textcontents"/>
    <w:qFormat/>
    <w:uiPriority w:val="0"/>
  </w:style>
  <w:style w:type="character" w:customStyle="1" w:styleId="65">
    <w:name w:val="批注文字 字符"/>
    <w:qFormat/>
    <w:uiPriority w:val="0"/>
    <w:rPr>
      <w:rFonts w:ascii="Times New Roman" w:hAnsi="Times New Roman"/>
      <w:kern w:val="2"/>
      <w:sz w:val="21"/>
      <w:szCs w:val="24"/>
    </w:rPr>
  </w:style>
  <w:style w:type="character" w:customStyle="1" w:styleId="66">
    <w:name w:val="纯文本 字符1"/>
    <w:qFormat/>
    <w:uiPriority w:val="0"/>
    <w:rPr>
      <w:rFonts w:ascii="宋体" w:hAnsi="Courier New"/>
    </w:rPr>
  </w:style>
  <w:style w:type="character" w:customStyle="1" w:styleId="67">
    <w:name w:val="正文文本 字符"/>
    <w:qFormat/>
    <w:uiPriority w:val="0"/>
    <w:rPr>
      <w:rFonts w:ascii="Times New Roman" w:hAnsi="Times New Roman"/>
      <w:kern w:val="2"/>
      <w:sz w:val="21"/>
      <w:szCs w:val="24"/>
    </w:rPr>
  </w:style>
  <w:style w:type="character" w:customStyle="1" w:styleId="68">
    <w:name w:val="标题 1 字符1"/>
    <w:qFormat/>
    <w:uiPriority w:val="0"/>
    <w:rPr>
      <w:b/>
      <w:bCs/>
      <w:kern w:val="44"/>
      <w:sz w:val="44"/>
      <w:szCs w:val="44"/>
    </w:rPr>
  </w:style>
  <w:style w:type="character" w:customStyle="1" w:styleId="69">
    <w:name w:val="正文2 Char Char"/>
    <w:link w:val="70"/>
    <w:qFormat/>
    <w:uiPriority w:val="0"/>
    <w:rPr>
      <w:sz w:val="24"/>
    </w:rPr>
  </w:style>
  <w:style w:type="paragraph" w:customStyle="1" w:styleId="70">
    <w:name w:val="正文2"/>
    <w:basedOn w:val="1"/>
    <w:link w:val="69"/>
    <w:qFormat/>
    <w:uiPriority w:val="0"/>
    <w:pPr>
      <w:adjustRightInd w:val="0"/>
      <w:spacing w:before="156" w:line="360" w:lineRule="auto"/>
      <w:ind w:firstLine="510" w:firstLineChars="200"/>
    </w:pPr>
    <w:rPr>
      <w:kern w:val="0"/>
      <w:sz w:val="24"/>
      <w:szCs w:val="20"/>
    </w:rPr>
  </w:style>
  <w:style w:type="character" w:customStyle="1" w:styleId="71">
    <w:name w:val="纯文本 Char"/>
    <w:qFormat/>
    <w:uiPriority w:val="99"/>
    <w:rPr>
      <w:rFonts w:ascii="宋体" w:hAnsi="Courier New" w:eastAsia="宋体" w:cs="Courier New"/>
      <w:szCs w:val="21"/>
    </w:rPr>
  </w:style>
  <w:style w:type="character" w:customStyle="1" w:styleId="72">
    <w:name w:val="纯文本 字符2"/>
    <w:qFormat/>
    <w:uiPriority w:val="0"/>
    <w:rPr>
      <w:rFonts w:ascii="宋体" w:hAnsi="Courier New" w:eastAsia="宋体" w:cs="Courier New"/>
      <w:szCs w:val="21"/>
    </w:rPr>
  </w:style>
  <w:style w:type="character" w:customStyle="1" w:styleId="73">
    <w:name w:val="纯文本 字符"/>
    <w:qFormat/>
    <w:uiPriority w:val="0"/>
    <w:rPr>
      <w:rFonts w:ascii="宋体" w:hAnsi="Courier New" w:eastAsia="宋体" w:cs="Courier New"/>
      <w:szCs w:val="21"/>
    </w:rPr>
  </w:style>
  <w:style w:type="character" w:customStyle="1" w:styleId="74">
    <w:name w:val="正文文本 Char"/>
    <w:qFormat/>
    <w:uiPriority w:val="0"/>
    <w:rPr>
      <w:rFonts w:ascii="Times New Roman" w:hAnsi="Times New Roman"/>
      <w:kern w:val="2"/>
      <w:sz w:val="21"/>
      <w:szCs w:val="24"/>
    </w:rPr>
  </w:style>
  <w:style w:type="character" w:customStyle="1" w:styleId="75">
    <w:name w:val="批注文字 字符1"/>
    <w:qFormat/>
    <w:uiPriority w:val="0"/>
    <w:rPr>
      <w:rFonts w:ascii="Times New Roman" w:hAnsi="Times New Roman"/>
      <w:kern w:val="2"/>
      <w:sz w:val="21"/>
      <w:szCs w:val="24"/>
    </w:rPr>
  </w:style>
  <w:style w:type="paragraph" w:customStyle="1" w:styleId="7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7">
    <w:name w:val="Char Char Char Char"/>
    <w:basedOn w:val="1"/>
    <w:qFormat/>
    <w:uiPriority w:val="0"/>
    <w:pPr>
      <w:widowControl/>
      <w:spacing w:after="160" w:line="240" w:lineRule="exact"/>
      <w:jc w:val="left"/>
    </w:p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正文1"/>
    <w:basedOn w:val="1"/>
    <w:qFormat/>
    <w:uiPriority w:val="0"/>
    <w:pPr>
      <w:adjustRightInd w:val="0"/>
      <w:spacing w:line="318" w:lineRule="atLeast"/>
      <w:ind w:left="369" w:firstLine="369"/>
      <w:textAlignment w:val="baseline"/>
    </w:pPr>
    <w:rPr>
      <w:szCs w:val="20"/>
    </w:rPr>
  </w:style>
  <w:style w:type="paragraph" w:styleId="82">
    <w:name w:val="List Paragraph"/>
    <w:basedOn w:val="1"/>
    <w:qFormat/>
    <w:uiPriority w:val="34"/>
    <w:pPr>
      <w:ind w:firstLine="420" w:firstLineChars="200"/>
    </w:pPr>
  </w:style>
  <w:style w:type="paragraph" w:customStyle="1" w:styleId="83">
    <w:name w:val="_Style 80"/>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4">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5">
    <w:name w:val="NormalCharacter"/>
    <w:qFormat/>
    <w:uiPriority w:val="0"/>
  </w:style>
  <w:style w:type="character" w:customStyle="1" w:styleId="86">
    <w:name w:val="普通文字 Char Char1"/>
    <w:qFormat/>
    <w:uiPriority w:val="0"/>
    <w:rPr>
      <w:rFonts w:ascii="宋体" w:hAnsi="Courier New" w:eastAsia="宋体"/>
      <w:kern w:val="2"/>
      <w:sz w:val="21"/>
      <w:lang w:val="en-US" w:eastAsia="zh-CN" w:bidi="ar-SA"/>
    </w:rPr>
  </w:style>
  <w:style w:type="paragraph" w:styleId="8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8">
    <w:name w:val="Table Text"/>
    <w:basedOn w:val="1"/>
    <w:semiHidden/>
    <w:qFormat/>
    <w:uiPriority w:val="0"/>
    <w:rPr>
      <w:rFonts w:ascii="宋体" w:hAnsi="宋体" w:eastAsia="宋体" w:cs="宋体"/>
      <w:sz w:val="19"/>
      <w:szCs w:val="19"/>
      <w:lang w:val="en-US" w:eastAsia="en-US" w:bidi="ar-SA"/>
    </w:rPr>
  </w:style>
  <w:style w:type="paragraph" w:customStyle="1" w:styleId="89">
    <w:name w:val="Default"/>
    <w:basedOn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List Paragraph2"/>
    <w:basedOn w:val="1"/>
    <w:qFormat/>
    <w:uiPriority w:val="99"/>
    <w:pPr>
      <w:ind w:firstLine="420" w:firstLineChars="200"/>
    </w:pPr>
    <w:rPr>
      <w:rFonts w:ascii="Times New Roman" w:hAnsi="Times New Roman"/>
      <w:szCs w:val="20"/>
    </w:rPr>
  </w:style>
  <w:style w:type="paragraph" w:customStyle="1" w:styleId="91">
    <w:name w:val="table of figures"/>
    <w:basedOn w:val="1"/>
    <w:next w:val="1"/>
    <w:qFormat/>
    <w:uiPriority w:val="0"/>
    <w:pPr>
      <w:ind w:left="200" w:leftChars="200" w:hanging="200" w:hangingChars="200"/>
    </w:pPr>
  </w:style>
  <w:style w:type="paragraph" w:customStyle="1" w:styleId="92">
    <w:name w:val="p15"/>
    <w:basedOn w:val="1"/>
    <w:qFormat/>
    <w:uiPriority w:val="0"/>
    <w:pPr>
      <w:widowControl/>
    </w:pPr>
    <w:rPr>
      <w:rFonts w:ascii="宋体" w:hAnsi="宋体" w:cs="宋体"/>
      <w:kern w:val="0"/>
      <w:szCs w:val="21"/>
    </w:rPr>
  </w:style>
  <w:style w:type="paragraph" w:customStyle="1" w:styleId="93">
    <w:name w:val="p0"/>
    <w:basedOn w:val="1"/>
    <w:qFormat/>
    <w:uiPriority w:val="0"/>
    <w:pPr>
      <w:widowControl/>
    </w:pPr>
    <w:rPr>
      <w:rFonts w:cs="Calibri"/>
      <w:kern w:val="0"/>
      <w:szCs w:val="21"/>
    </w:rPr>
  </w:style>
  <w:style w:type="paragraph" w:customStyle="1" w:styleId="94">
    <w:name w:val="Plain Text"/>
    <w:basedOn w:val="1"/>
    <w:next w:val="6"/>
    <w:qFormat/>
    <w:uiPriority w:val="0"/>
    <w:rPr>
      <w:rFonts w:hint="eastAsia" w:ascii="宋体" w:hAnsi="Courier New" w:eastAsia="宋体" w:cs="Times New Roman"/>
      <w:kern w:val="0"/>
      <w:sz w:val="20"/>
      <w:szCs w:val="21"/>
    </w:rPr>
  </w:style>
  <w:style w:type="paragraph" w:customStyle="1" w:styleId="9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66</Pages>
  <Words>903</Words>
  <Characters>1115</Characters>
  <Lines>2300</Lines>
  <Paragraphs>2168</Paragraphs>
  <TotalTime>234</TotalTime>
  <ScaleCrop>false</ScaleCrop>
  <LinksUpToDate>false</LinksUpToDate>
  <CharactersWithSpaces>1163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代理机构</cp:lastModifiedBy>
  <cp:lastPrinted>2024-06-05T08:30:00Z</cp:lastPrinted>
  <dcterms:modified xsi:type="dcterms:W3CDTF">2025-08-11T06:39:52Z</dcterms:modified>
  <dc:title>竞争性谈判文件规范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59327E408E7A41C885B9CEF29E8D81FE_13</vt:lpwstr>
  </property>
  <property fmtid="{D5CDD505-2E9C-101B-9397-08002B2CF9AE}" pid="4" name="KSOTemplateDocerSaveRecord">
    <vt:lpwstr>eyJoZGlkIjoiNjdhOGZkYWE3YzIzZWUyNDFiZWViZTAzNDE4MWIxNDMiLCJ1c2VySWQiOiIxNzExMjU2NTg1In0=</vt:lpwstr>
  </property>
</Properties>
</file>