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r>
        <w:rPr>
          <w:rStyle w:val="85"/>
          <w:rFonts w:hint="eastAsia" w:ascii="宋体" w:hAnsi="宋体" w:eastAsia="宋体" w:cs="宋体"/>
          <w:b w:val="0"/>
          <w:i w:val="0"/>
          <w:caps w:val="0"/>
          <w:color w:val="auto"/>
          <w:spacing w:val="0"/>
          <w:w w:val="100"/>
          <w:kern w:val="2"/>
          <w:sz w:val="72"/>
          <w:szCs w:val="72"/>
          <w:highlight w:val="none"/>
          <w:lang w:val="en-US" w:eastAsia="zh-CN" w:bidi="ar-SA"/>
        </w:rPr>
        <w:drawing>
          <wp:inline distT="0" distB="0" distL="114300" distR="114300">
            <wp:extent cx="2556510" cy="2078990"/>
            <wp:effectExtent l="0" t="0" r="15240"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556510" cy="2078990"/>
                    </a:xfrm>
                    <a:prstGeom prst="rect">
                      <a:avLst/>
                    </a:prstGeom>
                    <a:noFill/>
                    <a:ln>
                      <a:noFill/>
                    </a:ln>
                  </pic:spPr>
                </pic:pic>
              </a:graphicData>
            </a:graphic>
          </wp:inline>
        </w:drawing>
      </w:r>
    </w:p>
    <w:p w14:paraId="2E70F689">
      <w:pPr>
        <w:spacing w:before="165" w:beforeLines="50" w:line="360" w:lineRule="auto"/>
        <w:jc w:val="center"/>
        <w:rPr>
          <w:rFonts w:hint="eastAsia" w:ascii="宋体" w:hAnsi="宋体" w:eastAsia="宋体" w:cs="宋体"/>
          <w:color w:val="auto"/>
          <w:sz w:val="36"/>
          <w:szCs w:val="36"/>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left="2699" w:leftChars="568" w:right="0" w:rightChars="0" w:hanging="1506" w:hangingChars="5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柳州市柳江区中医医院2025-2027年度中药饮片代煎和配送服务采购项目</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项目编号：LZZC2025-C3-060049-GXJZ</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柳州市柳江区中医医院</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eastAsia="宋体" w:cs="宋体"/>
          <w:b/>
          <w:bCs/>
          <w:color w:val="auto"/>
          <w:kern w:val="0"/>
          <w:sz w:val="30"/>
          <w:szCs w:val="30"/>
          <w:highlight w:val="none"/>
          <w:lang w:eastAsia="zh-CN"/>
        </w:rPr>
        <w:t>广西景钲工程咨询有限公司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7</w:t>
      </w:r>
      <w:r>
        <w:rPr>
          <w:rFonts w:hint="eastAsia" w:ascii="宋体" w:hAnsi="宋体" w:eastAsia="宋体" w:cs="宋体"/>
          <w:b/>
          <w:bCs/>
          <w:color w:val="auto"/>
          <w:sz w:val="30"/>
          <w:szCs w:val="30"/>
          <w:highlight w:val="none"/>
          <w:lang w:val="en-US" w:eastAsia="zh-CN"/>
        </w:rPr>
        <w:t>月</w:t>
      </w:r>
    </w:p>
    <w:p w14:paraId="0E70EC7D">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1CAB792">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28359012"/>
      <w:bookmarkStart w:id="2" w:name="_Toc35393629"/>
      <w:bookmarkStart w:id="3" w:name="_Toc35393798"/>
      <w:bookmarkStart w:id="4" w:name="_Toc44229878"/>
      <w:bookmarkStart w:id="5" w:name="_Toc28359089"/>
      <w:bookmarkStart w:id="6" w:name="_Toc35393792"/>
      <w:bookmarkStart w:id="7" w:name="_Toc28359004"/>
      <w:bookmarkStart w:id="8" w:name="_Toc35393623"/>
      <w:bookmarkStart w:id="9" w:name="_Toc28359081"/>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柳州市柳江区中医医院2025-2027年度中药饮片代煎和配送服务采购项目</w:t>
      </w:r>
      <w:r>
        <w:rPr>
          <w:rFonts w:hint="eastAsia" w:ascii="宋体" w:hAnsi="宋体" w:eastAsia="宋体" w:cs="宋体"/>
          <w:color w:val="auto"/>
          <w:sz w:val="22"/>
          <w:szCs w:val="22"/>
          <w:highlight w:val="none"/>
        </w:rPr>
        <w:t>的潜在供应商应在广西政府采购云平台（https://www.gcy.zfcg.gxzf.gov.cn/）获取采购文件</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val="en-US" w:eastAsia="zh-CN"/>
        </w:rPr>
        <w:t>2025</w:t>
      </w:r>
      <w:r>
        <w:rPr>
          <w:rFonts w:hint="eastAsia" w:ascii="宋体" w:hAnsi="宋体" w:cs="宋体"/>
          <w:color w:val="auto"/>
          <w:sz w:val="22"/>
          <w:szCs w:val="22"/>
          <w:highlight w:val="none"/>
          <w:u w:val="single"/>
          <w:lang w:eastAsia="zh-CN"/>
        </w:rPr>
        <w:t>年</w:t>
      </w:r>
      <w:r>
        <w:rPr>
          <w:rFonts w:hint="eastAsia" w:ascii="宋体" w:hAnsi="宋体" w:cs="宋体"/>
          <w:color w:val="auto"/>
          <w:sz w:val="22"/>
          <w:szCs w:val="22"/>
          <w:highlight w:val="none"/>
          <w:u w:val="single"/>
          <w:lang w:val="en-US" w:eastAsia="zh-CN"/>
        </w:rPr>
        <w:t>7</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29</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项目编号：LZZC2025-C3-060049-GXJZ</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柳州市柳江区中医医院2025-2027年度中药饮片代煎和配送服务采购项目</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970700.00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：柳州市柳江区中医医院2025-2027年度中药饮片代煎和配送服务采购项目</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970700.00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简要规格描述或项目基本概况介绍、用途：中药饮片代煎和配送服务1项，具体内容详见采购文件第二章《采购需求》。</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合同履行期限：自合同签订生效之日起2年。</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备注：本项目为线上电子招标项目，有意向参与本项目的供应商应当做好参与全流程电子招投标交易的充分准备。</w:t>
      </w:r>
    </w:p>
    <w:p w14:paraId="6D689671">
      <w:pPr>
        <w:rPr>
          <w:rFonts w:hint="eastAsia" w:ascii="宋体" w:hAnsi="宋体" w:eastAsia="宋体" w:cs="宋体"/>
          <w:color w:val="auto"/>
          <w:sz w:val="22"/>
          <w:szCs w:val="22"/>
          <w:highlight w:val="none"/>
        </w:rPr>
      </w:pPr>
      <w:bookmarkStart w:id="10" w:name="_Toc35393799"/>
      <w:bookmarkStart w:id="11" w:name="_Toc28359090"/>
      <w:bookmarkStart w:id="12" w:name="_Toc35393630"/>
      <w:bookmarkStart w:id="13" w:name="_Toc28359013"/>
      <w:bookmarkStart w:id="14" w:name="_Toc44229879"/>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2.落实政府采购政策需满足的资格要求：</w:t>
      </w:r>
      <w:r>
        <w:rPr>
          <w:rFonts w:hint="eastAsia" w:ascii="宋体" w:hAnsi="宋体" w:cs="宋体"/>
          <w:color w:val="auto"/>
          <w:sz w:val="22"/>
          <w:szCs w:val="22"/>
          <w:highlight w:val="none"/>
          <w:lang w:val="en-US" w:eastAsia="zh-CN"/>
        </w:rPr>
        <w:t>无。</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3.本项目的特定资格要求：供应商必须具有有效的药品生产或经营许可证(许可范围包含中药饮片生产或医药批发)。</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28359082"/>
      <w:bookmarkStart w:id="16" w:name="_Toc28359005"/>
      <w:bookmarkStart w:id="17" w:name="_Toc35393624"/>
      <w:bookmarkStart w:id="18" w:name="_Toc35393793"/>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18</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25</w:t>
      </w:r>
      <w:r>
        <w:rPr>
          <w:rFonts w:hint="eastAsia" w:ascii="宋体" w:hAnsi="宋体" w:eastAsia="宋体" w:cs="宋体"/>
          <w:color w:val="auto"/>
          <w:sz w:val="22"/>
          <w:szCs w:val="22"/>
          <w:highlight w:val="none"/>
          <w:u w:val="none"/>
        </w:rPr>
        <w:t>日，每天上</w:t>
      </w:r>
      <w:r>
        <w:rPr>
          <w:rFonts w:hint="eastAsia" w:ascii="宋体" w:hAnsi="宋体" w:eastAsia="宋体" w:cs="宋体"/>
          <w:color w:val="auto"/>
          <w:sz w:val="22"/>
          <w:szCs w:val="22"/>
          <w:highlight w:val="none"/>
        </w:rPr>
        <w:t>午00:00至12:00，下午12:00至23:59（北京时间，法定节假日除外）。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：供应商登录广西政府采购云平台https://www.gcy.zfcg.gxzf.gov.cn/在线申请获取采购文件（进入“项目采购”应用，在获取采购文件菜单中选择项目，申请获取采购文件）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29</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20</w:t>
      </w:r>
      <w:r>
        <w:rPr>
          <w:rFonts w:hint="eastAsia" w:ascii="宋体" w:hAnsi="宋体" w:eastAsia="宋体" w:cs="宋体"/>
          <w:color w:val="auto"/>
          <w:kern w:val="0"/>
          <w:sz w:val="22"/>
          <w:szCs w:val="22"/>
          <w:highlight w:val="none"/>
          <w:lang w:eastAsia="zh-CN"/>
        </w:rPr>
        <w:t>（北京时间）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bCs/>
          <w:color w:val="auto"/>
          <w:sz w:val="22"/>
          <w:szCs w:val="22"/>
          <w:highlight w:val="none"/>
          <w:u w:val="none"/>
          <w:lang w:val="en-US" w:eastAsia="zh-CN"/>
        </w:rPr>
        <w:t>2025</w:t>
      </w:r>
      <w:r>
        <w:rPr>
          <w:rFonts w:hint="eastAsia" w:ascii="宋体" w:hAnsi="宋体" w:cs="宋体"/>
          <w:bCs/>
          <w:color w:val="auto"/>
          <w:sz w:val="22"/>
          <w:szCs w:val="22"/>
          <w:highlight w:val="none"/>
          <w:u w:val="none"/>
          <w:lang w:eastAsia="zh-CN"/>
        </w:rPr>
        <w:t>年</w:t>
      </w:r>
      <w:r>
        <w:rPr>
          <w:rFonts w:hint="eastAsia" w:ascii="宋体" w:hAnsi="宋体" w:cs="宋体"/>
          <w:bCs/>
          <w:color w:val="auto"/>
          <w:sz w:val="22"/>
          <w:szCs w:val="22"/>
          <w:highlight w:val="none"/>
          <w:u w:val="none"/>
          <w:lang w:val="en-US" w:eastAsia="zh-CN"/>
        </w:rPr>
        <w:t>7</w:t>
      </w:r>
      <w:r>
        <w:rPr>
          <w:rFonts w:hint="eastAsia" w:ascii="宋体" w:hAnsi="宋体" w:cs="宋体"/>
          <w:bCs/>
          <w:color w:val="auto"/>
          <w:sz w:val="22"/>
          <w:szCs w:val="22"/>
          <w:highlight w:val="none"/>
          <w:u w:val="none"/>
          <w:lang w:eastAsia="zh-CN"/>
        </w:rPr>
        <w:t>月</w:t>
      </w:r>
      <w:r>
        <w:rPr>
          <w:rFonts w:hint="eastAsia" w:ascii="宋体" w:hAnsi="宋体" w:cs="宋体"/>
          <w:bCs/>
          <w:color w:val="auto"/>
          <w:sz w:val="22"/>
          <w:szCs w:val="22"/>
          <w:highlight w:val="none"/>
          <w:u w:val="none"/>
          <w:lang w:val="en-US" w:eastAsia="zh-CN"/>
        </w:rPr>
        <w:t>29</w:t>
      </w:r>
      <w:r>
        <w:rPr>
          <w:rFonts w:hint="eastAsia" w:ascii="宋体" w:hAnsi="宋体" w:cs="宋体"/>
          <w:bCs/>
          <w:color w:val="auto"/>
          <w:sz w:val="22"/>
          <w:szCs w:val="22"/>
          <w:highlight w:val="none"/>
          <w:u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20</w:t>
      </w:r>
      <w:r>
        <w:rPr>
          <w:rFonts w:hint="eastAsia" w:ascii="宋体" w:hAnsi="宋体" w:eastAsia="宋体" w:cs="宋体"/>
          <w:color w:val="auto"/>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color w:val="auto"/>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28359084"/>
      <w:bookmarkStart w:id="20" w:name="_Toc35393625"/>
      <w:bookmarkStart w:id="21" w:name="_Toc35393794"/>
      <w:bookmarkStart w:id="22" w:name="_Toc28359007"/>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626"/>
      <w:bookmarkStart w:id="24" w:name="_Toc35393795"/>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本项目不收取磋商保证金</w:t>
      </w:r>
      <w:r>
        <w:rPr>
          <w:rFonts w:hint="eastAsia" w:ascii="宋体" w:hAnsi="宋体" w:eastAsia="宋体" w:cs="宋体"/>
          <w:color w:val="auto"/>
          <w:sz w:val="22"/>
          <w:szCs w:val="22"/>
          <w:highlight w:val="none"/>
        </w:rPr>
        <w:t>。</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95"/>
      <w:bookmarkStart w:id="26" w:name="_Hlk3742958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），点击右侧咨询小采，获取采小蜜智能服务管家帮助，或拨打广西政府采购云平台服务热线95763获取热线服务帮助。</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柳州市柳江区中医医院</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柳州市柳江区拉堡镇塘福路7号</w:t>
      </w:r>
    </w:p>
    <w:p w14:paraId="75B2385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cs="宋体"/>
          <w:color w:val="auto"/>
          <w:sz w:val="22"/>
          <w:szCs w:val="22"/>
          <w:highlight w:val="none"/>
          <w:u w:val="none"/>
          <w:lang w:eastAsia="zh-CN"/>
        </w:rPr>
        <w:t>项目联系人：吴世琴</w:t>
      </w:r>
      <w:bookmarkStart w:id="104" w:name="_GoBack"/>
      <w:bookmarkEnd w:id="104"/>
    </w:p>
    <w:p w14:paraId="71A51A9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项目联系方式：0772-7253975</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eastAsia="宋体" w:cs="宋体"/>
          <w:color w:val="auto"/>
          <w:sz w:val="22"/>
          <w:szCs w:val="22"/>
          <w:highlight w:val="none"/>
          <w:u w:val="none"/>
          <w:lang w:eastAsia="zh-CN"/>
        </w:rPr>
        <w:t>广西景钲工程咨询有限公司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柳州市静兰路东一巷19号静兰小区综合楼202室</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欧工</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eastAsia="宋体" w:cs="宋体"/>
          <w:color w:val="auto"/>
          <w:sz w:val="22"/>
          <w:szCs w:val="22"/>
          <w:highlight w:val="none"/>
          <w:u w:val="none"/>
          <w:lang w:eastAsia="zh-CN"/>
        </w:rPr>
        <w:t>0772-3601166</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1、本项目需求表中带有“▲”的技术参数或要求为实质性要求，必须满足，竞标响应不得低于该技术指标或要求。</w:t>
      </w:r>
    </w:p>
    <w:p w14:paraId="62F499E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仿宋" w:cs="宋体"/>
          <w:color w:val="auto"/>
          <w:sz w:val="22"/>
          <w:szCs w:val="22"/>
          <w:highlight w:val="none"/>
          <w:lang w:eastAsia="zh-CN"/>
        </w:rPr>
      </w:pPr>
      <w:r>
        <w:rPr>
          <w:rFonts w:hint="eastAsia" w:ascii="仿宋" w:hAnsi="仿宋" w:eastAsia="仿宋" w:cs="仿宋"/>
          <w:color w:val="auto"/>
          <w:sz w:val="22"/>
          <w:szCs w:val="22"/>
          <w:highlight w:val="none"/>
        </w:rPr>
        <w:t>2、供应商所竞标货物或服务如国家有强制性要求的按国家规定执行，若执行标准有修改或更新按最新版本执行。</w:t>
      </w:r>
    </w:p>
    <w:p w14:paraId="11F3FD78">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一、项目基本情况</w:t>
      </w:r>
    </w:p>
    <w:p w14:paraId="7A005AD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为持续优化患者就医服务流程，为患者提供更“便捷、高效”的就医服务体验，为更好地满足患者对中药代煎服务的需求，提高中医药服务能力和水平，结合医院实际情况及需要，遴选一家服务供应商，为我院提供2025-2027年度中药饮片代煎和配送服务。</w:t>
      </w:r>
    </w:p>
    <w:p w14:paraId="5F68977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服务内容：供应商按相关法律法规对采购人委托的中药处方调剂、煎煮，并将代煎成品按规定配送到采购人指定地点。目前我院平均每年约为患者提供约13万剂的中药饮片代煎服务，此数据仅为供应商提供报价参考，最终费用由双方按实际发生数量进行定期结算。</w:t>
      </w:r>
    </w:p>
    <w:p w14:paraId="631722D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(二)采购人可为供应商提供技术指导和支持，合同期内将定期派人员前往现场进行督察和指导、培训，确保项目顺利实施。</w:t>
      </w:r>
    </w:p>
    <w:p w14:paraId="5C3A77B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(三)采购人向供应商系统提供HIS接口，将患者需要代煎、配送服务的处方传输给供应商，供应商承担代煎服务系统对接、安装、运行、维护、升级等相关费用。</w:t>
      </w:r>
    </w:p>
    <w:p w14:paraId="433A7785">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(四)服务期限：自合同签订生效之日起2年。</w:t>
      </w:r>
    </w:p>
    <w:p w14:paraId="7BEC3DB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(五)预算金额：服务费预计97.07万元，代煎费单价预算为3.5元/付，按实际中药饮片处方付数收取代煎服务费用。</w:t>
      </w:r>
    </w:p>
    <w:p w14:paraId="753A0B30">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二、供应商经营条件要求</w:t>
      </w:r>
    </w:p>
    <w:p w14:paraId="200A775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须通过广西中药药事质控中心中药煎药资质评估小组评估并备案成功或者中标后45个日历日内能在项目所在地设立代煎场地并通过广西中药药事质控中心中药煎药资质评估小组评估和备案，且相关场地、设备及人员等须满足采购人煎煮业务量需求，如不能满足，采购人有权终止合同。（供应商在响应文件中提供备案成功凭证或承诺函，未提供视为负偏离）。</w:t>
      </w:r>
    </w:p>
    <w:p w14:paraId="64F7432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(二)能为采购人配备专用的中药饮片仓库，用于中药饮片的存储、养护。</w:t>
      </w:r>
    </w:p>
    <w:p w14:paraId="400EC54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供应商应有符合中药饮片调配要求的场地。为采购人配备专用的中药调配区域，宽敞、明亮，地面、墙面、屋顶平整、洁净、无污染、易清洁，有良好的通风、除尘及消防等设施。饮片调剂场地内须设置中药饮片库房、中药饮片调剂室。</w:t>
      </w:r>
    </w:p>
    <w:p w14:paraId="0F54743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(四)煎药场地面积应不小于800平方米，区域布局合理，能有效防止作业差错和交叉污染。需设置独立操作区、浸泡区、煎煮区、清洗区、储药区、更衣室等功能区域，将工作区与生活区进行严格区分。</w:t>
      </w:r>
    </w:p>
    <w:p w14:paraId="79AD8DB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(五)中药代煎汤剂分拣场地面积应不小于100平方米，区域布局合理，能有效防止作业差错和交叉污染。</w:t>
      </w:r>
    </w:p>
    <w:p w14:paraId="19BD4842">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三、供应商关键岗位人员资质要求</w:t>
      </w:r>
    </w:p>
    <w:p w14:paraId="0C91DCE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供应商应依据《医院中药房基本标准》配备饮片调配、质量检验等中药学专业技术人员，所配备人员资质符合国家法律法规对相应岗位的任职资格要求。</w:t>
      </w:r>
    </w:p>
    <w:p w14:paraId="4FDED0BD">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四、中药饮片采购、入库、验收、养护、使用等相关要求</w:t>
      </w:r>
    </w:p>
    <w:p w14:paraId="47C933C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(一)供应商应为采购人提供专用的中药饮片仓库，用于存储采购的中药饮片。</w:t>
      </w:r>
    </w:p>
    <w:p w14:paraId="10504D6A">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采购人采购的中药饮片，供应商应按照《医院中药饮片管理规范》相关规定进行出入库管理及保管养护并做好验收、保养记录；入库的中药饮片必须按批次留样备查；做好专用账册，保证账物相符，避免出现溢库或亏损情况，每个品种误差应控制在±5%以内。如果出现溢库或者亏损，客观、如实报告采购人，由采购人进行妥善处理，溢库饮片不得挪作他用。</w:t>
      </w:r>
    </w:p>
    <w:p w14:paraId="188DF208">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五、中药饮片调剂、煎煮质量要求</w:t>
      </w:r>
    </w:p>
    <w:p w14:paraId="379EBF4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(一)供应商须按照《医疗机构处方审核规范》等法规要求对委托煎药的处方进行审核，审核合格后方可调剂。</w:t>
      </w:r>
    </w:p>
    <w:p w14:paraId="42C0A64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供应商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14:paraId="6A802B5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(三)中药饮片调剂、加药等环节应全程在视频监控下进行，并对已完成调配、复核的每张处方进行拍照，重点环节相关视频和照片应留档备查。</w:t>
      </w:r>
    </w:p>
    <w:p w14:paraId="7A534DB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(四)供应商须按照《医疗机构中药煎药室管理规范》、《广西中药饮片代煎质量管理规范》建立“中药饮片煎煮”相关的管理制度，同时应建立“中药饮片煎煮”相关记录原始台账。</w:t>
      </w:r>
    </w:p>
    <w:p w14:paraId="1DD55F3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(五)供应商须按照《医疗机构中药煎药室管理规范》中相关规定要求完成中药饮片煎煮操作：</w:t>
      </w:r>
    </w:p>
    <w:p w14:paraId="49F711A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煎煮前应当浸泡饮片30分钟以上（药物置于煎药袋浸泡的应不少于40分钟），加水量应当浸过药面2-5cm；应根据不同方剂的功能主治和饮片功效选择煎煮方案。每剂药必须煎煮两次，再将两次药汁混合、浓缩、分装，煎煮过程中应搅拌药料2-3次（如使用自动化设备煎煮，应具有不少于两次的自动挤压药包操作步骤）。</w:t>
      </w:r>
    </w:p>
    <w:p w14:paraId="1E9CB36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2.在中药煎煮、混合、浓缩、分装过程中应当规范操作，减少细菌污染，保证代煎中药在2-10℃冰箱内可以存放15日不变质。</w:t>
      </w:r>
    </w:p>
    <w:p w14:paraId="792F474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3.凡注明有先煎、久煎、后下、另煎、烊化、包煎、煎汤代水等特殊要求的中药饮片，应当按照《医疗机构中药煎药室管理规范》或医嘱操作。</w:t>
      </w:r>
    </w:p>
    <w:p w14:paraId="3D024C2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六)包装好的药液应认真检查，确保药液包装袋无破漏，并根据处方，认真核对患者姓名、剂数、剂量、是否外用等信息。内服药与外用药应当使用不同的标签区分。每袋药液应有患者姓名、性别、年龄、药液量、服用方法等相关信息和标识。</w:t>
      </w:r>
    </w:p>
    <w:p w14:paraId="724D56B5">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六、物流配送服务质量要求</w:t>
      </w:r>
    </w:p>
    <w:p w14:paraId="246741A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(一)代煎中药汤剂由成交人按规定时间运送至采购人指定部门。运输的交通工具和盛装用具应符合医药运输规范。如因使用不规范交通工具和盛装用具，导致的不良后果，由成交人自行负责。</w:t>
      </w:r>
    </w:p>
    <w:p w14:paraId="5E7CA10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供应商提供免费配送服务，安排配送专员2名常驻医院，接受医院管理及工作安排，提供病区配送延伸服务，提供代煎中药储存条件。配送专员在院内活动及配送到患者指定位置时必须严格遵守采购人各项规章制度，不得做出有损采购人形象和利益的事情。送达后与采购人各科室接收人员交接时，应做好交接记录并签字确认留档。</w:t>
      </w:r>
    </w:p>
    <w:p w14:paraId="160ABBB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(三)成交人应按采购人要求，积极提升配送服务质量，避免因物流配送原因导致有损采购人形象和利益的事情。</w:t>
      </w:r>
    </w:p>
    <w:p w14:paraId="380B03F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(四)代煎中药汤剂配送至医院时间及地点：</w:t>
      </w:r>
    </w:p>
    <w:p w14:paraId="247A1A2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节假日配送时间按医院节假日工作安排执行，如遇特殊情况双方再进行协商，周一至周日供应商配送到医院时间：</w:t>
      </w:r>
    </w:p>
    <w:p w14:paraId="6BC362F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1.门诊代煎中药交付时间：</w:t>
      </w:r>
    </w:p>
    <w:p w14:paraId="167979F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00前发送的所有门诊处方，患者自取的须当日18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7901CAC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⑵采购人当日12:00—17:30的门诊处方，患者自取的须于次日上午11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6815E0B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⑶采购人当日17:30—24:00的门诊处方，患者自取的须于次日下午18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071BAE5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2.住院部代煎中药交付时间：</w:t>
      </w:r>
    </w:p>
    <w:p w14:paraId="7525A38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00以前的住院处方，应于当日下午18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30前送达医院的指定接收处集中存放；</w:t>
      </w:r>
    </w:p>
    <w:p w14:paraId="038B826A">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00—17:30的住院处方，应于次日11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30送达医院的指定接收处集中存放；</w:t>
      </w:r>
    </w:p>
    <w:p w14:paraId="00F6E92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⑶采购人当日17:30—24</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00的住院处方，应于次日下午18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30前送达医院的指定接收处集中存放；</w:t>
      </w:r>
    </w:p>
    <w:p w14:paraId="69556FF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3.急煎中药饮片代煎处方交付时间：三小时内送达医院相关临床科室。</w:t>
      </w:r>
    </w:p>
    <w:p w14:paraId="5646F9E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4.快递配送时效及地点范围</w:t>
      </w:r>
    </w:p>
    <w:p w14:paraId="3066520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需直接快递配送到患者指定地点，地点范围在柳州市及柳州市辖各县城、各乡都在免费配送范围内：</w:t>
      </w:r>
    </w:p>
    <w:p w14:paraId="49F6AAA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⑴柳州市中心城区范围送达时间：</w:t>
      </w:r>
    </w:p>
    <w:tbl>
      <w:tblPr>
        <w:tblStyle w:val="3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gridCol w:w="3743"/>
      </w:tblGrid>
      <w:tr w14:paraId="72E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trPr>
        <w:tc>
          <w:tcPr>
            <w:tcW w:w="5328" w:type="dxa"/>
          </w:tcPr>
          <w:p w14:paraId="45E622A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柳州市中心城区范围</w:t>
            </w:r>
          </w:p>
        </w:tc>
        <w:tc>
          <w:tcPr>
            <w:tcW w:w="3743" w:type="dxa"/>
          </w:tcPr>
          <w:p w14:paraId="0D98D0C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送达时间</w:t>
            </w:r>
          </w:p>
        </w:tc>
      </w:tr>
      <w:tr w14:paraId="56B7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tblHeader/>
        </w:trPr>
        <w:tc>
          <w:tcPr>
            <w:tcW w:w="5328" w:type="dxa"/>
            <w:vAlign w:val="center"/>
          </w:tcPr>
          <w:p w14:paraId="64B89C3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正南面：旧南环以内市区，不超过莲花客运站；</w:t>
            </w:r>
          </w:p>
          <w:p w14:paraId="58EEBB8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西南面：柳州市帽合动物园--柳州地区民族高中以内市区；</w:t>
            </w:r>
          </w:p>
          <w:p w14:paraId="2B77E8C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西面：瑞龙路以内市区；</w:t>
            </w:r>
          </w:p>
          <w:p w14:paraId="10B979A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北面：鹧鸪江大桥--北外环路以内；</w:t>
            </w:r>
          </w:p>
          <w:p w14:paraId="6576B26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东面：三门江大桥、古亭山、阳和大桥以内；</w:t>
            </w:r>
          </w:p>
          <w:p w14:paraId="464B0DD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柳江区：拉堡城区及基隆开发区</w:t>
            </w:r>
          </w:p>
          <w:p w14:paraId="3A5BD88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按区域分为：鱼峰区、城中区、柳南区、柳北区、柳江区。</w:t>
            </w:r>
          </w:p>
        </w:tc>
        <w:tc>
          <w:tcPr>
            <w:tcW w:w="3743" w:type="dxa"/>
            <w:vAlign w:val="center"/>
          </w:tcPr>
          <w:p w14:paraId="42D5418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①在当日12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00前登记邮寄的，则当日21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00点前送达。</w:t>
            </w:r>
          </w:p>
          <w:p w14:paraId="7B2309E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②在当日12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00--17</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30前登记邮寄的，则次日中午14</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00点前送达。</w:t>
            </w:r>
          </w:p>
          <w:p w14:paraId="01A3ABF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③在当日17</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30后登记邮寄的，则次日16</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00前送达。</w:t>
            </w:r>
          </w:p>
        </w:tc>
      </w:tr>
    </w:tbl>
    <w:p w14:paraId="2E73B3B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⑵柳州市外围城区及所辖县城（鹿寨县、融水县、融安县、三江县、柳城县、柳江区）送达时间。</w:t>
      </w:r>
    </w:p>
    <w:p w14:paraId="5760C34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当日15</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00前登记邮寄的，次日21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00前送达</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当日15</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00后登记邮寄的，从登记时间起48小时内送达。</w:t>
      </w:r>
    </w:p>
    <w:p w14:paraId="4F05052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⑶柳州市外围城区及所辖县城的乡、镇、村送达时效以到达柳州市外围城区及所辖县城的点部时间起算，多加12小时时效。</w:t>
      </w:r>
    </w:p>
    <w:p w14:paraId="3EACF57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5.快递配送地点范围在广西区内（除柳州地区外）的，需自行承担邮寄费用，从登记当天起算，3-4日送达。广西区外送达时效，寄递收费标准以快递派件为准，送达时间以快递派件时效为准。</w:t>
      </w:r>
    </w:p>
    <w:p w14:paraId="0FCE465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6.能为采购人提供柳州市范围内自煎中药饮片免费配送。</w:t>
      </w:r>
    </w:p>
    <w:p w14:paraId="0A5C01AC">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七、中药饮片煎煮售后服务质量需求</w:t>
      </w:r>
    </w:p>
    <w:p w14:paraId="4F1F394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(一)成交人应建立服务质量管控和评估考核体系，加强服务质量日常考核，做好自查自评和总结统计工作，并且每月向采购人指定管理部门如实汇报工作情况。</w:t>
      </w:r>
    </w:p>
    <w:p w14:paraId="4A5B319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(二)服务过程中发生的投诉、不良反应和服务质量等问题，由成交人及时妥善处理并详细记录，同时应在半小时向采购人药剂科如实反馈。</w:t>
      </w:r>
    </w:p>
    <w:p w14:paraId="2A0AA1E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(三)成交人应按《广西中药饮片代煎质量管理规范（试行）》和《医疗机构中药煎药室管理规范》中相应条款要求接受检查。</w:t>
      </w:r>
    </w:p>
    <w:p w14:paraId="2CBFD1C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(四)成交人应制定详细的安全事故应急预案及代煎成品运输、配送应急预案，保证发生突发事故时能及时应对，以保障采购人、患者的用药需求。</w:t>
      </w:r>
    </w:p>
    <w:p w14:paraId="7111E212">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default" w:ascii="宋体" w:hAnsi="宋体" w:eastAsia="宋体" w:cs="宋体"/>
          <w:b w:val="0"/>
          <w:bCs w:val="0"/>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八</w:t>
      </w:r>
      <w:r>
        <w:rPr>
          <w:rFonts w:hint="eastAsia" w:ascii="宋体" w:hAnsi="宋体" w:eastAsia="宋体" w:cs="宋体"/>
          <w:b/>
          <w:bCs/>
          <w:color w:val="auto"/>
          <w:spacing w:val="3"/>
          <w:sz w:val="21"/>
          <w:szCs w:val="21"/>
          <w:highlight w:val="none"/>
          <w:lang w:val="en-US" w:eastAsia="zh-CN"/>
        </w:rPr>
        <w:t>、投标人必须遵循</w:t>
      </w:r>
      <w:r>
        <w:rPr>
          <w:rFonts w:hint="eastAsia" w:ascii="宋体" w:hAnsi="宋体" w:cs="宋体"/>
          <w:b/>
          <w:bCs/>
          <w:color w:val="auto"/>
          <w:spacing w:val="3"/>
          <w:sz w:val="21"/>
          <w:szCs w:val="21"/>
          <w:highlight w:val="none"/>
          <w:lang w:val="en-US" w:eastAsia="zh-CN"/>
        </w:rPr>
        <w:t>的规定</w:t>
      </w:r>
    </w:p>
    <w:p w14:paraId="3307143D">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投标人必须遵循下列管理规定及本级或上级卫生管理部门对中药饮片的调剂、煎煮等相关规定（如相关规定更新则按最新的规定执行），包括：</w:t>
      </w:r>
    </w:p>
    <w:p w14:paraId="785161F7">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1.《医院中药饮片管理规范》（国中医药发〔2007〕11号）；</w:t>
      </w:r>
    </w:p>
    <w:p w14:paraId="06FB5F12">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2.《医疗机构处方审核规范》（国卫办医发〔2018〕14号）；</w:t>
      </w:r>
    </w:p>
    <w:p w14:paraId="6ED2B00F">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3.《广西中药饮片代煎质量管理规范》（2021年5月26日印发）；</w:t>
      </w:r>
    </w:p>
    <w:p w14:paraId="1D6C2A70">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4.《医疗机构中药煎药室管理规范》（国中医药发〔2009〕3号）；</w:t>
      </w:r>
    </w:p>
    <w:p w14:paraId="19B34B7D">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5.《医院中药房基本标准》（国中医药发〔2009〕4号）；</w:t>
      </w:r>
    </w:p>
    <w:p w14:paraId="27799377">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6.《广西壮族自治区中药饮片炮制规范》（广西壮族自治区食品药品监督管理局编，广西科学技术出版社出版，ISBN 978-7-8066-865-8/R·168）；</w:t>
      </w:r>
    </w:p>
    <w:p w14:paraId="4B942949">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7.《广西壮族自治区中药饮片处方用名与调剂给付规定》（桂卫中〔2009〕35号）。</w:t>
      </w:r>
    </w:p>
    <w:p w14:paraId="42DDE7F5">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九</w:t>
      </w:r>
      <w:r>
        <w:rPr>
          <w:rFonts w:hint="eastAsia" w:ascii="宋体" w:hAnsi="宋体" w:eastAsia="宋体" w:cs="宋体"/>
          <w:b/>
          <w:bCs/>
          <w:color w:val="auto"/>
          <w:spacing w:val="3"/>
          <w:sz w:val="21"/>
          <w:szCs w:val="21"/>
          <w:highlight w:val="none"/>
          <w:lang w:val="en-US" w:eastAsia="zh-CN"/>
        </w:rPr>
        <w:t>、商务要求</w:t>
      </w:r>
    </w:p>
    <w:p w14:paraId="1D3F9DD6">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(一)报价要求</w:t>
      </w:r>
    </w:p>
    <w:p w14:paraId="2AF4A6C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1.供应商应当充分考虑市场价格变动和自身实际情况进行报价，并承诺所报固定单价在合同期内有效。供应商认为必须的费用应综合考虑在报价中，在合同期间，采购人将不予调整单价。</w:t>
      </w:r>
    </w:p>
    <w:p w14:paraId="4A22498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供应商的报价须包括：本项目为包干报价，即应包括成交人对中药饮片进行合理保管存储、搬运、调剂、煎煮费用，人工劳务费、加班费、税费、代煎中药汤剂按规定送达采购人指定地点的运输费、装卸搬运费以及有可能发生的所有费用。除了本项目报价，采购人不再另外支付任何费用。</w:t>
      </w:r>
    </w:p>
    <w:p w14:paraId="6635C1A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3.最终费用按实际代煎数量，由双方核对后，定期结算。</w:t>
      </w:r>
    </w:p>
    <w:p w14:paraId="2C780465">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二</w:t>
      </w:r>
      <w:r>
        <w:rPr>
          <w:rFonts w:hint="eastAsia" w:ascii="宋体" w:hAnsi="宋体" w:eastAsia="宋体" w:cs="宋体"/>
          <w:b/>
          <w:bCs/>
          <w:color w:val="auto"/>
          <w:spacing w:val="3"/>
          <w:sz w:val="21"/>
          <w:szCs w:val="21"/>
          <w:highlight w:val="none"/>
          <w:lang w:val="en-US" w:eastAsia="zh-CN"/>
        </w:rPr>
        <w:t>)服务期限：</w:t>
      </w:r>
      <w:r>
        <w:rPr>
          <w:rFonts w:hint="eastAsia" w:ascii="宋体" w:hAnsi="宋体" w:eastAsia="宋体" w:cs="宋体"/>
          <w:b w:val="0"/>
          <w:bCs w:val="0"/>
          <w:color w:val="auto"/>
          <w:spacing w:val="3"/>
          <w:sz w:val="21"/>
          <w:szCs w:val="21"/>
          <w:highlight w:val="none"/>
          <w:lang w:val="en-US" w:eastAsia="zh-CN"/>
        </w:rPr>
        <w:t>自合同签订生效之日起2年。</w:t>
      </w:r>
    </w:p>
    <w:p w14:paraId="247A5DBD">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三</w:t>
      </w:r>
      <w:r>
        <w:rPr>
          <w:rFonts w:hint="eastAsia" w:ascii="宋体" w:hAnsi="宋体" w:eastAsia="宋体" w:cs="宋体"/>
          <w:b/>
          <w:bCs/>
          <w:color w:val="auto"/>
          <w:spacing w:val="3"/>
          <w:sz w:val="21"/>
          <w:szCs w:val="21"/>
          <w:highlight w:val="none"/>
          <w:lang w:val="en-US" w:eastAsia="zh-CN"/>
        </w:rPr>
        <w:t>)违约责任</w:t>
      </w:r>
    </w:p>
    <w:p w14:paraId="4C1EBE9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收到采购人发出的订单通知后拒绝供货的，每出现一次，供应商应及时改正并向采购人支付人民币500元的违约金，给采购人或第三方造成损失的还应负责赔偿；累计出现3次的，采购人有权终止合同，除应向采购人支付人民币伍万元的违约金外，给采购人或第三方造成损失的应负责赔偿；采购人有权从应支付费用中优先扣除上述违约金。</w:t>
      </w:r>
    </w:p>
    <w:p w14:paraId="6B49ADF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所供代煎成品因药品质量不符合合同约定的，每出现一次，应及时为采购人更换并向采购人支付人民币壹万元违约金，给采购人或第三方造成损失的供应商应负责赔偿；累计出现3次的，采购人有权终止合同，除应向采购人支付人民币伍万元的违约金外，给采购人或第三方造成损失的应负责赔偿；采购人有权从应支付的费用中优先扣除上述违约金；违反相关法律法规的，按相关法律规定交有关部门处理。</w:t>
      </w:r>
    </w:p>
    <w:p w14:paraId="7CFACC9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3.采购人每月不定期到现场检查，出现下列情况按所供代煎药物质量不合格处罚：</w:t>
      </w:r>
    </w:p>
    <w:p w14:paraId="02249CD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⑴处方审核、调剂复核率未达到100%；</w:t>
      </w:r>
    </w:p>
    <w:p w14:paraId="722BA603">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⑵现场抽查每付重量误差应在±5%以内；</w:t>
      </w:r>
    </w:p>
    <w:p w14:paraId="6079447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⑶代煎药物未先行浸泡、浸泡用水不符合规定的、或浸泡时间少于30分钟。</w:t>
      </w:r>
    </w:p>
    <w:p w14:paraId="673CFFD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⑷代煎中药没有二次煎煮，或者仅采用密闭微压煎煮的方式煎煮代煎中药；</w:t>
      </w:r>
    </w:p>
    <w:p w14:paraId="7C59CE7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⑸凡注明有先煎、久煎、后下、另煎、烊化、包煎、煎汤代水等特殊要求的中药饮片，未按照规范要求或医嘱操作。</w:t>
      </w:r>
    </w:p>
    <w:p w14:paraId="238BF61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收到采购人发出的订单通知后，未按合同约定时间及时将代煎成品送达的，每延迟一小时，应向采购人支付人民币伍佰元的违约金，给采购人或第三方造成损失的供应商还应负责赔偿；如在一个月内迟延供货累计出现5次的，采购人有权终止合同，除应向采购人支付人民币壹拾万元的违约金外，给采购人或第三方造成损失的应负责赔偿，采购人有权从应支付的费用中优先扣除上述违约金。</w:t>
      </w:r>
    </w:p>
    <w:p w14:paraId="3781666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5.采购人定期或不定期邀请医院药师、医生、患者等组成评审小组对工作进行满意度调查，如调查满意度低于85%，采购人有权要求供应商整改，满意度连续三次低于85%且拒不整改时，采购人有权终止合同。</w:t>
      </w:r>
    </w:p>
    <w:p w14:paraId="5F1C0C5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如发现使用假、劣中药进行调剂、煎煮，或者代煎方原因导致中药饮片处方调配差错，引发事故，所引起的一切法律责任由代煎方承担，采购人有权终止合同，除应向采购人支付人民币壹拾万元的违约金外，给采购人或第三方造成损失的供应商应负责赔偿，采购人有权从应支付费用中优先扣除上述违约金。</w:t>
      </w:r>
    </w:p>
    <w:p w14:paraId="4C0308D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7.若发现从事处方调配及审核人员不具备专业资格，非法执业，采购人有权终止合同。</w:t>
      </w:r>
    </w:p>
    <w:p w14:paraId="660A51B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8.如因代煎方违反国家、行政主管等部门的规定，而给采购人造成不良影响或损失的，或因代煎方工作失误而给患者造成损失的，采购人有权要求供应商承担违约责任并承担采购人因此而造成的损失。采购人根据其所造成影响予以处理，并根据其严重程度有权终止合同。</w:t>
      </w:r>
    </w:p>
    <w:p w14:paraId="60DD0084">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四</w:t>
      </w:r>
      <w:r>
        <w:rPr>
          <w:rFonts w:hint="eastAsia" w:ascii="宋体" w:hAnsi="宋体" w:eastAsia="宋体" w:cs="宋体"/>
          <w:b/>
          <w:bCs/>
          <w:color w:val="auto"/>
          <w:spacing w:val="3"/>
          <w:sz w:val="21"/>
          <w:szCs w:val="21"/>
          <w:highlight w:val="none"/>
          <w:lang w:val="en-US" w:eastAsia="zh-CN"/>
        </w:rPr>
        <w:t>)付款方式</w:t>
      </w:r>
    </w:p>
    <w:p w14:paraId="643DD8E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1.成交人每月10日前将上月煎煮中心服务的代煎费按照双方约定的方式同采购人指定部门进行对账。</w:t>
      </w:r>
    </w:p>
    <w:p w14:paraId="72B85975">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2.成交人每月10日前将上月代煎费用结算清单和发票交付给采购人，采购人应在收到结算清单和发票后6个月内付款给成交人。</w:t>
      </w:r>
    </w:p>
    <w:p w14:paraId="4E8ACD1E">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五</w:t>
      </w:r>
      <w:r>
        <w:rPr>
          <w:rFonts w:hint="eastAsia" w:ascii="宋体" w:hAnsi="宋体" w:eastAsia="宋体" w:cs="宋体"/>
          <w:b/>
          <w:bCs/>
          <w:color w:val="auto"/>
          <w:spacing w:val="3"/>
          <w:sz w:val="21"/>
          <w:szCs w:val="21"/>
          <w:highlight w:val="none"/>
          <w:lang w:val="en-US" w:eastAsia="zh-CN"/>
        </w:rPr>
        <w:t>)验收标准及售后服务要求</w:t>
      </w:r>
    </w:p>
    <w:p w14:paraId="7BB76F8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1.验收按照国家标准或行业标准；合作期内产品质量出现问题，供应商有义务协助采购人处理。</w:t>
      </w:r>
    </w:p>
    <w:p w14:paraId="177C9BEC">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3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2.处理问题响应时间：接到采购人电话通知后30分钟内响应，3小时内到达采购人指定现场处理问题。</w:t>
      </w:r>
    </w:p>
    <w:p w14:paraId="5CBF86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1241"/>
        <w:gridCol w:w="7474"/>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（必须提供，否则响应文件按无效响应处理）</w:t>
            </w:r>
          </w:p>
          <w:p w14:paraId="74B3FA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9B6147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.供应商必须具有有效的药品生产或经营许可证(许可范围包含中药饮片生产或医药批发)</w:t>
            </w:r>
            <w:r>
              <w:rPr>
                <w:rFonts w:hint="eastAsia" w:ascii="宋体" w:hAnsi="宋体" w:eastAsia="宋体"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（必须提供，否则作无效投标处理）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2.服务方案（由竞标人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3.售后服务方案；</w:t>
            </w:r>
            <w:r>
              <w:rPr>
                <w:rFonts w:hint="eastAsia" w:ascii="宋体" w:hAnsi="宋体" w:eastAsia="宋体" w:cs="宋体"/>
                <w:b/>
                <w:color w:val="auto"/>
                <w:sz w:val="22"/>
                <w:szCs w:val="22"/>
                <w:highlight w:val="none"/>
              </w:rPr>
              <w:t>（必须提供，否则作无效投标处理）</w:t>
            </w:r>
            <w:r>
              <w:rPr>
                <w:rFonts w:hint="eastAsia" w:ascii="宋体" w:hAnsi="宋体" w:eastAsia="宋体" w:cs="宋体"/>
                <w:b/>
                <w:color w:val="auto"/>
                <w:sz w:val="22"/>
                <w:szCs w:val="22"/>
                <w:highlight w:val="none"/>
                <w:lang w:eastAsia="zh-CN"/>
              </w:rPr>
              <w:t>；</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r>
              <w:rPr>
                <w:rFonts w:hint="eastAsia" w:ascii="宋体" w:hAnsi="宋体" w:eastAsia="宋体" w:cs="宋体"/>
                <w:b/>
                <w:color w:val="auto"/>
                <w:sz w:val="22"/>
                <w:szCs w:val="22"/>
                <w:highlight w:val="none"/>
                <w:lang w:eastAsia="zh-CN"/>
              </w:rPr>
              <w:t>（必须提供，否则作无效投标处理）；</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BC851E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i/>
                <w:iCs/>
                <w:color w:val="auto"/>
                <w:sz w:val="22"/>
                <w:szCs w:val="22"/>
                <w:highlight w:val="none"/>
                <w:u w:val="singl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0F9EB73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sz w:val="22"/>
                <w:szCs w:val="22"/>
                <w:highlight w:val="none"/>
                <w:u w:val="none"/>
                <w:lang w:val="en-US" w:eastAsia="zh-CN"/>
              </w:rPr>
              <w:t>3.中小企业声明函（或残疾人福利性单位声明函或监狱企业证明文件）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710A3119">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不收取</w:t>
            </w:r>
            <w:r>
              <w:rPr>
                <w:rFonts w:hint="eastAsia" w:ascii="宋体" w:hAnsi="宋体" w:eastAsia="宋体" w:cs="宋体"/>
                <w:color w:val="auto"/>
                <w:sz w:val="22"/>
                <w:szCs w:val="22"/>
                <w:highlight w:val="none"/>
                <w:lang w:val="en-US" w:eastAsia="zh-CN"/>
              </w:rPr>
              <w:t>磋商保证金</w:t>
            </w:r>
            <w:r>
              <w:rPr>
                <w:rFonts w:hint="eastAsia" w:ascii="宋体" w:hAnsi="宋体" w:eastAsia="宋体" w:cs="宋体"/>
                <w:color w:val="auto"/>
                <w:sz w:val="22"/>
                <w:szCs w:val="22"/>
                <w:highlight w:val="none"/>
              </w:rPr>
              <w:t>。</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供应商在在线上传加密文件后可以在开标前向代理机构提供加密副本文件（与加密文件同时生成的），当解密时间内供应商由于非人为操作导致无法解密的，可以由代理机构用备份文件进行异常处理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7D862F6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按照提交首次响应文件的顺序，通知磋商时，若某供应商不在通知现场时，该供应商排序到最后磋商，按照签到的顺序由其下一位供应商先参与磋商。</w:t>
            </w:r>
          </w:p>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成交供应商领取电子成交通知书后，在规定的日期、时间、地点，由法定代表人或其授权代表与采购人代表签订电子采购合同。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广西景钲工程咨询有限公司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eastAsia="宋体" w:cs="宋体"/>
                <w:color w:val="auto"/>
                <w:sz w:val="22"/>
                <w:szCs w:val="22"/>
                <w:highlight w:val="none"/>
                <w:u w:val="none"/>
                <w:lang w:eastAsia="zh-CN"/>
              </w:rPr>
              <w:t>0772-3601166</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柳州市静兰路东一巷19号静兰小区综合楼202室</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160AC7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1、受理方式：纸质方式受理，投诉书正、副本（经过质疑的事项才可投诉）。</w:t>
            </w:r>
          </w:p>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受理单位：</w:t>
            </w:r>
            <w:r>
              <w:rPr>
                <w:rFonts w:hint="eastAsia" w:ascii="宋体" w:hAnsi="宋体" w:cs="宋体"/>
                <w:bCs/>
                <w:color w:val="auto"/>
                <w:sz w:val="22"/>
                <w:szCs w:val="22"/>
                <w:highlight w:val="none"/>
                <w:lang w:val="en-US" w:eastAsia="zh-CN"/>
              </w:rPr>
              <w:t>柳州市柳江区</w:t>
            </w:r>
            <w:r>
              <w:rPr>
                <w:rFonts w:hint="eastAsia" w:ascii="宋体" w:hAnsi="宋体" w:cs="宋体"/>
                <w:bCs/>
                <w:color w:val="auto"/>
                <w:sz w:val="22"/>
                <w:szCs w:val="22"/>
                <w:highlight w:val="none"/>
                <w:lang w:eastAsia="zh-CN"/>
              </w:rPr>
              <w:t>财政局</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236FB98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是否收取采购代理费：</w:t>
            </w:r>
          </w:p>
          <w:p w14:paraId="4C58ACB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是    □ 否</w:t>
            </w:r>
          </w:p>
          <w:p w14:paraId="5A14F73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2.采购代理费支付方式：</w:t>
            </w:r>
          </w:p>
          <w:p w14:paraId="4AC34A0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本项目代理服务费由</w:t>
            </w:r>
            <w:r>
              <w:rPr>
                <w:rFonts w:hint="eastAsia" w:ascii="宋体" w:hAnsi="宋体" w:eastAsia="宋体" w:cs="宋体"/>
                <w:color w:val="auto"/>
                <w:kern w:val="0"/>
                <w:sz w:val="22"/>
                <w:szCs w:val="22"/>
                <w:highlight w:val="none"/>
                <w:u w:val="single"/>
              </w:rPr>
              <w:t>成交供应商</w:t>
            </w:r>
            <w:r>
              <w:rPr>
                <w:rFonts w:hint="eastAsia" w:ascii="宋体" w:hAnsi="宋体" w:eastAsia="宋体" w:cs="宋体"/>
                <w:color w:val="auto"/>
                <w:kern w:val="0"/>
                <w:sz w:val="22"/>
                <w:szCs w:val="22"/>
                <w:highlight w:val="none"/>
              </w:rPr>
              <w:t>领取成交通知书前，一次性向采购代理机构支付。</w:t>
            </w:r>
          </w:p>
          <w:p w14:paraId="79DD060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□采购人支付。</w:t>
            </w:r>
          </w:p>
          <w:p w14:paraId="60D6B79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3.采购代理费收取标准：</w:t>
            </w:r>
          </w:p>
          <w:p w14:paraId="5B31B7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以分标（</w:t>
            </w:r>
            <w:r>
              <w:rPr>
                <w:rFonts w:hint="eastAsia" w:ascii="宋体" w:hAnsi="宋体" w:eastAsia="宋体" w:cs="宋体"/>
                <w:color w:val="auto"/>
                <w:kern w:val="0"/>
                <w:sz w:val="22"/>
                <w:szCs w:val="22"/>
                <w:highlight w:val="none"/>
              </w:rPr>
              <w:sym w:font="Wingdings 2" w:char="00A3"/>
            </w:r>
            <w:r>
              <w:rPr>
                <w:rFonts w:hint="eastAsia" w:ascii="宋体" w:hAnsi="宋体" w:eastAsia="宋体" w:cs="宋体"/>
                <w:color w:val="auto"/>
                <w:kern w:val="0"/>
                <w:sz w:val="22"/>
                <w:szCs w:val="22"/>
                <w:highlight w:val="none"/>
              </w:rPr>
              <w:t>成交金额/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采购预算/□暂定成交金额/□其他</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）为计费额，按</w:t>
            </w:r>
            <w:r>
              <w:rPr>
                <w:rFonts w:hint="eastAsia" w:ascii="宋体" w:hAnsi="宋体" w:eastAsia="宋体" w:cs="宋体"/>
                <w:color w:val="auto"/>
                <w:kern w:val="0"/>
                <w:sz w:val="22"/>
                <w:szCs w:val="22"/>
                <w:highlight w:val="none"/>
                <w:u w:val="single"/>
              </w:rPr>
              <w:t>服务类</w:t>
            </w:r>
            <w:r>
              <w:rPr>
                <w:rFonts w:hint="eastAsia" w:ascii="宋体" w:hAnsi="宋体" w:eastAsia="宋体" w:cs="宋体"/>
                <w:color w:val="auto"/>
                <w:kern w:val="0"/>
                <w:sz w:val="22"/>
                <w:szCs w:val="22"/>
                <w:highlight w:val="none"/>
              </w:rPr>
              <w:t>采用差额定率累进法计算出收费基准价格，采购代理收费以（</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收费基准价格下浮</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/□收费基准价格上浮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）收取。</w:t>
            </w:r>
          </w:p>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固定采购代理收费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5.本磋商文件所称的“以上”“以下”“以内”“届满”，包括本数；所称的“不满”“超过”“以外”，不包括本数。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 xml:space="preserve">第二节 </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2.9“负偏离”，是指响应文件对磋商文件“采购需求”中有关条款作出的响应不满足条款要求，导致采购人要求不能得到满足的情形。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供应商应承担参与本次采购活动有关的所有费用，包括但不限于、勘查现场、编制和提交响应文件、参加磋商与应答、签订合同等，不论竞标结果如何，均应自行承担。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接受大中型企业与小微企业组成联合体的采购项目，对于联合协议约定小微企业的合同份额占到合同总金额30%以上的，采购人、采购代理机构应当对联合体的报价给予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%（工程项目为1%—2%）的扣除，用扣除后的价格参加评审。组成联合体的小微企业与联合体内其他企业、分包企业之间存在直接控股、管理关系的，不享受价格扣除优惠政策。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允许大中型企业向一家或者多家小微企业分包的采购项目，对于分包意向协议约定小微企业的合同份额占到合同总金额30%以上的，采购人、采购代理机构应当对大中型企业的报价给予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%的扣除，用扣除后的价格参加评审。接受分包的小微企业与分包企业之间存在直接控股、管理关系的，不享受价格扣除优惠政策。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673"/>
      <w:bookmarkStart w:id="34" w:name="_Toc254970532"/>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7.2供应商应仔细阅读磋商文件的所有内容，按照磋商文件的要求提交响应文件，并对所提供的全部资料的真实性承担法律责任。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7.3供应商在竞标活动中提供任何疑似虚假材料，将报监管部门查处；签订合同后发现的，成交供应商须依照《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7.4在政府采购活动中，采购人员及相关人员与供应商有下列利害关系之一的，应当回避：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7.6供应商有下列情形之一的，属于恶意串通行为，将报同级监督管理部门：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（5）供应商之间事先约定一致抬高或者压低报价，或者在政府采购活动中事先约定轮流以高价位或者低价位成交，或者事先约定由某一特定供应商成交，然后再参加竞标；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54970675"/>
      <w:bookmarkStart w:id="38" w:name="_Toc254970534"/>
      <w:bookmarkStart w:id="39" w:name="_Toc29811"/>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1"/>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响应文件未按磋商文件的澄清、修改的内容编制，又不符合实质性要求的，其响应文件作无效处理。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17.4供应商有下列情形之一的，磋商保证金将不予退还：</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18.2响应文件应按资格证明、报价分别编制，商务技术文件合并编制，本磋商只接受电子版响应文件，要求见本章“12.2响应文件电子版要求”。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20.2在响应文件提交截止时间以后，不能补充、修改响应文件。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20.3在提交“最后报价”后，供应商不能退出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rPr>
        <w:t>2</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rPr>
        <w:t>1</w:t>
      </w:r>
      <w:r>
        <w:rPr>
          <w:rFonts w:hint="eastAsia" w:asciiTheme="minorEastAsia" w:hAnsiTheme="minorEastAsia" w:eastAsiaTheme="minorEastAsia" w:cstheme="minorEastAsia"/>
          <w:color w:val="auto"/>
          <w:sz w:val="22"/>
          <w:szCs w:val="22"/>
          <w:highlight w:val="none"/>
        </w:rPr>
        <w:t>人，共</w:t>
      </w:r>
      <w:r>
        <w:rPr>
          <w:rFonts w:hint="eastAsia" w:asciiTheme="minorEastAsia" w:hAnsiTheme="minorEastAsia" w:eastAsiaTheme="minorEastAsia" w:cstheme="minorEastAsia"/>
          <w:color w:val="auto"/>
          <w:sz w:val="22"/>
          <w:szCs w:val="22"/>
          <w:highlight w:val="none"/>
          <w:u w:val="single"/>
        </w:rPr>
        <w:t>3</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26.2磋商文件内容违反国家有关强制性规定的，磋商小组应当停止评审并向采购人或者采购代理机构说明情况，并在评审报告中书面体现。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电子交易活动的中止。采购过程中出现以下情形，导致电子交易平台无法正常运行，或者无法保证电子交易的公平、公正和安全时，采购机构可中止电子交易活动：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（1）电子交易平台发生故障而无法登录访问的；</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（4）病毒发作导致不能进行正常操作的；</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2"/>
          <w:szCs w:val="22"/>
          <w:highlight w:val="none"/>
        </w:rPr>
        <w:t>同时向成交供应商发出成交通知书，成交通知书规定签订合同的时间不得超过25日。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27.3采购人或者采购代理机构发出成交通知书前，应当对成交供应商信用进行查询核实，对列入失信被执行人、重大税收违法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29.4如签订合同并生效后，供应商无故拒绝或延期，除按照合同条款处理外，列入不良行为记录，并给予通报。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29.5采购合同由采购人与成交供应商根据磋商文件、响应文件等内容通过政府采购电子交易平台在线签订，自动备案，在线签订须携带的材料见“供应商须知前附表”。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31.1供应商对政府采购活动事项有疑问的，可以向采购人、采购代理机构提出询问，采购人或者采购代理机构应当在3个工作日内对供应商依法提出的询问作出答复。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（3）供应商认为成交结果使自己的权益受到损害的，应当在成交结果公告期限届满之日起7个工作日内提出质疑，由采购人受理并负责答复。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供应商为自然人的，应当由本人签字；供应商为法人或者其他组织的，应当由法定代表人、主要负责人，或者其委托代理人签字或者盖章，并加盖公章。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投诉人有下列行为之一的，属于虚假、恶意投诉，由财政部门列入不良行为记录名单，禁止其1至3年内参加政府采购活动：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以非法手段取得证明材料。证据来源的合法性存在明显疑问，投诉人无法证明其取得方式合法的，视为以非法手段取得证明材料。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2"/>
          <w:szCs w:val="22"/>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以联合体形式参加政府采购活动，联合体各方均为中小企业的，联合体视同中小企业。其中，联合体各方均为小微企业的，联合体视同小微企业。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依据本文件规定享受扶持政策获得政府采购合同的，小微企业不得将合同分包给大中型企业，中型企业不得将合同分包给大型企业。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（3）信用信息使用规则：对在“信用中国”网站(www.creditchina.gov.cn)、中国政府采购网(www.ccgp.gov.cn)被列入失信被执行人、重大税收违法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2.3供应商有下列情形之一的，资格审查不通过，其响应文件按无效响应处理：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bookmarkStart w:id="51" w:name="_Hlk68601553"/>
      <w:r>
        <w:rPr>
          <w:rFonts w:hint="eastAsia" w:asciiTheme="minorEastAsia" w:hAnsiTheme="minorEastAsia" w:eastAsiaTheme="minorEastAsia" w:cstheme="minorEastAsia"/>
          <w:color w:val="auto"/>
          <w:sz w:val="22"/>
          <w:szCs w:val="22"/>
          <w:highlight w:val="none"/>
        </w:rPr>
        <w:t>（4）同一合同项下的不同供应商，单位负责人为同一人或者存在直接控股、管理关系的；为本项目提供过整体设计、规范编制或者项目管理、监理、检测等服务的。</w:t>
      </w:r>
      <w:bookmarkEnd w:id="51"/>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2.4通过资格审查的合格供应商不足3家的，不得进入符合性审查环节，采购人或者采购代理机构应当重新开展采购活动。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w:t>
      </w:r>
      <w:r>
        <w:rPr>
          <w:rFonts w:hint="eastAsia" w:asciiTheme="minorEastAsia" w:hAnsiTheme="minorEastAsia" w:eastAsiaTheme="minorEastAsia" w:cstheme="minorEastAsia"/>
          <w:color w:val="auto"/>
          <w:sz w:val="22"/>
          <w:szCs w:val="22"/>
          <w:highlight w:val="none"/>
          <w:lang w:val="en-US" w:eastAsia="zh-CN"/>
        </w:rPr>
        <w:t>以</w:t>
      </w:r>
      <w:r>
        <w:rPr>
          <w:rFonts w:hint="eastAsia" w:asciiTheme="minorEastAsia" w:hAnsiTheme="minorEastAsia" w:eastAsiaTheme="minorEastAsia" w:cstheme="minorEastAsia"/>
          <w:color w:val="auto"/>
          <w:sz w:val="22"/>
          <w:szCs w:val="22"/>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首次响应文件报价出现前后不一致的，按照下列规定修正：</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（3）单价金额小数点或者百分比有明显错位的，以报价表的总价为准，并修改单价；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在评审时，如发现下列情形之一的，将被视为响应文件无效处理：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4.8对磋商过程提交的响应文件进行有效性、完整性和响应程度审查，通过审查的合格供应商不足3家的，采购人或者采购代理机构应当重新开展采购活动。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5.4已经提交响应文件的供应商，在提交最后报价之前，可以根据磋商情况退出磋商，退出磋商的供应商的响应文件按无效响应处理。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5.7最终响应文件的报价出现前后不一致的，按照本章第3.4条的规定修正。</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6.3评审时，磋商小组各成员应当独立对每个有效响应的文件进行评价、打分，然后汇总每个供应商每项评分因素的得分。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6.4评审价为供应商的最后报价进行政策性扣除后的价格，评审价只是作为评审时使用。最终成交供应商的成交金额等于最后报价（如有修正，以确认修正后的最后报价为准）。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2"/>
          <w:szCs w:val="22"/>
          <w:highlight w:val="none"/>
        </w:rPr>
        <w:t>审报告。符合本章第4.3条情形的，可以推荐2家成交候选供应商。评审得分相同的，按照最后报价由低到高的顺序推荐。评审得分且最后报价相同的，按照技术指标优劣顺序推荐。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7.1评审报告签署前，评审委员会要对评审结果进行复核，复核意见要体现在评审报告中。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1评审依据：磋商小组将以磋商响应文件为评审依据，对供应商的报价、技术、商务等方面内容按百分制打分。（计分方法按四舍五入取至百分位）</w:t>
      </w:r>
    </w:p>
    <w:bookmarkEnd w:id="49"/>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01"/>
        <w:gridCol w:w="7454"/>
      </w:tblGrid>
      <w:tr w14:paraId="7BA1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25A51ED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bookmarkStart w:id="52" w:name="_Hlk164695717"/>
            <w:bookmarkStart w:id="53" w:name="_Toc80205935"/>
            <w:bookmarkStart w:id="54" w:name="_Toc91258508"/>
            <w:r>
              <w:rPr>
                <w:rFonts w:hint="eastAsia" w:ascii="宋体" w:hAnsi="宋体" w:eastAsia="宋体" w:cs="宋体"/>
                <w:b/>
                <w:color w:val="auto"/>
                <w:sz w:val="21"/>
                <w:highlight w:val="none"/>
              </w:rPr>
              <w:t>序号</w:t>
            </w:r>
          </w:p>
        </w:tc>
        <w:tc>
          <w:tcPr>
            <w:tcW w:w="1701" w:type="dxa"/>
            <w:noWrap w:val="0"/>
            <w:vAlign w:val="center"/>
          </w:tcPr>
          <w:p w14:paraId="014764D9">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b/>
                <w:color w:val="auto"/>
                <w:sz w:val="21"/>
                <w:highlight w:val="none"/>
              </w:rPr>
              <w:t>评</w:t>
            </w:r>
            <w:r>
              <w:rPr>
                <w:rFonts w:hint="eastAsia" w:ascii="宋体" w:hAnsi="宋体" w:eastAsia="宋体" w:cs="宋体"/>
                <w:b/>
                <w:bCs/>
                <w:color w:val="auto"/>
                <w:kern w:val="0"/>
                <w:sz w:val="21"/>
                <w:highlight w:val="none"/>
              </w:rPr>
              <w:t>审</w:t>
            </w:r>
            <w:r>
              <w:rPr>
                <w:rFonts w:hint="eastAsia" w:ascii="宋体" w:hAnsi="宋体" w:eastAsia="宋体" w:cs="宋体"/>
                <w:b/>
                <w:color w:val="auto"/>
                <w:sz w:val="21"/>
                <w:highlight w:val="none"/>
              </w:rPr>
              <w:t>因素</w:t>
            </w:r>
          </w:p>
        </w:tc>
        <w:tc>
          <w:tcPr>
            <w:tcW w:w="7454" w:type="dxa"/>
            <w:noWrap w:val="0"/>
            <w:vAlign w:val="center"/>
          </w:tcPr>
          <w:p w14:paraId="77EFBBF8">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b/>
                <w:bCs/>
                <w:color w:val="auto"/>
                <w:kern w:val="0"/>
                <w:sz w:val="21"/>
                <w:highlight w:val="none"/>
              </w:rPr>
              <w:t>评审因素具体内容</w:t>
            </w:r>
          </w:p>
        </w:tc>
      </w:tr>
      <w:tr w14:paraId="064D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179E460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701" w:type="dxa"/>
            <w:noWrap w:val="0"/>
            <w:vAlign w:val="center"/>
          </w:tcPr>
          <w:p w14:paraId="5058B30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价格分</w:t>
            </w:r>
          </w:p>
          <w:p w14:paraId="545713B9">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（满分30分）</w:t>
            </w:r>
          </w:p>
        </w:tc>
        <w:tc>
          <w:tcPr>
            <w:tcW w:w="7454" w:type="dxa"/>
            <w:noWrap w:val="0"/>
            <w:vAlign w:val="center"/>
          </w:tcPr>
          <w:p w14:paraId="7D12D0D1">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价为</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的</w:t>
            </w:r>
            <w:r>
              <w:rPr>
                <w:rFonts w:hint="eastAsia" w:ascii="宋体" w:hAnsi="宋体" w:eastAsia="宋体" w:cs="宋体"/>
                <w:bCs/>
                <w:color w:val="auto"/>
                <w:sz w:val="21"/>
                <w:highlight w:val="none"/>
                <w:lang w:val="en-US" w:eastAsia="zh-CN"/>
              </w:rPr>
              <w:t>响应</w:t>
            </w:r>
            <w:r>
              <w:rPr>
                <w:rFonts w:hint="eastAsia" w:ascii="宋体" w:hAnsi="宋体" w:eastAsia="宋体" w:cs="宋体"/>
                <w:bCs/>
                <w:color w:val="auto"/>
                <w:sz w:val="21"/>
                <w:highlight w:val="none"/>
              </w:rPr>
              <w:t>报价进行政策性扣除后的价格，</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价只是作为</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时使用。最终</w:t>
            </w:r>
            <w:r>
              <w:rPr>
                <w:rFonts w:hint="eastAsia" w:ascii="宋体" w:hAnsi="宋体" w:eastAsia="宋体" w:cs="宋体"/>
                <w:bCs/>
                <w:color w:val="auto"/>
                <w:sz w:val="21"/>
                <w:highlight w:val="none"/>
                <w:lang w:val="en-US" w:eastAsia="zh-CN"/>
              </w:rPr>
              <w:t>成交</w:t>
            </w:r>
            <w:r>
              <w:rPr>
                <w:rFonts w:hint="eastAsia" w:ascii="宋体" w:hAnsi="宋体" w:eastAsia="宋体" w:cs="宋体"/>
                <w:bCs/>
                <w:color w:val="auto"/>
                <w:sz w:val="21"/>
                <w:highlight w:val="none"/>
              </w:rPr>
              <w:t>人的</w:t>
            </w:r>
            <w:r>
              <w:rPr>
                <w:rFonts w:hint="eastAsia" w:ascii="宋体" w:hAnsi="宋体" w:eastAsia="宋体" w:cs="宋体"/>
                <w:bCs/>
                <w:color w:val="auto"/>
                <w:sz w:val="21"/>
                <w:highlight w:val="none"/>
                <w:lang w:val="en-US" w:eastAsia="zh-CN"/>
              </w:rPr>
              <w:t>成交</w:t>
            </w:r>
            <w:r>
              <w:rPr>
                <w:rFonts w:hint="eastAsia" w:ascii="宋体" w:hAnsi="宋体" w:eastAsia="宋体" w:cs="宋体"/>
                <w:bCs/>
                <w:color w:val="auto"/>
                <w:sz w:val="21"/>
                <w:highlight w:val="none"/>
              </w:rPr>
              <w:t>金额＝</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w:t>
            </w:r>
          </w:p>
          <w:p w14:paraId="4724654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color w:val="auto"/>
                <w:sz w:val="21"/>
                <w:highlight w:val="none"/>
              </w:rPr>
            </w:pPr>
            <w:r>
              <w:rPr>
                <w:rFonts w:hint="eastAsia" w:ascii="宋体" w:hAnsi="宋体" w:eastAsia="宋体" w:cs="宋体"/>
                <w:bCs/>
                <w:color w:val="auto"/>
                <w:sz w:val="21"/>
                <w:highlight w:val="none"/>
              </w:rPr>
              <w:t>（2）</w:t>
            </w:r>
            <w:r>
              <w:rPr>
                <w:rFonts w:hint="eastAsia" w:ascii="宋体" w:hAnsi="宋体" w:eastAsia="宋体" w:cs="宋体"/>
                <w:color w:val="auto"/>
                <w:sz w:val="21"/>
                <w:highlight w:val="none"/>
              </w:rPr>
              <w:t>按照《政府采购促进中小企业发展管理办法》（财库〔2020〕46号）、《关于进一步加大政府采购支持中小企业力度的通知》（财库〔2022〕19号）之规定，服务全部由小型或者微型企业承接的，对其投标价格给予20%的扣除。</w:t>
            </w:r>
            <w:r>
              <w:rPr>
                <w:rFonts w:hint="eastAsia" w:ascii="宋体" w:hAnsi="宋体" w:eastAsia="宋体" w:cs="宋体"/>
                <w:b/>
                <w:color w:val="auto"/>
                <w:sz w:val="21"/>
                <w:highlight w:val="none"/>
              </w:rPr>
              <w:t>[投标人须在投标文件中提供《中小企业声明函》（按第六章要求格式填写），否则不予价格扣除；</w:t>
            </w:r>
            <w:r>
              <w:rPr>
                <w:rFonts w:hint="eastAsia" w:ascii="宋体" w:hAnsi="宋体" w:eastAsia="宋体" w:cs="宋体"/>
                <w:b/>
                <w:bCs/>
                <w:color w:val="auto"/>
                <w:sz w:val="21"/>
                <w:highlight w:val="none"/>
              </w:rPr>
              <w:t>并随中标结果同时公告其《</w:t>
            </w:r>
            <w:r>
              <w:rPr>
                <w:rFonts w:hint="eastAsia" w:ascii="宋体" w:hAnsi="宋体" w:eastAsia="宋体" w:cs="宋体"/>
                <w:b/>
                <w:color w:val="auto"/>
                <w:sz w:val="21"/>
                <w:highlight w:val="none"/>
              </w:rPr>
              <w:t>中小企业声明函</w:t>
            </w:r>
            <w:r>
              <w:rPr>
                <w:rFonts w:hint="eastAsia" w:ascii="宋体" w:hAnsi="宋体" w:eastAsia="宋体" w:cs="宋体"/>
                <w:b/>
                <w:bCs/>
                <w:color w:val="auto"/>
                <w:sz w:val="21"/>
                <w:highlight w:val="none"/>
              </w:rPr>
              <w:t>》，接受社会监督。</w:t>
            </w:r>
            <w:r>
              <w:rPr>
                <w:rFonts w:hint="eastAsia" w:ascii="宋体" w:hAnsi="宋体" w:eastAsia="宋体" w:cs="宋体"/>
                <w:b/>
                <w:color w:val="auto"/>
                <w:sz w:val="21"/>
                <w:highlight w:val="none"/>
              </w:rPr>
              <w:t>投标人提供的《中小企业声明函》与事实不符的，依照《中华人民共和国政府采购法》第七十七条第一款的规定追究法律责任]。</w:t>
            </w:r>
          </w:p>
          <w:p w14:paraId="7C0EBA7C">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b/>
                <w:bCs/>
                <w:color w:val="auto"/>
                <w:sz w:val="21"/>
                <w:highlight w:val="none"/>
              </w:rPr>
              <w:t>监狱企业参加政府采购活动时，应当提供由省级以上监狱管理局、戒毒管理局(含新疆生产建设兵团)出具的属于监狱企业的证明文件复印件</w:t>
            </w:r>
            <w:r>
              <w:rPr>
                <w:rFonts w:hint="eastAsia" w:ascii="宋体" w:hAnsi="宋体" w:eastAsia="宋体" w:cs="宋体"/>
                <w:bCs/>
                <w:color w:val="auto"/>
                <w:sz w:val="21"/>
                <w:highlight w:val="none"/>
              </w:rPr>
              <w:t>。监狱企业属于小型、微型企业的，不重复享受政策。</w:t>
            </w:r>
          </w:p>
          <w:p w14:paraId="346368B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color w:val="auto"/>
                <w:sz w:val="21"/>
                <w:highlight w:val="none"/>
              </w:rPr>
              <w:t>（4）按照</w:t>
            </w:r>
            <w:r>
              <w:rPr>
                <w:rFonts w:hint="eastAsia" w:ascii="宋体" w:hAnsi="宋体" w:eastAsia="宋体" w:cs="宋体"/>
                <w:bCs/>
                <w:color w:val="auto"/>
                <w:sz w:val="21"/>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ascii="宋体" w:hAnsi="宋体" w:eastAsia="宋体" w:cs="宋体"/>
                <w:b/>
                <w:bCs/>
                <w:color w:val="auto"/>
                <w:sz w:val="21"/>
                <w:highlight w:val="none"/>
              </w:rPr>
              <w:t>[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w:t>
            </w:r>
            <w:r>
              <w:rPr>
                <w:rFonts w:hint="eastAsia" w:ascii="宋体" w:hAnsi="宋体" w:eastAsia="宋体" w:cs="宋体"/>
                <w:b/>
                <w:color w:val="auto"/>
                <w:sz w:val="21"/>
                <w:highlight w:val="none"/>
              </w:rPr>
              <w:t>中华人民共和国</w:t>
            </w:r>
            <w:r>
              <w:rPr>
                <w:rFonts w:hint="eastAsia" w:ascii="宋体" w:hAnsi="宋体" w:eastAsia="宋体" w:cs="宋体"/>
                <w:b/>
                <w:bCs/>
                <w:color w:val="auto"/>
                <w:sz w:val="21"/>
                <w:highlight w:val="none"/>
              </w:rPr>
              <w:t>政府采购法》第七十七条第一款的规定追究法律责任]</w:t>
            </w:r>
          </w:p>
          <w:p w14:paraId="12F4306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（5）政策性扣除计算方法。</w:t>
            </w:r>
          </w:p>
          <w:p w14:paraId="26C20166">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为小型企业或微型企业或监狱企业或残疾人福利性单位，则其</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报价给予20%的扣除，扣除后的价格为</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报价，即</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报价×（1-20%）。除上述情况外，</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w:t>
            </w:r>
          </w:p>
          <w:p w14:paraId="77AD6AC0">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（6）以进入综合评分环节的最低的</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报价为基准价，基准价报价得分为30分。</w:t>
            </w:r>
          </w:p>
          <w:p w14:paraId="1C9A90C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（7）价格分计算公式：某</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价格分=基准价/某</w:t>
            </w:r>
            <w:r>
              <w:rPr>
                <w:rFonts w:hint="eastAsia" w:ascii="宋体" w:hAnsi="宋体" w:eastAsia="宋体" w:cs="宋体"/>
                <w:bCs/>
                <w:color w:val="auto"/>
                <w:sz w:val="21"/>
                <w:highlight w:val="none"/>
                <w:lang w:val="en-US" w:eastAsia="zh-CN"/>
              </w:rPr>
              <w:t>供应商评审</w:t>
            </w:r>
            <w:r>
              <w:rPr>
                <w:rFonts w:hint="eastAsia" w:ascii="宋体" w:hAnsi="宋体" w:eastAsia="宋体" w:cs="宋体"/>
                <w:bCs/>
                <w:color w:val="auto"/>
                <w:sz w:val="21"/>
                <w:highlight w:val="none"/>
              </w:rPr>
              <w:t>报价×30分。</w:t>
            </w:r>
          </w:p>
          <w:p w14:paraId="4DA9C779">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注：</w:t>
            </w:r>
            <w:r>
              <w:rPr>
                <w:rFonts w:hint="eastAsia" w:ascii="宋体" w:hAnsi="宋体" w:eastAsia="宋体" w:cs="宋体"/>
                <w:bCs/>
                <w:color w:val="auto"/>
                <w:sz w:val="21"/>
                <w:highlight w:val="none"/>
                <w:lang w:val="en-US" w:eastAsia="zh-CN"/>
              </w:rPr>
              <w:t>响应</w:t>
            </w:r>
            <w:r>
              <w:rPr>
                <w:rFonts w:hint="eastAsia" w:ascii="宋体" w:hAnsi="宋体" w:eastAsia="宋体" w:cs="宋体"/>
                <w:bCs/>
                <w:color w:val="auto"/>
                <w:sz w:val="21"/>
                <w:highlight w:val="none"/>
              </w:rPr>
              <w:t>报价是指</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所报的代煎服务费单价</w:t>
            </w:r>
            <w:r>
              <w:rPr>
                <w:rFonts w:hint="eastAsia" w:ascii="宋体" w:hAnsi="宋体" w:eastAsia="宋体" w:cs="宋体"/>
                <w:bCs/>
                <w:color w:val="auto"/>
                <w:sz w:val="21"/>
                <w:highlight w:val="none"/>
                <w:lang w:eastAsia="zh-CN"/>
              </w:rPr>
              <w:t>【元/付】</w:t>
            </w:r>
            <w:r>
              <w:rPr>
                <w:rFonts w:hint="eastAsia" w:ascii="宋体" w:hAnsi="宋体" w:eastAsia="宋体" w:cs="宋体"/>
                <w:bCs/>
                <w:color w:val="auto"/>
                <w:sz w:val="21"/>
                <w:highlight w:val="none"/>
              </w:rPr>
              <w:t>。</w:t>
            </w:r>
          </w:p>
        </w:tc>
      </w:tr>
      <w:tr w14:paraId="24C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3D0A5C13">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1701" w:type="dxa"/>
            <w:noWrap w:val="0"/>
            <w:vAlign w:val="center"/>
          </w:tcPr>
          <w:p w14:paraId="59B39EA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技术分</w:t>
            </w:r>
          </w:p>
          <w:p w14:paraId="4657324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（满分60分）</w:t>
            </w:r>
          </w:p>
        </w:tc>
        <w:tc>
          <w:tcPr>
            <w:tcW w:w="7454" w:type="dxa"/>
            <w:noWrap w:val="0"/>
            <w:vAlign w:val="center"/>
          </w:tcPr>
          <w:p w14:paraId="0FFA455B">
            <w:pPr>
              <w:keepNext w:val="0"/>
              <w:keepLines w:val="0"/>
              <w:pageBreakBefore w:val="0"/>
              <w:widowControl w:val="0"/>
              <w:kinsoku/>
              <w:overflowPunct/>
              <w:topLinePunct w:val="0"/>
              <w:autoSpaceDE/>
              <w:autoSpaceDN/>
              <w:bidi w:val="0"/>
              <w:adjustRightInd w:val="0"/>
              <w:spacing w:line="360" w:lineRule="auto"/>
              <w:ind w:left="0" w:leftChars="0" w:right="0" w:firstLine="33" w:firstLineChars="16"/>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评审因素</w:t>
            </w:r>
          </w:p>
        </w:tc>
      </w:tr>
      <w:tr w14:paraId="1AED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42B0303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p>
        </w:tc>
        <w:tc>
          <w:tcPr>
            <w:tcW w:w="1701" w:type="dxa"/>
            <w:noWrap w:val="0"/>
            <w:vAlign w:val="center"/>
          </w:tcPr>
          <w:p w14:paraId="5A0485AA">
            <w:pPr>
              <w:keepNext w:val="0"/>
              <w:keepLines w:val="0"/>
              <w:pageBreakBefore w:val="0"/>
              <w:widowControl w:val="0"/>
              <w:kinsoku/>
              <w:overflowPunct/>
              <w:topLinePunct w:val="0"/>
              <w:autoSpaceDE/>
              <w:autoSpaceDN/>
              <w:bidi w:val="0"/>
              <w:snapToGrid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服务需求响应分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15</w:t>
            </w:r>
            <w:r>
              <w:rPr>
                <w:rFonts w:hint="eastAsia" w:ascii="宋体" w:hAnsi="宋体" w:eastAsia="宋体" w:cs="宋体"/>
                <w:color w:val="auto"/>
                <w:sz w:val="21"/>
                <w:highlight w:val="none"/>
              </w:rPr>
              <w:t>分）</w:t>
            </w:r>
          </w:p>
        </w:tc>
        <w:tc>
          <w:tcPr>
            <w:tcW w:w="7454" w:type="dxa"/>
            <w:noWrap w:val="0"/>
            <w:vAlign w:val="center"/>
          </w:tcPr>
          <w:p w14:paraId="37FF9C2D">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服务需求完全满足采购文件要求的得</w:t>
            </w:r>
            <w:r>
              <w:rPr>
                <w:rFonts w:hint="eastAsia" w:ascii="宋体" w:hAnsi="宋体" w:eastAsia="宋体" w:cs="宋体"/>
                <w:bCs/>
                <w:color w:val="auto"/>
                <w:sz w:val="21"/>
                <w:highlight w:val="none"/>
                <w:lang w:val="en-US" w:eastAsia="zh-CN"/>
              </w:rPr>
              <w:t>15</w:t>
            </w:r>
            <w:r>
              <w:rPr>
                <w:rFonts w:hint="eastAsia" w:ascii="宋体" w:hAnsi="宋体" w:eastAsia="宋体" w:cs="宋体"/>
                <w:bCs/>
                <w:color w:val="auto"/>
                <w:sz w:val="21"/>
                <w:highlight w:val="none"/>
              </w:rPr>
              <w:t>分，服务需求在允许负偏离的项数范围内每有1项负偏离扣3分，扣完为止，正偏离不加分。</w:t>
            </w:r>
          </w:p>
        </w:tc>
      </w:tr>
      <w:tr w14:paraId="5DE8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3C067B7F">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p>
        </w:tc>
        <w:tc>
          <w:tcPr>
            <w:tcW w:w="1701" w:type="dxa"/>
            <w:noWrap w:val="0"/>
            <w:vAlign w:val="center"/>
          </w:tcPr>
          <w:p w14:paraId="7351BD8D">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经营管理方案分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15</w:t>
            </w:r>
            <w:r>
              <w:rPr>
                <w:rFonts w:hint="eastAsia" w:ascii="宋体" w:hAnsi="宋体" w:eastAsia="宋体" w:cs="宋体"/>
                <w:color w:val="auto"/>
                <w:sz w:val="21"/>
                <w:highlight w:val="none"/>
              </w:rPr>
              <w:t>分）</w:t>
            </w:r>
          </w:p>
        </w:tc>
        <w:tc>
          <w:tcPr>
            <w:tcW w:w="7454" w:type="dxa"/>
            <w:noWrap w:val="0"/>
            <w:vAlign w:val="center"/>
          </w:tcPr>
          <w:p w14:paraId="08FA4FA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由评委根据各投标人的场地、库房，中药饮片的入库、验收、保管、养护</w:t>
            </w:r>
            <w:bookmarkStart w:id="55" w:name="OLE_LINK9"/>
            <w:bookmarkStart w:id="56" w:name="OLE_LINK10"/>
            <w:r>
              <w:rPr>
                <w:rFonts w:hint="eastAsia" w:ascii="宋体" w:hAnsi="宋体" w:eastAsia="宋体" w:cs="宋体"/>
                <w:bCs/>
                <w:color w:val="auto"/>
                <w:sz w:val="21"/>
                <w:highlight w:val="none"/>
              </w:rPr>
              <w:t>、调剂</w:t>
            </w:r>
            <w:bookmarkEnd w:id="55"/>
            <w:bookmarkEnd w:id="56"/>
            <w:r>
              <w:rPr>
                <w:rFonts w:hint="eastAsia" w:ascii="宋体" w:hAnsi="宋体" w:eastAsia="宋体" w:cs="宋体"/>
                <w:bCs/>
                <w:color w:val="auto"/>
                <w:sz w:val="21"/>
                <w:highlight w:val="none"/>
              </w:rPr>
              <w:t>、煎煮等经营管理内容进行评审，独立打分。</w:t>
            </w:r>
          </w:p>
          <w:p w14:paraId="6148697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一档（0分）：未提供</w:t>
            </w:r>
            <w:r>
              <w:rPr>
                <w:rFonts w:hint="eastAsia" w:ascii="宋体" w:hAnsi="宋体" w:eastAsia="宋体" w:cs="宋体"/>
                <w:color w:val="auto"/>
                <w:kern w:val="0"/>
                <w:sz w:val="21"/>
                <w:highlight w:val="none"/>
              </w:rPr>
              <w:t>经营管理方案或</w:t>
            </w:r>
            <w:r>
              <w:rPr>
                <w:rFonts w:hint="eastAsia" w:ascii="宋体" w:hAnsi="宋体" w:eastAsia="宋体" w:cs="宋体"/>
                <w:bCs/>
                <w:color w:val="auto"/>
                <w:sz w:val="21"/>
                <w:highlight w:val="none"/>
              </w:rPr>
              <w:t>提供的</w:t>
            </w:r>
            <w:r>
              <w:rPr>
                <w:rFonts w:hint="eastAsia" w:ascii="宋体" w:hAnsi="宋体" w:eastAsia="宋体" w:cs="宋体"/>
                <w:color w:val="auto"/>
                <w:kern w:val="0"/>
                <w:sz w:val="21"/>
                <w:highlight w:val="none"/>
              </w:rPr>
              <w:t>经营管理方案与项目不符或达不到二</w:t>
            </w:r>
            <w:r>
              <w:rPr>
                <w:rFonts w:hint="eastAsia" w:ascii="宋体" w:hAnsi="宋体" w:eastAsia="宋体" w:cs="宋体"/>
                <w:bCs/>
                <w:color w:val="auto"/>
                <w:sz w:val="21"/>
                <w:highlight w:val="none"/>
              </w:rPr>
              <w:t>档</w:t>
            </w:r>
            <w:r>
              <w:rPr>
                <w:rFonts w:hint="eastAsia" w:ascii="宋体" w:hAnsi="宋体" w:eastAsia="宋体" w:cs="宋体"/>
                <w:color w:val="auto"/>
                <w:kern w:val="0"/>
                <w:sz w:val="21"/>
                <w:highlight w:val="none"/>
              </w:rPr>
              <w:t>。</w:t>
            </w:r>
          </w:p>
          <w:p w14:paraId="3CB0A664">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分）：场地、库房仓储能力满足采购需求的最低要求，经营管理方案内容基本完整，方案描述简单、考虑有欠缺。</w:t>
            </w:r>
          </w:p>
          <w:p w14:paraId="4AD7486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三档（</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分）：场地、库房仓储能力满足采购需求的最低要求，经营管理方案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方案描述较详实、考虑较完善、具备可行性，各经营环节有相应规章管理制度。</w:t>
            </w:r>
          </w:p>
          <w:p w14:paraId="40DF0AE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四档（</w:t>
            </w:r>
            <w:r>
              <w:rPr>
                <w:rFonts w:hint="eastAsia" w:ascii="宋体" w:hAnsi="宋体" w:eastAsia="宋体" w:cs="宋体"/>
                <w:bCs/>
                <w:color w:val="auto"/>
                <w:sz w:val="21"/>
                <w:highlight w:val="none"/>
                <w:lang w:val="en-US" w:eastAsia="zh-CN"/>
              </w:rPr>
              <w:t>15</w:t>
            </w:r>
            <w:r>
              <w:rPr>
                <w:rFonts w:hint="eastAsia" w:ascii="宋体" w:hAnsi="宋体" w:eastAsia="宋体" w:cs="宋体"/>
                <w:bCs/>
                <w:color w:val="auto"/>
                <w:sz w:val="21"/>
                <w:highlight w:val="none"/>
              </w:rPr>
              <w:t>分）：场地、库房仓储能力</w:t>
            </w:r>
            <w:r>
              <w:rPr>
                <w:rFonts w:hint="eastAsia" w:ascii="宋体" w:hAnsi="宋体" w:eastAsia="宋体" w:cs="宋体"/>
                <w:b/>
                <w:bCs/>
                <w:color w:val="auto"/>
                <w:sz w:val="21"/>
                <w:highlight w:val="none"/>
              </w:rPr>
              <w:t>优于</w:t>
            </w:r>
            <w:r>
              <w:rPr>
                <w:rFonts w:hint="eastAsia" w:ascii="宋体" w:hAnsi="宋体" w:eastAsia="宋体" w:cs="宋体"/>
                <w:bCs/>
                <w:color w:val="auto"/>
                <w:sz w:val="21"/>
                <w:highlight w:val="none"/>
              </w:rPr>
              <w:t>采购需求的最低要求，有良好的仓储管理机制，能使用自动化的处方饮片调剂设备进行调剂，经营管理方案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方案描述详实、考虑完善、可操作性好，各经营环节的规章管理制度制定健全、严密、切实可行，能较好保障服务质量。</w:t>
            </w:r>
          </w:p>
        </w:tc>
      </w:tr>
      <w:tr w14:paraId="4A70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5F8929AC">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2.3</w:t>
            </w:r>
          </w:p>
        </w:tc>
        <w:tc>
          <w:tcPr>
            <w:tcW w:w="1701" w:type="dxa"/>
            <w:noWrap w:val="0"/>
            <w:vAlign w:val="center"/>
          </w:tcPr>
          <w:p w14:paraId="3A47FC32">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质量控制方案分</w:t>
            </w:r>
          </w:p>
          <w:p w14:paraId="36F0BEF4">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（满分12分）</w:t>
            </w:r>
          </w:p>
        </w:tc>
        <w:tc>
          <w:tcPr>
            <w:tcW w:w="7454" w:type="dxa"/>
            <w:noWrap w:val="0"/>
            <w:vAlign w:val="center"/>
          </w:tcPr>
          <w:p w14:paraId="2DFE76A4">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由评委根据各投标人的</w:t>
            </w:r>
            <w:r>
              <w:rPr>
                <w:rFonts w:hint="eastAsia" w:ascii="宋体" w:hAnsi="宋体" w:eastAsia="宋体" w:cs="宋体"/>
                <w:color w:val="auto"/>
                <w:sz w:val="21"/>
                <w:highlight w:val="none"/>
              </w:rPr>
              <w:t>质量控制方案</w:t>
            </w:r>
            <w:r>
              <w:rPr>
                <w:rFonts w:hint="eastAsia" w:ascii="宋体" w:hAnsi="宋体" w:eastAsia="宋体" w:cs="宋体"/>
                <w:bCs/>
                <w:color w:val="auto"/>
                <w:sz w:val="21"/>
                <w:highlight w:val="none"/>
              </w:rPr>
              <w:t>（包括但不限于</w:t>
            </w:r>
            <w:r>
              <w:rPr>
                <w:rFonts w:hint="eastAsia" w:ascii="宋体" w:hAnsi="宋体" w:eastAsia="宋体" w:cs="宋体"/>
                <w:color w:val="auto"/>
                <w:sz w:val="21"/>
                <w:highlight w:val="none"/>
              </w:rPr>
              <w:t>处方审核、调剂、煎煮误差控制、各环节监控及人员配置</w:t>
            </w:r>
            <w:r>
              <w:rPr>
                <w:rFonts w:hint="eastAsia" w:ascii="宋体" w:hAnsi="宋体" w:eastAsia="宋体" w:cs="宋体"/>
                <w:bCs/>
                <w:color w:val="auto"/>
                <w:sz w:val="21"/>
                <w:highlight w:val="none"/>
              </w:rPr>
              <w:t>等）进行评审，独立打分。</w:t>
            </w:r>
          </w:p>
          <w:p w14:paraId="6471647B">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一档（0分）：未提供</w:t>
            </w:r>
            <w:r>
              <w:rPr>
                <w:rFonts w:hint="eastAsia" w:ascii="宋体" w:hAnsi="宋体" w:eastAsia="宋体" w:cs="宋体"/>
                <w:color w:val="auto"/>
                <w:sz w:val="21"/>
                <w:highlight w:val="none"/>
              </w:rPr>
              <w:t>质量控制方案或</w:t>
            </w:r>
            <w:r>
              <w:rPr>
                <w:rFonts w:hint="eastAsia" w:ascii="宋体" w:hAnsi="宋体" w:eastAsia="宋体" w:cs="宋体"/>
                <w:bCs/>
                <w:color w:val="auto"/>
                <w:sz w:val="21"/>
                <w:highlight w:val="none"/>
              </w:rPr>
              <w:t>提供的</w:t>
            </w:r>
            <w:r>
              <w:rPr>
                <w:rFonts w:hint="eastAsia" w:ascii="宋体" w:hAnsi="宋体" w:eastAsia="宋体" w:cs="宋体"/>
                <w:color w:val="auto"/>
                <w:sz w:val="21"/>
                <w:highlight w:val="none"/>
              </w:rPr>
              <w:t>质量控制方案与项目不符或达不到二</w:t>
            </w:r>
            <w:r>
              <w:rPr>
                <w:rFonts w:hint="eastAsia" w:ascii="宋体" w:hAnsi="宋体" w:eastAsia="宋体" w:cs="宋体"/>
                <w:bCs/>
                <w:color w:val="auto"/>
                <w:sz w:val="21"/>
                <w:highlight w:val="none"/>
              </w:rPr>
              <w:t>档</w:t>
            </w:r>
            <w:r>
              <w:rPr>
                <w:rFonts w:hint="eastAsia" w:ascii="宋体" w:hAnsi="宋体" w:eastAsia="宋体" w:cs="宋体"/>
                <w:color w:val="auto"/>
                <w:sz w:val="21"/>
                <w:highlight w:val="none"/>
              </w:rPr>
              <w:t>。</w:t>
            </w:r>
          </w:p>
          <w:p w14:paraId="62072C1A">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二档（4分）：</w:t>
            </w:r>
            <w:r>
              <w:rPr>
                <w:rFonts w:hint="eastAsia" w:ascii="宋体" w:hAnsi="宋体" w:eastAsia="宋体" w:cs="宋体"/>
                <w:color w:val="auto"/>
                <w:sz w:val="21"/>
                <w:highlight w:val="none"/>
              </w:rPr>
              <w:t>质量控制方案内容基本完整，有基本的</w:t>
            </w:r>
            <w:r>
              <w:rPr>
                <w:rFonts w:hint="eastAsia" w:ascii="宋体" w:hAnsi="宋体" w:eastAsia="宋体" w:cs="宋体"/>
                <w:bCs/>
                <w:color w:val="auto"/>
                <w:sz w:val="21"/>
                <w:highlight w:val="none"/>
              </w:rPr>
              <w:t>质量控制、保障措施。</w:t>
            </w:r>
          </w:p>
          <w:p w14:paraId="689D4C03">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color w:val="auto"/>
                <w:sz w:val="21"/>
                <w:highlight w:val="none"/>
              </w:rPr>
            </w:pPr>
            <w:r>
              <w:rPr>
                <w:rFonts w:hint="eastAsia" w:ascii="宋体" w:hAnsi="宋体" w:eastAsia="宋体" w:cs="宋体"/>
                <w:bCs/>
                <w:color w:val="auto"/>
                <w:sz w:val="21"/>
                <w:highlight w:val="none"/>
              </w:rPr>
              <w:t>三档（8分）：</w:t>
            </w:r>
            <w:r>
              <w:rPr>
                <w:rFonts w:hint="eastAsia" w:ascii="宋体" w:hAnsi="宋体" w:eastAsia="宋体" w:cs="宋体"/>
                <w:color w:val="auto"/>
                <w:sz w:val="21"/>
                <w:highlight w:val="none"/>
              </w:rPr>
              <w:t>质量控制方案内容完整；有煎药处方的具体审核规范及审核流程；制定有中药饮片处方调剂、煎煮制度和操作规范；有误差率的控制措施；建立有相关管理制度及台账；建立有服务质量管控和评估考核体系；入库、验收、养护、中药饮片调剂及煎煮等环节均有视频监控，监控设施设置完善，能监控所有环节的操作，并建档备查；有人员安排表（含岗位职责）。</w:t>
            </w:r>
          </w:p>
          <w:p w14:paraId="78D09D5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12分）：在三档的基础上，提供的质量控制方案详细、有针对性，服务质量监管体系完善，设置有质量管理班子，各岗位人员的职责划分明确，与各服务环节能够一一对应；有培训制度；针对服务过程中发生的投诉、不良反应和服务质量等问题的有详细具体的解决办法、解决流程、解决时效。</w:t>
            </w:r>
          </w:p>
        </w:tc>
      </w:tr>
      <w:tr w14:paraId="4C7F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1" w:type="dxa"/>
            <w:noWrap w:val="0"/>
            <w:vAlign w:val="center"/>
          </w:tcPr>
          <w:p w14:paraId="4C2EDFCD">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2.4</w:t>
            </w:r>
          </w:p>
        </w:tc>
        <w:tc>
          <w:tcPr>
            <w:tcW w:w="1701" w:type="dxa"/>
            <w:noWrap w:val="0"/>
            <w:vAlign w:val="center"/>
          </w:tcPr>
          <w:p w14:paraId="22353DA9">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配送方案分</w:t>
            </w:r>
          </w:p>
          <w:p w14:paraId="70D83EA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（满分9分）</w:t>
            </w:r>
          </w:p>
        </w:tc>
        <w:tc>
          <w:tcPr>
            <w:tcW w:w="7454" w:type="dxa"/>
            <w:noWrap w:val="0"/>
            <w:vAlign w:val="center"/>
          </w:tcPr>
          <w:p w14:paraId="6B89F73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由评委根据投标人的配送方案（包括但不限于</w:t>
            </w:r>
            <w:r>
              <w:rPr>
                <w:rFonts w:hint="eastAsia" w:ascii="宋体" w:hAnsi="宋体" w:eastAsia="宋体" w:cs="宋体"/>
                <w:color w:val="auto"/>
                <w:sz w:val="21"/>
                <w:highlight w:val="none"/>
              </w:rPr>
              <w:t>配送计划</w:t>
            </w:r>
            <w:r>
              <w:rPr>
                <w:rFonts w:hint="eastAsia" w:ascii="宋体" w:hAnsi="宋体" w:eastAsia="宋体" w:cs="宋体"/>
                <w:bCs/>
                <w:color w:val="auto"/>
                <w:kern w:val="0"/>
                <w:sz w:val="21"/>
                <w:highlight w:val="none"/>
              </w:rPr>
              <w:t>、配送时效、配送方式、配送范围、是否支持配送到家、</w:t>
            </w:r>
            <w:r>
              <w:rPr>
                <w:rFonts w:hint="eastAsia" w:ascii="宋体" w:hAnsi="宋体" w:eastAsia="宋体" w:cs="宋体"/>
                <w:color w:val="auto"/>
                <w:sz w:val="21"/>
                <w:highlight w:val="none"/>
              </w:rPr>
              <w:t>配送人员安排、</w:t>
            </w:r>
            <w:r>
              <w:rPr>
                <w:rFonts w:hint="eastAsia" w:ascii="宋体" w:hAnsi="宋体" w:eastAsia="宋体" w:cs="宋体"/>
                <w:bCs/>
                <w:color w:val="auto"/>
                <w:kern w:val="0"/>
                <w:sz w:val="21"/>
                <w:highlight w:val="none"/>
              </w:rPr>
              <w:t>运输的交通工具和盛装用具是否符合医药运输规范等）进行评审，独立打分。</w:t>
            </w:r>
          </w:p>
          <w:p w14:paraId="424C2C4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一档（0分）：未提供</w:t>
            </w:r>
            <w:r>
              <w:rPr>
                <w:rFonts w:hint="eastAsia" w:ascii="宋体" w:hAnsi="宋体" w:eastAsia="宋体" w:cs="宋体"/>
                <w:color w:val="auto"/>
                <w:kern w:val="0"/>
                <w:sz w:val="21"/>
                <w:highlight w:val="none"/>
              </w:rPr>
              <w:t>配送方案</w:t>
            </w:r>
            <w:r>
              <w:rPr>
                <w:rFonts w:hint="eastAsia" w:ascii="宋体" w:hAnsi="宋体" w:eastAsia="宋体" w:cs="宋体"/>
                <w:bCs/>
                <w:color w:val="auto"/>
                <w:kern w:val="0"/>
                <w:sz w:val="21"/>
                <w:highlight w:val="none"/>
              </w:rPr>
              <w:t>或提供的</w:t>
            </w:r>
            <w:r>
              <w:rPr>
                <w:rFonts w:hint="eastAsia" w:ascii="宋体" w:hAnsi="宋体" w:eastAsia="宋体" w:cs="宋体"/>
                <w:color w:val="auto"/>
                <w:kern w:val="0"/>
                <w:sz w:val="21"/>
                <w:highlight w:val="none"/>
              </w:rPr>
              <w:t>配送方案</w:t>
            </w:r>
            <w:r>
              <w:rPr>
                <w:rFonts w:hint="eastAsia" w:ascii="宋体" w:hAnsi="宋体" w:eastAsia="宋体" w:cs="宋体"/>
                <w:bCs/>
                <w:color w:val="auto"/>
                <w:kern w:val="0"/>
                <w:sz w:val="21"/>
                <w:highlight w:val="none"/>
              </w:rPr>
              <w:t>与项目不符</w:t>
            </w:r>
            <w:r>
              <w:rPr>
                <w:rFonts w:hint="eastAsia" w:ascii="宋体" w:hAnsi="宋体" w:eastAsia="宋体" w:cs="宋体"/>
                <w:color w:val="auto"/>
                <w:kern w:val="0"/>
                <w:sz w:val="21"/>
                <w:highlight w:val="none"/>
              </w:rPr>
              <w:t>或达不到二</w:t>
            </w:r>
            <w:r>
              <w:rPr>
                <w:rFonts w:hint="eastAsia" w:ascii="宋体" w:hAnsi="宋体" w:eastAsia="宋体" w:cs="宋体"/>
                <w:bCs/>
                <w:color w:val="auto"/>
                <w:sz w:val="21"/>
                <w:highlight w:val="none"/>
              </w:rPr>
              <w:t>档</w:t>
            </w:r>
            <w:r>
              <w:rPr>
                <w:rFonts w:hint="eastAsia" w:ascii="宋体" w:hAnsi="宋体" w:eastAsia="宋体" w:cs="宋体"/>
                <w:bCs/>
                <w:color w:val="auto"/>
                <w:kern w:val="0"/>
                <w:sz w:val="21"/>
                <w:highlight w:val="none"/>
              </w:rPr>
              <w:t>。</w:t>
            </w:r>
          </w:p>
          <w:p w14:paraId="7FBEE65B">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二档（3分）：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内容基本完整，</w:t>
            </w:r>
            <w:r>
              <w:rPr>
                <w:rFonts w:hint="eastAsia" w:ascii="宋体" w:hAnsi="宋体" w:eastAsia="宋体" w:cs="宋体"/>
                <w:bCs/>
                <w:color w:val="auto"/>
                <w:kern w:val="0"/>
                <w:sz w:val="21"/>
                <w:highlight w:val="none"/>
              </w:rPr>
              <w:t>方案</w:t>
            </w:r>
            <w:r>
              <w:rPr>
                <w:rFonts w:hint="eastAsia" w:ascii="宋体" w:hAnsi="宋体" w:eastAsia="宋体" w:cs="宋体"/>
                <w:color w:val="auto"/>
                <w:sz w:val="21"/>
                <w:highlight w:val="none"/>
              </w:rPr>
              <w:t>内容描述</w:t>
            </w:r>
            <w:r>
              <w:rPr>
                <w:rFonts w:hint="eastAsia" w:ascii="宋体" w:hAnsi="宋体" w:eastAsia="宋体" w:cs="宋体"/>
                <w:bCs/>
                <w:color w:val="auto"/>
                <w:kern w:val="0"/>
                <w:sz w:val="21"/>
                <w:highlight w:val="none"/>
              </w:rPr>
              <w:t>简单，运输的交通工具和盛装用具符合医药运输规范。</w:t>
            </w:r>
          </w:p>
          <w:p w14:paraId="696B846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三档（6分）：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内容完整，</w:t>
            </w:r>
            <w:r>
              <w:rPr>
                <w:rFonts w:hint="eastAsia" w:ascii="宋体" w:hAnsi="宋体" w:eastAsia="宋体" w:cs="宋体"/>
                <w:bCs/>
                <w:color w:val="auto"/>
                <w:kern w:val="0"/>
                <w:sz w:val="21"/>
                <w:highlight w:val="none"/>
              </w:rPr>
              <w:t>方案</w:t>
            </w:r>
            <w:r>
              <w:rPr>
                <w:rFonts w:hint="eastAsia" w:ascii="宋体" w:hAnsi="宋体" w:eastAsia="宋体" w:cs="宋体"/>
                <w:color w:val="auto"/>
                <w:sz w:val="21"/>
                <w:highlight w:val="none"/>
              </w:rPr>
              <w:t>内容满足采购需求，描述</w:t>
            </w:r>
            <w:r>
              <w:rPr>
                <w:rFonts w:hint="eastAsia" w:ascii="宋体" w:hAnsi="宋体" w:eastAsia="宋体" w:cs="宋体"/>
                <w:bCs/>
                <w:color w:val="auto"/>
                <w:kern w:val="0"/>
                <w:sz w:val="21"/>
                <w:highlight w:val="none"/>
              </w:rPr>
              <w:t>较详细、全面，运输的交通工具和盛装用具符合医药运输规范。</w:t>
            </w:r>
          </w:p>
          <w:p w14:paraId="7B78E979">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四档（9分）：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配送计划详细合理，配送的流程明确</w:t>
            </w:r>
            <w:r>
              <w:rPr>
                <w:rFonts w:hint="eastAsia" w:ascii="宋体" w:hAnsi="宋体" w:eastAsia="宋体" w:cs="宋体"/>
                <w:color w:val="auto"/>
                <w:sz w:val="21"/>
                <w:highlight w:val="none"/>
              </w:rPr>
              <w:t>，</w:t>
            </w:r>
            <w:r>
              <w:rPr>
                <w:rFonts w:hint="eastAsia" w:ascii="宋体" w:hAnsi="宋体" w:eastAsia="宋体" w:cs="宋体"/>
                <w:bCs/>
                <w:color w:val="auto"/>
                <w:sz w:val="21"/>
                <w:highlight w:val="none"/>
              </w:rPr>
              <w:t>配送时效优于采购需求，</w:t>
            </w:r>
            <w:r>
              <w:rPr>
                <w:rFonts w:hint="eastAsia" w:ascii="宋体" w:hAnsi="宋体" w:eastAsia="宋体" w:cs="宋体"/>
                <w:bCs/>
                <w:color w:val="auto"/>
                <w:kern w:val="0"/>
                <w:sz w:val="21"/>
                <w:highlight w:val="none"/>
              </w:rPr>
              <w:t>支持配送到家，运输的交通工具和盛装用具符合医药运输规范，</w:t>
            </w:r>
            <w:r>
              <w:rPr>
                <w:rFonts w:hint="eastAsia" w:ascii="宋体" w:hAnsi="宋体" w:eastAsia="宋体" w:cs="宋体"/>
                <w:bCs/>
                <w:color w:val="auto"/>
                <w:sz w:val="21"/>
                <w:highlight w:val="none"/>
              </w:rPr>
              <w:t>有具体的配送人员名单及联系方式，配送能力强，有具体、可行的保障措施。</w:t>
            </w:r>
          </w:p>
        </w:tc>
      </w:tr>
      <w:tr w14:paraId="315E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27D71834">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2.5</w:t>
            </w:r>
          </w:p>
        </w:tc>
        <w:tc>
          <w:tcPr>
            <w:tcW w:w="1701" w:type="dxa"/>
            <w:noWrap w:val="0"/>
            <w:vAlign w:val="center"/>
          </w:tcPr>
          <w:p w14:paraId="6A046E84">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应急服务方案分</w:t>
            </w:r>
          </w:p>
          <w:p w14:paraId="0C39417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bCs/>
                <w:color w:val="auto"/>
                <w:sz w:val="21"/>
                <w:highlight w:val="none"/>
              </w:rPr>
            </w:pPr>
            <w:r>
              <w:rPr>
                <w:rFonts w:hint="eastAsia" w:ascii="宋体" w:hAnsi="宋体" w:eastAsia="宋体" w:cs="宋体"/>
                <w:color w:val="auto"/>
                <w:sz w:val="21"/>
                <w:highlight w:val="none"/>
              </w:rPr>
              <w:t>（满分9分）</w:t>
            </w:r>
          </w:p>
        </w:tc>
        <w:tc>
          <w:tcPr>
            <w:tcW w:w="7454" w:type="dxa"/>
            <w:noWrap w:val="0"/>
            <w:vAlign w:val="center"/>
          </w:tcPr>
          <w:p w14:paraId="5740084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sz w:val="21"/>
                <w:highlight w:val="none"/>
              </w:rPr>
              <w:t>由评委根据各投标人的应急处理预案及紧急情况应对措施（包括但不限于设备故障、运送车辆故障、</w:t>
            </w:r>
            <w:r>
              <w:rPr>
                <w:rFonts w:hint="eastAsia" w:ascii="宋体" w:hAnsi="宋体" w:eastAsia="宋体" w:cs="宋体"/>
                <w:color w:val="auto"/>
                <w:spacing w:val="3"/>
                <w:sz w:val="21"/>
                <w:szCs w:val="21"/>
                <w:highlight w:val="none"/>
                <w:lang w:val="en-US" w:eastAsia="zh-CN"/>
              </w:rPr>
              <w:t>代煎成品</w:t>
            </w:r>
            <w:r>
              <w:rPr>
                <w:rFonts w:hint="eastAsia" w:ascii="宋体" w:hAnsi="宋体" w:eastAsia="宋体" w:cs="宋体"/>
                <w:bCs/>
                <w:color w:val="auto"/>
                <w:sz w:val="21"/>
                <w:highlight w:val="none"/>
              </w:rPr>
              <w:t>调剂和配送错误、</w:t>
            </w:r>
            <w:r>
              <w:rPr>
                <w:rFonts w:hint="eastAsia" w:ascii="宋体" w:hAnsi="宋体" w:eastAsia="宋体" w:cs="宋体"/>
                <w:color w:val="auto"/>
                <w:spacing w:val="3"/>
                <w:sz w:val="21"/>
                <w:szCs w:val="21"/>
                <w:highlight w:val="none"/>
                <w:lang w:val="en-US" w:eastAsia="zh-CN"/>
              </w:rPr>
              <w:t>代煎成品</w:t>
            </w:r>
            <w:r>
              <w:rPr>
                <w:rFonts w:hint="eastAsia" w:ascii="宋体" w:hAnsi="宋体" w:eastAsia="宋体" w:cs="宋体"/>
                <w:bCs/>
                <w:color w:val="auto"/>
                <w:sz w:val="21"/>
                <w:highlight w:val="none"/>
              </w:rPr>
              <w:t>质量出现问题、安全事故及应急配送等）的针对性、有效性、完善性等方面内容进行评审，独立打分。</w:t>
            </w:r>
          </w:p>
          <w:p w14:paraId="7B89309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一档（0分）：未提供</w:t>
            </w:r>
            <w:r>
              <w:rPr>
                <w:rFonts w:hint="eastAsia" w:ascii="宋体" w:hAnsi="宋体" w:eastAsia="宋体" w:cs="宋体"/>
                <w:bCs/>
                <w:color w:val="auto"/>
                <w:sz w:val="21"/>
                <w:highlight w:val="none"/>
              </w:rPr>
              <w:t>应急服务方案</w:t>
            </w:r>
            <w:r>
              <w:rPr>
                <w:rFonts w:hint="eastAsia" w:ascii="宋体" w:hAnsi="宋体" w:eastAsia="宋体" w:cs="宋体"/>
                <w:bCs/>
                <w:color w:val="auto"/>
                <w:kern w:val="0"/>
                <w:sz w:val="21"/>
                <w:highlight w:val="none"/>
              </w:rPr>
              <w:t>或提供的</w:t>
            </w:r>
            <w:r>
              <w:rPr>
                <w:rFonts w:hint="eastAsia" w:ascii="宋体" w:hAnsi="宋体" w:eastAsia="宋体" w:cs="宋体"/>
                <w:bCs/>
                <w:color w:val="auto"/>
                <w:sz w:val="21"/>
                <w:highlight w:val="none"/>
              </w:rPr>
              <w:t>应急服务方案</w:t>
            </w:r>
            <w:r>
              <w:rPr>
                <w:rFonts w:hint="eastAsia" w:ascii="宋体" w:hAnsi="宋体" w:eastAsia="宋体" w:cs="宋体"/>
                <w:bCs/>
                <w:color w:val="auto"/>
                <w:kern w:val="0"/>
                <w:sz w:val="21"/>
                <w:highlight w:val="none"/>
              </w:rPr>
              <w:t>与项目不符或达不到二档。</w:t>
            </w:r>
          </w:p>
          <w:p w14:paraId="3920E02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二档（3分）：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内容基本完整，能提供相应应急预案或措施，缺乏可操作性</w:t>
            </w:r>
            <w:r>
              <w:rPr>
                <w:rFonts w:hint="eastAsia" w:ascii="宋体" w:hAnsi="宋体" w:eastAsia="宋体" w:cs="宋体"/>
                <w:bCs/>
                <w:color w:val="auto"/>
                <w:kern w:val="0"/>
                <w:sz w:val="21"/>
                <w:highlight w:val="none"/>
              </w:rPr>
              <w:t>。</w:t>
            </w:r>
          </w:p>
          <w:p w14:paraId="37817447">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color w:val="auto"/>
                <w:sz w:val="21"/>
                <w:highlight w:val="none"/>
              </w:rPr>
            </w:pPr>
            <w:r>
              <w:rPr>
                <w:rFonts w:hint="eastAsia" w:ascii="宋体" w:hAnsi="宋体" w:eastAsia="宋体" w:cs="宋体"/>
                <w:bCs/>
                <w:color w:val="auto"/>
                <w:kern w:val="0"/>
                <w:sz w:val="21"/>
                <w:highlight w:val="none"/>
              </w:rPr>
              <w:t>三档（6分）：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内容完整，能结合采购人特点提供切合项目实际的应急预案或措施，应急预案或措施具备可行性，应急服务有保障。</w:t>
            </w:r>
          </w:p>
          <w:p w14:paraId="0AECE6F7">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四档（9分）：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内容完整，</w:t>
            </w:r>
            <w:r>
              <w:rPr>
                <w:rFonts w:hint="eastAsia" w:ascii="宋体" w:hAnsi="宋体" w:eastAsia="宋体" w:cs="宋体"/>
                <w:bCs/>
                <w:color w:val="auto"/>
                <w:kern w:val="0"/>
                <w:sz w:val="21"/>
                <w:highlight w:val="none"/>
              </w:rPr>
              <w:t>能结合采购</w:t>
            </w:r>
            <w:r>
              <w:rPr>
                <w:rFonts w:hint="eastAsia" w:ascii="宋体" w:hAnsi="宋体" w:eastAsia="宋体" w:cs="宋体"/>
                <w:color w:val="auto"/>
                <w:sz w:val="21"/>
                <w:highlight w:val="none"/>
              </w:rPr>
              <w:t>人</w:t>
            </w:r>
            <w:r>
              <w:rPr>
                <w:rFonts w:hint="eastAsia" w:ascii="宋体" w:hAnsi="宋体" w:eastAsia="宋体" w:cs="宋体"/>
                <w:bCs/>
                <w:color w:val="auto"/>
                <w:kern w:val="0"/>
                <w:sz w:val="21"/>
                <w:highlight w:val="none"/>
              </w:rPr>
              <w:t>特点提供切合项目实际的应急预案或措施，应急预案可操作性强、能有效解决问题，在接到临时紧急配送需求后能优于采购文件要求的时间内将代煎成品送达采购人指定地点，且有具体的应急人员安排和后勤保障方案，能保证发生突发事故时能及时应对，以保障采购人、患者的用药需求。</w:t>
            </w:r>
          </w:p>
        </w:tc>
      </w:tr>
      <w:tr w14:paraId="609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CE2CD30">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1701" w:type="dxa"/>
            <w:noWrap w:val="0"/>
            <w:vAlign w:val="center"/>
          </w:tcPr>
          <w:p w14:paraId="37D7A95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商务分</w:t>
            </w:r>
          </w:p>
          <w:p w14:paraId="38E93392">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（满分10分）</w:t>
            </w:r>
          </w:p>
        </w:tc>
        <w:tc>
          <w:tcPr>
            <w:tcW w:w="7454" w:type="dxa"/>
            <w:noWrap w:val="0"/>
            <w:vAlign w:val="center"/>
          </w:tcPr>
          <w:p w14:paraId="40495AF4">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评审因素</w:t>
            </w:r>
          </w:p>
        </w:tc>
      </w:tr>
      <w:tr w14:paraId="0B35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8C83234">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3.1</w:t>
            </w:r>
          </w:p>
        </w:tc>
        <w:tc>
          <w:tcPr>
            <w:tcW w:w="1701" w:type="dxa"/>
            <w:noWrap w:val="0"/>
            <w:vAlign w:val="center"/>
          </w:tcPr>
          <w:p w14:paraId="72C39A4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信誉分</w:t>
            </w:r>
          </w:p>
          <w:p w14:paraId="3930FBB3">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（满分3分）</w:t>
            </w:r>
          </w:p>
        </w:tc>
        <w:tc>
          <w:tcPr>
            <w:tcW w:w="7454" w:type="dxa"/>
            <w:noWrap w:val="0"/>
            <w:vAlign w:val="center"/>
          </w:tcPr>
          <w:p w14:paraId="6745090E">
            <w:pPr>
              <w:keepNext w:val="0"/>
              <w:keepLines w:val="0"/>
              <w:pageBreakBefore w:val="0"/>
              <w:widowControl w:val="0"/>
              <w:tabs>
                <w:tab w:val="left" w:pos="0"/>
              </w:tabs>
              <w:kinsoku/>
              <w:wordWrap w:val="0"/>
              <w:overflowPunct/>
              <w:topLinePunct w:val="0"/>
              <w:autoSpaceDE/>
              <w:autoSpaceDN/>
              <w:bidi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（1）投标人通过质量管理体系认证得1分，满分1分。（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p w14:paraId="4556402A">
            <w:pPr>
              <w:keepNext w:val="0"/>
              <w:keepLines w:val="0"/>
              <w:pageBreakBefore w:val="0"/>
              <w:widowControl w:val="0"/>
              <w:kinsoku/>
              <w:wordWrap w:val="0"/>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bCs/>
                <w:color w:val="auto"/>
                <w:sz w:val="21"/>
                <w:highlight w:val="none"/>
              </w:rPr>
              <w:t>投标人通过环境管理体系认证得1分，满分1分。（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p w14:paraId="1FD53956">
            <w:pPr>
              <w:keepNext w:val="0"/>
              <w:keepLines w:val="0"/>
              <w:pageBreakBefore w:val="0"/>
              <w:widowControl w:val="0"/>
              <w:kinsoku/>
              <w:wordWrap w:val="0"/>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
                <w:bCs/>
                <w:color w:val="auto"/>
                <w:sz w:val="21"/>
                <w:highlight w:val="none"/>
              </w:rPr>
            </w:pPr>
            <w:r>
              <w:rPr>
                <w:rFonts w:hint="eastAsia" w:ascii="宋体" w:hAnsi="宋体" w:eastAsia="宋体" w:cs="宋体"/>
                <w:bCs/>
                <w:color w:val="auto"/>
                <w:sz w:val="21"/>
                <w:highlight w:val="none"/>
              </w:rPr>
              <w:t>（3）投标人通过职业健康安全管理体系认证得1分，满分1分。（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tc>
      </w:tr>
      <w:tr w14:paraId="5BE5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noWrap w:val="0"/>
            <w:vAlign w:val="center"/>
          </w:tcPr>
          <w:p w14:paraId="42185113">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3.2</w:t>
            </w:r>
          </w:p>
        </w:tc>
        <w:tc>
          <w:tcPr>
            <w:tcW w:w="1701" w:type="dxa"/>
            <w:noWrap w:val="0"/>
            <w:vAlign w:val="center"/>
          </w:tcPr>
          <w:p w14:paraId="0220EB5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业绩分</w:t>
            </w:r>
          </w:p>
          <w:p w14:paraId="336B6975">
            <w:pPr>
              <w:keepNext w:val="0"/>
              <w:keepLines w:val="0"/>
              <w:pageBreakBefore w:val="0"/>
              <w:widowControl w:val="0"/>
              <w:kinsoku/>
              <w:overflowPunct/>
              <w:topLinePunct w:val="0"/>
              <w:autoSpaceDE/>
              <w:autoSpaceDN/>
              <w:bidi w:val="0"/>
              <w:spacing w:line="360" w:lineRule="auto"/>
              <w:ind w:left="0" w:leftChars="0" w:right="0" w:firstLine="31" w:firstLineChars="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（满分7分）</w:t>
            </w:r>
          </w:p>
        </w:tc>
        <w:tc>
          <w:tcPr>
            <w:tcW w:w="7454" w:type="dxa"/>
            <w:noWrap w:val="0"/>
            <w:vAlign w:val="center"/>
          </w:tcPr>
          <w:p w14:paraId="5C28D727">
            <w:pPr>
              <w:keepNext w:val="0"/>
              <w:keepLines w:val="0"/>
              <w:pageBreakBefore w:val="0"/>
              <w:widowControl w:val="0"/>
              <w:tabs>
                <w:tab w:val="left" w:pos="0"/>
              </w:tabs>
              <w:kinsoku/>
              <w:wordWrap w:val="0"/>
              <w:overflowPunct/>
              <w:topLinePunct w:val="0"/>
              <w:autoSpaceDE/>
              <w:autoSpaceDN/>
              <w:bidi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投标人自2022年1月1日以来具有同类项目实施业绩（</w:t>
            </w:r>
            <w:r>
              <w:rPr>
                <w:rFonts w:hint="eastAsia" w:ascii="宋体" w:hAnsi="宋体" w:eastAsia="宋体" w:cs="宋体"/>
                <w:b/>
                <w:bCs/>
                <w:color w:val="auto"/>
                <w:sz w:val="21"/>
                <w:highlight w:val="none"/>
              </w:rPr>
              <w:t>以投标文件中提供的合同书原件扫描件为准</w:t>
            </w:r>
            <w:r>
              <w:rPr>
                <w:rFonts w:hint="eastAsia" w:ascii="宋体" w:hAnsi="宋体" w:eastAsia="宋体" w:cs="宋体"/>
                <w:bCs/>
                <w:color w:val="auto"/>
                <w:sz w:val="21"/>
                <w:highlight w:val="none"/>
              </w:rPr>
              <w:t>，并能清晰反映合同中的同类项目名称及内容，否则视为无效不予计分），每提供一份业绩合同得1分，满分7分。</w:t>
            </w:r>
          </w:p>
          <w:p w14:paraId="15E19A07">
            <w:pPr>
              <w:keepNext w:val="0"/>
              <w:keepLines w:val="0"/>
              <w:pageBreakBefore w:val="0"/>
              <w:widowControl w:val="0"/>
              <w:kinsoku/>
              <w:overflowPunct/>
              <w:topLinePunct w:val="0"/>
              <w:autoSpaceDE/>
              <w:autoSpaceDN/>
              <w:bidi w:val="0"/>
              <w:snapToGrid w:val="0"/>
              <w:spacing w:line="360" w:lineRule="auto"/>
              <w:ind w:left="0" w:leftChars="0" w:right="0" w:firstLine="422" w:firstLineChars="200"/>
              <w:jc w:val="both"/>
              <w:rPr>
                <w:rFonts w:hint="eastAsia" w:ascii="宋体" w:hAnsi="宋体" w:eastAsia="宋体" w:cs="宋体"/>
                <w:bCs/>
                <w:color w:val="auto"/>
                <w:sz w:val="21"/>
                <w:highlight w:val="none"/>
              </w:rPr>
            </w:pPr>
            <w:r>
              <w:rPr>
                <w:rFonts w:hint="eastAsia" w:ascii="宋体" w:hAnsi="宋体" w:eastAsia="宋体" w:cs="宋体"/>
                <w:b/>
                <w:bCs/>
                <w:color w:val="auto"/>
                <w:sz w:val="21"/>
                <w:highlight w:val="none"/>
              </w:rPr>
              <w:t>注：1.合同期包含2022年1月1日及之后的业绩均认可。</w:t>
            </w:r>
          </w:p>
        </w:tc>
      </w:tr>
      <w:tr w14:paraId="602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6" w:type="dxa"/>
            <w:gridSpan w:val="3"/>
            <w:noWrap w:val="0"/>
            <w:vAlign w:val="center"/>
          </w:tcPr>
          <w:p w14:paraId="749574C4">
            <w:pPr>
              <w:pStyle w:val="16"/>
              <w:keepNext w:val="0"/>
              <w:keepLines w:val="0"/>
              <w:pageBreakBefore w:val="0"/>
              <w:widowControl w:val="0"/>
              <w:kinsoku/>
              <w:overflowPunct/>
              <w:topLinePunct w:val="0"/>
              <w:autoSpaceDE/>
              <w:autoSpaceDN/>
              <w:bidi w:val="0"/>
              <w:spacing w:line="360" w:lineRule="auto"/>
              <w:ind w:left="0" w:leftChars="0" w:right="0"/>
              <w:rPr>
                <w:rFonts w:hint="eastAsia" w:ascii="宋体" w:hAnsi="宋体" w:eastAsia="宋体" w:cs="宋体"/>
                <w:bCs/>
                <w:color w:val="auto"/>
                <w:sz w:val="21"/>
                <w:highlight w:val="none"/>
              </w:rPr>
            </w:pPr>
            <w:r>
              <w:rPr>
                <w:rFonts w:hint="eastAsia" w:ascii="宋体" w:hAnsi="宋体" w:eastAsia="宋体" w:cs="宋体"/>
                <w:b/>
                <w:bCs/>
                <w:color w:val="auto"/>
                <w:sz w:val="21"/>
                <w:highlight w:val="none"/>
              </w:rPr>
              <w:t>总得分=1+2+3</w:t>
            </w:r>
          </w:p>
        </w:tc>
      </w:tr>
      <w:bookmarkEnd w:id="52"/>
    </w:tbl>
    <w:p w14:paraId="2212FC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A538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.终止竞争性磋商采购活动</w:t>
      </w:r>
    </w:p>
    <w:p w14:paraId="504D54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7" w:name="_Toc14052"/>
      <w:r>
        <w:rPr>
          <w:rFonts w:hint="eastAsia" w:ascii="宋体" w:hAnsi="宋体" w:eastAsia="宋体" w:cs="宋体"/>
          <w:bCs/>
          <w:color w:val="auto"/>
          <w:sz w:val="32"/>
          <w:szCs w:val="32"/>
          <w:highlight w:val="none"/>
        </w:rPr>
        <w:t>第二节 评标报告</w:t>
      </w:r>
      <w:bookmarkEnd w:id="53"/>
      <w:bookmarkEnd w:id="57"/>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9055A38">
      <w:pPr>
        <w:adjustRightInd w:val="0"/>
        <w:spacing w:line="360" w:lineRule="auto"/>
        <w:ind w:firstLine="420" w:firstLineChars="200"/>
        <w:rPr>
          <w:rFonts w:hint="eastAsia" w:ascii="宋体" w:hAnsi="宋体" w:eastAsia="宋体" w:cs="宋体"/>
          <w:color w:val="auto"/>
          <w:highlight w:val="none"/>
        </w:rPr>
      </w:pP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8" w:name="_Toc80205936"/>
      <w:bookmarkStart w:id="59" w:name="_Toc13089"/>
      <w:r>
        <w:rPr>
          <w:rFonts w:hint="eastAsia" w:ascii="宋体" w:hAnsi="宋体" w:eastAsia="宋体" w:cs="宋体"/>
          <w:bCs/>
          <w:color w:val="auto"/>
          <w:sz w:val="32"/>
          <w:szCs w:val="32"/>
          <w:highlight w:val="none"/>
        </w:rPr>
        <w:t>第三节 评审过程的保密与录像</w:t>
      </w:r>
      <w:bookmarkEnd w:id="58"/>
      <w:bookmarkEnd w:id="59"/>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F0FA8F">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2.录音录像</w:t>
      </w:r>
    </w:p>
    <w:p w14:paraId="7CDFFB89">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E11B85">
      <w:pPr>
        <w:rPr>
          <w:rFonts w:hint="eastAsia"/>
          <w:color w:val="auto"/>
          <w:highlight w:val="none"/>
        </w:rPr>
      </w:pPr>
      <w:r>
        <w:rPr>
          <w:rFonts w:hint="eastAsia" w:ascii="宋体" w:hAnsi="宋体" w:eastAsia="宋体" w:cs="宋体"/>
          <w:bCs/>
          <w:color w:val="auto"/>
          <w:kern w:val="2"/>
          <w:szCs w:val="24"/>
          <w:highlight w:val="none"/>
          <w:lang w:val="en-US" w:eastAsia="zh-CN" w:bidi="ar-SA"/>
        </w:rPr>
        <w:br w:type="page"/>
      </w:r>
      <w:bookmarkEnd w:id="54"/>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60" w:name="_Toc26450"/>
      <w:r>
        <w:rPr>
          <w:rFonts w:hint="eastAsia" w:ascii="宋体" w:hAnsi="宋体" w:eastAsia="宋体" w:cs="宋体"/>
          <w:b/>
          <w:bCs/>
          <w:color w:val="auto"/>
          <w:kern w:val="44"/>
          <w:sz w:val="32"/>
          <w:szCs w:val="32"/>
          <w:highlight w:val="none"/>
        </w:rPr>
        <w:t>响应文件格式</w:t>
      </w:r>
      <w:bookmarkEnd w:id="60"/>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auto"/>
          <w:sz w:val="32"/>
          <w:szCs w:val="20"/>
          <w:highlight w:val="none"/>
        </w:rPr>
      </w:pPr>
      <w:r>
        <w:rPr>
          <w:rFonts w:hint="eastAsia" w:ascii="宋体" w:hAnsi="宋体" w:eastAsia="宋体" w:cs="宋体"/>
          <w:bCs/>
          <w:color w:val="auto"/>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auto"/>
          <w:sz w:val="24"/>
          <w:szCs w:val="20"/>
          <w:highlight w:val="none"/>
        </w:rPr>
      </w:pPr>
    </w:p>
    <w:p w14:paraId="6C3F52F9">
      <w:pPr>
        <w:shd w:val="clear" w:color="auto" w:fill="auto"/>
        <w:snapToGrid w:val="0"/>
        <w:spacing w:before="158" w:beforeLines="50" w:after="50"/>
        <w:rPr>
          <w:rFonts w:hint="eastAsia" w:ascii="宋体" w:hAnsi="宋体" w:eastAsia="宋体" w:cs="宋体"/>
          <w:color w:val="auto"/>
          <w:sz w:val="24"/>
          <w:szCs w:val="20"/>
          <w:highlight w:val="none"/>
        </w:rPr>
      </w:pPr>
    </w:p>
    <w:p w14:paraId="068FAD7E">
      <w:pPr>
        <w:shd w:val="clear" w:color="auto" w:fill="auto"/>
        <w:snapToGrid w:val="0"/>
        <w:spacing w:before="158" w:beforeLines="50" w:after="50"/>
        <w:rPr>
          <w:rFonts w:hint="eastAsia" w:ascii="宋体" w:hAnsi="宋体" w:eastAsia="宋体" w:cs="宋体"/>
          <w:color w:val="auto"/>
          <w:sz w:val="24"/>
          <w:szCs w:val="20"/>
          <w:highlight w:val="none"/>
        </w:rPr>
      </w:pPr>
    </w:p>
    <w:p w14:paraId="4985E1A5">
      <w:pPr>
        <w:shd w:val="clear" w:color="auto" w:fill="auto"/>
        <w:snapToGrid w:val="0"/>
        <w:spacing w:before="158" w:beforeLines="50" w:after="50"/>
        <w:rPr>
          <w:rFonts w:hint="eastAsia" w:ascii="宋体" w:hAnsi="宋体" w:eastAsia="宋体" w:cs="宋体"/>
          <w:color w:val="auto"/>
          <w:sz w:val="24"/>
          <w:szCs w:val="20"/>
          <w:highlight w:val="none"/>
        </w:rPr>
      </w:pPr>
    </w:p>
    <w:p w14:paraId="6DF757CE">
      <w:pPr>
        <w:shd w:val="clear" w:color="auto" w:fill="auto"/>
        <w:snapToGrid w:val="0"/>
        <w:spacing w:before="158" w:beforeLines="50" w:after="50"/>
        <w:rPr>
          <w:rFonts w:hint="eastAsia" w:ascii="宋体" w:hAnsi="宋体" w:eastAsia="宋体" w:cs="宋体"/>
          <w:color w:val="auto"/>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柳州市柳江区中医医院</w:t>
      </w:r>
      <w:r>
        <w:rPr>
          <w:rFonts w:hint="eastAsia" w:ascii="宋体" w:hAnsi="宋体" w:eastAsia="宋体" w:cs="宋体"/>
          <w:color w:val="auto"/>
          <w:spacing w:val="6"/>
          <w:sz w:val="24"/>
          <w:highlight w:val="none"/>
          <w:u w:val="single"/>
        </w:rPr>
        <w:t>、</w:t>
      </w:r>
      <w:r>
        <w:rPr>
          <w:rFonts w:hint="eastAsia" w:ascii="宋体" w:hAnsi="宋体" w:eastAsia="宋体" w:cs="宋体"/>
          <w:color w:val="auto"/>
          <w:spacing w:val="6"/>
          <w:sz w:val="24"/>
          <w:highlight w:val="none"/>
          <w:u w:val="single"/>
          <w:lang w:eastAsia="zh-CN"/>
        </w:rPr>
        <w:t>广西景钲工程咨询有限公司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 xml:space="preserve">）的政府采购活动，并郑重承诺我方符合《中华人民共和国政府采购法》第二十二条规定的条件：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（五）参加政府采购活动前三年内，在经营活动中没有重大违法记录；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2"/>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2"/>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EC5F2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7B9CF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val="0"/>
          <w:color w:val="auto"/>
          <w:sz w:val="30"/>
          <w:szCs w:val="30"/>
          <w:highlight w:val="none"/>
        </w:rPr>
        <w:br w:type="page"/>
      </w: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3"/>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注：1.法定代表人必须在授权委托书上亲笔签字或盖章，委托代理人必须在授权委托书上亲笔签字，</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bl>
    <w:p w14:paraId="04F350DD">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lang w:eastAsia="zh-CN"/>
        </w:rPr>
        <w:t>、商务要求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1"/>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服务需求偏离表</w:t>
      </w:r>
    </w:p>
    <w:p w14:paraId="697975B9">
      <w:pPr>
        <w:spacing w:line="360" w:lineRule="auto"/>
        <w:contextualSpacing/>
        <w:rPr>
          <w:rFonts w:hint="eastAsia" w:ascii="宋体" w:hAnsi="宋体" w:eastAsia="宋体" w:cs="宋体"/>
          <w:color w:val="auto"/>
          <w:kern w:val="0"/>
          <w:sz w:val="24"/>
          <w:highlight w:val="none"/>
        </w:rPr>
      </w:pPr>
    </w:p>
    <w:tbl>
      <w:tblPr>
        <w:tblStyle w:val="32"/>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tcBorders>
              <w:top w:val="single" w:color="auto" w:sz="4" w:space="0"/>
            </w:tcBorders>
            <w:vAlign w:val="center"/>
          </w:tcPr>
          <w:p w14:paraId="5D6CF1A2">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61" w:name="_Toc373333689"/>
            <w:bookmarkStart w:id="62" w:name="_Toc254970588"/>
            <w:bookmarkStart w:id="63" w:name="_Toc173211900"/>
            <w:bookmarkStart w:id="64" w:name="_Toc295404981"/>
            <w:bookmarkStart w:id="65" w:name="_Toc297193185"/>
            <w:bookmarkStart w:id="66" w:name="_Toc254970729"/>
            <w:bookmarkStart w:id="67" w:name="_Toc383699906"/>
            <w:bookmarkStart w:id="68" w:name="_Toc301781611"/>
            <w:bookmarkStart w:id="69" w:name="_Toc173066401"/>
            <w:r>
              <w:rPr>
                <w:rFonts w:hint="eastAsia" w:ascii="宋体" w:hAnsi="宋体" w:eastAsia="宋体" w:cs="宋体"/>
                <w:color w:val="auto"/>
                <w:kern w:val="2"/>
                <w:sz w:val="24"/>
                <w:szCs w:val="24"/>
                <w:highlight w:val="none"/>
              </w:rPr>
              <w:t>序号</w:t>
            </w:r>
            <w:bookmarkEnd w:id="61"/>
            <w:bookmarkEnd w:id="62"/>
            <w:bookmarkEnd w:id="63"/>
            <w:bookmarkEnd w:id="64"/>
            <w:bookmarkEnd w:id="65"/>
            <w:bookmarkEnd w:id="66"/>
            <w:bookmarkEnd w:id="67"/>
            <w:bookmarkEnd w:id="68"/>
            <w:bookmarkEnd w:id="69"/>
          </w:p>
        </w:tc>
        <w:tc>
          <w:tcPr>
            <w:tcW w:w="900" w:type="dxa"/>
            <w:tcBorders>
              <w:top w:val="single" w:color="auto" w:sz="4" w:space="0"/>
              <w:right w:val="single" w:color="auto" w:sz="4" w:space="0"/>
            </w:tcBorders>
            <w:vAlign w:val="center"/>
          </w:tcPr>
          <w:p w14:paraId="60045F49">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服务要求</w:t>
            </w:r>
          </w:p>
        </w:tc>
        <w:tc>
          <w:tcPr>
            <w:tcW w:w="2690" w:type="dxa"/>
            <w:tcBorders>
              <w:top w:val="single" w:color="auto" w:sz="4" w:space="0"/>
            </w:tcBorders>
            <w:vAlign w:val="center"/>
          </w:tcPr>
          <w:p w14:paraId="6B63EDC0">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0" w:name="_Toc383699908"/>
            <w:bookmarkStart w:id="71" w:name="_Toc254970590"/>
            <w:bookmarkStart w:id="72" w:name="_Toc301781613"/>
            <w:bookmarkStart w:id="73" w:name="_Toc295404983"/>
            <w:bookmarkStart w:id="74" w:name="_Toc254970731"/>
            <w:bookmarkStart w:id="75" w:name="_Toc173211902"/>
            <w:bookmarkStart w:id="76" w:name="_Toc373333691"/>
            <w:bookmarkStart w:id="77" w:name="_Toc297193187"/>
            <w:bookmarkStart w:id="78" w:name="_Toc173066403"/>
            <w:r>
              <w:rPr>
                <w:rFonts w:hint="eastAsia" w:ascii="宋体" w:hAnsi="宋体" w:eastAsia="宋体" w:cs="宋体"/>
                <w:color w:val="auto"/>
                <w:kern w:val="2"/>
                <w:sz w:val="24"/>
                <w:szCs w:val="24"/>
                <w:highlight w:val="none"/>
              </w:rPr>
              <w:t>竞标响应</w:t>
            </w:r>
            <w:bookmarkEnd w:id="70"/>
            <w:bookmarkEnd w:id="71"/>
            <w:bookmarkEnd w:id="72"/>
            <w:bookmarkEnd w:id="73"/>
            <w:bookmarkEnd w:id="74"/>
            <w:bookmarkEnd w:id="75"/>
            <w:bookmarkEnd w:id="76"/>
            <w:bookmarkEnd w:id="77"/>
            <w:bookmarkEnd w:id="78"/>
          </w:p>
        </w:tc>
        <w:tc>
          <w:tcPr>
            <w:tcW w:w="1467" w:type="dxa"/>
            <w:tcBorders>
              <w:top w:val="single" w:color="auto" w:sz="4" w:space="0"/>
            </w:tcBorders>
            <w:vAlign w:val="center"/>
          </w:tcPr>
          <w:p w14:paraId="7A94799C">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9" w:name="_Toc295404984"/>
            <w:bookmarkStart w:id="80" w:name="_Toc373333692"/>
            <w:bookmarkStart w:id="81" w:name="_Toc301781614"/>
            <w:bookmarkStart w:id="82" w:name="_Toc173066404"/>
            <w:bookmarkStart w:id="83" w:name="_Toc254970591"/>
            <w:bookmarkStart w:id="84" w:name="_Toc254970732"/>
            <w:bookmarkStart w:id="85" w:name="_Toc383699909"/>
            <w:bookmarkStart w:id="86" w:name="_Toc297193188"/>
            <w:bookmarkStart w:id="87" w:name="_Toc173211903"/>
            <w:r>
              <w:rPr>
                <w:rFonts w:hint="eastAsia" w:ascii="宋体" w:hAnsi="宋体" w:eastAsia="宋体" w:cs="宋体"/>
                <w:color w:val="auto"/>
                <w:kern w:val="2"/>
                <w:sz w:val="24"/>
                <w:szCs w:val="24"/>
                <w:highlight w:val="none"/>
              </w:rPr>
              <w:t>偏离</w:t>
            </w:r>
            <w:bookmarkEnd w:id="79"/>
            <w:bookmarkEnd w:id="80"/>
            <w:bookmarkEnd w:id="81"/>
            <w:bookmarkEnd w:id="82"/>
            <w:bookmarkEnd w:id="83"/>
            <w:bookmarkEnd w:id="84"/>
            <w:bookmarkEnd w:id="85"/>
            <w:bookmarkEnd w:id="86"/>
            <w:bookmarkEnd w:id="87"/>
            <w:bookmarkStart w:id="88" w:name="_Toc295404985"/>
            <w:bookmarkStart w:id="89" w:name="_Toc297193189"/>
            <w:bookmarkStart w:id="90" w:name="_Toc373333693"/>
            <w:bookmarkStart w:id="91" w:name="_Toc301781615"/>
            <w:bookmarkStart w:id="92" w:name="_Toc254970592"/>
            <w:bookmarkStart w:id="93" w:name="_Toc173066405"/>
            <w:bookmarkStart w:id="94" w:name="_Toc254970733"/>
            <w:bookmarkStart w:id="95" w:name="_Toc383699910"/>
            <w:bookmarkStart w:id="96" w:name="_Toc173211904"/>
            <w:r>
              <w:rPr>
                <w:rFonts w:hint="eastAsia" w:ascii="宋体" w:hAnsi="宋体" w:eastAsia="宋体" w:cs="宋体"/>
                <w:color w:val="auto"/>
                <w:kern w:val="2"/>
                <w:sz w:val="24"/>
                <w:szCs w:val="24"/>
                <w:highlight w:val="none"/>
              </w:rPr>
              <w:t>说明</w:t>
            </w:r>
            <w:bookmarkEnd w:id="88"/>
            <w:bookmarkEnd w:id="89"/>
            <w:bookmarkEnd w:id="90"/>
            <w:bookmarkEnd w:id="91"/>
            <w:bookmarkEnd w:id="92"/>
            <w:bookmarkEnd w:id="93"/>
            <w:bookmarkEnd w:id="94"/>
            <w:bookmarkEnd w:id="95"/>
            <w:bookmarkEnd w:id="96"/>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3"/>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w:t>
            </w:r>
          </w:p>
        </w:tc>
        <w:tc>
          <w:tcPr>
            <w:tcW w:w="900" w:type="dxa"/>
            <w:tcBorders>
              <w:right w:val="single" w:color="auto" w:sz="4" w:space="0"/>
            </w:tcBorders>
            <w:vAlign w:val="center"/>
          </w:tcPr>
          <w:p w14:paraId="2D7227D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61AC9CF4">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3"/>
              <w:spacing w:line="360" w:lineRule="auto"/>
              <w:ind w:firstLine="0" w:firstLineChars="0"/>
              <w:contextualSpacing/>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w:t>
            </w:r>
          </w:p>
        </w:tc>
        <w:tc>
          <w:tcPr>
            <w:tcW w:w="900" w:type="dxa"/>
            <w:tcBorders>
              <w:right w:val="single" w:color="auto" w:sz="4" w:space="0"/>
            </w:tcBorders>
            <w:vAlign w:val="center"/>
          </w:tcPr>
          <w:p w14:paraId="19CD166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1259C9F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8806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0F1D3E55">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tc>
        <w:tc>
          <w:tcPr>
            <w:tcW w:w="900" w:type="dxa"/>
            <w:tcBorders>
              <w:right w:val="single" w:color="auto" w:sz="4" w:space="0"/>
            </w:tcBorders>
            <w:vAlign w:val="center"/>
          </w:tcPr>
          <w:p w14:paraId="1E050C0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2DBC8A53">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F93AFC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C012C1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46CD3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698D06B7">
            <w:pPr>
              <w:pStyle w:val="13"/>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八</w:t>
            </w:r>
          </w:p>
        </w:tc>
        <w:tc>
          <w:tcPr>
            <w:tcW w:w="900" w:type="dxa"/>
            <w:tcBorders>
              <w:right w:val="single" w:color="auto" w:sz="4" w:space="0"/>
            </w:tcBorders>
            <w:vAlign w:val="center"/>
          </w:tcPr>
          <w:p w14:paraId="5631957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71CD316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51522C8">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1FEF08C">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lang w:eastAsia="zh-CN"/>
        </w:rPr>
        <w:t>服务参数</w:t>
      </w:r>
      <w:r>
        <w:rPr>
          <w:rFonts w:hint="eastAsia" w:ascii="宋体" w:hAnsi="宋体" w:eastAsia="宋体" w:cs="宋体"/>
          <w:color w:val="auto"/>
          <w:kern w:val="0"/>
          <w:szCs w:val="21"/>
          <w:highlight w:val="none"/>
        </w:rPr>
        <w:t>条款逐条作出明确响应，并作出偏离说明。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1CDEFF">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CA47B40">
      <w:pPr>
        <w:autoSpaceDE w:val="0"/>
        <w:autoSpaceDN w:val="0"/>
        <w:spacing w:line="360" w:lineRule="auto"/>
        <w:ind w:firstLine="6480" w:firstLineChars="2700"/>
        <w:rPr>
          <w:rFonts w:hint="eastAsia" w:ascii="宋体" w:hAnsi="宋体" w:eastAsia="宋体" w:cs="宋体"/>
          <w:color w:val="auto"/>
          <w:sz w:val="24"/>
          <w:highlight w:val="none"/>
        </w:rPr>
      </w:pPr>
    </w:p>
    <w:p w14:paraId="6D4B10F4">
      <w:pPr>
        <w:autoSpaceDE w:val="0"/>
        <w:autoSpaceDN w:val="0"/>
        <w:spacing w:line="360" w:lineRule="auto"/>
        <w:ind w:firstLine="6480" w:firstLineChars="2700"/>
        <w:rPr>
          <w:rFonts w:hint="eastAsia" w:ascii="宋体" w:hAnsi="宋体" w:eastAsia="宋体" w:cs="宋体"/>
          <w:color w:val="auto"/>
          <w:sz w:val="24"/>
          <w:highlight w:val="none"/>
        </w:rPr>
      </w:pPr>
    </w:p>
    <w:p w14:paraId="74C01A09">
      <w:pPr>
        <w:autoSpaceDE w:val="0"/>
        <w:autoSpaceDN w:val="0"/>
        <w:spacing w:line="360" w:lineRule="auto"/>
        <w:ind w:firstLine="6480" w:firstLineChars="2700"/>
        <w:rPr>
          <w:rFonts w:hint="eastAsia" w:ascii="宋体" w:hAnsi="宋体" w:eastAsia="宋体" w:cs="宋体"/>
          <w:color w:val="auto"/>
          <w:sz w:val="24"/>
          <w:highlight w:val="none"/>
        </w:rPr>
      </w:pP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1"/>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）的竞争性磋商采购文件的全部内容，现正式递交下述文件参加贵方组织的本次政府采购活动：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据此函，签字人兹宣布：</w:t>
      </w:r>
    </w:p>
    <w:p w14:paraId="7F7620C6">
      <w:pPr>
        <w:pStyle w:val="16"/>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32"/>
        <w:tblpPr w:leftFromText="180" w:rightFromText="180" w:vertAnchor="text" w:horzAnchor="page" w:tblpX="1404" w:tblpY="182"/>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21"/>
        <w:gridCol w:w="3330"/>
        <w:gridCol w:w="2154"/>
      </w:tblGrid>
      <w:tr w14:paraId="002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92" w:type="dxa"/>
            <w:tcBorders>
              <w:top w:val="single" w:color="auto" w:sz="4" w:space="0"/>
              <w:left w:val="single" w:color="auto" w:sz="4" w:space="0"/>
              <w:bottom w:val="single" w:color="auto" w:sz="4" w:space="0"/>
              <w:right w:val="single" w:color="auto" w:sz="4" w:space="0"/>
            </w:tcBorders>
            <w:vAlign w:val="center"/>
          </w:tcPr>
          <w:p w14:paraId="49701C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21" w:type="dxa"/>
            <w:tcBorders>
              <w:top w:val="single" w:color="auto" w:sz="4" w:space="0"/>
              <w:left w:val="single" w:color="auto" w:sz="4" w:space="0"/>
              <w:bottom w:val="single" w:color="auto" w:sz="4" w:space="0"/>
              <w:right w:val="single" w:color="auto" w:sz="4" w:space="0"/>
            </w:tcBorders>
            <w:vAlign w:val="center"/>
          </w:tcPr>
          <w:p w14:paraId="68533FBE">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标的的名称</w:t>
            </w:r>
          </w:p>
        </w:tc>
        <w:tc>
          <w:tcPr>
            <w:tcW w:w="3330" w:type="dxa"/>
            <w:tcBorders>
              <w:top w:val="single" w:color="auto" w:sz="4" w:space="0"/>
              <w:left w:val="single" w:color="auto" w:sz="4" w:space="0"/>
              <w:bottom w:val="single" w:color="auto" w:sz="4" w:space="0"/>
              <w:right w:val="single" w:color="auto" w:sz="4" w:space="0"/>
            </w:tcBorders>
            <w:vAlign w:val="center"/>
          </w:tcPr>
          <w:p w14:paraId="693D54CA">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投标报价（代煎服务费单价）</w:t>
            </w:r>
          </w:p>
        </w:tc>
        <w:tc>
          <w:tcPr>
            <w:tcW w:w="2154" w:type="dxa"/>
            <w:tcBorders>
              <w:top w:val="single" w:color="auto" w:sz="4" w:space="0"/>
              <w:left w:val="single" w:color="auto" w:sz="4" w:space="0"/>
              <w:bottom w:val="single" w:color="auto" w:sz="4" w:space="0"/>
              <w:right w:val="single" w:color="auto" w:sz="4" w:space="0"/>
            </w:tcBorders>
            <w:vAlign w:val="center"/>
          </w:tcPr>
          <w:p w14:paraId="048A5D68">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备注</w:t>
            </w:r>
          </w:p>
        </w:tc>
      </w:tr>
      <w:tr w14:paraId="3E1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792" w:type="dxa"/>
            <w:tcBorders>
              <w:top w:val="single" w:color="auto" w:sz="4" w:space="0"/>
              <w:left w:val="single" w:color="auto" w:sz="4" w:space="0"/>
              <w:bottom w:val="single" w:color="auto" w:sz="4" w:space="0"/>
              <w:right w:val="single" w:color="auto" w:sz="4" w:space="0"/>
            </w:tcBorders>
            <w:vAlign w:val="center"/>
          </w:tcPr>
          <w:p w14:paraId="6E352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21" w:type="dxa"/>
            <w:tcBorders>
              <w:top w:val="single" w:color="auto" w:sz="4" w:space="0"/>
              <w:left w:val="single" w:color="auto" w:sz="4" w:space="0"/>
              <w:bottom w:val="single" w:color="auto" w:sz="4" w:space="0"/>
              <w:right w:val="single" w:color="auto" w:sz="4" w:space="0"/>
            </w:tcBorders>
            <w:vAlign w:val="center"/>
          </w:tcPr>
          <w:p w14:paraId="2C2B8D3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柳州市柳江区中医医院2025-2027年度中药饮片代煎和配送服务采购项目</w:t>
            </w:r>
          </w:p>
        </w:tc>
        <w:tc>
          <w:tcPr>
            <w:tcW w:w="3330" w:type="dxa"/>
            <w:tcBorders>
              <w:top w:val="single" w:color="auto" w:sz="4" w:space="0"/>
              <w:left w:val="single" w:color="auto" w:sz="4" w:space="0"/>
              <w:bottom w:val="single" w:color="auto" w:sz="4" w:space="0"/>
              <w:right w:val="single" w:color="auto" w:sz="4" w:space="0"/>
            </w:tcBorders>
            <w:vAlign w:val="center"/>
          </w:tcPr>
          <w:p w14:paraId="7D93E80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元/付</w:t>
            </w:r>
          </w:p>
        </w:tc>
        <w:tc>
          <w:tcPr>
            <w:tcW w:w="2154" w:type="dxa"/>
            <w:tcBorders>
              <w:top w:val="single" w:color="auto" w:sz="4" w:space="0"/>
              <w:left w:val="single" w:color="auto" w:sz="4" w:space="0"/>
              <w:bottom w:val="single" w:color="auto" w:sz="4" w:space="0"/>
              <w:right w:val="single" w:color="auto" w:sz="4" w:space="0"/>
            </w:tcBorders>
            <w:vAlign w:val="center"/>
          </w:tcPr>
          <w:p w14:paraId="5127847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代煎服务费单价不得高于3.5元/付，否则</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无效。</w:t>
            </w:r>
          </w:p>
        </w:tc>
      </w:tr>
    </w:tbl>
    <w:p w14:paraId="4EA834AB">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eastAsia="宋体" w:cs="宋体"/>
          <w:b/>
          <w:bCs/>
          <w:color w:val="auto"/>
          <w:kern w:val="0"/>
          <w:sz w:val="21"/>
          <w:szCs w:val="21"/>
          <w:highlight w:val="none"/>
          <w:lang w:val="zh-CN"/>
        </w:rPr>
      </w:pP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03F91F7F">
      <w:pPr>
        <w:spacing w:line="36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  年  月   日</w:t>
      </w:r>
    </w:p>
    <w:p w14:paraId="6EBF09E0">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E68CFF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中小企业声明函（服务）</w:t>
      </w:r>
    </w:p>
    <w:p w14:paraId="3544AEA6">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6E0A6BAF">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834F11F">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14EF543">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028794EB">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847A7D4">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198E252">
      <w:pPr>
        <w:spacing w:line="360" w:lineRule="auto"/>
        <w:ind w:left="3960" w:right="1808"/>
        <w:contextualSpacing/>
        <w:rPr>
          <w:rFonts w:hint="eastAsia" w:ascii="宋体" w:hAnsi="宋体" w:eastAsia="宋体" w:cs="宋体"/>
          <w:color w:val="auto"/>
          <w:sz w:val="24"/>
          <w:highlight w:val="none"/>
        </w:rPr>
      </w:pPr>
    </w:p>
    <w:p w14:paraId="3D5C820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0FCBD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0B4C5A">
      <w:pPr>
        <w:spacing w:line="360" w:lineRule="auto"/>
        <w:ind w:left="3960" w:right="1808"/>
        <w:contextualSpacing/>
        <w:rPr>
          <w:rFonts w:hint="eastAsia" w:ascii="宋体" w:hAnsi="宋体" w:eastAsia="宋体" w:cs="宋体"/>
          <w:color w:val="auto"/>
          <w:highlight w:val="none"/>
        </w:rPr>
      </w:pPr>
    </w:p>
    <w:p w14:paraId="18E4B6CF">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AEA528F">
      <w:pPr>
        <w:spacing w:line="528" w:lineRule="exact"/>
        <w:jc w:val="center"/>
        <w:rPr>
          <w:rFonts w:hint="eastAsia" w:ascii="宋体" w:hAnsi="宋体" w:eastAsia="宋体" w:cs="宋体"/>
          <w:color w:val="auto"/>
          <w:kern w:val="0"/>
          <w:sz w:val="24"/>
          <w:highlight w:val="none"/>
          <w:lang w:val="zh-CN"/>
        </w:rPr>
      </w:pPr>
    </w:p>
    <w:p w14:paraId="539D9013">
      <w:pPr>
        <w:spacing w:line="360" w:lineRule="auto"/>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、采购标的对应的中小企业划分标准所属行业：根据《关于印发中小企业划型标准规定的通知》（工信部联企业〔2011〕300号），本次采购标的属于其他未列明行业。</w:t>
      </w:r>
    </w:p>
    <w:p w14:paraId="064252FC">
      <w:pPr>
        <w:spacing w:line="528" w:lineRule="exact"/>
        <w:jc w:val="center"/>
        <w:rPr>
          <w:rFonts w:hint="eastAsia" w:ascii="宋体" w:hAnsi="宋体" w:eastAsia="宋体" w:cs="宋体"/>
          <w:color w:val="auto"/>
          <w:kern w:val="0"/>
          <w:sz w:val="24"/>
          <w:highlight w:val="none"/>
          <w:lang w:val="zh-CN"/>
        </w:rPr>
      </w:pPr>
    </w:p>
    <w:p w14:paraId="20DECE78">
      <w:pPr>
        <w:spacing w:line="528" w:lineRule="exact"/>
        <w:jc w:val="center"/>
        <w:rPr>
          <w:rFonts w:hint="eastAsia" w:ascii="宋体" w:hAnsi="宋体" w:eastAsia="宋体" w:cs="宋体"/>
          <w:color w:val="auto"/>
          <w:kern w:val="0"/>
          <w:sz w:val="24"/>
          <w:highlight w:val="none"/>
          <w:lang w:val="zh-CN"/>
        </w:rPr>
      </w:pPr>
    </w:p>
    <w:p w14:paraId="58C62932">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中小微企业划型标准</w:t>
      </w:r>
    </w:p>
    <w:tbl>
      <w:tblPr>
        <w:tblStyle w:val="32"/>
        <w:tblW w:w="9536" w:type="dxa"/>
        <w:jc w:val="center"/>
        <w:tblLayout w:type="fixed"/>
        <w:tblCellMar>
          <w:top w:w="0" w:type="dxa"/>
          <w:left w:w="108" w:type="dxa"/>
          <w:bottom w:w="0" w:type="dxa"/>
          <w:right w:w="108" w:type="dxa"/>
        </w:tblCellMar>
      </w:tblPr>
      <w:tblGrid>
        <w:gridCol w:w="1550"/>
        <w:gridCol w:w="1915"/>
        <w:gridCol w:w="961"/>
        <w:gridCol w:w="2071"/>
        <w:gridCol w:w="1836"/>
        <w:gridCol w:w="1203"/>
      </w:tblGrid>
      <w:tr w14:paraId="02316D7D">
        <w:tblPrEx>
          <w:tblCellMar>
            <w:top w:w="0" w:type="dxa"/>
            <w:left w:w="108" w:type="dxa"/>
            <w:bottom w:w="0" w:type="dxa"/>
            <w:right w:w="108" w:type="dxa"/>
          </w:tblCellMar>
        </w:tblPrEx>
        <w:trPr>
          <w:trHeight w:val="74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14:paraId="57494BD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15" w:type="dxa"/>
            <w:tcBorders>
              <w:top w:val="single" w:color="auto" w:sz="4" w:space="0"/>
              <w:left w:val="nil"/>
              <w:bottom w:val="single" w:color="auto" w:sz="4" w:space="0"/>
              <w:right w:val="single" w:color="auto" w:sz="4" w:space="0"/>
            </w:tcBorders>
            <w:noWrap w:val="0"/>
            <w:vAlign w:val="center"/>
          </w:tcPr>
          <w:p w14:paraId="7C87C6F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961" w:type="dxa"/>
            <w:tcBorders>
              <w:top w:val="single" w:color="auto" w:sz="4" w:space="0"/>
              <w:left w:val="nil"/>
              <w:bottom w:val="single" w:color="auto" w:sz="4" w:space="0"/>
              <w:right w:val="single" w:color="auto" w:sz="4" w:space="0"/>
            </w:tcBorders>
            <w:noWrap w:val="0"/>
            <w:vAlign w:val="center"/>
          </w:tcPr>
          <w:p w14:paraId="70E84CB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71" w:type="dxa"/>
            <w:tcBorders>
              <w:top w:val="single" w:color="auto" w:sz="4" w:space="0"/>
              <w:left w:val="nil"/>
              <w:bottom w:val="single" w:color="auto" w:sz="4" w:space="0"/>
              <w:right w:val="single" w:color="auto" w:sz="4" w:space="0"/>
            </w:tcBorders>
            <w:noWrap w:val="0"/>
            <w:vAlign w:val="center"/>
          </w:tcPr>
          <w:p w14:paraId="07CAE36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36" w:type="dxa"/>
            <w:tcBorders>
              <w:top w:val="single" w:color="auto" w:sz="4" w:space="0"/>
              <w:left w:val="nil"/>
              <w:bottom w:val="single" w:color="auto" w:sz="4" w:space="0"/>
              <w:right w:val="single" w:color="auto" w:sz="4" w:space="0"/>
            </w:tcBorders>
            <w:noWrap w:val="0"/>
            <w:vAlign w:val="center"/>
          </w:tcPr>
          <w:p w14:paraId="6D544A45">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203" w:type="dxa"/>
            <w:tcBorders>
              <w:top w:val="single" w:color="auto" w:sz="4" w:space="0"/>
              <w:left w:val="nil"/>
              <w:bottom w:val="single" w:color="auto" w:sz="4" w:space="0"/>
              <w:right w:val="single" w:color="auto" w:sz="4" w:space="0"/>
            </w:tcBorders>
            <w:noWrap w:val="0"/>
            <w:vAlign w:val="center"/>
          </w:tcPr>
          <w:p w14:paraId="3EEE1CD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B563D97">
        <w:tblPrEx>
          <w:tblCellMar>
            <w:top w:w="0" w:type="dxa"/>
            <w:left w:w="108" w:type="dxa"/>
            <w:bottom w:w="0" w:type="dxa"/>
            <w:right w:w="108" w:type="dxa"/>
          </w:tblCellMar>
        </w:tblPrEx>
        <w:trPr>
          <w:trHeight w:val="337" w:hRule="atLeast"/>
          <w:jc w:val="center"/>
        </w:trPr>
        <w:tc>
          <w:tcPr>
            <w:tcW w:w="1550" w:type="dxa"/>
            <w:tcBorders>
              <w:top w:val="nil"/>
              <w:left w:val="single" w:color="auto" w:sz="4" w:space="0"/>
              <w:bottom w:val="single" w:color="auto" w:sz="4" w:space="0"/>
              <w:right w:val="single" w:color="auto" w:sz="4" w:space="0"/>
            </w:tcBorders>
            <w:noWrap w:val="0"/>
            <w:vAlign w:val="center"/>
          </w:tcPr>
          <w:p w14:paraId="0E1AF3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15" w:type="dxa"/>
            <w:tcBorders>
              <w:top w:val="nil"/>
              <w:left w:val="nil"/>
              <w:bottom w:val="single" w:color="auto" w:sz="4" w:space="0"/>
              <w:right w:val="single" w:color="auto" w:sz="4" w:space="0"/>
            </w:tcBorders>
            <w:noWrap w:val="0"/>
            <w:vAlign w:val="center"/>
          </w:tcPr>
          <w:p w14:paraId="7776629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CBBB2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A0DB07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2BA2FD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203" w:type="dxa"/>
            <w:tcBorders>
              <w:top w:val="nil"/>
              <w:left w:val="nil"/>
              <w:bottom w:val="single" w:color="auto" w:sz="4" w:space="0"/>
              <w:right w:val="single" w:color="auto" w:sz="4" w:space="0"/>
            </w:tcBorders>
            <w:noWrap w:val="0"/>
            <w:vAlign w:val="center"/>
          </w:tcPr>
          <w:p w14:paraId="7EA45C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3245854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CDD4A2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15" w:type="dxa"/>
            <w:tcBorders>
              <w:top w:val="nil"/>
              <w:left w:val="nil"/>
              <w:bottom w:val="single" w:color="auto" w:sz="4" w:space="0"/>
              <w:right w:val="single" w:color="auto" w:sz="4" w:space="0"/>
            </w:tcBorders>
            <w:noWrap w:val="0"/>
            <w:vAlign w:val="center"/>
          </w:tcPr>
          <w:p w14:paraId="093B157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BDCFE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3C7C7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127854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0FE912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8D058BF">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E393CC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221853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3769E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74A203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36" w:type="dxa"/>
            <w:tcBorders>
              <w:top w:val="nil"/>
              <w:left w:val="nil"/>
              <w:bottom w:val="single" w:color="auto" w:sz="4" w:space="0"/>
              <w:right w:val="single" w:color="auto" w:sz="4" w:space="0"/>
            </w:tcBorders>
            <w:noWrap w:val="0"/>
            <w:vAlign w:val="center"/>
          </w:tcPr>
          <w:p w14:paraId="4D65F3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203" w:type="dxa"/>
            <w:tcBorders>
              <w:top w:val="nil"/>
              <w:left w:val="nil"/>
              <w:bottom w:val="single" w:color="auto" w:sz="4" w:space="0"/>
              <w:right w:val="single" w:color="auto" w:sz="4" w:space="0"/>
            </w:tcBorders>
            <w:noWrap w:val="0"/>
            <w:vAlign w:val="center"/>
          </w:tcPr>
          <w:p w14:paraId="6C0FD1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4DB16584">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0375A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15" w:type="dxa"/>
            <w:tcBorders>
              <w:top w:val="nil"/>
              <w:left w:val="nil"/>
              <w:bottom w:val="single" w:color="auto" w:sz="4" w:space="0"/>
              <w:right w:val="single" w:color="auto" w:sz="4" w:space="0"/>
            </w:tcBorders>
            <w:noWrap w:val="0"/>
            <w:vAlign w:val="center"/>
          </w:tcPr>
          <w:p w14:paraId="45D7B1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27CF8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1EC578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36" w:type="dxa"/>
            <w:tcBorders>
              <w:top w:val="nil"/>
              <w:left w:val="nil"/>
              <w:bottom w:val="single" w:color="auto" w:sz="4" w:space="0"/>
              <w:right w:val="single" w:color="auto" w:sz="4" w:space="0"/>
            </w:tcBorders>
            <w:noWrap w:val="0"/>
            <w:vAlign w:val="center"/>
          </w:tcPr>
          <w:p w14:paraId="5BE5B54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203" w:type="dxa"/>
            <w:tcBorders>
              <w:top w:val="nil"/>
              <w:left w:val="nil"/>
              <w:bottom w:val="single" w:color="auto" w:sz="4" w:space="0"/>
              <w:right w:val="single" w:color="auto" w:sz="4" w:space="0"/>
            </w:tcBorders>
            <w:noWrap w:val="0"/>
            <w:vAlign w:val="center"/>
          </w:tcPr>
          <w:p w14:paraId="4D281DF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D4EE987">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D9D47E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343E68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297554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CC76D6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36" w:type="dxa"/>
            <w:tcBorders>
              <w:top w:val="nil"/>
              <w:left w:val="nil"/>
              <w:bottom w:val="single" w:color="auto" w:sz="4" w:space="0"/>
              <w:right w:val="single" w:color="auto" w:sz="4" w:space="0"/>
            </w:tcBorders>
            <w:noWrap w:val="0"/>
            <w:vAlign w:val="center"/>
          </w:tcPr>
          <w:p w14:paraId="2ED8E5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203" w:type="dxa"/>
            <w:tcBorders>
              <w:top w:val="nil"/>
              <w:left w:val="nil"/>
              <w:bottom w:val="single" w:color="auto" w:sz="4" w:space="0"/>
              <w:right w:val="single" w:color="auto" w:sz="4" w:space="0"/>
            </w:tcBorders>
            <w:noWrap w:val="0"/>
            <w:vAlign w:val="center"/>
          </w:tcPr>
          <w:p w14:paraId="04C0B4E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5BDF64D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0729D4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15" w:type="dxa"/>
            <w:tcBorders>
              <w:top w:val="nil"/>
              <w:left w:val="nil"/>
              <w:bottom w:val="single" w:color="auto" w:sz="4" w:space="0"/>
              <w:right w:val="single" w:color="auto" w:sz="4" w:space="0"/>
            </w:tcBorders>
            <w:noWrap w:val="0"/>
            <w:vAlign w:val="center"/>
          </w:tcPr>
          <w:p w14:paraId="2023C9F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C1118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EACEC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36" w:type="dxa"/>
            <w:tcBorders>
              <w:top w:val="nil"/>
              <w:left w:val="nil"/>
              <w:bottom w:val="single" w:color="auto" w:sz="4" w:space="0"/>
              <w:right w:val="single" w:color="auto" w:sz="4" w:space="0"/>
            </w:tcBorders>
            <w:noWrap w:val="0"/>
            <w:vAlign w:val="center"/>
          </w:tcPr>
          <w:p w14:paraId="501642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203" w:type="dxa"/>
            <w:tcBorders>
              <w:top w:val="nil"/>
              <w:left w:val="nil"/>
              <w:bottom w:val="single" w:color="auto" w:sz="4" w:space="0"/>
              <w:right w:val="single" w:color="auto" w:sz="4" w:space="0"/>
            </w:tcBorders>
            <w:noWrap w:val="0"/>
            <w:vAlign w:val="center"/>
          </w:tcPr>
          <w:p w14:paraId="54B17A6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65F1756F">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214ABED">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228E8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F954B7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D406E8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36" w:type="dxa"/>
            <w:tcBorders>
              <w:top w:val="nil"/>
              <w:left w:val="nil"/>
              <w:bottom w:val="single" w:color="auto" w:sz="4" w:space="0"/>
              <w:right w:val="single" w:color="auto" w:sz="4" w:space="0"/>
            </w:tcBorders>
            <w:noWrap w:val="0"/>
            <w:vAlign w:val="center"/>
          </w:tcPr>
          <w:p w14:paraId="04BC42D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203" w:type="dxa"/>
            <w:tcBorders>
              <w:top w:val="nil"/>
              <w:left w:val="nil"/>
              <w:bottom w:val="single" w:color="auto" w:sz="4" w:space="0"/>
              <w:right w:val="single" w:color="auto" w:sz="4" w:space="0"/>
            </w:tcBorders>
            <w:noWrap w:val="0"/>
            <w:vAlign w:val="center"/>
          </w:tcPr>
          <w:p w14:paraId="2E606D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7C35CB5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8A2C5D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15" w:type="dxa"/>
            <w:tcBorders>
              <w:top w:val="nil"/>
              <w:left w:val="nil"/>
              <w:bottom w:val="single" w:color="auto" w:sz="4" w:space="0"/>
              <w:right w:val="single" w:color="auto" w:sz="4" w:space="0"/>
            </w:tcBorders>
            <w:noWrap w:val="0"/>
            <w:vAlign w:val="center"/>
          </w:tcPr>
          <w:p w14:paraId="16A5DD3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03511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328E49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36" w:type="dxa"/>
            <w:tcBorders>
              <w:top w:val="nil"/>
              <w:left w:val="nil"/>
              <w:bottom w:val="single" w:color="auto" w:sz="4" w:space="0"/>
              <w:right w:val="single" w:color="auto" w:sz="4" w:space="0"/>
            </w:tcBorders>
            <w:noWrap w:val="0"/>
            <w:vAlign w:val="center"/>
          </w:tcPr>
          <w:p w14:paraId="78D2311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203" w:type="dxa"/>
            <w:tcBorders>
              <w:top w:val="nil"/>
              <w:left w:val="nil"/>
              <w:bottom w:val="single" w:color="auto" w:sz="4" w:space="0"/>
              <w:right w:val="single" w:color="auto" w:sz="4" w:space="0"/>
            </w:tcBorders>
            <w:noWrap w:val="0"/>
            <w:vAlign w:val="center"/>
          </w:tcPr>
          <w:p w14:paraId="0C066C3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E035C56">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C2A82A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65653F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6D8A5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C5D755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16FE0D3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203" w:type="dxa"/>
            <w:tcBorders>
              <w:top w:val="nil"/>
              <w:left w:val="nil"/>
              <w:bottom w:val="single" w:color="auto" w:sz="4" w:space="0"/>
              <w:right w:val="single" w:color="auto" w:sz="4" w:space="0"/>
            </w:tcBorders>
            <w:noWrap w:val="0"/>
            <w:vAlign w:val="center"/>
          </w:tcPr>
          <w:p w14:paraId="130D87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6A5CFD0">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C043C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15" w:type="dxa"/>
            <w:tcBorders>
              <w:top w:val="nil"/>
              <w:left w:val="nil"/>
              <w:bottom w:val="single" w:color="auto" w:sz="4" w:space="0"/>
              <w:right w:val="single" w:color="auto" w:sz="4" w:space="0"/>
            </w:tcBorders>
            <w:noWrap w:val="0"/>
            <w:vAlign w:val="center"/>
          </w:tcPr>
          <w:p w14:paraId="16E323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6E246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A84038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5E33ED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14F3A16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4D621C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B76133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87F46B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5EAD5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08680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36" w:type="dxa"/>
            <w:tcBorders>
              <w:top w:val="nil"/>
              <w:left w:val="nil"/>
              <w:bottom w:val="single" w:color="auto" w:sz="4" w:space="0"/>
              <w:right w:val="single" w:color="auto" w:sz="4" w:space="0"/>
            </w:tcBorders>
            <w:noWrap w:val="0"/>
            <w:vAlign w:val="center"/>
          </w:tcPr>
          <w:p w14:paraId="76660E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203" w:type="dxa"/>
            <w:tcBorders>
              <w:top w:val="nil"/>
              <w:left w:val="nil"/>
              <w:bottom w:val="single" w:color="auto" w:sz="4" w:space="0"/>
              <w:right w:val="single" w:color="auto" w:sz="4" w:space="0"/>
            </w:tcBorders>
            <w:noWrap w:val="0"/>
            <w:vAlign w:val="center"/>
          </w:tcPr>
          <w:p w14:paraId="6EF997C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00D9F5A8">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4F5263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15" w:type="dxa"/>
            <w:tcBorders>
              <w:top w:val="nil"/>
              <w:left w:val="nil"/>
              <w:bottom w:val="single" w:color="auto" w:sz="4" w:space="0"/>
              <w:right w:val="single" w:color="auto" w:sz="4" w:space="0"/>
            </w:tcBorders>
            <w:noWrap w:val="0"/>
            <w:vAlign w:val="center"/>
          </w:tcPr>
          <w:p w14:paraId="27975F6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BA5BB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71538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36" w:type="dxa"/>
            <w:tcBorders>
              <w:top w:val="nil"/>
              <w:left w:val="nil"/>
              <w:bottom w:val="single" w:color="auto" w:sz="4" w:space="0"/>
              <w:right w:val="single" w:color="auto" w:sz="4" w:space="0"/>
            </w:tcBorders>
            <w:noWrap w:val="0"/>
            <w:vAlign w:val="center"/>
          </w:tcPr>
          <w:p w14:paraId="441E45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203" w:type="dxa"/>
            <w:tcBorders>
              <w:top w:val="nil"/>
              <w:left w:val="nil"/>
              <w:bottom w:val="single" w:color="auto" w:sz="4" w:space="0"/>
              <w:right w:val="single" w:color="auto" w:sz="4" w:space="0"/>
            </w:tcBorders>
            <w:noWrap w:val="0"/>
            <w:vAlign w:val="center"/>
          </w:tcPr>
          <w:p w14:paraId="4C5A42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B1A620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979D51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07784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0B102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E59F3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36" w:type="dxa"/>
            <w:tcBorders>
              <w:top w:val="nil"/>
              <w:left w:val="nil"/>
              <w:bottom w:val="single" w:color="auto" w:sz="4" w:space="0"/>
              <w:right w:val="single" w:color="auto" w:sz="4" w:space="0"/>
            </w:tcBorders>
            <w:noWrap w:val="0"/>
            <w:vAlign w:val="center"/>
          </w:tcPr>
          <w:p w14:paraId="35F00B6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0A402CC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C42CEED">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40D55D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15" w:type="dxa"/>
            <w:tcBorders>
              <w:top w:val="nil"/>
              <w:left w:val="nil"/>
              <w:bottom w:val="single" w:color="auto" w:sz="4" w:space="0"/>
              <w:right w:val="single" w:color="auto" w:sz="4" w:space="0"/>
            </w:tcBorders>
            <w:noWrap w:val="0"/>
            <w:vAlign w:val="center"/>
          </w:tcPr>
          <w:p w14:paraId="649E1FD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304DB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9626D0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59F486D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3D8FBC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937D23A">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1FE084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96359B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3B643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3BE35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36" w:type="dxa"/>
            <w:tcBorders>
              <w:top w:val="nil"/>
              <w:left w:val="nil"/>
              <w:bottom w:val="single" w:color="auto" w:sz="4" w:space="0"/>
              <w:right w:val="single" w:color="auto" w:sz="4" w:space="0"/>
            </w:tcBorders>
            <w:noWrap w:val="0"/>
            <w:vAlign w:val="center"/>
          </w:tcPr>
          <w:p w14:paraId="71B3D07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1288EA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CB5611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F402E4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15" w:type="dxa"/>
            <w:tcBorders>
              <w:top w:val="nil"/>
              <w:left w:val="nil"/>
              <w:bottom w:val="single" w:color="auto" w:sz="4" w:space="0"/>
              <w:right w:val="single" w:color="auto" w:sz="4" w:space="0"/>
            </w:tcBorders>
            <w:noWrap w:val="0"/>
            <w:vAlign w:val="center"/>
          </w:tcPr>
          <w:p w14:paraId="4F25182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8457B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3A6176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6D37B90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002A354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1166CBE">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5423500">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90A93B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4E0553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40FA31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7C99BDB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6FF0E2A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983E0F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EC73AE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15" w:type="dxa"/>
            <w:tcBorders>
              <w:top w:val="nil"/>
              <w:left w:val="nil"/>
              <w:bottom w:val="single" w:color="auto" w:sz="4" w:space="0"/>
              <w:right w:val="single" w:color="auto" w:sz="4" w:space="0"/>
            </w:tcBorders>
            <w:noWrap w:val="0"/>
            <w:vAlign w:val="center"/>
          </w:tcPr>
          <w:p w14:paraId="3B115E8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02AAB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EEFB5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5A82383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08E20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40E29A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5F629C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698412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8678C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B6DF60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0B46C5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48D76CC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1AE72A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D66FFA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15" w:type="dxa"/>
            <w:tcBorders>
              <w:top w:val="nil"/>
              <w:left w:val="nil"/>
              <w:bottom w:val="single" w:color="auto" w:sz="4" w:space="0"/>
              <w:right w:val="single" w:color="auto" w:sz="4" w:space="0"/>
            </w:tcBorders>
            <w:noWrap w:val="0"/>
            <w:vAlign w:val="center"/>
          </w:tcPr>
          <w:p w14:paraId="42F4AF5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B039F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4E1CEFC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836" w:type="dxa"/>
            <w:tcBorders>
              <w:top w:val="nil"/>
              <w:left w:val="nil"/>
              <w:bottom w:val="single" w:color="auto" w:sz="4" w:space="0"/>
              <w:right w:val="single" w:color="auto" w:sz="4" w:space="0"/>
            </w:tcBorders>
            <w:noWrap w:val="0"/>
            <w:vAlign w:val="center"/>
          </w:tcPr>
          <w:p w14:paraId="726F68E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5C67DA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D506DA1">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9AEFB62">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36529C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16306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C6811A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836" w:type="dxa"/>
            <w:tcBorders>
              <w:top w:val="nil"/>
              <w:left w:val="nil"/>
              <w:bottom w:val="single" w:color="auto" w:sz="4" w:space="0"/>
              <w:right w:val="single" w:color="auto" w:sz="4" w:space="0"/>
            </w:tcBorders>
            <w:noWrap w:val="0"/>
            <w:vAlign w:val="center"/>
          </w:tcPr>
          <w:p w14:paraId="57B04B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5E1149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43EA67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BD6F1E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15" w:type="dxa"/>
            <w:tcBorders>
              <w:top w:val="nil"/>
              <w:left w:val="nil"/>
              <w:bottom w:val="single" w:color="auto" w:sz="4" w:space="0"/>
              <w:right w:val="single" w:color="auto" w:sz="4" w:space="0"/>
            </w:tcBorders>
            <w:noWrap w:val="0"/>
            <w:vAlign w:val="center"/>
          </w:tcPr>
          <w:p w14:paraId="312DC8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CC25D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DBC309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FF7E1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3FB8FCE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F33250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0A48BA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31870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66CF2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A9C88D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836" w:type="dxa"/>
            <w:tcBorders>
              <w:top w:val="nil"/>
              <w:left w:val="nil"/>
              <w:bottom w:val="single" w:color="auto" w:sz="4" w:space="0"/>
              <w:right w:val="single" w:color="auto" w:sz="4" w:space="0"/>
            </w:tcBorders>
            <w:noWrap w:val="0"/>
            <w:vAlign w:val="center"/>
          </w:tcPr>
          <w:p w14:paraId="277B56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203" w:type="dxa"/>
            <w:tcBorders>
              <w:top w:val="nil"/>
              <w:left w:val="nil"/>
              <w:bottom w:val="single" w:color="auto" w:sz="4" w:space="0"/>
              <w:right w:val="single" w:color="auto" w:sz="4" w:space="0"/>
            </w:tcBorders>
            <w:noWrap w:val="0"/>
            <w:vAlign w:val="center"/>
          </w:tcPr>
          <w:p w14:paraId="4B1D60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5877F99B">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58A832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15" w:type="dxa"/>
            <w:tcBorders>
              <w:top w:val="nil"/>
              <w:left w:val="nil"/>
              <w:bottom w:val="single" w:color="auto" w:sz="4" w:space="0"/>
              <w:right w:val="single" w:color="auto" w:sz="4" w:space="0"/>
            </w:tcBorders>
            <w:noWrap w:val="0"/>
            <w:vAlign w:val="center"/>
          </w:tcPr>
          <w:p w14:paraId="68119D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91879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8683D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36" w:type="dxa"/>
            <w:tcBorders>
              <w:top w:val="nil"/>
              <w:left w:val="nil"/>
              <w:bottom w:val="single" w:color="auto" w:sz="4" w:space="0"/>
              <w:right w:val="single" w:color="auto" w:sz="4" w:space="0"/>
            </w:tcBorders>
            <w:noWrap w:val="0"/>
            <w:vAlign w:val="center"/>
          </w:tcPr>
          <w:p w14:paraId="144596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203" w:type="dxa"/>
            <w:tcBorders>
              <w:top w:val="nil"/>
              <w:left w:val="nil"/>
              <w:bottom w:val="single" w:color="auto" w:sz="4" w:space="0"/>
              <w:right w:val="single" w:color="auto" w:sz="4" w:space="0"/>
            </w:tcBorders>
            <w:noWrap w:val="0"/>
            <w:vAlign w:val="center"/>
          </w:tcPr>
          <w:p w14:paraId="207A6C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2D3CE67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36D43E1">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A1934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400653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57ADA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36" w:type="dxa"/>
            <w:tcBorders>
              <w:top w:val="nil"/>
              <w:left w:val="nil"/>
              <w:bottom w:val="single" w:color="auto" w:sz="4" w:space="0"/>
              <w:right w:val="single" w:color="auto" w:sz="4" w:space="0"/>
            </w:tcBorders>
            <w:noWrap w:val="0"/>
            <w:vAlign w:val="center"/>
          </w:tcPr>
          <w:p w14:paraId="3FFFADB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203" w:type="dxa"/>
            <w:tcBorders>
              <w:top w:val="nil"/>
              <w:left w:val="nil"/>
              <w:bottom w:val="single" w:color="auto" w:sz="4" w:space="0"/>
              <w:right w:val="single" w:color="auto" w:sz="4" w:space="0"/>
            </w:tcBorders>
            <w:noWrap w:val="0"/>
            <w:vAlign w:val="center"/>
          </w:tcPr>
          <w:p w14:paraId="72A0D32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77A641B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5C805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15" w:type="dxa"/>
            <w:tcBorders>
              <w:top w:val="nil"/>
              <w:left w:val="nil"/>
              <w:bottom w:val="single" w:color="auto" w:sz="4" w:space="0"/>
              <w:right w:val="single" w:color="auto" w:sz="4" w:space="0"/>
            </w:tcBorders>
            <w:noWrap w:val="0"/>
            <w:vAlign w:val="center"/>
          </w:tcPr>
          <w:p w14:paraId="0A658D0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E7377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86124A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2E21ECC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203" w:type="dxa"/>
            <w:tcBorders>
              <w:top w:val="nil"/>
              <w:left w:val="nil"/>
              <w:bottom w:val="single" w:color="auto" w:sz="4" w:space="0"/>
              <w:right w:val="single" w:color="auto" w:sz="4" w:space="0"/>
            </w:tcBorders>
            <w:noWrap w:val="0"/>
            <w:vAlign w:val="center"/>
          </w:tcPr>
          <w:p w14:paraId="46EDE27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197E86F2">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2FD66B6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13DA05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EDD37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0ADB7D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36" w:type="dxa"/>
            <w:tcBorders>
              <w:top w:val="nil"/>
              <w:left w:val="nil"/>
              <w:bottom w:val="single" w:color="auto" w:sz="4" w:space="0"/>
              <w:right w:val="single" w:color="auto" w:sz="4" w:space="0"/>
            </w:tcBorders>
            <w:noWrap w:val="0"/>
            <w:vAlign w:val="center"/>
          </w:tcPr>
          <w:p w14:paraId="4739BA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203" w:type="dxa"/>
            <w:tcBorders>
              <w:top w:val="nil"/>
              <w:left w:val="nil"/>
              <w:bottom w:val="single" w:color="auto" w:sz="4" w:space="0"/>
              <w:right w:val="single" w:color="auto" w:sz="4" w:space="0"/>
            </w:tcBorders>
            <w:noWrap w:val="0"/>
            <w:vAlign w:val="center"/>
          </w:tcPr>
          <w:p w14:paraId="7C47BA8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1FF99E2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7FEDD7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15" w:type="dxa"/>
            <w:tcBorders>
              <w:top w:val="nil"/>
              <w:left w:val="nil"/>
              <w:bottom w:val="single" w:color="auto" w:sz="4" w:space="0"/>
              <w:right w:val="single" w:color="auto" w:sz="4" w:space="0"/>
            </w:tcBorders>
            <w:noWrap w:val="0"/>
            <w:vAlign w:val="center"/>
          </w:tcPr>
          <w:p w14:paraId="436AEF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07570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6A51D8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627C1FC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0E327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F895B67">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1F5FF8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8209A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2AF4DCE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35C34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36" w:type="dxa"/>
            <w:tcBorders>
              <w:top w:val="nil"/>
              <w:left w:val="nil"/>
              <w:bottom w:val="single" w:color="auto" w:sz="4" w:space="0"/>
              <w:right w:val="single" w:color="auto" w:sz="4" w:space="0"/>
            </w:tcBorders>
            <w:noWrap w:val="0"/>
            <w:vAlign w:val="center"/>
          </w:tcPr>
          <w:p w14:paraId="4547DF4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203" w:type="dxa"/>
            <w:tcBorders>
              <w:top w:val="nil"/>
              <w:left w:val="nil"/>
              <w:bottom w:val="single" w:color="auto" w:sz="4" w:space="0"/>
              <w:right w:val="single" w:color="auto" w:sz="4" w:space="0"/>
            </w:tcBorders>
            <w:noWrap w:val="0"/>
            <w:vAlign w:val="center"/>
          </w:tcPr>
          <w:p w14:paraId="6DDDD09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9174F0D">
        <w:tblPrEx>
          <w:tblCellMar>
            <w:top w:w="0" w:type="dxa"/>
            <w:left w:w="108" w:type="dxa"/>
            <w:bottom w:w="0" w:type="dxa"/>
            <w:right w:w="108" w:type="dxa"/>
          </w:tblCellMar>
        </w:tblPrEx>
        <w:trPr>
          <w:trHeight w:val="359" w:hRule="atLeast"/>
          <w:jc w:val="center"/>
        </w:trPr>
        <w:tc>
          <w:tcPr>
            <w:tcW w:w="1550" w:type="dxa"/>
            <w:tcBorders>
              <w:top w:val="nil"/>
              <w:left w:val="single" w:color="auto" w:sz="4" w:space="0"/>
              <w:bottom w:val="single" w:color="auto" w:sz="4" w:space="0"/>
              <w:right w:val="single" w:color="auto" w:sz="4" w:space="0"/>
            </w:tcBorders>
            <w:noWrap w:val="0"/>
            <w:vAlign w:val="center"/>
          </w:tcPr>
          <w:p w14:paraId="32339CD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15" w:type="dxa"/>
            <w:tcBorders>
              <w:top w:val="nil"/>
              <w:left w:val="nil"/>
              <w:bottom w:val="single" w:color="auto" w:sz="4" w:space="0"/>
              <w:right w:val="single" w:color="auto" w:sz="4" w:space="0"/>
            </w:tcBorders>
            <w:noWrap w:val="0"/>
            <w:vAlign w:val="center"/>
          </w:tcPr>
          <w:p w14:paraId="6832F48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9E7BF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F008E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7D20D69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58E90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68CE7171">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86813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7A2D3749">
      <w:pPr>
        <w:spacing w:line="520" w:lineRule="exact"/>
        <w:rPr>
          <w:rFonts w:hint="eastAsia" w:ascii="宋体" w:hAnsi="宋体" w:eastAsia="宋体" w:cs="宋体"/>
          <w:color w:val="auto"/>
          <w:sz w:val="32"/>
          <w:szCs w:val="32"/>
          <w:highlight w:val="none"/>
        </w:rPr>
      </w:pPr>
    </w:p>
    <w:p w14:paraId="703E733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1AFA818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7241B3B">
      <w:pPr>
        <w:spacing w:line="360" w:lineRule="auto"/>
        <w:contextualSpacing/>
        <w:rPr>
          <w:rFonts w:hint="eastAsia" w:ascii="宋体" w:hAnsi="宋体" w:eastAsia="宋体" w:cs="宋体"/>
          <w:color w:val="auto"/>
          <w:sz w:val="24"/>
          <w:highlight w:val="none"/>
        </w:rPr>
      </w:pPr>
    </w:p>
    <w:p w14:paraId="7D741843">
      <w:pPr>
        <w:spacing w:line="360" w:lineRule="auto"/>
        <w:contextualSpacing/>
        <w:rPr>
          <w:rFonts w:hint="eastAsia" w:ascii="宋体" w:hAnsi="宋体" w:eastAsia="宋体" w:cs="宋体"/>
          <w:color w:val="auto"/>
          <w:sz w:val="24"/>
          <w:highlight w:val="none"/>
        </w:rPr>
      </w:pPr>
    </w:p>
    <w:p w14:paraId="2C95C961">
      <w:pPr>
        <w:spacing w:line="360" w:lineRule="auto"/>
        <w:contextualSpacing/>
        <w:rPr>
          <w:rFonts w:hint="eastAsia" w:ascii="宋体" w:hAnsi="宋体" w:eastAsia="宋体" w:cs="宋体"/>
          <w:color w:val="auto"/>
          <w:sz w:val="24"/>
          <w:highlight w:val="none"/>
        </w:rPr>
      </w:pPr>
    </w:p>
    <w:p w14:paraId="37F6F180">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FAA7011">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C26239">
      <w:pPr>
        <w:spacing w:line="360" w:lineRule="auto"/>
        <w:contextualSpacing/>
        <w:rPr>
          <w:rFonts w:hint="eastAsia" w:ascii="宋体" w:hAnsi="宋体" w:eastAsia="宋体" w:cs="宋体"/>
          <w:color w:val="auto"/>
          <w:sz w:val="24"/>
          <w:highlight w:val="none"/>
        </w:rPr>
      </w:pPr>
    </w:p>
    <w:p w14:paraId="6C5249E6">
      <w:pPr>
        <w:spacing w:line="360" w:lineRule="auto"/>
        <w:contextualSpacing/>
        <w:rPr>
          <w:rFonts w:hint="eastAsia" w:ascii="宋体" w:hAnsi="宋体" w:eastAsia="宋体" w:cs="宋体"/>
          <w:color w:val="auto"/>
          <w:sz w:val="24"/>
          <w:highlight w:val="none"/>
        </w:rPr>
      </w:pPr>
    </w:p>
    <w:p w14:paraId="5D0D3BFC">
      <w:pPr>
        <w:spacing w:line="360" w:lineRule="auto"/>
        <w:contextualSpacing/>
        <w:rPr>
          <w:rFonts w:hint="eastAsia" w:ascii="宋体" w:hAnsi="宋体" w:eastAsia="宋体" w:cs="宋体"/>
          <w:color w:val="auto"/>
          <w:sz w:val="24"/>
          <w:highlight w:val="none"/>
        </w:rPr>
      </w:pPr>
    </w:p>
    <w:p w14:paraId="6E1311AE">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BBC76A5">
      <w:pPr>
        <w:pStyle w:val="12"/>
        <w:rPr>
          <w:rFonts w:hint="eastAsia" w:ascii="宋体" w:hAnsi="宋体" w:eastAsia="宋体" w:cs="宋体"/>
          <w:color w:val="auto"/>
          <w:kern w:val="0"/>
          <w:sz w:val="24"/>
          <w:highlight w:val="none"/>
          <w:lang w:val="zh-CN"/>
        </w:rPr>
      </w:pPr>
    </w:p>
    <w:p w14:paraId="76E77F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9CA0BC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8ED33C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4C81B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615F2F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24A59E4">
      <w:pPr>
        <w:rPr>
          <w:rFonts w:hint="eastAsia" w:ascii="宋体" w:hAnsi="宋体" w:eastAsia="宋体" w:cs="宋体"/>
          <w:color w:val="auto"/>
          <w:kern w:val="0"/>
          <w:sz w:val="24"/>
          <w:highlight w:val="none"/>
          <w:lang w:val="zh-CN"/>
        </w:rPr>
      </w:pPr>
    </w:p>
    <w:p w14:paraId="157B8535">
      <w:pPr>
        <w:rPr>
          <w:rFonts w:hint="eastAsia" w:ascii="宋体" w:hAnsi="宋体" w:eastAsia="宋体" w:cs="宋体"/>
          <w:color w:val="auto"/>
          <w:kern w:val="0"/>
          <w:sz w:val="24"/>
          <w:highlight w:val="none"/>
          <w:lang w:val="zh-CN"/>
        </w:rPr>
      </w:pPr>
    </w:p>
    <w:p w14:paraId="130BE727">
      <w:pPr>
        <w:rPr>
          <w:rFonts w:hint="eastAsia" w:ascii="宋体" w:hAnsi="宋体" w:eastAsia="宋体" w:cs="宋体"/>
          <w:color w:val="auto"/>
          <w:kern w:val="0"/>
          <w:sz w:val="24"/>
          <w:highlight w:val="none"/>
          <w:lang w:val="zh-CN"/>
        </w:rPr>
      </w:pPr>
    </w:p>
    <w:p w14:paraId="4B750C2E">
      <w:pPr>
        <w:rPr>
          <w:rFonts w:hint="eastAsia" w:ascii="宋体" w:hAnsi="宋体" w:eastAsia="宋体" w:cs="宋体"/>
          <w:color w:val="auto"/>
          <w:kern w:val="0"/>
          <w:sz w:val="24"/>
          <w:highlight w:val="none"/>
          <w:lang w:val="zh-CN"/>
        </w:rPr>
      </w:pPr>
    </w:p>
    <w:p w14:paraId="3AD85260">
      <w:pPr>
        <w:rPr>
          <w:rFonts w:hint="eastAsia" w:ascii="宋体" w:hAnsi="宋体" w:eastAsia="宋体" w:cs="宋体"/>
          <w:color w:val="auto"/>
          <w:kern w:val="0"/>
          <w:sz w:val="24"/>
          <w:highlight w:val="none"/>
          <w:lang w:val="zh-CN"/>
        </w:rPr>
      </w:pPr>
    </w:p>
    <w:p w14:paraId="308E3FFB">
      <w:pPr>
        <w:pStyle w:val="12"/>
        <w:rPr>
          <w:rFonts w:hint="eastAsia" w:ascii="宋体" w:hAnsi="宋体" w:eastAsia="宋体" w:cs="宋体"/>
          <w:color w:val="auto"/>
          <w:kern w:val="0"/>
          <w:sz w:val="24"/>
          <w:highlight w:val="none"/>
          <w:lang w:val="zh-CN"/>
        </w:rPr>
      </w:pPr>
    </w:p>
    <w:p w14:paraId="48025009">
      <w:pPr>
        <w:pStyle w:val="25"/>
        <w:rPr>
          <w:rFonts w:hint="eastAsia" w:ascii="宋体" w:hAnsi="宋体" w:eastAsia="宋体" w:cs="宋体"/>
          <w:color w:val="auto"/>
          <w:highlight w:val="none"/>
          <w:lang w:val="zh-CN"/>
        </w:rPr>
        <w:sectPr>
          <w:headerReference r:id="rId7" w:type="default"/>
          <w:footerReference r:id="rId8" w:type="default"/>
          <w:pgSz w:w="11910" w:h="16840"/>
          <w:pgMar w:top="1440" w:right="1423" w:bottom="1440" w:left="1423"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7"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7"/>
    </w:p>
    <w:p w14:paraId="510E4109">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说明：</w:t>
      </w:r>
    </w:p>
    <w:p w14:paraId="6D315AB6">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1、以下合同书仅供签订正式合同时参考用，正式合同书应包括此参考格式</w:t>
      </w:r>
      <w:r>
        <w:rPr>
          <w:rFonts w:hint="eastAsia" w:ascii="宋体" w:hAnsi="宋体" w:eastAsia="宋体" w:cs="宋体"/>
          <w:b/>
          <w:color w:val="auto"/>
          <w:sz w:val="21"/>
          <w:szCs w:val="11"/>
          <w:highlight w:val="none"/>
          <w:lang w:val="en-US" w:eastAsia="zh-CN"/>
        </w:rPr>
        <w:t>的</w:t>
      </w:r>
      <w:r>
        <w:rPr>
          <w:rFonts w:hint="eastAsia" w:ascii="宋体" w:hAnsi="宋体" w:eastAsia="宋体" w:cs="宋体"/>
          <w:b/>
          <w:color w:val="auto"/>
          <w:sz w:val="21"/>
          <w:szCs w:val="11"/>
          <w:highlight w:val="none"/>
        </w:rPr>
        <w:t>内容。</w:t>
      </w:r>
    </w:p>
    <w:p w14:paraId="1B51B624">
      <w:pPr>
        <w:pStyle w:val="16"/>
        <w:jc w:val="left"/>
        <w:rPr>
          <w:rFonts w:hint="eastAsia" w:ascii="宋体" w:hAnsi="宋体" w:eastAsia="宋体" w:cs="宋体"/>
          <w:b/>
          <w:color w:val="auto"/>
          <w:sz w:val="52"/>
          <w:szCs w:val="52"/>
          <w:highlight w:val="none"/>
        </w:rPr>
      </w:pPr>
      <w:r>
        <w:rPr>
          <w:rFonts w:hint="eastAsia" w:ascii="宋体" w:hAnsi="宋体" w:eastAsia="宋体" w:cs="宋体"/>
          <w:b/>
          <w:color w:val="auto"/>
          <w:sz w:val="21"/>
          <w:szCs w:val="11"/>
          <w:highlight w:val="none"/>
        </w:rPr>
        <w:t>2、合同签订双方可根据项目的具体要求进行修订，但合同条款不得与</w:t>
      </w:r>
      <w:r>
        <w:rPr>
          <w:rFonts w:hint="eastAsia" w:ascii="宋体" w:hAnsi="宋体" w:eastAsia="宋体" w:cs="宋体"/>
          <w:b/>
          <w:color w:val="auto"/>
          <w:sz w:val="21"/>
          <w:szCs w:val="11"/>
          <w:highlight w:val="none"/>
          <w:lang w:val="en-US" w:eastAsia="zh-CN"/>
        </w:rPr>
        <w:t>竞争性磋商</w:t>
      </w:r>
      <w:r>
        <w:rPr>
          <w:rFonts w:hint="eastAsia" w:ascii="宋体" w:hAnsi="宋体" w:eastAsia="宋体" w:cs="宋体"/>
          <w:b/>
          <w:color w:val="auto"/>
          <w:sz w:val="21"/>
          <w:szCs w:val="11"/>
          <w:highlight w:val="none"/>
        </w:rPr>
        <w:t>文件和</w:t>
      </w:r>
      <w:r>
        <w:rPr>
          <w:rFonts w:hint="eastAsia" w:ascii="宋体" w:hAnsi="宋体" w:eastAsia="宋体" w:cs="宋体"/>
          <w:b/>
          <w:color w:val="auto"/>
          <w:sz w:val="21"/>
          <w:szCs w:val="11"/>
          <w:highlight w:val="none"/>
          <w:lang w:val="en-US" w:eastAsia="zh-CN"/>
        </w:rPr>
        <w:t>成交</w:t>
      </w:r>
      <w:r>
        <w:rPr>
          <w:rFonts w:hint="eastAsia" w:ascii="宋体" w:hAnsi="宋体" w:eastAsia="宋体" w:cs="宋体"/>
          <w:b/>
          <w:color w:val="auto"/>
          <w:sz w:val="21"/>
          <w:szCs w:val="11"/>
          <w:highlight w:val="none"/>
        </w:rPr>
        <w:t>供应商</w:t>
      </w:r>
      <w:r>
        <w:rPr>
          <w:rFonts w:hint="eastAsia" w:ascii="宋体" w:hAnsi="宋体" w:eastAsia="宋体" w:cs="宋体"/>
          <w:b/>
          <w:color w:val="auto"/>
          <w:sz w:val="21"/>
          <w:szCs w:val="11"/>
          <w:highlight w:val="none"/>
          <w:lang w:val="en-US" w:eastAsia="zh-CN"/>
        </w:rPr>
        <w:t>响应</w:t>
      </w:r>
      <w:r>
        <w:rPr>
          <w:rFonts w:hint="eastAsia" w:ascii="宋体" w:hAnsi="宋体" w:eastAsia="宋体" w:cs="宋体"/>
          <w:b/>
          <w:color w:val="auto"/>
          <w:sz w:val="21"/>
          <w:szCs w:val="11"/>
          <w:highlight w:val="none"/>
        </w:rPr>
        <w:t>文件有实质性偏离。</w:t>
      </w:r>
    </w:p>
    <w:p w14:paraId="6442AE21">
      <w:pPr>
        <w:pStyle w:val="16"/>
        <w:jc w:val="center"/>
        <w:rPr>
          <w:rFonts w:hint="eastAsia" w:ascii="宋体" w:hAnsi="宋体" w:eastAsia="宋体" w:cs="宋体"/>
          <w:b/>
          <w:color w:val="auto"/>
          <w:sz w:val="52"/>
          <w:szCs w:val="52"/>
          <w:highlight w:val="none"/>
        </w:rPr>
      </w:pPr>
    </w:p>
    <w:p w14:paraId="675FEC7B">
      <w:pPr>
        <w:pStyle w:val="16"/>
        <w:jc w:val="center"/>
        <w:rPr>
          <w:rFonts w:hint="eastAsia" w:ascii="宋体" w:hAnsi="宋体" w:eastAsia="宋体" w:cs="宋体"/>
          <w:b/>
          <w:color w:val="auto"/>
          <w:sz w:val="52"/>
          <w:szCs w:val="52"/>
          <w:highlight w:val="none"/>
        </w:rPr>
      </w:pPr>
    </w:p>
    <w:p w14:paraId="5962B971">
      <w:pPr>
        <w:pStyle w:val="16"/>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255765B">
      <w:pPr>
        <w:pStyle w:val="16"/>
        <w:rPr>
          <w:rFonts w:hint="eastAsia" w:ascii="宋体" w:hAnsi="宋体" w:eastAsia="宋体" w:cs="宋体"/>
          <w:color w:val="auto"/>
          <w:highlight w:val="none"/>
        </w:rPr>
      </w:pPr>
    </w:p>
    <w:p w14:paraId="41A249B2">
      <w:pPr>
        <w:pStyle w:val="16"/>
        <w:rPr>
          <w:rFonts w:hint="eastAsia" w:ascii="宋体" w:hAnsi="宋体" w:eastAsia="宋体" w:cs="宋体"/>
          <w:color w:val="auto"/>
          <w:highlight w:val="none"/>
        </w:rPr>
      </w:pPr>
    </w:p>
    <w:p w14:paraId="2144412A">
      <w:pPr>
        <w:pStyle w:val="16"/>
        <w:rPr>
          <w:rFonts w:hint="eastAsia" w:ascii="宋体" w:hAnsi="宋体" w:eastAsia="宋体" w:cs="宋体"/>
          <w:color w:val="auto"/>
          <w:highlight w:val="none"/>
        </w:rPr>
      </w:pPr>
    </w:p>
    <w:p w14:paraId="678C1243">
      <w:pPr>
        <w:pStyle w:val="16"/>
        <w:rPr>
          <w:rFonts w:hint="eastAsia" w:ascii="宋体" w:hAnsi="宋体" w:eastAsia="宋体" w:cs="宋体"/>
          <w:color w:val="auto"/>
          <w:highlight w:val="none"/>
        </w:rPr>
      </w:pPr>
    </w:p>
    <w:p w14:paraId="15164F51">
      <w:pPr>
        <w:pStyle w:val="16"/>
        <w:rPr>
          <w:rFonts w:hint="eastAsia" w:ascii="宋体" w:hAnsi="宋体" w:eastAsia="宋体" w:cs="宋体"/>
          <w:color w:val="auto"/>
          <w:highlight w:val="none"/>
        </w:rPr>
      </w:pPr>
    </w:p>
    <w:p w14:paraId="11D12565">
      <w:pPr>
        <w:pStyle w:val="16"/>
        <w:rPr>
          <w:rFonts w:hint="eastAsia" w:ascii="宋体" w:hAnsi="宋体" w:eastAsia="宋体" w:cs="宋体"/>
          <w:color w:val="auto"/>
          <w:highlight w:val="none"/>
        </w:rPr>
      </w:pPr>
    </w:p>
    <w:p w14:paraId="79F10FF6">
      <w:pPr>
        <w:pStyle w:val="16"/>
        <w:rPr>
          <w:rFonts w:hint="eastAsia" w:ascii="宋体" w:hAnsi="宋体" w:eastAsia="宋体" w:cs="宋体"/>
          <w:color w:val="auto"/>
          <w:highlight w:val="none"/>
        </w:rPr>
      </w:pPr>
    </w:p>
    <w:p w14:paraId="43A6CEB5">
      <w:pPr>
        <w:pStyle w:val="16"/>
        <w:rPr>
          <w:rFonts w:hint="eastAsia" w:ascii="宋体" w:hAnsi="宋体" w:eastAsia="宋体" w:cs="宋体"/>
          <w:color w:val="auto"/>
          <w:highlight w:val="none"/>
        </w:rPr>
      </w:pPr>
    </w:p>
    <w:p w14:paraId="5AA09C98">
      <w:pPr>
        <w:pStyle w:val="16"/>
        <w:rPr>
          <w:rFonts w:hint="eastAsia" w:ascii="宋体" w:hAnsi="宋体" w:eastAsia="宋体" w:cs="宋体"/>
          <w:color w:val="auto"/>
          <w:highlight w:val="none"/>
        </w:rPr>
      </w:pPr>
    </w:p>
    <w:p w14:paraId="0EA56EF8">
      <w:pPr>
        <w:pStyle w:val="16"/>
        <w:rPr>
          <w:rFonts w:hint="eastAsia" w:ascii="宋体" w:hAnsi="宋体" w:eastAsia="宋体" w:cs="宋体"/>
          <w:color w:val="auto"/>
          <w:highlight w:val="none"/>
        </w:rPr>
      </w:pPr>
    </w:p>
    <w:p w14:paraId="1CD8628D">
      <w:pPr>
        <w:pStyle w:val="16"/>
        <w:rPr>
          <w:rFonts w:hint="eastAsia" w:ascii="宋体" w:hAnsi="宋体" w:eastAsia="宋体" w:cs="宋体"/>
          <w:color w:val="auto"/>
          <w:highlight w:val="none"/>
        </w:rPr>
      </w:pPr>
    </w:p>
    <w:p w14:paraId="06E3ADE9">
      <w:pPr>
        <w:pStyle w:val="16"/>
        <w:rPr>
          <w:rFonts w:hint="eastAsia" w:ascii="宋体" w:hAnsi="宋体" w:eastAsia="宋体" w:cs="宋体"/>
          <w:color w:val="auto"/>
          <w:highlight w:val="none"/>
        </w:rPr>
      </w:pPr>
    </w:p>
    <w:p w14:paraId="53E33C04">
      <w:pPr>
        <w:pStyle w:val="16"/>
        <w:rPr>
          <w:rFonts w:hint="eastAsia" w:ascii="宋体" w:hAnsi="宋体" w:eastAsia="宋体" w:cs="宋体"/>
          <w:color w:val="auto"/>
          <w:highlight w:val="none"/>
        </w:rPr>
      </w:pPr>
    </w:p>
    <w:p w14:paraId="0F0007AB">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399C30E4">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66195C0C">
      <w:pPr>
        <w:pStyle w:val="16"/>
        <w:jc w:val="center"/>
        <w:rPr>
          <w:rFonts w:hint="eastAsia" w:ascii="宋体" w:hAnsi="宋体" w:eastAsia="宋体" w:cs="宋体"/>
          <w:color w:val="auto"/>
          <w:highlight w:val="none"/>
        </w:rPr>
      </w:pPr>
    </w:p>
    <w:p w14:paraId="0DDDF5FE">
      <w:pPr>
        <w:pStyle w:val="16"/>
        <w:jc w:val="center"/>
        <w:rPr>
          <w:rFonts w:hint="eastAsia" w:ascii="宋体" w:hAnsi="宋体" w:eastAsia="宋体" w:cs="宋体"/>
          <w:color w:val="auto"/>
          <w:highlight w:val="none"/>
        </w:rPr>
      </w:pPr>
    </w:p>
    <w:p w14:paraId="7BFEDFA1">
      <w:pPr>
        <w:pStyle w:val="16"/>
        <w:jc w:val="center"/>
        <w:rPr>
          <w:rFonts w:hint="eastAsia" w:ascii="宋体" w:hAnsi="宋体" w:eastAsia="宋体" w:cs="宋体"/>
          <w:color w:val="auto"/>
          <w:highlight w:val="none"/>
        </w:rPr>
      </w:pPr>
    </w:p>
    <w:p w14:paraId="08AFCBA3">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p>
    <w:p w14:paraId="4DFF128A">
      <w:pPr>
        <w:pStyle w:val="16"/>
        <w:spacing w:line="340" w:lineRule="exact"/>
        <w:ind w:firstLine="1590" w:firstLineChars="495"/>
        <w:rPr>
          <w:rFonts w:hint="eastAsia" w:ascii="宋体" w:hAnsi="宋体" w:eastAsia="宋体" w:cs="宋体"/>
          <w:b/>
          <w:color w:val="auto"/>
          <w:sz w:val="32"/>
          <w:szCs w:val="32"/>
          <w:highlight w:val="none"/>
        </w:rPr>
      </w:pPr>
    </w:p>
    <w:p w14:paraId="65423225">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3062B06C">
      <w:pPr>
        <w:pStyle w:val="16"/>
        <w:jc w:val="center"/>
        <w:rPr>
          <w:rFonts w:hint="eastAsia" w:ascii="宋体" w:hAnsi="宋体" w:eastAsia="宋体" w:cs="宋体"/>
          <w:color w:val="auto"/>
          <w:highlight w:val="none"/>
        </w:rPr>
      </w:pPr>
    </w:p>
    <w:p w14:paraId="38861BD9">
      <w:pPr>
        <w:pStyle w:val="16"/>
        <w:jc w:val="center"/>
        <w:rPr>
          <w:rFonts w:hint="eastAsia" w:ascii="宋体" w:hAnsi="宋体" w:eastAsia="宋体" w:cs="宋体"/>
          <w:color w:val="auto"/>
          <w:highlight w:val="none"/>
        </w:rPr>
      </w:pPr>
    </w:p>
    <w:p w14:paraId="4827E2F6">
      <w:pPr>
        <w:pStyle w:val="16"/>
        <w:jc w:val="center"/>
        <w:rPr>
          <w:rFonts w:hint="eastAsia" w:ascii="宋体" w:hAnsi="宋体" w:eastAsia="宋体" w:cs="宋体"/>
          <w:color w:val="auto"/>
          <w:highlight w:val="none"/>
        </w:rPr>
      </w:pPr>
    </w:p>
    <w:p w14:paraId="33558A9F">
      <w:pPr>
        <w:pStyle w:val="16"/>
        <w:jc w:val="center"/>
        <w:rPr>
          <w:rFonts w:hint="eastAsia" w:ascii="宋体" w:hAnsi="宋体" w:eastAsia="宋体" w:cs="宋体"/>
          <w:color w:val="auto"/>
          <w:highlight w:val="none"/>
        </w:rPr>
      </w:pPr>
    </w:p>
    <w:p w14:paraId="5D7C32A0">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0683684E">
      <w:pPr>
        <w:pStyle w:val="16"/>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1C3099CD">
      <w:pPr>
        <w:pStyle w:val="16"/>
        <w:jc w:val="center"/>
        <w:rPr>
          <w:rFonts w:hint="eastAsia" w:ascii="宋体" w:hAnsi="宋体" w:eastAsia="宋体" w:cs="宋体"/>
          <w:color w:val="auto"/>
          <w:highlight w:val="none"/>
        </w:rPr>
      </w:pPr>
    </w:p>
    <w:p w14:paraId="33BE3918">
      <w:pPr>
        <w:pStyle w:val="16"/>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合同</w:t>
      </w:r>
      <w:r>
        <w:rPr>
          <w:rFonts w:hint="eastAsia" w:hAnsi="宋体" w:cs="宋体"/>
          <w:b/>
          <w:bCs/>
          <w:color w:val="auto"/>
          <w:sz w:val="32"/>
          <w:szCs w:val="32"/>
          <w:highlight w:val="none"/>
          <w:lang w:val="en-US" w:eastAsia="zh-CN"/>
        </w:rPr>
        <w:t>书</w:t>
      </w:r>
    </w:p>
    <w:p w14:paraId="3A0489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采购计划文号：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25058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供应商（乙方）：</w:t>
      </w:r>
      <w:r>
        <w:rPr>
          <w:rFonts w:hint="eastAsia" w:ascii="宋体" w:hAnsi="宋体" w:eastAsia="宋体" w:cs="宋体"/>
          <w:color w:val="auto"/>
          <w:sz w:val="21"/>
          <w:szCs w:val="21"/>
          <w:highlight w:val="none"/>
          <w:u w:val="single"/>
        </w:rPr>
        <w:t xml:space="preserve">                           </w:t>
      </w:r>
    </w:p>
    <w:p w14:paraId="3CC3DC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14:paraId="2CE7AB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年    月    日        </w:t>
      </w:r>
    </w:p>
    <w:p w14:paraId="0072E2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0CDB5AA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根据《中华人民共和国政府采购法》、《中华人民共和国民法典(合同编)》等法律、法规规定，甲方为提高医院的服务质量和工作效率，提升患者满意度，现委托乙方提供中药饮片、调剂、代煎和配送服务，双方经友好协商达成以下协议。</w:t>
      </w:r>
    </w:p>
    <w:p w14:paraId="7ED8A8B9">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第一条  资质证明</w:t>
      </w:r>
    </w:p>
    <w:p w14:paraId="1E0D64F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须通过广西中药药事质控中心中药煎药资质评估小组评估并备案成功或者中标后45个日历日内能在项目所在地设立代煎场地并通过广西中药药事质控中心中药煎药资质评估小组评估和备案，且相关场地、设备及人员等须满足甲方煎煮业务量需求，如不能满足，甲方有权终止合同。</w:t>
      </w:r>
    </w:p>
    <w:p w14:paraId="50256C1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2.乙方需向甲方提供合法有效的《营业执照》、《药品生产或经营许可证》、业务人员法人委托书(需明确委托事项，有效期限)及身份证复印件等资料。</w:t>
      </w:r>
    </w:p>
    <w:p w14:paraId="2FED2AF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第二条  合作内容</w:t>
      </w:r>
    </w:p>
    <w:p w14:paraId="5F89D03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1.乙方为甲方提供中药饮片煎煮及配送服务，乙方作为甲方药物合法供应商，同甲方建立中药饮片代煎配送服务合作关系。</w:t>
      </w:r>
    </w:p>
    <w:p w14:paraId="115EECC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2.甲方向乙方系统提供HIS接口，将患者需要代煎、配送服务的处方传输给乙方，委托乙方进行处方二次审核、调剂、代煎、配送等服务，乙方按甲方和患者指定地点将药品送达甲方和患者。</w:t>
      </w:r>
    </w:p>
    <w:p w14:paraId="3B65F9F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3.甲方按相关规定向患者收取代煎费，并按本协议约定向乙方支付费用。</w:t>
      </w:r>
    </w:p>
    <w:p w14:paraId="68D8580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4.乙方若有企业名称、住所地等信息变更，需向甲方书面说明，并在信息变更后10个工作日内到甲方指定部门办理变更备案手续。</w:t>
      </w:r>
    </w:p>
    <w:p w14:paraId="1F718FF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5.乙方承担代煎服务系统对接、安装、运行、维护、升级等的相关费用。</w:t>
      </w:r>
    </w:p>
    <w:p w14:paraId="36E73D3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6.乙方需提供免费配送服务及代煎中药储存条件，同时安排2名配送工接受并配合医院工作安排，提供病区配送延伸服务。</w:t>
      </w:r>
    </w:p>
    <w:p w14:paraId="21329DC4">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第三条  质量要求</w:t>
      </w:r>
    </w:p>
    <w:p w14:paraId="5D7B596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（一）中药饮片调剂、煎煮质量要求</w:t>
      </w:r>
    </w:p>
    <w:p w14:paraId="77658D5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1.乙方须按照《医疗机构处方审核规范》等法规要求对委托煎药的处方进行审核，审核合格后方可调剂。</w:t>
      </w:r>
    </w:p>
    <w:p w14:paraId="310AA1F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14:paraId="0290787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3.中药饮片调剂、加药等环节应全程在视频监控下进行，并对已完成调配、复核的每张处方进行拍照，重点环节相关视频和照片应留档备查。</w:t>
      </w:r>
    </w:p>
    <w:p w14:paraId="56D4561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4.乙方须按照《医疗机构中药煎药室管理规范》、《广西中药饮片代煎质量管理规范》建立“中药饮片煎煮”相关的管理制度，同时应建立“中药饮片煎煮”相关记录原始台账。</w:t>
      </w:r>
    </w:p>
    <w:p w14:paraId="13C53C0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5.乙方须按照《医疗机构中药煎药室管理规范》中相关规定要求完成中药饮片煎煮操作：</w:t>
      </w:r>
    </w:p>
    <w:p w14:paraId="2F078A1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煎煮前应当浸泡饮片30分钟以上（药物置于煎药袋浸泡的应不少于40分钟），加水量应当浸过药面2-5cm；应根据不同方剂的功能主治和饮片功效选择煎煮方案。每剂药必须煎煮两次，再将两次药汁混合、浓缩、分装，煎煮过程中应搅拌药料2-3次（如使用自动化设备煎煮，应具有不少于两次的自动挤压药包操作步骤）。</w:t>
      </w:r>
    </w:p>
    <w:p w14:paraId="7CC5EF7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（2）在中药煎煮、混合、浓缩、分装过程中应当规范操作，减少细菌污染，保证代煎中药在2-10℃冰箱内可以存放15日不变质。</w:t>
      </w:r>
    </w:p>
    <w:p w14:paraId="4599EAE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（3）凡注明有先煎、久煎、后下、另煎、烊化、包煎、煎汤代水等特殊要求的中药饮片，应当按照《医疗机构中药煎药室管理规范》或医嘱操作。</w:t>
      </w:r>
    </w:p>
    <w:p w14:paraId="2F38818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包装好的药液应认真检查，确保药液包装袋无破漏，并根据处方，认真核对患者姓名、剂数、剂量、是否外用等信息。内服药与外用药应当使用不同的标签区分。每袋药液应有患者姓名、性别、年龄、药液量、服用方法等相关信息和标识。</w:t>
      </w:r>
    </w:p>
    <w:p w14:paraId="246AC2B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（二）物流配送服务质量要求</w:t>
      </w:r>
    </w:p>
    <w:p w14:paraId="1D7F78B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1.代煎中药汤剂由乙方按规定时间运送至甲方指定部门。运输的交通工具和盛装用具应符合医药运输规范。如因使用不规范交通工具和盛装用具，导致的不良后果，由乙方自行负责。</w:t>
      </w:r>
    </w:p>
    <w:p w14:paraId="70FB3B0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提供免费配送服务，安排配送专员2名常驻医院，接受医院管理及工作安排，提供病区配送延伸服务，提供代煎中药储存条件。配送专员在院内活动及配送到患者指定位置时必须严格遵守甲方各项规章制度，不得做出有损甲方形象和利益的事情。送达后与采购人各科室接收人员交接时，应做好交接记录并签字确认留档。</w:t>
      </w:r>
    </w:p>
    <w:p w14:paraId="2F64806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3.乙方应按甲方要求，积极提升配送服务质量，避免因物流配送原因导致有损甲方形象和利益的事情。</w:t>
      </w:r>
    </w:p>
    <w:p w14:paraId="35F68241">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第四条  配送时间及地点</w:t>
      </w:r>
    </w:p>
    <w:p w14:paraId="4FC7982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节假日配送时间按医院节假日工作安排执行，如遇特殊情况双方再进行协商，周一至周日供应商配送到医院时间：</w:t>
      </w:r>
    </w:p>
    <w:p w14:paraId="0579C57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1.门诊代煎中药交付时间：</w:t>
      </w:r>
    </w:p>
    <w:p w14:paraId="2701F8E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⑴甲方当日12：00前发送的所有门诊处方，患者自取的须当日18：30前送达医院的指定接收处；</w:t>
      </w:r>
    </w:p>
    <w:p w14:paraId="1AF788D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⑵甲方当日12:00—17:30的门诊处方，患者自取的须于次日上午11：30前送达医院的指定接收处;</w:t>
      </w:r>
    </w:p>
    <w:p w14:paraId="17CB305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⑶甲方当日17:30—24:00的门诊处方，患者自取的须于次日下午18：30前送达医院的指定接收处；</w:t>
      </w:r>
    </w:p>
    <w:p w14:paraId="15511EB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2.住院部代煎中药交付时间：</w:t>
      </w:r>
    </w:p>
    <w:p w14:paraId="11A70F0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⑴甲方当日12：00以前的住院处方，应于当日下午18：30前送达医院的指定接收处集中存放；</w:t>
      </w:r>
    </w:p>
    <w:p w14:paraId="3776FB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⑵甲方当日12：00—17:30的住院处方，应于次日11：30送达医院的指定接收处集中存放；</w:t>
      </w:r>
    </w:p>
    <w:p w14:paraId="6D774FE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⑶甲方当日17:30—24：00的住院处方，应于次日下午18：30前送达医院的指定接收处集中存放；</w:t>
      </w:r>
    </w:p>
    <w:p w14:paraId="2AC8B39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3.急煎中药饮片代煎处方交付时间：三小时内送达医院相关临床科室。</w:t>
      </w:r>
    </w:p>
    <w:p w14:paraId="23E21D3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4.快递配送时效及地点范围</w:t>
      </w:r>
    </w:p>
    <w:p w14:paraId="1AD96CC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需直接快递配送到患者指定地点，地点范围在柳州市及柳州市辖各县城、各乡都在免费配送范围内：</w:t>
      </w:r>
    </w:p>
    <w:p w14:paraId="1F9439F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⑴柳州市中心城区范围送达时间：</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019"/>
      </w:tblGrid>
      <w:tr w14:paraId="3D8F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5052" w:type="dxa"/>
          </w:tcPr>
          <w:p w14:paraId="251FC0D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柳州市中心城区范围</w:t>
            </w:r>
          </w:p>
        </w:tc>
        <w:tc>
          <w:tcPr>
            <w:tcW w:w="4019" w:type="dxa"/>
          </w:tcPr>
          <w:p w14:paraId="33451DE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送达时间</w:t>
            </w:r>
          </w:p>
        </w:tc>
      </w:tr>
      <w:tr w14:paraId="40A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tblHeader/>
          <w:jc w:val="center"/>
        </w:trPr>
        <w:tc>
          <w:tcPr>
            <w:tcW w:w="5052" w:type="dxa"/>
            <w:vAlign w:val="center"/>
          </w:tcPr>
          <w:p w14:paraId="0F488B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正南面：旧南环以内市区，不超过莲花客运站；</w:t>
            </w:r>
          </w:p>
          <w:p w14:paraId="7675287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西南面：柳州市帽合动物园--柳州地区民族高中以内市区；</w:t>
            </w:r>
          </w:p>
          <w:p w14:paraId="68BDF94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西面：瑞龙路以内市区；</w:t>
            </w:r>
          </w:p>
          <w:p w14:paraId="24055EF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北面：鹧鸪江大桥--北外环路以内；</w:t>
            </w:r>
          </w:p>
          <w:p w14:paraId="38C9B7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东面：三门江大桥、古亭山、阳和大桥以内；</w:t>
            </w:r>
          </w:p>
          <w:p w14:paraId="52F1E5C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柳江区：拉堡城区及基隆开发区</w:t>
            </w:r>
          </w:p>
          <w:p w14:paraId="5263AF7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按区域分为：鱼峰区、城中区、柳南区、柳北区、柳江区。</w:t>
            </w:r>
          </w:p>
        </w:tc>
        <w:tc>
          <w:tcPr>
            <w:tcW w:w="4019" w:type="dxa"/>
            <w:vAlign w:val="center"/>
          </w:tcPr>
          <w:p w14:paraId="3D9BCA9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①在当日12</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00前登记邮寄的，则当日21</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00点前送达。</w:t>
            </w:r>
          </w:p>
          <w:p w14:paraId="1627A17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②在当日12</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00--17</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30前登记邮寄的，则次日中午14</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00点前送达。</w:t>
            </w:r>
          </w:p>
          <w:p w14:paraId="6BCB21A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③在当日17</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30后登记邮寄的，则次日16</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00前送达。</w:t>
            </w:r>
          </w:p>
        </w:tc>
      </w:tr>
    </w:tbl>
    <w:p w14:paraId="2FF9F43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⑵柳州市外围城区及所辖县城（鹿寨县、融水县、融安县、三江县、柳城县、柳江区）送达时间。</w:t>
      </w:r>
    </w:p>
    <w:p w14:paraId="6AE0F10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当日15</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00前登记邮寄的，次日21</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00前送达</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当日15</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00后登记邮寄的，从登记时间起48小时内送达。</w:t>
      </w:r>
    </w:p>
    <w:p w14:paraId="282F184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⑶柳州市外围城区及所辖县城的乡、镇、村送达时效以到达柳州市外围城区及所辖县城的点部时间起算，多加12小时时效。</w:t>
      </w:r>
    </w:p>
    <w:p w14:paraId="47DF40E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5.快递配送地点范围在广西区内（除柳州地区外）的，需自行承担邮寄费用，从登记当天起算，3-4日送达。广西区外送达时效，寄递收费标准以快递派件为准，送达时间以快递派件时效为准。</w:t>
      </w:r>
    </w:p>
    <w:p w14:paraId="46DE92A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6.能为甲方提供柳州市范围内自煎中药饮片免费配送。</w:t>
      </w:r>
    </w:p>
    <w:p w14:paraId="6228E6F6">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第五条  费用与结算</w:t>
      </w:r>
    </w:p>
    <w:p w14:paraId="3DEE266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1.药品费：乙方按甲方供货价（购进价）及对账一致后的药品金额，按月开具发票交付甲方。</w:t>
      </w:r>
    </w:p>
    <w:p w14:paraId="00F8E91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2.代煎费：按自治区相关规定的医疗服务收费标准，由甲方代乙方向患者收取，</w:t>
      </w:r>
      <w:r>
        <w:rPr>
          <w:rFonts w:hint="eastAsia" w:ascii="宋体" w:hAnsi="宋体" w:cs="宋体"/>
          <w:snapToGrid/>
          <w:color w:val="auto"/>
          <w:spacing w:val="3"/>
          <w:kern w:val="2"/>
          <w:sz w:val="21"/>
          <w:szCs w:val="21"/>
          <w:highlight w:val="none"/>
          <w:lang w:val="en-US" w:eastAsia="zh-CN"/>
        </w:rPr>
        <w:t>对账</w:t>
      </w:r>
      <w:r>
        <w:rPr>
          <w:rFonts w:hint="eastAsia" w:ascii="宋体" w:hAnsi="宋体" w:eastAsia="宋体" w:cs="宋体"/>
          <w:snapToGrid/>
          <w:color w:val="auto"/>
          <w:spacing w:val="3"/>
          <w:kern w:val="2"/>
          <w:sz w:val="21"/>
          <w:szCs w:val="21"/>
          <w:highlight w:val="none"/>
          <w:lang w:val="en-US" w:eastAsia="zh-CN"/>
        </w:rPr>
        <w:t>一致后，乙方以</w:t>
      </w:r>
      <w:r>
        <w:rPr>
          <w:rFonts w:hint="eastAsia" w:ascii="宋体" w:hAnsi="宋体" w:eastAsia="宋体" w:cs="宋体"/>
          <w:snapToGrid/>
          <w:color w:val="auto"/>
          <w:spacing w:val="3"/>
          <w:kern w:val="2"/>
          <w:sz w:val="21"/>
          <w:szCs w:val="21"/>
          <w:highlight w:val="none"/>
          <w:u w:val="single"/>
          <w:lang w:val="en-US" w:eastAsia="zh-CN"/>
        </w:rPr>
        <w:t xml:space="preserve">     元/付</w:t>
      </w:r>
      <w:r>
        <w:rPr>
          <w:rFonts w:hint="eastAsia" w:ascii="宋体" w:hAnsi="宋体" w:eastAsia="宋体" w:cs="宋体"/>
          <w:snapToGrid/>
          <w:color w:val="auto"/>
          <w:spacing w:val="3"/>
          <w:kern w:val="2"/>
          <w:sz w:val="21"/>
          <w:szCs w:val="21"/>
          <w:highlight w:val="none"/>
          <w:lang w:val="en-US" w:eastAsia="zh-CN"/>
        </w:rPr>
        <w:t>的代煎费，按月开具发票交付甲方。</w:t>
      </w:r>
    </w:p>
    <w:p w14:paraId="4B3D89A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3.配送费：乙方免费配送区域仅限柳州地区。超出免费配送区域，由患者在指定区域办理快递缴费登记手续。</w:t>
      </w:r>
    </w:p>
    <w:p w14:paraId="3942E3D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4.对账、结算：</w:t>
      </w:r>
    </w:p>
    <w:p w14:paraId="7680A85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（1）乙方每月10日前将上月煎煮中心服务的代煎费按照双方约定的方式同甲方指定部门进行对账。</w:t>
      </w:r>
    </w:p>
    <w:p w14:paraId="3D01BEF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（2）乙方每月10日前将上月代煎费用结算清单和发票交付给甲方，甲方应在收到结算清单和发票后6个月内付款给乙方。</w:t>
      </w:r>
    </w:p>
    <w:p w14:paraId="2B3F99C0">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bookmarkStart w:id="98" w:name="bookmark5"/>
      <w:bookmarkEnd w:id="98"/>
      <w:r>
        <w:rPr>
          <w:rFonts w:hint="eastAsia" w:ascii="宋体" w:hAnsi="宋体" w:eastAsia="宋体" w:cs="宋体"/>
          <w:b/>
          <w:bCs/>
          <w:snapToGrid/>
          <w:color w:val="auto"/>
          <w:spacing w:val="3"/>
          <w:kern w:val="2"/>
          <w:sz w:val="21"/>
          <w:szCs w:val="21"/>
          <w:highlight w:val="none"/>
          <w:lang w:val="en-US" w:eastAsia="zh-CN"/>
        </w:rPr>
        <w:t>第六条  服务期限</w:t>
      </w:r>
    </w:p>
    <w:p w14:paraId="61D9E80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自合同签订生效之日起2年（2025年   月   日至2027年   月   日）。</w:t>
      </w:r>
    </w:p>
    <w:p w14:paraId="08E407A1">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第七条  权利、义务和责任</w:t>
      </w:r>
    </w:p>
    <w:p w14:paraId="5A84C34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1.甲方有权随时抽查、检验，并对乙方代煎药物、成品质量和服务质量进行监督。</w:t>
      </w:r>
    </w:p>
    <w:p w14:paraId="770E43F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2.甲方有权针对乙方的代煎药物质量、代煎中药饮片质量、配送服务等向患者进行满意度调查，并制订相应的制度对乙方进行满意度测评、考核、惩处。</w:t>
      </w:r>
    </w:p>
    <w:p w14:paraId="1E880D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3.甲方负责推荐乙方的煎煮中心服务模式，并确保项目在医院顺利对接上线，同时为本协议项下的服务提供宣传、流程优化等便利。</w:t>
      </w:r>
    </w:p>
    <w:p w14:paraId="59EF4ED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4.甲方负责将需要代煎的药物处方、患者电话、收货地址等详细信息按照双方约定的方式实时传送给乙方，乙方核实确认后反馈甲方。</w:t>
      </w:r>
    </w:p>
    <w:p w14:paraId="52670C4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5.当出现客诉纠纷时，甲方需协助乙方完成客诉处理。</w:t>
      </w:r>
    </w:p>
    <w:p w14:paraId="633B4B9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6.甲方对所提供的处方的合理性负责，因甲方的处方不合理性导致第三方要求索赔的责任由甲方承担。</w:t>
      </w:r>
    </w:p>
    <w:p w14:paraId="742E6F9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7.因甲方失误造成送达地点或收货人错误的，甲方应承担由此造成的损失和新增加的费用。</w:t>
      </w:r>
    </w:p>
    <w:p w14:paraId="6F8DF74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8.乙方提供的代煎成品包装应完好无损，如因配送过程中发生破损由乙方与快递公司承担责任并与患者协商解决。</w:t>
      </w:r>
    </w:p>
    <w:p w14:paraId="4A8D079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9.若因乙方原因导致未能及时将代煎成品送至</w:t>
      </w:r>
      <w:r>
        <w:rPr>
          <w:rFonts w:hint="eastAsia" w:ascii="宋体" w:hAnsi="宋体" w:cs="宋体"/>
          <w:snapToGrid/>
          <w:color w:val="auto"/>
          <w:spacing w:val="3"/>
          <w:kern w:val="2"/>
          <w:sz w:val="21"/>
          <w:szCs w:val="21"/>
          <w:highlight w:val="none"/>
          <w:lang w:val="en-US" w:eastAsia="zh-CN"/>
        </w:rPr>
        <w:t>指定</w:t>
      </w:r>
      <w:r>
        <w:rPr>
          <w:rFonts w:hint="eastAsia" w:ascii="宋体" w:hAnsi="宋体" w:eastAsia="宋体" w:cs="宋体"/>
          <w:snapToGrid/>
          <w:color w:val="auto"/>
          <w:spacing w:val="3"/>
          <w:kern w:val="2"/>
          <w:sz w:val="21"/>
          <w:szCs w:val="21"/>
          <w:highlight w:val="none"/>
          <w:lang w:val="en-US" w:eastAsia="zh-CN"/>
        </w:rPr>
        <w:t>交付对象时，乙方应及时向甲方报备，并做好患者告知工作。</w:t>
      </w:r>
    </w:p>
    <w:p w14:paraId="30C677F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10.乙方煎煮中心项目实施中如提供虚假文件、提供不合格产品、不足量或不按时供货，给甲方造成实际损失的，乙方应承担相应责任。</w:t>
      </w:r>
    </w:p>
    <w:p w14:paraId="73833A2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11.因乙方药物安全、质量、调剂、煎煮质量、配送等出现问题，乙方应承担责任。如因此产生投诉、诉讼等纠纷或质量、安全问题，由乙方承担相应责任并负责解决：如因此致甲方涉诉的，乙方应承担由此给甲方造成的损失，包括不限于经济赔偿、诉讼费、律师费等。</w:t>
      </w:r>
    </w:p>
    <w:p w14:paraId="76CB761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12.甲方对乙方的模式、流程以及服务等具有保密的义务，未经乙方同意不得向第三方</w:t>
      </w:r>
      <w:r>
        <w:rPr>
          <w:rFonts w:hint="eastAsia" w:ascii="宋体" w:hAnsi="宋体" w:cs="宋体"/>
          <w:snapToGrid/>
          <w:color w:val="auto"/>
          <w:spacing w:val="3"/>
          <w:kern w:val="2"/>
          <w:sz w:val="21"/>
          <w:szCs w:val="21"/>
          <w:highlight w:val="none"/>
          <w:lang w:val="en-US" w:eastAsia="zh-CN"/>
        </w:rPr>
        <w:t>透露</w:t>
      </w:r>
      <w:r>
        <w:rPr>
          <w:rFonts w:hint="eastAsia" w:ascii="宋体" w:hAnsi="宋体" w:eastAsia="宋体" w:cs="宋体"/>
          <w:snapToGrid/>
          <w:color w:val="auto"/>
          <w:spacing w:val="3"/>
          <w:kern w:val="2"/>
          <w:sz w:val="21"/>
          <w:szCs w:val="21"/>
          <w:highlight w:val="none"/>
          <w:lang w:val="en-US" w:eastAsia="zh-CN"/>
        </w:rPr>
        <w:t>运营细节。乙方不得泄露甲方提供的任何处方信息及患者信息，未经甲方允许不得私自用于任何商业用途，甲乙双方按双方约定的安全手段保障各自的网络和系统安全。</w:t>
      </w:r>
    </w:p>
    <w:p w14:paraId="640ED78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13.甲方对系统数据享有所有权、知情权、支配权等甲方需要主张的权利。</w:t>
      </w:r>
    </w:p>
    <w:p w14:paraId="09EB969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第八条  争议解决</w:t>
      </w:r>
    </w:p>
    <w:p w14:paraId="1CB3F6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对于实施本协议而发生的任何争议，双方首先应当通过友好协商方式解决，协商不成，任何一方均可向甲方所在地人民法院提起诉讼。</w:t>
      </w:r>
    </w:p>
    <w:p w14:paraId="762C7180">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第九条  合同生效及其它</w:t>
      </w:r>
    </w:p>
    <w:p w14:paraId="104DA52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1.合同经双方法定代表人或授权代表签字并加盖单位公章后生效。</w:t>
      </w:r>
    </w:p>
    <w:p w14:paraId="5DDB301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2.合同执行中涉及采购资金和采购内容修改或补充的，须经财政部门审批，并</w:t>
      </w:r>
      <w:r>
        <w:rPr>
          <w:rFonts w:hint="eastAsia" w:ascii="宋体" w:hAnsi="宋体" w:cs="宋体"/>
          <w:snapToGrid/>
          <w:color w:val="auto"/>
          <w:spacing w:val="3"/>
          <w:kern w:val="2"/>
          <w:sz w:val="21"/>
          <w:szCs w:val="21"/>
          <w:highlight w:val="none"/>
          <w:lang w:val="en-US" w:eastAsia="zh-CN"/>
        </w:rPr>
        <w:t>签订</w:t>
      </w:r>
      <w:r>
        <w:rPr>
          <w:rFonts w:hint="eastAsia" w:ascii="宋体" w:hAnsi="宋体" w:eastAsia="宋体" w:cs="宋体"/>
          <w:snapToGrid/>
          <w:color w:val="auto"/>
          <w:spacing w:val="3"/>
          <w:kern w:val="2"/>
          <w:sz w:val="21"/>
          <w:szCs w:val="21"/>
          <w:highlight w:val="none"/>
          <w:lang w:val="en-US" w:eastAsia="zh-CN"/>
        </w:rPr>
        <w:t>书面补充协议报财政部门备案，方可作为主合同不可分割的一部分。</w:t>
      </w:r>
    </w:p>
    <w:p w14:paraId="4EB0FB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3.本合同未尽事宜，遵照《中华人民共和国民法典(合同编)》有关条文执行。</w:t>
      </w:r>
    </w:p>
    <w:p w14:paraId="1F9AB6AE">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第十条  合同的变更、终止与转让</w:t>
      </w:r>
    </w:p>
    <w:p w14:paraId="7389EFC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1.除《中华人民共和国政府采购法》第五十条规定的情形外，本合同一经签订，甲乙双方不得擅自变更、中止或终止。</w:t>
      </w:r>
    </w:p>
    <w:p w14:paraId="4DBFD92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2.乙方不得擅自转让(无进口资格的供应商委托进口货物除外)其应履行的合同义务。</w:t>
      </w:r>
    </w:p>
    <w:p w14:paraId="076463A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第十一条  签订本合同依据</w:t>
      </w:r>
    </w:p>
    <w:p w14:paraId="6EFC495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1.政府采购文件；</w:t>
      </w:r>
    </w:p>
    <w:p w14:paraId="01B4D65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2.乙方提供的响应文件；</w:t>
      </w:r>
    </w:p>
    <w:p w14:paraId="4D51496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3.成交通知书。</w:t>
      </w:r>
    </w:p>
    <w:p w14:paraId="64B51AC7">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 xml:space="preserve">第十二条  </w:t>
      </w:r>
      <w:r>
        <w:rPr>
          <w:rFonts w:hint="eastAsia" w:ascii="宋体" w:hAnsi="宋体" w:eastAsia="宋体" w:cs="宋体"/>
          <w:snapToGrid/>
          <w:color w:val="auto"/>
          <w:spacing w:val="3"/>
          <w:kern w:val="2"/>
          <w:sz w:val="21"/>
          <w:szCs w:val="21"/>
          <w:highlight w:val="none"/>
          <w:lang w:val="en-US" w:eastAsia="zh-CN"/>
        </w:rPr>
        <w:t>本合同一式伍份，具有同等法律效力，甲方贰份，乙方贰份，采购代理机构壹份(可根据需要另增加)</w:t>
      </w:r>
    </w:p>
    <w:p w14:paraId="313337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476"/>
      </w:tblGrid>
      <w:tr w14:paraId="4B0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D5E62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67F553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7E5EB6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3E59E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475585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631279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A68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2F98F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6B719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0DA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8CE816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10BB22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法定代表人（负责人或自然人）：</w:t>
            </w:r>
          </w:p>
        </w:tc>
      </w:tr>
      <w:tr w14:paraId="7102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55E15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406511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r>
      <w:tr w14:paraId="06E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F85BE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C3294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721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672779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976AA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58F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D41A2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30FE45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1D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74C63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E0598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r>
      <w:tr w14:paraId="760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8FB4E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85A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39BE0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767A12B1">
      <w:pPr>
        <w:tabs>
          <w:tab w:val="left" w:pos="3261"/>
        </w:tabs>
        <w:spacing w:line="360" w:lineRule="auto"/>
        <w:contextualSpacing/>
        <w:jc w:val="center"/>
        <w:rPr>
          <w:rFonts w:hint="eastAsia" w:ascii="宋体" w:hAnsi="宋体" w:eastAsia="宋体" w:cs="宋体"/>
          <w:b/>
          <w:color w:val="auto"/>
          <w:sz w:val="44"/>
          <w:szCs w:val="44"/>
          <w:highlight w:val="none"/>
        </w:rPr>
      </w:pPr>
    </w:p>
    <w:p w14:paraId="1090653E">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134" w:right="1134" w:bottom="1134" w:left="1134"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A113F48">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9" w:name="_Toc3113"/>
      <w:r>
        <w:rPr>
          <w:rFonts w:hint="eastAsia" w:ascii="宋体" w:hAnsi="宋体" w:eastAsia="宋体" w:cs="宋体"/>
          <w:b/>
          <w:bCs w:val="0"/>
          <w:color w:val="auto"/>
          <w:kern w:val="44"/>
          <w:sz w:val="40"/>
          <w:szCs w:val="40"/>
          <w:highlight w:val="none"/>
        </w:rPr>
        <w:t>第七章 质疑、投诉材料格式</w:t>
      </w:r>
      <w:bookmarkEnd w:id="99"/>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5A91418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2C71B00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spacing w:line="360" w:lineRule="auto"/>
        <w:ind w:left="25" w:leftChars="12" w:firstLine="352" w:firstLineChars="147"/>
        <w:rPr>
          <w:rFonts w:hint="eastAsia" w:ascii="宋体" w:hAnsi="宋体" w:eastAsia="宋体" w:cs="宋体"/>
          <w:color w:val="auto"/>
          <w:kern w:val="0"/>
          <w:sz w:val="24"/>
          <w:highlight w:val="none"/>
        </w:rPr>
      </w:pPr>
    </w:p>
    <w:p w14:paraId="3DB713E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spacing w:line="360" w:lineRule="auto"/>
        <w:ind w:left="25" w:leftChars="12" w:firstLine="352" w:firstLineChars="147"/>
        <w:rPr>
          <w:rFonts w:hint="eastAsia" w:ascii="宋体" w:hAnsi="宋体" w:eastAsia="宋体" w:cs="宋体"/>
          <w:color w:val="auto"/>
          <w:kern w:val="0"/>
          <w:sz w:val="24"/>
          <w:highlight w:val="none"/>
        </w:rPr>
      </w:pPr>
    </w:p>
    <w:p w14:paraId="78CFE07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60B051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1639436">
      <w:pPr>
        <w:snapToGrid w:val="0"/>
        <w:spacing w:line="360" w:lineRule="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0" w:name="_Toc8819"/>
      <w:bookmarkStart w:id="101" w:name="_Toc32167"/>
      <w:bookmarkStart w:id="102" w:name="_Toc12838"/>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3"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100"/>
      <w:bookmarkEnd w:id="101"/>
      <w:bookmarkEnd w:id="102"/>
      <w:bookmarkEnd w:id="103"/>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提供的货物（或工程、服务）进行了验收，验收情况如下：</w:t>
      </w:r>
    </w:p>
    <w:tbl>
      <w:tblPr>
        <w:tblStyle w:val="3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9A59AF9-58D9-4DCB-9D3C-2D07BE3723CC}"/>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2" w:fontKey="{C2F693B1-79BE-4316-8172-986DE8F3CC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20"/>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1"/>
      <w:tabs>
        <w:tab w:val="center" w:pos="0"/>
        <w:tab w:val="clear" w:pos="4153"/>
      </w:tabs>
    </w:pPr>
    <w:r>
      <w:rPr>
        <w:rFonts w:hint="eastAsia"/>
        <w:lang w:eastAsia="zh-CN"/>
      </w:rPr>
      <w:t>柳州市柳江区中医医院2025-2027年度中药饮片代煎和配送服务采购项目</w:t>
    </w:r>
    <w:r>
      <w:rPr>
        <w:rFonts w:hint="eastAsia"/>
      </w:rPr>
      <w:t>（</w:t>
    </w:r>
    <w:r>
      <w:rPr>
        <w:rFonts w:hint="eastAsia"/>
        <w:lang w:eastAsia="zh-CN"/>
      </w:rPr>
      <w:t>项目编号：LZZC2025-C3-060049-GXJZ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1"/>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1"/>
      <w:tabs>
        <w:tab w:val="center" w:pos="0"/>
        <w:tab w:val="clear" w:pos="4153"/>
      </w:tabs>
    </w:pPr>
    <w:r>
      <w:rPr>
        <w:rFonts w:hint="eastAsia" w:ascii="宋体" w:hAnsi="宋体"/>
        <w:lang w:eastAsia="zh-CN"/>
      </w:rPr>
      <w:t>柳州市柳江区中医医院2025-2027年度中药饮片代煎和配送服务采购项目</w:t>
    </w:r>
    <w:r>
      <w:rPr>
        <w:rFonts w:hint="eastAsia" w:ascii="宋体" w:hAnsi="宋体"/>
      </w:rPr>
      <w:t>（项目编号：</w:t>
    </w:r>
    <w:r>
      <w:rPr>
        <w:rFonts w:hint="eastAsia" w:ascii="宋体" w:hAnsi="宋体"/>
        <w:lang w:eastAsia="zh-CN"/>
      </w:rPr>
      <w:t>LZZC2025-C3-060049-GXJZ</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1"/>
      <w:tabs>
        <w:tab w:val="center" w:pos="0"/>
        <w:tab w:val="clear" w:pos="4153"/>
      </w:tabs>
    </w:pPr>
    <w:r>
      <w:rPr>
        <w:rFonts w:hint="eastAsia" w:ascii="宋体" w:hAnsi="宋体"/>
        <w:lang w:eastAsia="zh-CN"/>
      </w:rPr>
      <w:t>柳州市柳江区中医医院2025-2027年度中药饮片代煎和配送服务采购项目</w:t>
    </w:r>
    <w:r>
      <w:rPr>
        <w:rFonts w:hint="eastAsia" w:ascii="宋体" w:hAnsi="宋体"/>
      </w:rPr>
      <w:t>（</w:t>
    </w:r>
    <w:r>
      <w:rPr>
        <w:rFonts w:hint="eastAsia" w:ascii="宋体" w:hAnsi="宋体"/>
        <w:lang w:eastAsia="zh-CN"/>
      </w:rPr>
      <w:t>项目编号：LZZC2025-C3-060049-GXJZ</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4bv9iaKOgWl49rUXpaoPh9Ysm6o=" w:salt="Gq9EA8RYO4Jn9ygbFjDaA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30DD"/>
    <w:rsid w:val="01425E7E"/>
    <w:rsid w:val="01AF3D99"/>
    <w:rsid w:val="01CA0799"/>
    <w:rsid w:val="01EC3E90"/>
    <w:rsid w:val="020B6A0C"/>
    <w:rsid w:val="020E02AA"/>
    <w:rsid w:val="02511F9D"/>
    <w:rsid w:val="02624152"/>
    <w:rsid w:val="02D9681D"/>
    <w:rsid w:val="02FE031F"/>
    <w:rsid w:val="03123DE2"/>
    <w:rsid w:val="0350044F"/>
    <w:rsid w:val="03A314B8"/>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7E0292"/>
    <w:rsid w:val="07B72767"/>
    <w:rsid w:val="08077E72"/>
    <w:rsid w:val="084762C4"/>
    <w:rsid w:val="08882DD0"/>
    <w:rsid w:val="08B17109"/>
    <w:rsid w:val="08B60D54"/>
    <w:rsid w:val="0983157E"/>
    <w:rsid w:val="098D649E"/>
    <w:rsid w:val="09AA6BA2"/>
    <w:rsid w:val="09BA6059"/>
    <w:rsid w:val="09CC2AAC"/>
    <w:rsid w:val="09D26E76"/>
    <w:rsid w:val="09F00295"/>
    <w:rsid w:val="0A0F4BBF"/>
    <w:rsid w:val="0A121ED8"/>
    <w:rsid w:val="0A652D3E"/>
    <w:rsid w:val="0A6B75FC"/>
    <w:rsid w:val="0B326F2A"/>
    <w:rsid w:val="0B496B71"/>
    <w:rsid w:val="0B785C4C"/>
    <w:rsid w:val="0B960C20"/>
    <w:rsid w:val="0BA80E28"/>
    <w:rsid w:val="0BC1013B"/>
    <w:rsid w:val="0BC96FF0"/>
    <w:rsid w:val="0BF10997"/>
    <w:rsid w:val="0C1C1DE3"/>
    <w:rsid w:val="0C1E2888"/>
    <w:rsid w:val="0C6F5DE9"/>
    <w:rsid w:val="0C92213C"/>
    <w:rsid w:val="0C965EFB"/>
    <w:rsid w:val="0D84032B"/>
    <w:rsid w:val="0D913B3D"/>
    <w:rsid w:val="0DBF1056"/>
    <w:rsid w:val="0DDC74AE"/>
    <w:rsid w:val="0E641ACC"/>
    <w:rsid w:val="0E6D53D9"/>
    <w:rsid w:val="0EE02FCE"/>
    <w:rsid w:val="0EE71996"/>
    <w:rsid w:val="0F0071CD"/>
    <w:rsid w:val="0F192123"/>
    <w:rsid w:val="0F2A74C4"/>
    <w:rsid w:val="0F872008"/>
    <w:rsid w:val="0F8B3AAF"/>
    <w:rsid w:val="0FCD5301"/>
    <w:rsid w:val="0FEE0360"/>
    <w:rsid w:val="10090303"/>
    <w:rsid w:val="1015407B"/>
    <w:rsid w:val="10973B61"/>
    <w:rsid w:val="10A27F31"/>
    <w:rsid w:val="117B0D8C"/>
    <w:rsid w:val="11927058"/>
    <w:rsid w:val="11993A94"/>
    <w:rsid w:val="119A6D6D"/>
    <w:rsid w:val="11AC7198"/>
    <w:rsid w:val="122907E8"/>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6C2EC6"/>
    <w:rsid w:val="15842905"/>
    <w:rsid w:val="15C03E03"/>
    <w:rsid w:val="15DD5B72"/>
    <w:rsid w:val="15E5351D"/>
    <w:rsid w:val="160873D2"/>
    <w:rsid w:val="162A25EB"/>
    <w:rsid w:val="164E4CC1"/>
    <w:rsid w:val="16FD2A55"/>
    <w:rsid w:val="17067C1A"/>
    <w:rsid w:val="17366761"/>
    <w:rsid w:val="177C01F0"/>
    <w:rsid w:val="17CE6630"/>
    <w:rsid w:val="17D62037"/>
    <w:rsid w:val="1844012A"/>
    <w:rsid w:val="186D2112"/>
    <w:rsid w:val="19403F0C"/>
    <w:rsid w:val="19A17E04"/>
    <w:rsid w:val="19A5109C"/>
    <w:rsid w:val="19B32412"/>
    <w:rsid w:val="1AB23A71"/>
    <w:rsid w:val="1AF23E6D"/>
    <w:rsid w:val="1AFF0AFE"/>
    <w:rsid w:val="1B351FAC"/>
    <w:rsid w:val="1B4F19F8"/>
    <w:rsid w:val="1B675ED9"/>
    <w:rsid w:val="1BA57132"/>
    <w:rsid w:val="1BFD52C8"/>
    <w:rsid w:val="1C18194D"/>
    <w:rsid w:val="1C192C9B"/>
    <w:rsid w:val="1C1E6EE4"/>
    <w:rsid w:val="1C226F03"/>
    <w:rsid w:val="1D2D677E"/>
    <w:rsid w:val="1D35537D"/>
    <w:rsid w:val="1D5C7CC4"/>
    <w:rsid w:val="1D6B43AB"/>
    <w:rsid w:val="1D9C075B"/>
    <w:rsid w:val="1DAF24EA"/>
    <w:rsid w:val="1DFF767F"/>
    <w:rsid w:val="1E0A7720"/>
    <w:rsid w:val="1E6A6411"/>
    <w:rsid w:val="1E85324A"/>
    <w:rsid w:val="1E8F5E77"/>
    <w:rsid w:val="1EBD3A16"/>
    <w:rsid w:val="1ECC44FA"/>
    <w:rsid w:val="1F063325"/>
    <w:rsid w:val="1F203EA9"/>
    <w:rsid w:val="1F457880"/>
    <w:rsid w:val="1F7237CF"/>
    <w:rsid w:val="1F75092B"/>
    <w:rsid w:val="1F9445B5"/>
    <w:rsid w:val="1F9C084C"/>
    <w:rsid w:val="1FBC5DF5"/>
    <w:rsid w:val="1FD60202"/>
    <w:rsid w:val="1FF90588"/>
    <w:rsid w:val="20003F5E"/>
    <w:rsid w:val="20140D2A"/>
    <w:rsid w:val="20492BE1"/>
    <w:rsid w:val="208A1342"/>
    <w:rsid w:val="209E3A28"/>
    <w:rsid w:val="20A57BD4"/>
    <w:rsid w:val="20B6593D"/>
    <w:rsid w:val="20C3623F"/>
    <w:rsid w:val="21423675"/>
    <w:rsid w:val="21781212"/>
    <w:rsid w:val="21962E15"/>
    <w:rsid w:val="21B83F86"/>
    <w:rsid w:val="21C75C1C"/>
    <w:rsid w:val="221178A8"/>
    <w:rsid w:val="221213CF"/>
    <w:rsid w:val="221C5C74"/>
    <w:rsid w:val="22327A92"/>
    <w:rsid w:val="227D77A3"/>
    <w:rsid w:val="2294314B"/>
    <w:rsid w:val="230C5B9D"/>
    <w:rsid w:val="231D53A2"/>
    <w:rsid w:val="232B2612"/>
    <w:rsid w:val="23403BE4"/>
    <w:rsid w:val="236D5383"/>
    <w:rsid w:val="23B7504C"/>
    <w:rsid w:val="2454390A"/>
    <w:rsid w:val="2455546D"/>
    <w:rsid w:val="24564E1D"/>
    <w:rsid w:val="245711E5"/>
    <w:rsid w:val="24571307"/>
    <w:rsid w:val="245A58F0"/>
    <w:rsid w:val="246A0F18"/>
    <w:rsid w:val="24B77ED6"/>
    <w:rsid w:val="25110A2A"/>
    <w:rsid w:val="25150ABC"/>
    <w:rsid w:val="25156BB8"/>
    <w:rsid w:val="25182B95"/>
    <w:rsid w:val="256C0944"/>
    <w:rsid w:val="25B108FE"/>
    <w:rsid w:val="25DB68A1"/>
    <w:rsid w:val="26061115"/>
    <w:rsid w:val="26446DE3"/>
    <w:rsid w:val="264509AD"/>
    <w:rsid w:val="267B618C"/>
    <w:rsid w:val="26812549"/>
    <w:rsid w:val="269669E7"/>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1F1E19"/>
    <w:rsid w:val="2B2F4C6A"/>
    <w:rsid w:val="2B404781"/>
    <w:rsid w:val="2B647D96"/>
    <w:rsid w:val="2B774624"/>
    <w:rsid w:val="2C583E50"/>
    <w:rsid w:val="2C6A7D6E"/>
    <w:rsid w:val="2C7A72BE"/>
    <w:rsid w:val="2C82282E"/>
    <w:rsid w:val="2C9A7D75"/>
    <w:rsid w:val="2CB216AE"/>
    <w:rsid w:val="2CC17412"/>
    <w:rsid w:val="2CC81AE1"/>
    <w:rsid w:val="2D0E010F"/>
    <w:rsid w:val="2DCD7B19"/>
    <w:rsid w:val="2DF67CC1"/>
    <w:rsid w:val="2E2B72CC"/>
    <w:rsid w:val="2E6C7CF6"/>
    <w:rsid w:val="2E9976CE"/>
    <w:rsid w:val="2F340AA1"/>
    <w:rsid w:val="2F401D3C"/>
    <w:rsid w:val="2F4B45C9"/>
    <w:rsid w:val="2F5B24E1"/>
    <w:rsid w:val="2F722492"/>
    <w:rsid w:val="2FA21EAE"/>
    <w:rsid w:val="2FA95C88"/>
    <w:rsid w:val="2FB475A5"/>
    <w:rsid w:val="2FE07B7F"/>
    <w:rsid w:val="3009298E"/>
    <w:rsid w:val="3041370F"/>
    <w:rsid w:val="306F4706"/>
    <w:rsid w:val="3070356C"/>
    <w:rsid w:val="308C2216"/>
    <w:rsid w:val="3102275C"/>
    <w:rsid w:val="31046534"/>
    <w:rsid w:val="312B50A3"/>
    <w:rsid w:val="313E5C07"/>
    <w:rsid w:val="318C4BC4"/>
    <w:rsid w:val="31E51F90"/>
    <w:rsid w:val="31F2079F"/>
    <w:rsid w:val="3207424B"/>
    <w:rsid w:val="323D7737"/>
    <w:rsid w:val="32453A27"/>
    <w:rsid w:val="3263064A"/>
    <w:rsid w:val="32A43132"/>
    <w:rsid w:val="32AC0C06"/>
    <w:rsid w:val="32B119E2"/>
    <w:rsid w:val="32D372B0"/>
    <w:rsid w:val="32D9144E"/>
    <w:rsid w:val="32FB3B27"/>
    <w:rsid w:val="33096899"/>
    <w:rsid w:val="33344EF5"/>
    <w:rsid w:val="337A0A4C"/>
    <w:rsid w:val="33A04957"/>
    <w:rsid w:val="34241494"/>
    <w:rsid w:val="34452E08"/>
    <w:rsid w:val="345D4CD2"/>
    <w:rsid w:val="34AA5B2B"/>
    <w:rsid w:val="34AA710F"/>
    <w:rsid w:val="34B36265"/>
    <w:rsid w:val="34B87A7E"/>
    <w:rsid w:val="34CF1A69"/>
    <w:rsid w:val="3537750C"/>
    <w:rsid w:val="3537798C"/>
    <w:rsid w:val="35AD335B"/>
    <w:rsid w:val="35BD118C"/>
    <w:rsid w:val="35C13FC9"/>
    <w:rsid w:val="35E0728C"/>
    <w:rsid w:val="364257B6"/>
    <w:rsid w:val="36631C6B"/>
    <w:rsid w:val="366E2AEA"/>
    <w:rsid w:val="36A52284"/>
    <w:rsid w:val="37A70123"/>
    <w:rsid w:val="37EA5922"/>
    <w:rsid w:val="37F50EF6"/>
    <w:rsid w:val="38276B93"/>
    <w:rsid w:val="388F6D48"/>
    <w:rsid w:val="38AC3431"/>
    <w:rsid w:val="38AE3672"/>
    <w:rsid w:val="38E5105E"/>
    <w:rsid w:val="3905700A"/>
    <w:rsid w:val="392F2E16"/>
    <w:rsid w:val="397C5741"/>
    <w:rsid w:val="398D2353"/>
    <w:rsid w:val="39BD0402"/>
    <w:rsid w:val="39E00529"/>
    <w:rsid w:val="3A0B64A7"/>
    <w:rsid w:val="3A39340F"/>
    <w:rsid w:val="3A574DDA"/>
    <w:rsid w:val="3A617697"/>
    <w:rsid w:val="3A80103E"/>
    <w:rsid w:val="3AA73588"/>
    <w:rsid w:val="3AC84793"/>
    <w:rsid w:val="3AD3075A"/>
    <w:rsid w:val="3ADE5EC6"/>
    <w:rsid w:val="3AF74C02"/>
    <w:rsid w:val="3B262614"/>
    <w:rsid w:val="3B710987"/>
    <w:rsid w:val="3C0059A5"/>
    <w:rsid w:val="3C134E78"/>
    <w:rsid w:val="3C5D0E77"/>
    <w:rsid w:val="3CB6184C"/>
    <w:rsid w:val="3CCC6628"/>
    <w:rsid w:val="3D0C4E0B"/>
    <w:rsid w:val="3D94624D"/>
    <w:rsid w:val="3D976036"/>
    <w:rsid w:val="3DAE7C70"/>
    <w:rsid w:val="3DBA03C3"/>
    <w:rsid w:val="3DBD494D"/>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40192BA6"/>
    <w:rsid w:val="40321273"/>
    <w:rsid w:val="403C5199"/>
    <w:rsid w:val="40727F0B"/>
    <w:rsid w:val="411F38FE"/>
    <w:rsid w:val="412B15D8"/>
    <w:rsid w:val="415A4C65"/>
    <w:rsid w:val="41635215"/>
    <w:rsid w:val="41766EA9"/>
    <w:rsid w:val="41EE06C6"/>
    <w:rsid w:val="42550A18"/>
    <w:rsid w:val="429D496A"/>
    <w:rsid w:val="42A963D4"/>
    <w:rsid w:val="42F473A1"/>
    <w:rsid w:val="43AC182F"/>
    <w:rsid w:val="43B9736F"/>
    <w:rsid w:val="43CF0940"/>
    <w:rsid w:val="43D47D05"/>
    <w:rsid w:val="43E17D70"/>
    <w:rsid w:val="43FD7920"/>
    <w:rsid w:val="441E62C0"/>
    <w:rsid w:val="444620F1"/>
    <w:rsid w:val="44556671"/>
    <w:rsid w:val="44627A06"/>
    <w:rsid w:val="44705C7F"/>
    <w:rsid w:val="44CE29A6"/>
    <w:rsid w:val="45325D14"/>
    <w:rsid w:val="455A06DD"/>
    <w:rsid w:val="4574179F"/>
    <w:rsid w:val="45811C7C"/>
    <w:rsid w:val="458F7C24"/>
    <w:rsid w:val="45906116"/>
    <w:rsid w:val="46004DE1"/>
    <w:rsid w:val="468B3EFB"/>
    <w:rsid w:val="470A6193"/>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035DB"/>
    <w:rsid w:val="4C325706"/>
    <w:rsid w:val="4C40066C"/>
    <w:rsid w:val="4CA02CF2"/>
    <w:rsid w:val="4CEF36E2"/>
    <w:rsid w:val="4CEF4DC5"/>
    <w:rsid w:val="4D55429F"/>
    <w:rsid w:val="4D8C1650"/>
    <w:rsid w:val="4DEC26D8"/>
    <w:rsid w:val="4E0D2791"/>
    <w:rsid w:val="4E257655"/>
    <w:rsid w:val="4E8E7871"/>
    <w:rsid w:val="4EAC1FAA"/>
    <w:rsid w:val="4EAF077C"/>
    <w:rsid w:val="4EC64474"/>
    <w:rsid w:val="4F3629AB"/>
    <w:rsid w:val="4F372380"/>
    <w:rsid w:val="4F372FFB"/>
    <w:rsid w:val="4F4421E2"/>
    <w:rsid w:val="4F5320EB"/>
    <w:rsid w:val="4F6C798B"/>
    <w:rsid w:val="500030A6"/>
    <w:rsid w:val="5025116D"/>
    <w:rsid w:val="508D4F4B"/>
    <w:rsid w:val="51511837"/>
    <w:rsid w:val="51D11D27"/>
    <w:rsid w:val="51FF77F8"/>
    <w:rsid w:val="52173BDE"/>
    <w:rsid w:val="52395ECD"/>
    <w:rsid w:val="52431936"/>
    <w:rsid w:val="52C10D75"/>
    <w:rsid w:val="52E23374"/>
    <w:rsid w:val="53081779"/>
    <w:rsid w:val="531D7AE8"/>
    <w:rsid w:val="532C7BB6"/>
    <w:rsid w:val="533F163E"/>
    <w:rsid w:val="53A3360A"/>
    <w:rsid w:val="53B316E5"/>
    <w:rsid w:val="53C27FF8"/>
    <w:rsid w:val="53EC32AF"/>
    <w:rsid w:val="543071D9"/>
    <w:rsid w:val="543665CF"/>
    <w:rsid w:val="543E7ADC"/>
    <w:rsid w:val="549E1A80"/>
    <w:rsid w:val="54BF6FE2"/>
    <w:rsid w:val="54C658F4"/>
    <w:rsid w:val="55005C33"/>
    <w:rsid w:val="550C4BD7"/>
    <w:rsid w:val="55172147"/>
    <w:rsid w:val="554C1D56"/>
    <w:rsid w:val="55572986"/>
    <w:rsid w:val="555E1333"/>
    <w:rsid w:val="55A979FD"/>
    <w:rsid w:val="55C062DD"/>
    <w:rsid w:val="563B6A02"/>
    <w:rsid w:val="565340FA"/>
    <w:rsid w:val="568B48DA"/>
    <w:rsid w:val="5723343E"/>
    <w:rsid w:val="573D7EAB"/>
    <w:rsid w:val="576C0528"/>
    <w:rsid w:val="5876212B"/>
    <w:rsid w:val="58E029EC"/>
    <w:rsid w:val="59E24AD2"/>
    <w:rsid w:val="5A2348F9"/>
    <w:rsid w:val="5A2F2CC8"/>
    <w:rsid w:val="5A9B3696"/>
    <w:rsid w:val="5AB346C0"/>
    <w:rsid w:val="5B0B44FC"/>
    <w:rsid w:val="5B556AB8"/>
    <w:rsid w:val="5B7D043B"/>
    <w:rsid w:val="5B9C33A6"/>
    <w:rsid w:val="5BA26962"/>
    <w:rsid w:val="5C10702D"/>
    <w:rsid w:val="5C152601"/>
    <w:rsid w:val="5C205D85"/>
    <w:rsid w:val="5C591F03"/>
    <w:rsid w:val="5C7E284D"/>
    <w:rsid w:val="5C8A1B2F"/>
    <w:rsid w:val="5C901728"/>
    <w:rsid w:val="5CCB5CF1"/>
    <w:rsid w:val="5D183972"/>
    <w:rsid w:val="5D8B722E"/>
    <w:rsid w:val="5D914004"/>
    <w:rsid w:val="5DED613B"/>
    <w:rsid w:val="5DEF5B8D"/>
    <w:rsid w:val="5DF55B8C"/>
    <w:rsid w:val="5DFE5C52"/>
    <w:rsid w:val="5E3F195D"/>
    <w:rsid w:val="5E613B0E"/>
    <w:rsid w:val="5E802B0B"/>
    <w:rsid w:val="5EB42026"/>
    <w:rsid w:val="5EB87D13"/>
    <w:rsid w:val="5EEE216B"/>
    <w:rsid w:val="5F561B72"/>
    <w:rsid w:val="5F6B37BB"/>
    <w:rsid w:val="5F8605F5"/>
    <w:rsid w:val="5FF7119A"/>
    <w:rsid w:val="600B26C3"/>
    <w:rsid w:val="606007BB"/>
    <w:rsid w:val="607246D5"/>
    <w:rsid w:val="60AC7F66"/>
    <w:rsid w:val="61113EEE"/>
    <w:rsid w:val="616B7AA3"/>
    <w:rsid w:val="61BF10D9"/>
    <w:rsid w:val="61DA3D4C"/>
    <w:rsid w:val="61F0599D"/>
    <w:rsid w:val="62160916"/>
    <w:rsid w:val="622413A9"/>
    <w:rsid w:val="622F0AD0"/>
    <w:rsid w:val="62361E5F"/>
    <w:rsid w:val="62774F17"/>
    <w:rsid w:val="62AC22DC"/>
    <w:rsid w:val="62F12229"/>
    <w:rsid w:val="637833E8"/>
    <w:rsid w:val="639037F0"/>
    <w:rsid w:val="63D4115E"/>
    <w:rsid w:val="64CD7548"/>
    <w:rsid w:val="64E45EF7"/>
    <w:rsid w:val="64F102BF"/>
    <w:rsid w:val="64FF464D"/>
    <w:rsid w:val="651644C7"/>
    <w:rsid w:val="651E6BDA"/>
    <w:rsid w:val="65426D6C"/>
    <w:rsid w:val="656B62C3"/>
    <w:rsid w:val="6596486A"/>
    <w:rsid w:val="65E12667"/>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24A7A"/>
    <w:rsid w:val="68134D5F"/>
    <w:rsid w:val="68365042"/>
    <w:rsid w:val="687234C5"/>
    <w:rsid w:val="687C54A8"/>
    <w:rsid w:val="69124F16"/>
    <w:rsid w:val="691A347C"/>
    <w:rsid w:val="69427A59"/>
    <w:rsid w:val="694A5205"/>
    <w:rsid w:val="69815A80"/>
    <w:rsid w:val="698F449D"/>
    <w:rsid w:val="69907037"/>
    <w:rsid w:val="69C42446"/>
    <w:rsid w:val="69CD5C14"/>
    <w:rsid w:val="69CF0D33"/>
    <w:rsid w:val="69F34AD9"/>
    <w:rsid w:val="6A1C5DDE"/>
    <w:rsid w:val="6A283FCE"/>
    <w:rsid w:val="6A384778"/>
    <w:rsid w:val="6A4E3ABD"/>
    <w:rsid w:val="6A8B4A13"/>
    <w:rsid w:val="6AD2649C"/>
    <w:rsid w:val="6B11594B"/>
    <w:rsid w:val="6B376C47"/>
    <w:rsid w:val="6B600F02"/>
    <w:rsid w:val="6B731183"/>
    <w:rsid w:val="6B9946B3"/>
    <w:rsid w:val="6BD9335E"/>
    <w:rsid w:val="6C07661A"/>
    <w:rsid w:val="6C335D5C"/>
    <w:rsid w:val="6C3A7223"/>
    <w:rsid w:val="6C516795"/>
    <w:rsid w:val="6C662189"/>
    <w:rsid w:val="6C7007C7"/>
    <w:rsid w:val="6C9107E3"/>
    <w:rsid w:val="6CAD0F6F"/>
    <w:rsid w:val="6CDE7428"/>
    <w:rsid w:val="6CEB12F7"/>
    <w:rsid w:val="6D483E21"/>
    <w:rsid w:val="6D7B106D"/>
    <w:rsid w:val="6D8560A4"/>
    <w:rsid w:val="6DAE2350"/>
    <w:rsid w:val="6DE76850"/>
    <w:rsid w:val="6E034799"/>
    <w:rsid w:val="6E1640F9"/>
    <w:rsid w:val="6E296D1B"/>
    <w:rsid w:val="6E34121C"/>
    <w:rsid w:val="6E423939"/>
    <w:rsid w:val="6E8B52E0"/>
    <w:rsid w:val="6EBC7B8F"/>
    <w:rsid w:val="6F2862D1"/>
    <w:rsid w:val="6F6759C1"/>
    <w:rsid w:val="6F925F92"/>
    <w:rsid w:val="6FB20BD4"/>
    <w:rsid w:val="6FB45D17"/>
    <w:rsid w:val="6FB650F7"/>
    <w:rsid w:val="6FBA59BE"/>
    <w:rsid w:val="70296B3E"/>
    <w:rsid w:val="704C0E05"/>
    <w:rsid w:val="70611204"/>
    <w:rsid w:val="70C1323B"/>
    <w:rsid w:val="70C25205"/>
    <w:rsid w:val="70E91FE8"/>
    <w:rsid w:val="71015309"/>
    <w:rsid w:val="71241A1C"/>
    <w:rsid w:val="71324139"/>
    <w:rsid w:val="714E1C11"/>
    <w:rsid w:val="719A3A8C"/>
    <w:rsid w:val="71B132B0"/>
    <w:rsid w:val="71CD79BE"/>
    <w:rsid w:val="71F15DA2"/>
    <w:rsid w:val="7251239D"/>
    <w:rsid w:val="725A21C1"/>
    <w:rsid w:val="72623BBD"/>
    <w:rsid w:val="73346EA4"/>
    <w:rsid w:val="733D0B73"/>
    <w:rsid w:val="73445350"/>
    <w:rsid w:val="735465E8"/>
    <w:rsid w:val="738329DB"/>
    <w:rsid w:val="73D51657"/>
    <w:rsid w:val="74240B0A"/>
    <w:rsid w:val="74D50BC0"/>
    <w:rsid w:val="74EB6AD9"/>
    <w:rsid w:val="74FA2C30"/>
    <w:rsid w:val="754D5C4B"/>
    <w:rsid w:val="755E374E"/>
    <w:rsid w:val="765608C9"/>
    <w:rsid w:val="76593F16"/>
    <w:rsid w:val="76C240A7"/>
    <w:rsid w:val="76F04B13"/>
    <w:rsid w:val="76FD0D45"/>
    <w:rsid w:val="770C71DA"/>
    <w:rsid w:val="775246B7"/>
    <w:rsid w:val="77AA5BFA"/>
    <w:rsid w:val="78061696"/>
    <w:rsid w:val="781E69D1"/>
    <w:rsid w:val="78281DF2"/>
    <w:rsid w:val="78A23952"/>
    <w:rsid w:val="78A730F6"/>
    <w:rsid w:val="78B7340B"/>
    <w:rsid w:val="78B867DD"/>
    <w:rsid w:val="79706276"/>
    <w:rsid w:val="797E44D4"/>
    <w:rsid w:val="7A0F55DA"/>
    <w:rsid w:val="7A263B6B"/>
    <w:rsid w:val="7A7C4677"/>
    <w:rsid w:val="7AA41B4F"/>
    <w:rsid w:val="7ACA3634"/>
    <w:rsid w:val="7AE75F94"/>
    <w:rsid w:val="7AF46346"/>
    <w:rsid w:val="7AF83CFD"/>
    <w:rsid w:val="7B0F54EB"/>
    <w:rsid w:val="7B0F5EBF"/>
    <w:rsid w:val="7B130FB9"/>
    <w:rsid w:val="7B697FFC"/>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B67EA0"/>
    <w:rsid w:val="7DBB1012"/>
    <w:rsid w:val="7DD11708"/>
    <w:rsid w:val="7DD411EF"/>
    <w:rsid w:val="7E21356B"/>
    <w:rsid w:val="7E4255B9"/>
    <w:rsid w:val="7E42709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2"/>
    <w:link w:val="47"/>
    <w:qFormat/>
    <w:uiPriority w:val="9"/>
    <w:pPr>
      <w:keepNext/>
      <w:keepLines/>
      <w:spacing w:before="280" w:after="290" w:line="376" w:lineRule="auto"/>
      <w:outlineLvl w:val="4"/>
    </w:pPr>
    <w:rPr>
      <w:b/>
      <w:bCs/>
      <w:sz w:val="28"/>
      <w:szCs w:val="28"/>
    </w:rPr>
  </w:style>
  <w:style w:type="paragraph" w:styleId="8">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9"/>
    <w:qFormat/>
    <w:uiPriority w:val="0"/>
    <w:pPr>
      <w:jc w:val="left"/>
    </w:pPr>
  </w:style>
  <w:style w:type="paragraph" w:styleId="11">
    <w:name w:val="Body Text 3"/>
    <w:basedOn w:val="1"/>
    <w:link w:val="50"/>
    <w:unhideWhenUsed/>
    <w:qFormat/>
    <w:uiPriority w:val="99"/>
    <w:pPr>
      <w:spacing w:after="120"/>
    </w:pPr>
    <w:rPr>
      <w:sz w:val="16"/>
      <w:szCs w:val="16"/>
    </w:rPr>
  </w:style>
  <w:style w:type="paragraph" w:styleId="12">
    <w:name w:val="Body Text"/>
    <w:basedOn w:val="1"/>
    <w:next w:val="1"/>
    <w:link w:val="51"/>
    <w:unhideWhenUsed/>
    <w:qFormat/>
    <w:uiPriority w:val="0"/>
    <w:pPr>
      <w:spacing w:after="120"/>
    </w:pPr>
  </w:style>
  <w:style w:type="paragraph" w:styleId="13">
    <w:name w:val="Body Text Indent"/>
    <w:basedOn w:val="1"/>
    <w:link w:val="44"/>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next w:val="1"/>
    <w:link w:val="52"/>
    <w:qFormat/>
    <w:uiPriority w:val="0"/>
    <w:rPr>
      <w:rFonts w:ascii="宋体" w:hAnsi="Courier New"/>
      <w:kern w:val="0"/>
      <w:sz w:val="20"/>
      <w:szCs w:val="21"/>
    </w:rPr>
  </w:style>
  <w:style w:type="paragraph" w:styleId="17">
    <w:name w:val="Date"/>
    <w:basedOn w:val="1"/>
    <w:next w:val="1"/>
    <w:link w:val="53"/>
    <w:unhideWhenUsed/>
    <w:qFormat/>
    <w:uiPriority w:val="99"/>
    <w:pPr>
      <w:ind w:left="100" w:leftChars="2500"/>
    </w:p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54"/>
    <w:semiHidden/>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kern w:val="0"/>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7">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0"/>
    <w:next w:val="10"/>
    <w:link w:val="57"/>
    <w:qFormat/>
    <w:uiPriority w:val="99"/>
    <w:rPr>
      <w:b/>
      <w:bCs/>
    </w:rPr>
  </w:style>
  <w:style w:type="paragraph" w:styleId="30">
    <w:name w:val="Body Text First Indent"/>
    <w:basedOn w:val="12"/>
    <w:qFormat/>
    <w:uiPriority w:val="0"/>
    <w:pPr>
      <w:ind w:firstLine="420" w:firstLineChars="100"/>
    </w:pPr>
  </w:style>
  <w:style w:type="paragraph" w:styleId="31">
    <w:name w:val="Body Text First Indent 2"/>
    <w:basedOn w:val="13"/>
    <w:qFormat/>
    <w:uiPriority w:val="0"/>
    <w:pPr>
      <w:ind w:firstLine="420" w:firstLineChars="200"/>
    </w:pPr>
    <w:rPr>
      <w:rFonts w:eastAsia="仿宋"/>
      <w:sz w:val="28"/>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qFormat/>
    <w:uiPriority w:val="0"/>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标题 3 Char"/>
    <w:link w:val="5"/>
    <w:qFormat/>
    <w:uiPriority w:val="9"/>
    <w:rPr>
      <w:b/>
      <w:bCs/>
      <w:kern w:val="2"/>
      <w:sz w:val="32"/>
      <w:szCs w:val="32"/>
    </w:rPr>
  </w:style>
  <w:style w:type="paragraph" w:customStyle="1" w:styleId="43">
    <w:name w:val="Body Text First Indent1"/>
    <w:basedOn w:val="12"/>
    <w:next w:val="1"/>
    <w:qFormat/>
    <w:uiPriority w:val="0"/>
    <w:pPr>
      <w:spacing w:after="120" w:afterLines="0"/>
      <w:ind w:firstLine="420" w:firstLineChars="100"/>
    </w:pPr>
    <w:rPr>
      <w:sz w:val="21"/>
    </w:rPr>
  </w:style>
  <w:style w:type="character" w:customStyle="1" w:styleId="44">
    <w:name w:val="正文文本缩进 Char"/>
    <w:link w:val="13"/>
    <w:qFormat/>
    <w:uiPriority w:val="0"/>
    <w:rPr>
      <w:rFonts w:ascii="仿宋_GB2312" w:hAnsi="Times New Roman" w:eastAsia="仿宋_GB2312" w:cs="Times New Roman"/>
      <w:sz w:val="32"/>
      <w:szCs w:val="20"/>
    </w:rPr>
  </w:style>
  <w:style w:type="character" w:customStyle="1" w:styleId="45">
    <w:name w:val="标题 1 Char"/>
    <w:link w:val="3"/>
    <w:qFormat/>
    <w:uiPriority w:val="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5 Char"/>
    <w:link w:val="7"/>
    <w:qFormat/>
    <w:uiPriority w:val="9"/>
    <w:rPr>
      <w:rFonts w:ascii="Times New Roman" w:hAnsi="Times New Roman"/>
      <w:b/>
      <w:bCs/>
      <w:kern w:val="2"/>
      <w:sz w:val="28"/>
      <w:szCs w:val="28"/>
    </w:rPr>
  </w:style>
  <w:style w:type="character" w:customStyle="1" w:styleId="48">
    <w:name w:val="标题 8 Char1"/>
    <w:link w:val="8"/>
    <w:qFormat/>
    <w:uiPriority w:val="9"/>
    <w:rPr>
      <w:rFonts w:ascii="等线 Light" w:hAnsi="等线 Light" w:eastAsia="等线 Light" w:cs="Times New Roman"/>
      <w:kern w:val="2"/>
      <w:sz w:val="24"/>
      <w:szCs w:val="24"/>
    </w:rPr>
  </w:style>
  <w:style w:type="character" w:customStyle="1" w:styleId="49">
    <w:name w:val="批注文字 Char1"/>
    <w:link w:val="10"/>
    <w:qFormat/>
    <w:uiPriority w:val="0"/>
    <w:rPr>
      <w:rFonts w:ascii="Times New Roman" w:hAnsi="Times New Roman"/>
      <w:kern w:val="2"/>
      <w:sz w:val="21"/>
      <w:szCs w:val="24"/>
    </w:rPr>
  </w:style>
  <w:style w:type="character" w:customStyle="1" w:styleId="50">
    <w:name w:val="正文文本 3 Char"/>
    <w:link w:val="11"/>
    <w:qFormat/>
    <w:uiPriority w:val="99"/>
    <w:rPr>
      <w:kern w:val="2"/>
      <w:sz w:val="16"/>
      <w:szCs w:val="16"/>
    </w:rPr>
  </w:style>
  <w:style w:type="character" w:customStyle="1" w:styleId="51">
    <w:name w:val="正文文本 Char1"/>
    <w:link w:val="12"/>
    <w:qFormat/>
    <w:uiPriority w:val="0"/>
    <w:rPr>
      <w:rFonts w:ascii="Times New Roman" w:hAnsi="Times New Roman"/>
      <w:kern w:val="2"/>
      <w:sz w:val="21"/>
      <w:szCs w:val="24"/>
    </w:rPr>
  </w:style>
  <w:style w:type="character" w:customStyle="1" w:styleId="52">
    <w:name w:val="纯文本 Char1"/>
    <w:link w:val="16"/>
    <w:qFormat/>
    <w:uiPriority w:val="0"/>
    <w:rPr>
      <w:rFonts w:ascii="宋体" w:hAnsi="Courier New" w:eastAsia="宋体" w:cs="Courier New"/>
      <w:szCs w:val="21"/>
    </w:rPr>
  </w:style>
  <w:style w:type="character" w:customStyle="1" w:styleId="53">
    <w:name w:val="日期 Char"/>
    <w:link w:val="17"/>
    <w:qFormat/>
    <w:uiPriority w:val="99"/>
    <w:rPr>
      <w:rFonts w:ascii="Times New Roman" w:hAnsi="Times New Roman"/>
      <w:kern w:val="2"/>
      <w:sz w:val="21"/>
      <w:szCs w:val="24"/>
    </w:rPr>
  </w:style>
  <w:style w:type="character" w:customStyle="1" w:styleId="54">
    <w:name w:val="批注框文本 Char"/>
    <w:link w:val="19"/>
    <w:semiHidden/>
    <w:qFormat/>
    <w:uiPriority w:val="0"/>
    <w:rPr>
      <w:kern w:val="2"/>
      <w:sz w:val="18"/>
      <w:szCs w:val="18"/>
    </w:rPr>
  </w:style>
  <w:style w:type="character" w:customStyle="1" w:styleId="55">
    <w:name w:val="页脚 Char"/>
    <w:link w:val="20"/>
    <w:qFormat/>
    <w:uiPriority w:val="99"/>
    <w:rPr>
      <w:sz w:val="18"/>
      <w:szCs w:val="18"/>
    </w:rPr>
  </w:style>
  <w:style w:type="character" w:customStyle="1" w:styleId="56">
    <w:name w:val="页眉 Char"/>
    <w:link w:val="21"/>
    <w:qFormat/>
    <w:uiPriority w:val="99"/>
    <w:rPr>
      <w:sz w:val="18"/>
      <w:szCs w:val="18"/>
    </w:rPr>
  </w:style>
  <w:style w:type="character" w:customStyle="1" w:styleId="57">
    <w:name w:val="批注主题 Char"/>
    <w:link w:val="29"/>
    <w:qFormat/>
    <w:uiPriority w:val="99"/>
    <w:rPr>
      <w:rFonts w:ascii="Times New Roman" w:hAnsi="Times New Roman"/>
      <w:b/>
      <w:bCs/>
      <w:kern w:val="2"/>
      <w:sz w:val="21"/>
      <w:szCs w:val="24"/>
    </w:rPr>
  </w:style>
  <w:style w:type="paragraph" w:customStyle="1" w:styleId="58">
    <w:name w:val="表格文字"/>
    <w:basedOn w:val="13"/>
    <w:next w:val="12"/>
    <w:qFormat/>
    <w:uiPriority w:val="0"/>
    <w:pPr>
      <w:adjustRightInd w:val="0"/>
      <w:spacing w:line="420" w:lineRule="atLeast"/>
      <w:jc w:val="left"/>
      <w:textAlignment w:val="baseline"/>
    </w:pPr>
    <w:rPr>
      <w:kern w:val="0"/>
    </w:rPr>
  </w:style>
  <w:style w:type="character" w:customStyle="1" w:styleId="59">
    <w:name w:val="批注文字 Char"/>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未处理的提及"/>
    <w:unhideWhenUsed/>
    <w:qFormat/>
    <w:uiPriority w:val="99"/>
    <w:rPr>
      <w:color w:val="605E5C"/>
      <w:shd w:val="clear" w:color="auto" w:fill="E1DFDD"/>
    </w:rPr>
  </w:style>
  <w:style w:type="character" w:customStyle="1" w:styleId="62">
    <w:name w:val="标题 8 Char"/>
    <w:qFormat/>
    <w:uiPriority w:val="0"/>
    <w:rPr>
      <w:rFonts w:ascii="Arial" w:hAnsi="Arial" w:eastAsia="黑体"/>
      <w:kern w:val="2"/>
      <w:sz w:val="24"/>
      <w:szCs w:val="24"/>
    </w:rPr>
  </w:style>
  <w:style w:type="character" w:customStyle="1" w:styleId="63">
    <w:name w:val="apple-style-span"/>
    <w:qFormat/>
    <w:uiPriority w:val="0"/>
  </w:style>
  <w:style w:type="character" w:customStyle="1" w:styleId="64">
    <w:name w:val="textcontents"/>
    <w:qFormat/>
    <w:uiPriority w:val="0"/>
  </w:style>
  <w:style w:type="character" w:customStyle="1" w:styleId="65">
    <w:name w:val="批注文字 字符"/>
    <w:qFormat/>
    <w:uiPriority w:val="0"/>
    <w:rPr>
      <w:rFonts w:ascii="Times New Roman" w:hAnsi="Times New Roman"/>
      <w:kern w:val="2"/>
      <w:sz w:val="21"/>
      <w:szCs w:val="24"/>
    </w:rPr>
  </w:style>
  <w:style w:type="character" w:customStyle="1" w:styleId="66">
    <w:name w:val="纯文本 字符1"/>
    <w:qFormat/>
    <w:uiPriority w:val="0"/>
    <w:rPr>
      <w:rFonts w:ascii="宋体" w:hAnsi="Courier New"/>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标题 1 字符1"/>
    <w:qFormat/>
    <w:uiPriority w:val="0"/>
    <w:rPr>
      <w:b/>
      <w:bCs/>
      <w:kern w:val="44"/>
      <w:sz w:val="44"/>
      <w:szCs w:val="44"/>
    </w:rPr>
  </w:style>
  <w:style w:type="character" w:customStyle="1" w:styleId="69">
    <w:name w:val="正文2 Char Char"/>
    <w:link w:val="70"/>
    <w:qFormat/>
    <w:uiPriority w:val="0"/>
    <w:rPr>
      <w:sz w:val="24"/>
    </w:rPr>
  </w:style>
  <w:style w:type="paragraph" w:customStyle="1" w:styleId="70">
    <w:name w:val="正文2"/>
    <w:basedOn w:val="1"/>
    <w:link w:val="69"/>
    <w:qFormat/>
    <w:uiPriority w:val="0"/>
    <w:pPr>
      <w:adjustRightInd w:val="0"/>
      <w:spacing w:before="156" w:line="360" w:lineRule="auto"/>
      <w:ind w:firstLine="510" w:firstLineChars="200"/>
    </w:pPr>
    <w:rPr>
      <w:kern w:val="0"/>
      <w:sz w:val="24"/>
      <w:szCs w:val="20"/>
    </w:rPr>
  </w:style>
  <w:style w:type="character" w:customStyle="1" w:styleId="71">
    <w:name w:val="纯文本 Char"/>
    <w:qFormat/>
    <w:uiPriority w:val="99"/>
    <w:rPr>
      <w:rFonts w:ascii="宋体" w:hAnsi="Courier New" w:eastAsia="宋体" w:cs="Courier New"/>
      <w:szCs w:val="21"/>
    </w:rPr>
  </w:style>
  <w:style w:type="character" w:customStyle="1" w:styleId="72">
    <w:name w:val="纯文本 字符2"/>
    <w:qFormat/>
    <w:uiPriority w:val="0"/>
    <w:rPr>
      <w:rFonts w:ascii="宋体" w:hAnsi="Courier New" w:eastAsia="宋体" w:cs="Courier New"/>
      <w:szCs w:val="21"/>
    </w:rPr>
  </w:style>
  <w:style w:type="character" w:customStyle="1" w:styleId="73">
    <w:name w:val="纯文本 字符"/>
    <w:qFormat/>
    <w:uiPriority w:val="0"/>
    <w:rPr>
      <w:rFonts w:ascii="宋体" w:hAnsi="Courier New" w:eastAsia="宋体" w:cs="Courier New"/>
      <w:szCs w:val="21"/>
    </w:rPr>
  </w:style>
  <w:style w:type="character" w:customStyle="1" w:styleId="74">
    <w:name w:val="正文文本 Char"/>
    <w:qFormat/>
    <w:uiPriority w:val="0"/>
    <w:rPr>
      <w:rFonts w:ascii="Times New Roman" w:hAnsi="Times New Roman"/>
      <w:kern w:val="2"/>
      <w:sz w:val="21"/>
      <w:szCs w:val="24"/>
    </w:rPr>
  </w:style>
  <w:style w:type="character" w:customStyle="1" w:styleId="75">
    <w:name w:val="批注文字 字符1"/>
    <w:qFormat/>
    <w:uiPriority w:val="0"/>
    <w:rPr>
      <w:rFonts w:ascii="Times New Roman" w:hAnsi="Times New Roman"/>
      <w:kern w:val="2"/>
      <w:sz w:val="21"/>
      <w:szCs w:val="24"/>
    </w:rPr>
  </w:style>
  <w:style w:type="paragraph" w:customStyle="1" w:styleId="7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7">
    <w:name w:val="Char Char Char Char"/>
    <w:basedOn w:val="1"/>
    <w:qFormat/>
    <w:uiPriority w:val="0"/>
    <w:pPr>
      <w:widowControl/>
      <w:spacing w:after="160" w:line="240" w:lineRule="exact"/>
      <w:jc w:val="left"/>
    </w:p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正文1"/>
    <w:basedOn w:val="1"/>
    <w:qFormat/>
    <w:uiPriority w:val="0"/>
    <w:pPr>
      <w:adjustRightInd w:val="0"/>
      <w:spacing w:line="318" w:lineRule="atLeast"/>
      <w:ind w:left="369" w:firstLine="369"/>
      <w:textAlignment w:val="baseline"/>
    </w:pPr>
    <w:rPr>
      <w:szCs w:val="20"/>
    </w:rPr>
  </w:style>
  <w:style w:type="paragraph" w:styleId="82">
    <w:name w:val="List Paragraph"/>
    <w:basedOn w:val="1"/>
    <w:qFormat/>
    <w:uiPriority w:val="34"/>
    <w:pPr>
      <w:ind w:firstLine="420" w:firstLineChars="200"/>
    </w:pPr>
  </w:style>
  <w:style w:type="paragraph" w:customStyle="1" w:styleId="83">
    <w:name w:val="_Style 80"/>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4">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5">
    <w:name w:val="NormalCharacter"/>
    <w:qFormat/>
    <w:uiPriority w:val="0"/>
  </w:style>
  <w:style w:type="character" w:customStyle="1" w:styleId="86">
    <w:name w:val="普通文字 Char Char1"/>
    <w:qFormat/>
    <w:uiPriority w:val="0"/>
    <w:rPr>
      <w:rFonts w:ascii="宋体" w:hAnsi="Courier New" w:eastAsia="宋体"/>
      <w:kern w:val="2"/>
      <w:sz w:val="21"/>
      <w:lang w:val="en-US" w:eastAsia="zh-CN" w:bidi="ar-SA"/>
    </w:rPr>
  </w:style>
  <w:style w:type="paragraph" w:styleId="8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8">
    <w:name w:val="Table Text"/>
    <w:basedOn w:val="1"/>
    <w:semiHidden/>
    <w:qFormat/>
    <w:uiPriority w:val="0"/>
    <w:rPr>
      <w:rFonts w:ascii="宋体" w:hAnsi="宋体" w:eastAsia="宋体" w:cs="宋体"/>
      <w:sz w:val="19"/>
      <w:szCs w:val="19"/>
      <w:lang w:val="en-US" w:eastAsia="en-US" w:bidi="ar-SA"/>
    </w:rPr>
  </w:style>
  <w:style w:type="paragraph" w:customStyle="1" w:styleId="89">
    <w:name w:val="Default"/>
    <w:basedOn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List Paragraph2"/>
    <w:basedOn w:val="1"/>
    <w:qFormat/>
    <w:uiPriority w:val="99"/>
    <w:pPr>
      <w:ind w:firstLine="420" w:firstLineChars="200"/>
    </w:pPr>
    <w:rPr>
      <w:rFonts w:ascii="Times New Roman" w:hAnsi="Times New Roman"/>
      <w:szCs w:val="20"/>
    </w:rPr>
  </w:style>
  <w:style w:type="paragraph" w:customStyle="1" w:styleId="91">
    <w:name w:val="table of figures"/>
    <w:basedOn w:val="1"/>
    <w:next w:val="1"/>
    <w:qFormat/>
    <w:uiPriority w:val="0"/>
    <w:pPr>
      <w:ind w:left="200" w:leftChars="200" w:hanging="200" w:hangingChars="200"/>
    </w:pPr>
  </w:style>
  <w:style w:type="paragraph" w:customStyle="1" w:styleId="92">
    <w:name w:val="p15"/>
    <w:basedOn w:val="1"/>
    <w:qFormat/>
    <w:uiPriority w:val="0"/>
    <w:pPr>
      <w:widowControl/>
    </w:pPr>
    <w:rPr>
      <w:rFonts w:ascii="宋体" w:hAnsi="宋体" w:cs="宋体"/>
      <w:kern w:val="0"/>
      <w:szCs w:val="21"/>
    </w:rPr>
  </w:style>
  <w:style w:type="paragraph" w:customStyle="1" w:styleId="93">
    <w:name w:val="p0"/>
    <w:basedOn w:val="1"/>
    <w:qFormat/>
    <w:uiPriority w:val="0"/>
    <w:pPr>
      <w:widowControl/>
    </w:pPr>
    <w:rPr>
      <w:rFonts w:cs="Calibri"/>
      <w:kern w:val="0"/>
      <w:szCs w:val="21"/>
    </w:rPr>
  </w:style>
  <w:style w:type="paragraph" w:customStyle="1" w:styleId="94">
    <w:name w:val="Plain Text"/>
    <w:basedOn w:val="1"/>
    <w:next w:val="6"/>
    <w:qFormat/>
    <w:uiPriority w:val="0"/>
    <w:rPr>
      <w:rFonts w:hint="eastAsia" w:ascii="宋体" w:hAnsi="Courier New" w:eastAsia="宋体" w:cs="Times New Roman"/>
      <w:kern w:val="0"/>
      <w:sz w:val="20"/>
      <w:szCs w:val="21"/>
    </w:rPr>
  </w:style>
  <w:style w:type="paragraph" w:customStyle="1" w:styleId="9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66</Pages>
  <Words>5454</Words>
  <Characters>5982</Characters>
  <Lines>2300</Lines>
  <Paragraphs>2168</Paragraphs>
  <TotalTime>218</TotalTime>
  <ScaleCrop>false</ScaleCrop>
  <LinksUpToDate>false</LinksUpToDate>
  <CharactersWithSpaces>6064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2025-07-18T06:43:11Z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eyJoZGlkIjoiNjdhOGZkYWE3YzIzZWUyNDFiZWViZTAzNDE4MWIxNDMiLCJ1c2VySWQiOiIxNzExMjU2NTg1In0=</vt:lpwstr>
  </property>
</Properties>
</file>