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4013C">
      <w:pPr>
        <w:tabs>
          <w:tab w:val="left" w:pos="3325"/>
          <w:tab w:val="center" w:pos="5000"/>
        </w:tabs>
        <w:autoSpaceDE w:val="0"/>
        <w:autoSpaceDN w:val="0"/>
        <w:adjustRightInd w:val="0"/>
        <w:spacing w:line="360" w:lineRule="auto"/>
        <w:jc w:val="center"/>
        <w:rPr>
          <w:rFonts w:hint="eastAsia" w:ascii="宋体" w:hAnsi="宋体" w:eastAsia="宋体" w:cs="宋体"/>
          <w:color w:val="auto"/>
          <w:kern w:val="0"/>
          <w:sz w:val="56"/>
          <w:szCs w:val="24"/>
          <w:highlight w:val="none"/>
        </w:rPr>
      </w:pPr>
      <w:bookmarkStart w:id="1123" w:name="_GoBack"/>
      <w:bookmarkEnd w:id="1123"/>
      <w:r>
        <w:rPr>
          <w:rFonts w:hint="eastAsia" w:ascii="宋体" w:hAnsi="宋体" w:eastAsia="宋体" w:cs="宋体"/>
          <w:b/>
          <w:bCs/>
          <w:color w:val="auto"/>
          <w:sz w:val="32"/>
          <w:szCs w:val="32"/>
          <w:highlight w:val="none"/>
          <w:lang w:eastAsia="zh-CN"/>
        </w:rPr>
        <w:drawing>
          <wp:inline distT="0" distB="0" distL="114300" distR="114300">
            <wp:extent cx="6180455" cy="1400175"/>
            <wp:effectExtent l="0" t="0" r="0" b="0"/>
            <wp:docPr id="5" name="图片 1" descr="301c0ac54dbfafd3b755de20ff15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301c0ac54dbfafd3b755de20ff157bf"/>
                    <pic:cNvPicPr>
                      <a:picLocks noChangeAspect="1"/>
                    </pic:cNvPicPr>
                  </pic:nvPicPr>
                  <pic:blipFill>
                    <a:blip r:embed="rId15"/>
                    <a:stretch>
                      <a:fillRect/>
                    </a:stretch>
                  </pic:blipFill>
                  <pic:spPr>
                    <a:xfrm>
                      <a:off x="0" y="0"/>
                      <a:ext cx="6180455" cy="1400175"/>
                    </a:xfrm>
                    <a:prstGeom prst="rect">
                      <a:avLst/>
                    </a:prstGeom>
                    <a:noFill/>
                    <a:ln>
                      <a:noFill/>
                    </a:ln>
                  </pic:spPr>
                </pic:pic>
              </a:graphicData>
            </a:graphic>
          </wp:inline>
        </w:drawing>
      </w:r>
    </w:p>
    <w:p w14:paraId="52F1BE63">
      <w:pPr>
        <w:autoSpaceDE w:val="0"/>
        <w:autoSpaceDN w:val="0"/>
        <w:adjustRightInd w:val="0"/>
        <w:spacing w:line="360" w:lineRule="auto"/>
        <w:jc w:val="center"/>
        <w:rPr>
          <w:rFonts w:hint="eastAsia" w:ascii="宋体" w:hAnsi="宋体" w:eastAsia="宋体" w:cs="宋体"/>
          <w:color w:val="auto"/>
          <w:kern w:val="0"/>
          <w:sz w:val="56"/>
          <w:szCs w:val="24"/>
          <w:highlight w:val="none"/>
        </w:rPr>
      </w:pPr>
    </w:p>
    <w:p w14:paraId="1E534D2C">
      <w:pPr>
        <w:pStyle w:val="28"/>
        <w:rPr>
          <w:rFonts w:hint="eastAsia" w:ascii="宋体" w:hAnsi="宋体" w:eastAsia="宋体" w:cs="宋体"/>
          <w:color w:val="auto"/>
          <w:kern w:val="0"/>
          <w:sz w:val="56"/>
          <w:szCs w:val="24"/>
          <w:highlight w:val="none"/>
        </w:rPr>
      </w:pPr>
    </w:p>
    <w:p w14:paraId="22589238">
      <w:pPr>
        <w:pStyle w:val="28"/>
        <w:rPr>
          <w:rFonts w:hint="eastAsia" w:ascii="宋体" w:hAnsi="宋体" w:eastAsia="宋体" w:cs="宋体"/>
          <w:color w:val="auto"/>
          <w:kern w:val="0"/>
          <w:sz w:val="56"/>
          <w:szCs w:val="24"/>
          <w:highlight w:val="none"/>
        </w:rPr>
      </w:pPr>
    </w:p>
    <w:p w14:paraId="6122AB94">
      <w:pPr>
        <w:pStyle w:val="28"/>
        <w:rPr>
          <w:rFonts w:hint="eastAsia" w:ascii="宋体" w:hAnsi="宋体" w:eastAsia="宋体" w:cs="宋体"/>
          <w:color w:val="auto"/>
          <w:kern w:val="0"/>
          <w:sz w:val="56"/>
          <w:szCs w:val="24"/>
          <w:highlight w:val="none"/>
        </w:rPr>
      </w:pPr>
    </w:p>
    <w:p w14:paraId="66FA3092">
      <w:pPr>
        <w:pStyle w:val="28"/>
        <w:rPr>
          <w:rFonts w:hint="eastAsia" w:ascii="宋体" w:hAnsi="宋体" w:eastAsia="宋体" w:cs="宋体"/>
          <w:color w:val="auto"/>
          <w:kern w:val="0"/>
          <w:sz w:val="56"/>
          <w:szCs w:val="24"/>
          <w:highlight w:val="none"/>
        </w:rPr>
      </w:pPr>
    </w:p>
    <w:p w14:paraId="22B578A9">
      <w:pPr>
        <w:pStyle w:val="28"/>
        <w:rPr>
          <w:rFonts w:hint="eastAsia" w:ascii="宋体" w:hAnsi="宋体" w:eastAsia="宋体" w:cs="宋体"/>
          <w:color w:val="auto"/>
          <w:kern w:val="0"/>
          <w:sz w:val="56"/>
          <w:szCs w:val="24"/>
          <w:highlight w:val="none"/>
        </w:rPr>
      </w:pPr>
    </w:p>
    <w:p w14:paraId="6CA5B38D">
      <w:pPr>
        <w:pStyle w:val="28"/>
        <w:rPr>
          <w:rFonts w:hint="eastAsia" w:ascii="宋体" w:hAnsi="宋体" w:eastAsia="宋体" w:cs="宋体"/>
          <w:color w:val="auto"/>
          <w:kern w:val="0"/>
          <w:sz w:val="56"/>
          <w:szCs w:val="24"/>
          <w:highlight w:val="none"/>
        </w:rPr>
      </w:pPr>
    </w:p>
    <w:p w14:paraId="2C06D11F">
      <w:pPr>
        <w:pStyle w:val="28"/>
        <w:rPr>
          <w:rFonts w:hint="eastAsia" w:ascii="宋体" w:hAnsi="宋体" w:eastAsia="宋体" w:cs="宋体"/>
          <w:color w:val="auto"/>
          <w:kern w:val="0"/>
          <w:sz w:val="56"/>
          <w:szCs w:val="24"/>
          <w:highlight w:val="none"/>
        </w:rPr>
      </w:pPr>
    </w:p>
    <w:p w14:paraId="7C30293B">
      <w:pPr>
        <w:pStyle w:val="28"/>
        <w:rPr>
          <w:rFonts w:hint="eastAsia" w:ascii="宋体" w:hAnsi="宋体" w:eastAsia="宋体" w:cs="宋体"/>
          <w:color w:val="auto"/>
          <w:kern w:val="0"/>
          <w:sz w:val="56"/>
          <w:szCs w:val="24"/>
          <w:highlight w:val="none"/>
        </w:rPr>
      </w:pPr>
    </w:p>
    <w:p w14:paraId="41E53951">
      <w:pPr>
        <w:pStyle w:val="28"/>
        <w:rPr>
          <w:rFonts w:hint="eastAsia" w:ascii="宋体" w:hAnsi="宋体" w:eastAsia="宋体" w:cs="宋体"/>
          <w:color w:val="auto"/>
          <w:kern w:val="0"/>
          <w:sz w:val="56"/>
          <w:szCs w:val="24"/>
          <w:highlight w:val="none"/>
        </w:rPr>
      </w:pPr>
    </w:p>
    <w:p w14:paraId="67EAB970">
      <w:pPr>
        <w:pStyle w:val="28"/>
        <w:rPr>
          <w:rFonts w:hint="eastAsia" w:ascii="宋体" w:hAnsi="宋体" w:eastAsia="宋体" w:cs="宋体"/>
          <w:color w:val="auto"/>
          <w:kern w:val="0"/>
          <w:sz w:val="56"/>
          <w:szCs w:val="24"/>
          <w:highlight w:val="none"/>
        </w:rPr>
      </w:pPr>
    </w:p>
    <w:p w14:paraId="01BFCB72">
      <w:pPr>
        <w:pStyle w:val="28"/>
        <w:rPr>
          <w:rFonts w:hint="eastAsia" w:ascii="宋体" w:hAnsi="宋体" w:eastAsia="宋体" w:cs="宋体"/>
          <w:color w:val="auto"/>
          <w:kern w:val="0"/>
          <w:sz w:val="56"/>
          <w:szCs w:val="24"/>
          <w:highlight w:val="none"/>
        </w:rPr>
      </w:pPr>
    </w:p>
    <w:p w14:paraId="5A1E33F0">
      <w:pPr>
        <w:pStyle w:val="28"/>
        <w:rPr>
          <w:rFonts w:hint="eastAsia" w:ascii="宋体" w:hAnsi="宋体" w:eastAsia="宋体" w:cs="宋体"/>
          <w:color w:val="auto"/>
          <w:kern w:val="0"/>
          <w:sz w:val="56"/>
          <w:szCs w:val="24"/>
          <w:highlight w:val="none"/>
        </w:rPr>
      </w:pPr>
    </w:p>
    <w:p w14:paraId="0194484A">
      <w:pPr>
        <w:pStyle w:val="28"/>
        <w:rPr>
          <w:rFonts w:hint="eastAsia" w:ascii="宋体" w:hAnsi="宋体" w:eastAsia="宋体" w:cs="宋体"/>
          <w:color w:val="auto"/>
          <w:kern w:val="0"/>
          <w:sz w:val="56"/>
          <w:szCs w:val="24"/>
          <w:highlight w:val="none"/>
        </w:rPr>
      </w:pPr>
    </w:p>
    <w:p w14:paraId="1E267396">
      <w:pPr>
        <w:pStyle w:val="28"/>
        <w:rPr>
          <w:rFonts w:hint="eastAsia" w:ascii="宋体" w:hAnsi="宋体" w:eastAsia="宋体" w:cs="宋体"/>
          <w:color w:val="auto"/>
          <w:kern w:val="0"/>
          <w:sz w:val="56"/>
          <w:szCs w:val="24"/>
          <w:highlight w:val="none"/>
        </w:rPr>
      </w:pPr>
    </w:p>
    <w:p w14:paraId="76893EB6">
      <w:pPr>
        <w:pStyle w:val="28"/>
        <w:rPr>
          <w:rFonts w:hint="eastAsia" w:ascii="宋体" w:hAnsi="宋体" w:eastAsia="宋体" w:cs="宋体"/>
          <w:color w:val="auto"/>
          <w:highlight w:val="none"/>
        </w:rPr>
      </w:pPr>
    </w:p>
    <w:p w14:paraId="5D6EC7B8">
      <w:pPr>
        <w:autoSpaceDE w:val="0"/>
        <w:autoSpaceDN w:val="0"/>
        <w:adjustRightIn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6"/>
          <w:szCs w:val="76"/>
          <w:highlight w:val="none"/>
          <w:lang w:eastAsia="zh-CN"/>
        </w:rPr>
        <w:t>竞争性磋商</w:t>
      </w:r>
      <w:r>
        <w:rPr>
          <w:rFonts w:hint="eastAsia" w:ascii="宋体" w:hAnsi="宋体" w:eastAsia="宋体" w:cs="宋体"/>
          <w:b/>
          <w:color w:val="auto"/>
          <w:kern w:val="0"/>
          <w:sz w:val="76"/>
          <w:szCs w:val="76"/>
          <w:highlight w:val="none"/>
        </w:rPr>
        <w:t>采购文件</w:t>
      </w:r>
    </w:p>
    <w:p w14:paraId="5C0C8A54">
      <w:pPr>
        <w:autoSpaceDE w:val="0"/>
        <w:autoSpaceDN w:val="0"/>
        <w:adjustRightInd w:val="0"/>
        <w:spacing w:line="360" w:lineRule="auto"/>
        <w:ind w:left="2514" w:leftChars="557" w:hanging="1400" w:hangingChars="500"/>
        <w:jc w:val="both"/>
        <w:rPr>
          <w:rFonts w:hint="eastAsia" w:ascii="宋体" w:hAnsi="宋体" w:eastAsia="宋体" w:cs="宋体"/>
          <w:b w:val="0"/>
          <w:bCs w:val="0"/>
          <w:color w:val="auto"/>
          <w:kern w:val="0"/>
          <w:sz w:val="28"/>
          <w:szCs w:val="21"/>
          <w:highlight w:val="none"/>
        </w:rPr>
      </w:pPr>
      <w:r>
        <w:rPr>
          <w:rFonts w:hint="eastAsia" w:ascii="宋体" w:hAnsi="宋体" w:eastAsia="宋体" w:cs="宋体"/>
          <w:b w:val="0"/>
          <w:bCs w:val="0"/>
          <w:color w:val="auto"/>
          <w:kern w:val="0"/>
          <w:sz w:val="28"/>
          <w:szCs w:val="21"/>
          <w:highlight w:val="none"/>
        </w:rPr>
        <w:t>项目名称：</w:t>
      </w:r>
      <w:r>
        <w:rPr>
          <w:rFonts w:hint="eastAsia" w:ascii="宋体" w:hAnsi="宋体" w:cs="宋体"/>
          <w:b w:val="0"/>
          <w:bCs w:val="0"/>
          <w:color w:val="auto"/>
          <w:kern w:val="0"/>
          <w:sz w:val="28"/>
          <w:szCs w:val="21"/>
          <w:highlight w:val="none"/>
          <w:lang w:eastAsia="zh-CN"/>
        </w:rPr>
        <w:t xml:space="preserve">东门镇郝佐村郝章屯产业道路硬化项目 </w:t>
      </w:r>
    </w:p>
    <w:p w14:paraId="394ACF64">
      <w:pPr>
        <w:autoSpaceDE w:val="0"/>
        <w:autoSpaceDN w:val="0"/>
        <w:adjustRightInd w:val="0"/>
        <w:spacing w:line="360" w:lineRule="auto"/>
        <w:ind w:firstLine="1120" w:firstLineChars="400"/>
        <w:jc w:val="both"/>
        <w:rPr>
          <w:rFonts w:hint="eastAsia" w:ascii="宋体" w:hAnsi="宋体" w:cs="宋体"/>
          <w:b w:val="0"/>
          <w:bCs w:val="0"/>
          <w:color w:val="auto"/>
          <w:kern w:val="0"/>
          <w:sz w:val="28"/>
          <w:szCs w:val="21"/>
          <w:highlight w:val="none"/>
          <w:lang w:eastAsia="zh-CN"/>
        </w:rPr>
      </w:pPr>
      <w:r>
        <w:rPr>
          <w:rFonts w:hint="eastAsia" w:ascii="宋体" w:hAnsi="宋体" w:eastAsia="宋体" w:cs="宋体"/>
          <w:b w:val="0"/>
          <w:bCs w:val="0"/>
          <w:color w:val="auto"/>
          <w:kern w:val="0"/>
          <w:sz w:val="28"/>
          <w:szCs w:val="21"/>
          <w:highlight w:val="none"/>
        </w:rPr>
        <w:t>项目编号：</w:t>
      </w:r>
      <w:r>
        <w:rPr>
          <w:rFonts w:hint="eastAsia" w:ascii="宋体" w:hAnsi="宋体" w:cs="宋体"/>
          <w:b w:val="0"/>
          <w:bCs w:val="0"/>
          <w:color w:val="auto"/>
          <w:kern w:val="0"/>
          <w:sz w:val="28"/>
          <w:szCs w:val="21"/>
          <w:highlight w:val="none"/>
          <w:lang w:eastAsia="zh-CN"/>
        </w:rPr>
        <w:t>CZZC2025-C2-210059-GXHL</w:t>
      </w:r>
    </w:p>
    <w:p w14:paraId="7C2FAF15">
      <w:pPr>
        <w:spacing w:line="360" w:lineRule="auto"/>
        <w:rPr>
          <w:rFonts w:hint="eastAsia" w:ascii="宋体" w:hAnsi="宋体" w:eastAsia="宋体" w:cs="宋体"/>
          <w:b w:val="0"/>
          <w:bCs w:val="0"/>
          <w:color w:val="auto"/>
          <w:sz w:val="18"/>
          <w:szCs w:val="20"/>
          <w:highlight w:val="none"/>
        </w:rPr>
      </w:pPr>
    </w:p>
    <w:p w14:paraId="2779B1D4">
      <w:pPr>
        <w:pStyle w:val="28"/>
        <w:rPr>
          <w:rFonts w:hint="eastAsia" w:ascii="宋体" w:hAnsi="宋体" w:eastAsia="宋体" w:cs="宋体"/>
          <w:b w:val="0"/>
          <w:bCs w:val="0"/>
          <w:color w:val="auto"/>
          <w:sz w:val="18"/>
          <w:szCs w:val="20"/>
          <w:highlight w:val="none"/>
        </w:rPr>
      </w:pPr>
    </w:p>
    <w:p w14:paraId="5AE6C1FF">
      <w:pPr>
        <w:pStyle w:val="28"/>
        <w:rPr>
          <w:rFonts w:hint="eastAsia" w:ascii="宋体" w:hAnsi="宋体" w:eastAsia="宋体" w:cs="宋体"/>
          <w:b w:val="0"/>
          <w:bCs w:val="0"/>
          <w:color w:val="auto"/>
          <w:sz w:val="18"/>
          <w:szCs w:val="20"/>
          <w:highlight w:val="none"/>
        </w:rPr>
      </w:pPr>
    </w:p>
    <w:p w14:paraId="2FA33764">
      <w:pPr>
        <w:pStyle w:val="28"/>
        <w:rPr>
          <w:rFonts w:hint="eastAsia" w:ascii="宋体" w:hAnsi="宋体" w:eastAsia="宋体" w:cs="宋体"/>
          <w:b w:val="0"/>
          <w:bCs w:val="0"/>
          <w:color w:val="auto"/>
          <w:sz w:val="18"/>
          <w:szCs w:val="20"/>
          <w:highlight w:val="none"/>
        </w:rPr>
      </w:pPr>
    </w:p>
    <w:p w14:paraId="04E8B22C">
      <w:pPr>
        <w:pStyle w:val="28"/>
        <w:rPr>
          <w:rFonts w:hint="eastAsia" w:ascii="宋体" w:hAnsi="宋体" w:eastAsia="宋体" w:cs="宋体"/>
          <w:color w:val="auto"/>
          <w:highlight w:val="none"/>
        </w:rPr>
      </w:pPr>
    </w:p>
    <w:p w14:paraId="29D382F2">
      <w:pPr>
        <w:pStyle w:val="28"/>
        <w:rPr>
          <w:rFonts w:hint="eastAsia" w:ascii="宋体" w:hAnsi="宋体" w:eastAsia="宋体" w:cs="宋体"/>
          <w:color w:val="auto"/>
          <w:highlight w:val="none"/>
        </w:rPr>
      </w:pPr>
    </w:p>
    <w:p w14:paraId="1E68B2EF">
      <w:pPr>
        <w:pStyle w:val="28"/>
        <w:rPr>
          <w:rFonts w:hint="eastAsia" w:ascii="宋体" w:hAnsi="宋体" w:eastAsia="宋体" w:cs="宋体"/>
          <w:color w:val="auto"/>
          <w:highlight w:val="none"/>
        </w:rPr>
      </w:pPr>
    </w:p>
    <w:p w14:paraId="2544532F">
      <w:pPr>
        <w:pStyle w:val="28"/>
        <w:rPr>
          <w:rFonts w:hint="eastAsia" w:ascii="宋体" w:hAnsi="宋体" w:eastAsia="宋体" w:cs="宋体"/>
          <w:color w:val="auto"/>
          <w:highlight w:val="none"/>
        </w:rPr>
      </w:pPr>
    </w:p>
    <w:p w14:paraId="29D193B1">
      <w:pPr>
        <w:pStyle w:val="28"/>
        <w:rPr>
          <w:rFonts w:hint="eastAsia" w:ascii="宋体" w:hAnsi="宋体" w:eastAsia="宋体" w:cs="宋体"/>
          <w:color w:val="auto"/>
          <w:highlight w:val="none"/>
        </w:rPr>
      </w:pPr>
    </w:p>
    <w:p w14:paraId="46F17203">
      <w:pPr>
        <w:pStyle w:val="28"/>
        <w:rPr>
          <w:rFonts w:hint="eastAsia" w:ascii="宋体" w:hAnsi="宋体" w:eastAsia="宋体" w:cs="宋体"/>
          <w:color w:val="auto"/>
          <w:highlight w:val="none"/>
        </w:rPr>
      </w:pPr>
    </w:p>
    <w:p w14:paraId="615F08FD">
      <w:pPr>
        <w:pStyle w:val="28"/>
        <w:rPr>
          <w:rFonts w:hint="eastAsia" w:ascii="宋体" w:hAnsi="宋体" w:eastAsia="宋体" w:cs="宋体"/>
          <w:color w:val="auto"/>
          <w:highlight w:val="none"/>
        </w:rPr>
      </w:pPr>
    </w:p>
    <w:p w14:paraId="210B1EED">
      <w:pPr>
        <w:pStyle w:val="28"/>
        <w:rPr>
          <w:rFonts w:hint="eastAsia" w:ascii="宋体" w:hAnsi="宋体" w:eastAsia="宋体" w:cs="宋体"/>
          <w:color w:val="auto"/>
          <w:highlight w:val="none"/>
        </w:rPr>
      </w:pPr>
    </w:p>
    <w:p w14:paraId="0A6AC2FE">
      <w:pPr>
        <w:pStyle w:val="28"/>
        <w:rPr>
          <w:rFonts w:hint="eastAsia" w:ascii="宋体" w:hAnsi="宋体" w:eastAsia="宋体" w:cs="宋体"/>
          <w:color w:val="auto"/>
          <w:highlight w:val="none"/>
        </w:rPr>
      </w:pPr>
    </w:p>
    <w:p w14:paraId="1CFD8FB9">
      <w:pPr>
        <w:pStyle w:val="28"/>
        <w:rPr>
          <w:rFonts w:hint="eastAsia" w:ascii="宋体" w:hAnsi="宋体" w:eastAsia="宋体" w:cs="宋体"/>
          <w:color w:val="auto"/>
          <w:highlight w:val="none"/>
        </w:rPr>
      </w:pPr>
    </w:p>
    <w:p w14:paraId="0EEB24E5">
      <w:pPr>
        <w:pStyle w:val="28"/>
        <w:rPr>
          <w:rFonts w:hint="eastAsia" w:ascii="宋体" w:hAnsi="宋体" w:eastAsia="宋体" w:cs="宋体"/>
          <w:color w:val="auto"/>
          <w:kern w:val="0"/>
          <w:sz w:val="36"/>
          <w:szCs w:val="24"/>
          <w:highlight w:val="none"/>
        </w:rPr>
      </w:pPr>
    </w:p>
    <w:p w14:paraId="754B1876">
      <w:pPr>
        <w:pStyle w:val="28"/>
        <w:rPr>
          <w:rFonts w:hint="eastAsia" w:ascii="宋体" w:hAnsi="宋体" w:eastAsia="宋体" w:cs="宋体"/>
          <w:color w:val="auto"/>
          <w:kern w:val="0"/>
          <w:sz w:val="36"/>
          <w:szCs w:val="24"/>
          <w:highlight w:val="none"/>
        </w:rPr>
      </w:pPr>
    </w:p>
    <w:p w14:paraId="1656320B">
      <w:pPr>
        <w:spacing w:line="600" w:lineRule="auto"/>
        <w:ind w:firstLine="1446" w:firstLineChars="500"/>
        <w:jc w:val="left"/>
        <w:rPr>
          <w:rFonts w:hint="eastAsia" w:ascii="宋体" w:hAnsi="宋体" w:eastAsia="宋体" w:cs="宋体"/>
          <w:b/>
          <w:color w:val="auto"/>
          <w:spacing w:val="-6"/>
          <w:kern w:val="0"/>
          <w:sz w:val="30"/>
          <w:szCs w:val="30"/>
          <w:highlight w:val="none"/>
          <w:lang w:val="en-US" w:eastAsia="zh-CN"/>
        </w:rPr>
      </w:pPr>
      <w:r>
        <w:rPr>
          <w:rFonts w:hint="eastAsia" w:ascii="宋体" w:hAnsi="宋体" w:eastAsia="宋体" w:cs="宋体"/>
          <w:b/>
          <w:color w:val="auto"/>
          <w:spacing w:val="-6"/>
          <w:kern w:val="0"/>
          <w:sz w:val="30"/>
          <w:szCs w:val="30"/>
          <w:highlight w:val="none"/>
          <w:lang w:eastAsia="zh-CN"/>
        </w:rPr>
        <w:t>采购</w:t>
      </w:r>
      <w:r>
        <w:rPr>
          <w:rFonts w:hint="eastAsia" w:ascii="宋体" w:hAnsi="宋体" w:eastAsia="宋体" w:cs="宋体"/>
          <w:b/>
          <w:color w:val="auto"/>
          <w:spacing w:val="-6"/>
          <w:kern w:val="0"/>
          <w:sz w:val="30"/>
          <w:szCs w:val="30"/>
          <w:highlight w:val="none"/>
        </w:rPr>
        <w:t>单</w:t>
      </w:r>
      <w:r>
        <w:rPr>
          <w:rFonts w:hint="eastAsia" w:ascii="宋体" w:hAnsi="宋体" w:eastAsia="宋体" w:cs="宋体"/>
          <w:b/>
          <w:color w:val="auto"/>
          <w:spacing w:val="-6"/>
          <w:kern w:val="0"/>
          <w:sz w:val="30"/>
          <w:szCs w:val="30"/>
          <w:highlight w:val="none"/>
          <w:u w:val="none"/>
        </w:rPr>
        <w:t>位</w:t>
      </w:r>
      <w:r>
        <w:rPr>
          <w:rFonts w:hint="eastAsia" w:ascii="宋体" w:hAnsi="宋体" w:eastAsia="宋体" w:cs="宋体"/>
          <w:b/>
          <w:bCs/>
          <w:color w:val="auto"/>
          <w:sz w:val="30"/>
          <w:szCs w:val="30"/>
          <w:highlight w:val="none"/>
          <w:u w:val="none"/>
        </w:rPr>
        <w:t>：</w:t>
      </w:r>
      <w:r>
        <w:rPr>
          <w:rFonts w:hint="eastAsia" w:ascii="宋体" w:hAnsi="宋体" w:cs="宋体"/>
          <w:b/>
          <w:color w:val="auto"/>
          <w:spacing w:val="-6"/>
          <w:kern w:val="0"/>
          <w:sz w:val="30"/>
          <w:szCs w:val="30"/>
          <w:highlight w:val="none"/>
          <w:lang w:eastAsia="zh-CN"/>
        </w:rPr>
        <w:t>扶绥县农业农村局</w:t>
      </w:r>
    </w:p>
    <w:p w14:paraId="4445D4AA">
      <w:pPr>
        <w:autoSpaceDE w:val="0"/>
        <w:autoSpaceDN w:val="0"/>
        <w:adjustRightInd w:val="0"/>
        <w:spacing w:line="600" w:lineRule="auto"/>
        <w:ind w:firstLine="1506" w:firstLineChars="500"/>
        <w:jc w:val="both"/>
        <w:outlineLvl w:val="0"/>
        <w:rPr>
          <w:rFonts w:hint="eastAsia" w:ascii="宋体" w:hAnsi="宋体" w:eastAsia="宋体" w:cs="宋体"/>
          <w:b/>
          <w:color w:val="auto"/>
          <w:kern w:val="0"/>
          <w:sz w:val="30"/>
          <w:szCs w:val="30"/>
          <w:highlight w:val="none"/>
          <w:u w:val="none"/>
          <w:lang w:eastAsia="zh-CN"/>
        </w:rPr>
      </w:pPr>
      <w:bookmarkStart w:id="0" w:name="_Toc243584221"/>
      <w:r>
        <w:rPr>
          <w:rFonts w:hint="eastAsia" w:ascii="宋体" w:hAnsi="宋体" w:eastAsia="宋体" w:cs="宋体"/>
          <w:b/>
          <w:color w:val="auto"/>
          <w:kern w:val="0"/>
          <w:sz w:val="30"/>
          <w:szCs w:val="30"/>
          <w:highlight w:val="none"/>
          <w:u w:val="none"/>
        </w:rPr>
        <w:t>采购代理机构：</w:t>
      </w:r>
      <w:bookmarkEnd w:id="0"/>
      <w:r>
        <w:rPr>
          <w:rFonts w:hint="eastAsia" w:ascii="宋体" w:hAnsi="宋体" w:cs="宋体"/>
          <w:b/>
          <w:color w:val="auto"/>
          <w:kern w:val="0"/>
          <w:sz w:val="30"/>
          <w:szCs w:val="30"/>
          <w:highlight w:val="none"/>
          <w:u w:val="none"/>
          <w:lang w:eastAsia="zh-CN"/>
        </w:rPr>
        <w:t>广西宏朗工程咨询服务有限公司</w:t>
      </w:r>
      <w:r>
        <w:rPr>
          <w:rFonts w:hint="eastAsia" w:ascii="宋体" w:hAnsi="宋体" w:eastAsia="宋体" w:cs="宋体"/>
          <w:b/>
          <w:color w:val="auto"/>
          <w:kern w:val="0"/>
          <w:sz w:val="30"/>
          <w:szCs w:val="30"/>
          <w:highlight w:val="none"/>
          <w:u w:val="none"/>
          <w:lang w:val="en-US" w:eastAsia="zh-CN"/>
        </w:rPr>
        <w:t xml:space="preserve"> </w:t>
      </w:r>
    </w:p>
    <w:p w14:paraId="27642E34">
      <w:pPr>
        <w:autoSpaceDE w:val="0"/>
        <w:autoSpaceDN w:val="0"/>
        <w:adjustRightInd w:val="0"/>
        <w:spacing w:line="600" w:lineRule="auto"/>
        <w:jc w:val="center"/>
        <w:outlineLvl w:val="0"/>
        <w:rPr>
          <w:rFonts w:hint="eastAsia" w:ascii="宋体" w:hAnsi="宋体" w:eastAsia="宋体" w:cs="宋体"/>
          <w:b/>
          <w:color w:val="auto"/>
          <w:kern w:val="0"/>
          <w:sz w:val="30"/>
          <w:szCs w:val="30"/>
          <w:highlight w:val="none"/>
        </w:rPr>
        <w:sectPr>
          <w:headerReference r:id="rId4" w:type="first"/>
          <w:headerReference r:id="rId3" w:type="default"/>
          <w:footerReference r:id="rId5" w:type="default"/>
          <w:footerReference r:id="rId6" w:type="even"/>
          <w:endnotePr>
            <w:numFmt w:val="decimal"/>
          </w:endnotePr>
          <w:pgSz w:w="11906" w:h="16838"/>
          <w:pgMar w:top="1134" w:right="1028" w:bottom="1134" w:left="998" w:header="397" w:footer="680" w:gutter="0"/>
          <w:paperSrc w:first="7" w:other="7"/>
          <w:pgNumType w:fmt="chineseCounting" w:start="0"/>
          <w:cols w:space="720" w:num="1"/>
          <w:formProt w:val="1"/>
          <w:titlePg/>
          <w:docGrid w:type="lines" w:linePitch="312" w:charSpace="0"/>
        </w:sectPr>
      </w:pPr>
      <w:r>
        <w:rPr>
          <w:rFonts w:hint="eastAsia" w:ascii="宋体" w:hAnsi="宋体" w:cs="宋体"/>
          <w:b/>
          <w:color w:val="auto"/>
          <w:kern w:val="0"/>
          <w:sz w:val="30"/>
          <w:szCs w:val="30"/>
          <w:highlight w:val="none"/>
          <w:lang w:eastAsia="zh-CN"/>
        </w:rPr>
        <w:t>2025年</w:t>
      </w:r>
      <w:r>
        <w:rPr>
          <w:rFonts w:hint="eastAsia" w:ascii="宋体" w:hAnsi="宋体" w:cs="宋体"/>
          <w:b/>
          <w:color w:val="auto"/>
          <w:kern w:val="0"/>
          <w:sz w:val="30"/>
          <w:szCs w:val="30"/>
          <w:highlight w:val="none"/>
          <w:lang w:val="en-US" w:eastAsia="zh-CN"/>
        </w:rPr>
        <w:t>9</w:t>
      </w:r>
      <w:r>
        <w:rPr>
          <w:rFonts w:hint="eastAsia" w:ascii="宋体" w:hAnsi="宋体" w:cs="宋体"/>
          <w:b/>
          <w:color w:val="auto"/>
          <w:kern w:val="0"/>
          <w:sz w:val="30"/>
          <w:szCs w:val="30"/>
          <w:highlight w:val="none"/>
          <w:lang w:eastAsia="zh-CN"/>
        </w:rPr>
        <w:t>月</w:t>
      </w:r>
    </w:p>
    <w:p w14:paraId="58B6E931">
      <w:pPr>
        <w:pStyle w:val="31"/>
        <w:spacing w:line="360" w:lineRule="auto"/>
        <w:jc w:val="center"/>
        <w:rPr>
          <w:rFonts w:ascii="宋体" w:hAnsi="宋体"/>
          <w:color w:val="auto"/>
          <w:highlight w:val="none"/>
        </w:rPr>
      </w:pPr>
    </w:p>
    <w:p w14:paraId="752C2BEC">
      <w:pPr>
        <w:pStyle w:val="31"/>
        <w:spacing w:line="360" w:lineRule="auto"/>
        <w:jc w:val="center"/>
        <w:rPr>
          <w:rFonts w:ascii="宋体" w:hAnsi="宋体"/>
          <w:b/>
          <w:color w:val="auto"/>
          <w:sz w:val="48"/>
          <w:szCs w:val="48"/>
          <w:highlight w:val="none"/>
        </w:rPr>
      </w:pPr>
    </w:p>
    <w:p w14:paraId="0B433399">
      <w:pPr>
        <w:pStyle w:val="31"/>
        <w:spacing w:line="360" w:lineRule="auto"/>
        <w:jc w:val="center"/>
        <w:rPr>
          <w:rFonts w:ascii="宋体" w:hAnsi="宋体"/>
          <w:b/>
          <w:color w:val="auto"/>
          <w:sz w:val="48"/>
          <w:szCs w:val="48"/>
          <w:highlight w:val="none"/>
        </w:rPr>
      </w:pPr>
      <w:r>
        <w:rPr>
          <w:rFonts w:ascii="宋体" w:hAnsi="宋体"/>
          <w:b/>
          <w:color w:val="auto"/>
          <w:sz w:val="48"/>
          <w:szCs w:val="48"/>
          <w:highlight w:val="none"/>
        </w:rPr>
        <w:t>目    录</w:t>
      </w:r>
    </w:p>
    <w:p w14:paraId="17B522D8">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TOC \z \o "1-3" \u \h</w:instrText>
      </w:r>
      <w:r>
        <w:rPr>
          <w:color w:val="auto"/>
          <w:sz w:val="28"/>
          <w:szCs w:val="28"/>
          <w:highlight w:val="none"/>
        </w:rPr>
        <w:fldChar w:fldCharType="separate"/>
      </w:r>
      <w:r>
        <w:rPr>
          <w:color w:val="auto"/>
          <w:sz w:val="28"/>
          <w:szCs w:val="28"/>
          <w:highlight w:val="none"/>
        </w:rPr>
        <w:fldChar w:fldCharType="begin"/>
      </w:r>
      <w:r>
        <w:rPr>
          <w:color w:val="auto"/>
          <w:sz w:val="28"/>
          <w:szCs w:val="28"/>
          <w:highlight w:val="none"/>
        </w:rPr>
        <w:instrText xml:space="preserve"> HYPERLINK \l _Toc12455 </w:instrText>
      </w:r>
      <w:r>
        <w:rPr>
          <w:color w:val="auto"/>
          <w:sz w:val="28"/>
          <w:szCs w:val="28"/>
          <w:highlight w:val="none"/>
        </w:rPr>
        <w:fldChar w:fldCharType="separate"/>
      </w:r>
      <w:r>
        <w:rPr>
          <w:rFonts w:ascii="宋体" w:hAnsi="宋体"/>
          <w:color w:val="auto"/>
          <w:sz w:val="28"/>
          <w:szCs w:val="28"/>
          <w:highlight w:val="none"/>
        </w:rPr>
        <w:t>第一章  竞争性磋商公告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_Toc12455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color w:val="auto"/>
          <w:sz w:val="28"/>
          <w:szCs w:val="28"/>
          <w:highlight w:val="none"/>
        </w:rPr>
        <w:fldChar w:fldCharType="end"/>
      </w:r>
    </w:p>
    <w:p w14:paraId="23281B2D">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_Toc7350 </w:instrText>
      </w:r>
      <w:r>
        <w:rPr>
          <w:color w:val="auto"/>
          <w:sz w:val="28"/>
          <w:szCs w:val="28"/>
          <w:highlight w:val="none"/>
        </w:rPr>
        <w:fldChar w:fldCharType="separate"/>
      </w:r>
      <w:r>
        <w:rPr>
          <w:rFonts w:ascii="宋体" w:hAnsi="宋体"/>
          <w:color w:val="auto"/>
          <w:sz w:val="28"/>
          <w:szCs w:val="28"/>
          <w:highlight w:val="none"/>
        </w:rPr>
        <w:t>第二章  供应商须知</w:t>
      </w:r>
      <w:r>
        <w:rPr>
          <w:color w:val="auto"/>
          <w:sz w:val="28"/>
          <w:szCs w:val="28"/>
          <w:highlight w:val="none"/>
        </w:rPr>
        <w:tab/>
      </w:r>
      <w:r>
        <w:rPr>
          <w:rFonts w:hint="eastAsia"/>
          <w:color w:val="auto"/>
          <w:sz w:val="28"/>
          <w:szCs w:val="28"/>
          <w:highlight w:val="none"/>
          <w:lang w:val="en-US" w:eastAsia="zh-CN"/>
        </w:rPr>
        <w:t>4</w:t>
      </w:r>
      <w:r>
        <w:rPr>
          <w:color w:val="auto"/>
          <w:sz w:val="28"/>
          <w:szCs w:val="28"/>
          <w:highlight w:val="none"/>
        </w:rPr>
        <w:fldChar w:fldCharType="end"/>
      </w:r>
    </w:p>
    <w:p w14:paraId="3AD71D67">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_Toc17060 </w:instrText>
      </w:r>
      <w:r>
        <w:rPr>
          <w:color w:val="auto"/>
          <w:sz w:val="28"/>
          <w:szCs w:val="28"/>
          <w:highlight w:val="none"/>
        </w:rPr>
        <w:fldChar w:fldCharType="separate"/>
      </w:r>
      <w:r>
        <w:rPr>
          <w:rFonts w:ascii="宋体" w:hAnsi="宋体"/>
          <w:color w:val="auto"/>
          <w:sz w:val="28"/>
          <w:szCs w:val="28"/>
          <w:highlight w:val="none"/>
        </w:rPr>
        <w:t>第三章  技术规范</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_Toc17060 \h </w:instrText>
      </w:r>
      <w:r>
        <w:rPr>
          <w:color w:val="auto"/>
          <w:sz w:val="28"/>
          <w:szCs w:val="28"/>
          <w:highlight w:val="none"/>
        </w:rPr>
        <w:fldChar w:fldCharType="separate"/>
      </w:r>
      <w:r>
        <w:rPr>
          <w:color w:val="auto"/>
          <w:sz w:val="28"/>
          <w:szCs w:val="28"/>
          <w:highlight w:val="none"/>
        </w:rPr>
        <w:t>2</w:t>
      </w:r>
      <w:r>
        <w:rPr>
          <w:rFonts w:hint="eastAsia"/>
          <w:color w:val="auto"/>
          <w:sz w:val="28"/>
          <w:szCs w:val="28"/>
          <w:highlight w:val="none"/>
          <w:lang w:val="en-US" w:eastAsia="zh-CN"/>
        </w:rPr>
        <w:t>6</w:t>
      </w:r>
      <w:r>
        <w:rPr>
          <w:color w:val="auto"/>
          <w:sz w:val="28"/>
          <w:szCs w:val="28"/>
          <w:highlight w:val="none"/>
        </w:rPr>
        <w:fldChar w:fldCharType="end"/>
      </w:r>
      <w:r>
        <w:rPr>
          <w:color w:val="auto"/>
          <w:sz w:val="28"/>
          <w:szCs w:val="28"/>
          <w:highlight w:val="none"/>
        </w:rPr>
        <w:fldChar w:fldCharType="end"/>
      </w:r>
    </w:p>
    <w:p w14:paraId="0EE0476E">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_Toc26040 </w:instrText>
      </w:r>
      <w:r>
        <w:rPr>
          <w:color w:val="auto"/>
          <w:sz w:val="28"/>
          <w:szCs w:val="28"/>
          <w:highlight w:val="none"/>
        </w:rPr>
        <w:fldChar w:fldCharType="separate"/>
      </w:r>
      <w:r>
        <w:rPr>
          <w:color w:val="auto"/>
          <w:sz w:val="28"/>
          <w:szCs w:val="28"/>
          <w:highlight w:val="none"/>
        </w:rPr>
        <w:t>第四章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_Toc26040 \h </w:instrText>
      </w:r>
      <w:r>
        <w:rPr>
          <w:color w:val="auto"/>
          <w:sz w:val="28"/>
          <w:szCs w:val="28"/>
          <w:highlight w:val="none"/>
        </w:rPr>
        <w:fldChar w:fldCharType="separate"/>
      </w:r>
      <w:r>
        <w:rPr>
          <w:color w:val="auto"/>
          <w:sz w:val="28"/>
          <w:szCs w:val="28"/>
          <w:highlight w:val="none"/>
        </w:rPr>
        <w:t>2</w:t>
      </w:r>
      <w:r>
        <w:rPr>
          <w:rFonts w:hint="eastAsia"/>
          <w:color w:val="auto"/>
          <w:sz w:val="28"/>
          <w:szCs w:val="28"/>
          <w:highlight w:val="none"/>
          <w:lang w:val="en-US" w:eastAsia="zh-CN"/>
        </w:rPr>
        <w:t>7</w:t>
      </w:r>
      <w:r>
        <w:rPr>
          <w:color w:val="auto"/>
          <w:sz w:val="28"/>
          <w:szCs w:val="28"/>
          <w:highlight w:val="none"/>
        </w:rPr>
        <w:fldChar w:fldCharType="end"/>
      </w:r>
      <w:r>
        <w:rPr>
          <w:color w:val="auto"/>
          <w:sz w:val="28"/>
          <w:szCs w:val="28"/>
          <w:highlight w:val="none"/>
        </w:rPr>
        <w:fldChar w:fldCharType="end"/>
      </w:r>
    </w:p>
    <w:p w14:paraId="7EFFDE61">
      <w:pPr>
        <w:pStyle w:val="17"/>
        <w:tabs>
          <w:tab w:val="right" w:leader="dot" w:pos="9355"/>
        </w:tabs>
        <w:spacing w:line="360" w:lineRule="auto"/>
        <w:rPr>
          <w:color w:val="auto"/>
          <w:sz w:val="28"/>
          <w:szCs w:val="28"/>
          <w:highlight w:val="none"/>
        </w:rPr>
      </w:pPr>
      <w:r>
        <w:rPr>
          <w:color w:val="auto"/>
          <w:sz w:val="28"/>
          <w:szCs w:val="28"/>
          <w:highlight w:val="none"/>
        </w:rPr>
        <w:fldChar w:fldCharType="begin"/>
      </w:r>
      <w:r>
        <w:rPr>
          <w:color w:val="auto"/>
          <w:sz w:val="28"/>
          <w:szCs w:val="28"/>
          <w:highlight w:val="none"/>
        </w:rPr>
        <w:instrText xml:space="preserve"> HYPERLINK \l _Toc26801 </w:instrText>
      </w:r>
      <w:r>
        <w:rPr>
          <w:color w:val="auto"/>
          <w:sz w:val="28"/>
          <w:szCs w:val="28"/>
          <w:highlight w:val="none"/>
        </w:rPr>
        <w:fldChar w:fldCharType="separate"/>
      </w:r>
      <w:r>
        <w:rPr>
          <w:rFonts w:ascii="宋体" w:hAnsi="宋体"/>
          <w:color w:val="auto"/>
          <w:sz w:val="28"/>
          <w:szCs w:val="28"/>
          <w:highlight w:val="none"/>
        </w:rPr>
        <w:t xml:space="preserve">第五章  </w:t>
      </w:r>
      <w:r>
        <w:rPr>
          <w:rFonts w:hint="eastAsia" w:ascii="宋体" w:hAnsi="宋体"/>
          <w:color w:val="auto"/>
          <w:sz w:val="28"/>
          <w:szCs w:val="28"/>
          <w:highlight w:val="none"/>
        </w:rPr>
        <w:t>合同格式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_Toc26801 \h </w:instrText>
      </w:r>
      <w:r>
        <w:rPr>
          <w:color w:val="auto"/>
          <w:sz w:val="28"/>
          <w:szCs w:val="28"/>
          <w:highlight w:val="none"/>
        </w:rPr>
        <w:fldChar w:fldCharType="separate"/>
      </w:r>
      <w:r>
        <w:rPr>
          <w:rFonts w:hint="eastAsia"/>
          <w:color w:val="auto"/>
          <w:sz w:val="28"/>
          <w:szCs w:val="28"/>
          <w:highlight w:val="none"/>
          <w:lang w:val="en-US" w:eastAsia="zh-CN"/>
        </w:rPr>
        <w:t>5</w:t>
      </w:r>
      <w:r>
        <w:rPr>
          <w:color w:val="auto"/>
          <w:sz w:val="28"/>
          <w:szCs w:val="28"/>
          <w:highlight w:val="none"/>
        </w:rPr>
        <w:t>4</w:t>
      </w:r>
      <w:r>
        <w:rPr>
          <w:color w:val="auto"/>
          <w:sz w:val="28"/>
          <w:szCs w:val="28"/>
          <w:highlight w:val="none"/>
        </w:rPr>
        <w:fldChar w:fldCharType="end"/>
      </w:r>
      <w:r>
        <w:rPr>
          <w:color w:val="auto"/>
          <w:sz w:val="28"/>
          <w:szCs w:val="28"/>
          <w:highlight w:val="none"/>
        </w:rPr>
        <w:fldChar w:fldCharType="end"/>
      </w:r>
    </w:p>
    <w:p w14:paraId="7C3511CF">
      <w:pPr>
        <w:pStyle w:val="17"/>
        <w:tabs>
          <w:tab w:val="right" w:leader="dot" w:pos="9355"/>
        </w:tabs>
        <w:spacing w:line="360" w:lineRule="auto"/>
        <w:rPr>
          <w:rFonts w:hint="eastAsia"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_Toc14935 </w:instrText>
      </w:r>
      <w:r>
        <w:rPr>
          <w:color w:val="auto"/>
          <w:sz w:val="28"/>
          <w:szCs w:val="28"/>
          <w:highlight w:val="none"/>
        </w:rPr>
        <w:fldChar w:fldCharType="separate"/>
      </w:r>
      <w:r>
        <w:rPr>
          <w:rFonts w:ascii="宋体" w:hAnsi="宋体"/>
          <w:color w:val="auto"/>
          <w:sz w:val="28"/>
          <w:szCs w:val="28"/>
          <w:highlight w:val="none"/>
        </w:rPr>
        <w:t xml:space="preserve">第六章  </w:t>
      </w:r>
      <w:r>
        <w:rPr>
          <w:rFonts w:hint="eastAsia" w:ascii="宋体" w:hAnsi="宋体"/>
          <w:color w:val="auto"/>
          <w:sz w:val="28"/>
          <w:szCs w:val="28"/>
          <w:highlight w:val="none"/>
          <w:lang w:eastAsia="zh-CN"/>
        </w:rPr>
        <w:t>评分办法和标准</w:t>
      </w:r>
      <w:r>
        <w:rPr>
          <w:color w:val="auto"/>
          <w:sz w:val="28"/>
          <w:szCs w:val="28"/>
          <w:highlight w:val="none"/>
        </w:rPr>
        <w:tab/>
      </w:r>
      <w:r>
        <w:rPr>
          <w:rFonts w:hint="eastAsia"/>
          <w:color w:val="auto"/>
          <w:sz w:val="28"/>
          <w:szCs w:val="28"/>
          <w:highlight w:val="none"/>
          <w:lang w:val="en-US" w:eastAsia="zh-CN"/>
        </w:rPr>
        <w:t>9</w:t>
      </w:r>
      <w:r>
        <w:rPr>
          <w:color w:val="auto"/>
          <w:sz w:val="28"/>
          <w:szCs w:val="28"/>
          <w:highlight w:val="none"/>
        </w:rPr>
        <w:fldChar w:fldCharType="end"/>
      </w:r>
      <w:r>
        <w:rPr>
          <w:rFonts w:hint="eastAsia"/>
          <w:color w:val="auto"/>
          <w:sz w:val="28"/>
          <w:szCs w:val="28"/>
          <w:highlight w:val="none"/>
          <w:lang w:val="en-US" w:eastAsia="zh-CN"/>
        </w:rPr>
        <w:t>7</w:t>
      </w:r>
    </w:p>
    <w:p w14:paraId="493B70CA">
      <w:pPr>
        <w:pStyle w:val="17"/>
        <w:tabs>
          <w:tab w:val="right" w:leader="dot" w:pos="9355"/>
        </w:tabs>
        <w:spacing w:line="360" w:lineRule="auto"/>
        <w:rPr>
          <w:rFonts w:hint="default" w:eastAsia="宋体"/>
          <w:color w:val="auto"/>
          <w:sz w:val="28"/>
          <w:szCs w:val="28"/>
          <w:highlight w:val="none"/>
          <w:lang w:val="en-US" w:eastAsia="zh-CN"/>
        </w:rPr>
      </w:pPr>
      <w:r>
        <w:rPr>
          <w:color w:val="auto"/>
          <w:sz w:val="28"/>
          <w:szCs w:val="28"/>
          <w:highlight w:val="none"/>
        </w:rPr>
        <w:fldChar w:fldCharType="begin"/>
      </w:r>
      <w:r>
        <w:rPr>
          <w:color w:val="auto"/>
          <w:sz w:val="28"/>
          <w:szCs w:val="28"/>
          <w:highlight w:val="none"/>
        </w:rPr>
        <w:instrText xml:space="preserve"> HYPERLINK \l _Toc5706 </w:instrText>
      </w:r>
      <w:r>
        <w:rPr>
          <w:color w:val="auto"/>
          <w:sz w:val="28"/>
          <w:szCs w:val="28"/>
          <w:highlight w:val="none"/>
        </w:rPr>
        <w:fldChar w:fldCharType="separate"/>
      </w:r>
      <w:r>
        <w:rPr>
          <w:rFonts w:hint="eastAsia" w:ascii="宋体" w:hAnsi="宋体"/>
          <w:color w:val="auto"/>
          <w:sz w:val="28"/>
          <w:szCs w:val="28"/>
          <w:highlight w:val="none"/>
        </w:rPr>
        <w:t>第七章  施工图纸及工程量清单</w:t>
      </w:r>
      <w:r>
        <w:rPr>
          <w:color w:val="auto"/>
          <w:sz w:val="28"/>
          <w:szCs w:val="28"/>
          <w:highlight w:val="none"/>
        </w:rPr>
        <w:tab/>
      </w:r>
      <w:r>
        <w:rPr>
          <w:rFonts w:hint="eastAsia"/>
          <w:color w:val="auto"/>
          <w:sz w:val="28"/>
          <w:szCs w:val="28"/>
          <w:highlight w:val="none"/>
          <w:lang w:val="en-US" w:eastAsia="zh-CN"/>
        </w:rPr>
        <w:t>1</w:t>
      </w:r>
      <w:r>
        <w:rPr>
          <w:color w:val="auto"/>
          <w:sz w:val="28"/>
          <w:szCs w:val="28"/>
          <w:highlight w:val="none"/>
        </w:rPr>
        <w:fldChar w:fldCharType="end"/>
      </w:r>
      <w:r>
        <w:rPr>
          <w:rFonts w:hint="eastAsia"/>
          <w:color w:val="auto"/>
          <w:sz w:val="28"/>
          <w:szCs w:val="28"/>
          <w:highlight w:val="none"/>
          <w:lang w:val="en-US" w:eastAsia="zh-CN"/>
        </w:rPr>
        <w:t>04</w:t>
      </w:r>
    </w:p>
    <w:p w14:paraId="4BAEE6F9">
      <w:pPr>
        <w:pStyle w:val="33"/>
        <w:spacing w:line="360" w:lineRule="auto"/>
        <w:rPr>
          <w:color w:val="auto"/>
          <w:highlight w:val="none"/>
        </w:rPr>
      </w:pPr>
      <w:r>
        <w:rPr>
          <w:color w:val="auto"/>
          <w:sz w:val="28"/>
          <w:szCs w:val="28"/>
          <w:highlight w:val="none"/>
        </w:rPr>
        <w:fldChar w:fldCharType="end"/>
      </w:r>
    </w:p>
    <w:p w14:paraId="2F27C854">
      <w:pPr>
        <w:pStyle w:val="31"/>
        <w:spacing w:line="360" w:lineRule="auto"/>
        <w:jc w:val="center"/>
        <w:outlineLvl w:val="0"/>
        <w:rPr>
          <w:rFonts w:ascii="宋体" w:hAnsi="宋体"/>
          <w:color w:val="auto"/>
          <w:sz w:val="36"/>
          <w:highlight w:val="none"/>
        </w:rPr>
        <w:sectPr>
          <w:headerReference r:id="rId7" w:type="default"/>
          <w:footerReference r:id="rId8" w:type="default"/>
          <w:pgSz w:w="11906" w:h="16838"/>
          <w:pgMar w:top="1134" w:right="1134" w:bottom="1134" w:left="1417" w:header="851" w:footer="851" w:gutter="0"/>
          <w:cols w:space="720" w:num="1"/>
          <w:formProt w:val="1"/>
          <w:docGrid w:linePitch="312" w:charSpace="43007"/>
        </w:sectPr>
      </w:pPr>
    </w:p>
    <w:p w14:paraId="0F8A208F">
      <w:pPr>
        <w:pStyle w:val="32"/>
        <w:rPr>
          <w:color w:val="auto"/>
          <w:highlight w:val="none"/>
        </w:rPr>
      </w:pPr>
    </w:p>
    <w:p w14:paraId="1E281C98">
      <w:pPr>
        <w:pStyle w:val="31"/>
        <w:numPr>
          <w:ilvl w:val="0"/>
          <w:numId w:val="1"/>
        </w:numPr>
        <w:spacing w:line="360" w:lineRule="auto"/>
        <w:jc w:val="center"/>
        <w:outlineLvl w:val="0"/>
        <w:rPr>
          <w:rFonts w:ascii="宋体" w:hAnsi="宋体"/>
          <w:b/>
          <w:color w:val="auto"/>
          <w:sz w:val="32"/>
          <w:szCs w:val="32"/>
          <w:highlight w:val="none"/>
        </w:rPr>
      </w:pPr>
      <w:bookmarkStart w:id="1" w:name="_Toc12455"/>
      <w:r>
        <w:rPr>
          <w:rFonts w:ascii="宋体" w:hAnsi="宋体"/>
          <w:b/>
          <w:color w:val="auto"/>
          <w:sz w:val="32"/>
          <w:szCs w:val="32"/>
          <w:highlight w:val="none"/>
        </w:rPr>
        <w:t xml:space="preserve"> 竞争性磋商公告</w:t>
      </w:r>
      <w:bookmarkEnd w:id="1"/>
    </w:p>
    <w:p w14:paraId="2C35FA5E">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广西宏朗工程咨询服务有限公司</w:t>
      </w:r>
    </w:p>
    <w:p w14:paraId="45970072">
      <w:pPr>
        <w:pStyle w:val="2"/>
        <w:spacing w:line="360" w:lineRule="auto"/>
        <w:jc w:val="center"/>
        <w:rPr>
          <w:rFonts w:hint="eastAsia" w:ascii="宋体" w:hAnsi="宋体" w:cs="宋体"/>
          <w:color w:val="auto"/>
          <w:sz w:val="28"/>
          <w:szCs w:val="20"/>
          <w:highlight w:val="none"/>
          <w:lang w:eastAsia="zh-CN"/>
        </w:rPr>
      </w:pPr>
      <w:r>
        <w:rPr>
          <w:rFonts w:hint="eastAsia" w:ascii="宋体" w:hAnsi="宋体" w:cs="宋体"/>
          <w:color w:val="auto"/>
          <w:sz w:val="28"/>
          <w:szCs w:val="20"/>
          <w:highlight w:val="none"/>
          <w:lang w:eastAsia="zh-CN"/>
        </w:rPr>
        <w:t>关于</w:t>
      </w:r>
      <w:bookmarkStart w:id="2" w:name="_Toc24127"/>
      <w:r>
        <w:rPr>
          <w:rFonts w:hint="eastAsia" w:ascii="宋体" w:hAnsi="宋体" w:cs="宋体"/>
          <w:color w:val="auto"/>
          <w:sz w:val="28"/>
          <w:szCs w:val="20"/>
          <w:highlight w:val="none"/>
          <w:lang w:eastAsia="zh-CN"/>
        </w:rPr>
        <w:t xml:space="preserve">东门镇郝佐村郝章屯产业道路硬化项目 </w:t>
      </w:r>
    </w:p>
    <w:p w14:paraId="7CF900C6">
      <w:pPr>
        <w:pStyle w:val="2"/>
        <w:spacing w:line="360" w:lineRule="auto"/>
        <w:jc w:val="center"/>
        <w:rPr>
          <w:rFonts w:hint="eastAsia" w:ascii="宋体" w:hAnsi="宋体" w:cs="宋体"/>
          <w:color w:val="auto"/>
          <w:sz w:val="28"/>
          <w:szCs w:val="20"/>
          <w:highlight w:val="none"/>
        </w:rPr>
      </w:pPr>
      <w:r>
        <w:rPr>
          <w:rFonts w:hint="eastAsia" w:ascii="宋体" w:hAnsi="宋体" w:cs="宋体"/>
          <w:color w:val="auto"/>
          <w:sz w:val="28"/>
          <w:szCs w:val="20"/>
          <w:highlight w:val="none"/>
          <w:lang w:eastAsia="zh-CN"/>
        </w:rPr>
        <w:t>（项目编</w:t>
      </w:r>
      <w:r>
        <w:rPr>
          <w:rFonts w:hint="eastAsia" w:ascii="宋体" w:hAnsi="宋体" w:eastAsia="宋体" w:cs="宋体"/>
          <w:color w:val="auto"/>
          <w:sz w:val="28"/>
          <w:szCs w:val="20"/>
          <w:highlight w:val="none"/>
          <w:lang w:eastAsia="zh-CN"/>
        </w:rPr>
        <w:t>号：</w:t>
      </w:r>
      <w:r>
        <w:rPr>
          <w:rFonts w:hint="eastAsia" w:ascii="宋体" w:hAnsi="宋体" w:cs="宋体"/>
          <w:color w:val="auto"/>
          <w:sz w:val="28"/>
          <w:szCs w:val="20"/>
          <w:highlight w:val="none"/>
          <w:lang w:eastAsia="zh-CN"/>
        </w:rPr>
        <w:t>CZZC2025-C2-210059-GXHL）</w:t>
      </w:r>
      <w:bookmarkStart w:id="3" w:name="_Toc22582_WPSOffice_Level1"/>
      <w:r>
        <w:rPr>
          <w:rFonts w:hint="eastAsia" w:ascii="宋体" w:hAnsi="宋体" w:cs="宋体"/>
          <w:color w:val="auto"/>
          <w:sz w:val="28"/>
          <w:szCs w:val="20"/>
          <w:highlight w:val="none"/>
          <w:lang w:eastAsia="zh-CN"/>
        </w:rPr>
        <w:t>竞争性磋商公告</w:t>
      </w:r>
      <w:bookmarkEnd w:id="2"/>
      <w:bookmarkEnd w:id="3"/>
    </w:p>
    <w:p w14:paraId="0DD0A2B0">
      <w:pPr>
        <w:pBdr>
          <w:top w:val="single" w:color="auto" w:sz="4" w:space="1"/>
          <w:left w:val="single" w:color="auto" w:sz="4" w:space="4"/>
          <w:bottom w:val="single" w:color="auto" w:sz="4" w:space="1"/>
          <w:right w:val="single" w:color="auto" w:sz="4" w:space="4"/>
        </w:pBd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项目概况：</w:t>
      </w:r>
    </w:p>
    <w:p w14:paraId="5F49E78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u w:val="single"/>
          <w:lang w:eastAsia="zh-CN"/>
        </w:rPr>
        <w:t>东门镇郝佐村郝章屯产业道路硬化项目</w:t>
      </w:r>
      <w:r>
        <w:rPr>
          <w:rFonts w:hint="eastAsia" w:ascii="宋体" w:hAnsi="宋体" w:cs="宋体"/>
          <w:color w:val="auto"/>
          <w:sz w:val="21"/>
          <w:szCs w:val="21"/>
          <w:highlight w:val="none"/>
        </w:rPr>
        <w:t>的潜在供应商应</w:t>
      </w:r>
      <w:r>
        <w:rPr>
          <w:rFonts w:hint="eastAsia" w:eastAsia="宋体"/>
          <w:color w:val="auto"/>
          <w:sz w:val="21"/>
          <w:szCs w:val="21"/>
          <w:highlight w:val="none"/>
          <w:lang w:val="en-US" w:eastAsia="zh-CN"/>
        </w:rPr>
        <w:t>登录</w:t>
      </w:r>
      <w:r>
        <w:rPr>
          <w:rFonts w:hint="eastAsia"/>
          <w:color w:val="auto"/>
          <w:sz w:val="21"/>
          <w:szCs w:val="21"/>
          <w:highlight w:val="none"/>
          <w:u w:val="single"/>
          <w:lang w:val="en-US" w:eastAsia="zh-CN"/>
        </w:rPr>
        <w:t>广西政府采购云平台</w:t>
      </w:r>
      <w:r>
        <w:rPr>
          <w:rFonts w:hint="eastAsia" w:ascii="宋体" w:hAnsi="宋体" w:cs="宋体"/>
          <w:color w:val="auto"/>
          <w:sz w:val="21"/>
          <w:szCs w:val="21"/>
          <w:highlight w:val="none"/>
        </w:rPr>
        <w:t>获取采购文件，并于</w:t>
      </w:r>
      <w:r>
        <w:rPr>
          <w:rFonts w:hint="eastAsia" w:ascii="宋体" w:hAnsi="宋体" w:cs="宋体"/>
          <w:color w:val="auto"/>
          <w:sz w:val="21"/>
          <w:szCs w:val="21"/>
          <w:highlight w:val="none"/>
          <w:lang w:val="en-US" w:eastAsia="zh-CN"/>
        </w:rPr>
        <w:t>2025年9月15日9时00分</w:t>
      </w:r>
      <w:r>
        <w:rPr>
          <w:rFonts w:hint="eastAsia" w:ascii="宋体" w:hAnsi="宋体" w:cs="宋体"/>
          <w:bCs/>
          <w:color w:val="auto"/>
          <w:sz w:val="21"/>
          <w:szCs w:val="21"/>
          <w:highlight w:val="none"/>
        </w:rPr>
        <w:t>（北京时间）前</w:t>
      </w:r>
      <w:r>
        <w:rPr>
          <w:rFonts w:hint="eastAsia" w:ascii="宋体" w:hAnsi="宋体" w:cs="宋体"/>
          <w:bCs/>
          <w:color w:val="auto"/>
          <w:sz w:val="21"/>
          <w:szCs w:val="21"/>
          <w:highlight w:val="none"/>
          <w:lang w:eastAsia="zh-CN"/>
        </w:rPr>
        <w:t>上传（提交）</w:t>
      </w:r>
      <w:r>
        <w:rPr>
          <w:rFonts w:hint="eastAsia" w:ascii="宋体" w:hAnsi="宋体" w:cs="宋体"/>
          <w:bCs/>
          <w:color w:val="auto"/>
          <w:sz w:val="21"/>
          <w:szCs w:val="21"/>
          <w:highlight w:val="none"/>
        </w:rPr>
        <w:t>响应文件</w:t>
      </w:r>
      <w:r>
        <w:rPr>
          <w:rFonts w:hint="eastAsia" w:ascii="宋体" w:hAnsi="宋体" w:cs="宋体"/>
          <w:color w:val="auto"/>
          <w:sz w:val="21"/>
          <w:szCs w:val="21"/>
          <w:highlight w:val="none"/>
        </w:rPr>
        <w:t>。</w:t>
      </w:r>
    </w:p>
    <w:p w14:paraId="3C8623F9">
      <w:pPr>
        <w:spacing w:line="360" w:lineRule="auto"/>
        <w:ind w:firstLine="422" w:firstLineChars="200"/>
        <w:rPr>
          <w:rFonts w:hint="eastAsia"/>
          <w:color w:val="auto"/>
          <w:sz w:val="21"/>
          <w:szCs w:val="21"/>
          <w:highlight w:val="none"/>
          <w:lang w:eastAsia="zh-CN"/>
        </w:rPr>
      </w:pPr>
      <w:bookmarkStart w:id="4" w:name="_Toc35393798"/>
      <w:bookmarkStart w:id="5" w:name="_Toc28359012"/>
      <w:bookmarkStart w:id="6" w:name="_Toc35393629"/>
      <w:bookmarkStart w:id="7" w:name="_Toc28359089"/>
      <w:r>
        <w:rPr>
          <w:rFonts w:hint="eastAsia" w:ascii="宋体" w:hAnsi="宋体" w:cs="宋体"/>
          <w:b/>
          <w:bCs/>
          <w:color w:val="auto"/>
          <w:sz w:val="21"/>
          <w:szCs w:val="21"/>
          <w:highlight w:val="none"/>
        </w:rPr>
        <w:t>一</w:t>
      </w:r>
      <w:r>
        <w:rPr>
          <w:rFonts w:hint="eastAsia"/>
          <w:b/>
          <w:bCs/>
          <w:color w:val="auto"/>
          <w:sz w:val="21"/>
          <w:szCs w:val="21"/>
          <w:highlight w:val="none"/>
        </w:rPr>
        <w:t>、项目基本情况</w:t>
      </w:r>
      <w:bookmarkEnd w:id="4"/>
      <w:bookmarkEnd w:id="5"/>
      <w:bookmarkEnd w:id="6"/>
      <w:bookmarkEnd w:id="7"/>
      <w:r>
        <w:rPr>
          <w:rFonts w:hint="eastAsia"/>
          <w:b/>
          <w:bCs/>
          <w:color w:val="auto"/>
          <w:sz w:val="21"/>
          <w:szCs w:val="21"/>
          <w:highlight w:val="none"/>
        </w:rPr>
        <w:t>：</w:t>
      </w:r>
    </w:p>
    <w:p w14:paraId="304408A6">
      <w:pPr>
        <w:spacing w:line="360" w:lineRule="auto"/>
        <w:ind w:firstLine="420" w:firstLineChars="200"/>
        <w:rPr>
          <w:rFonts w:hint="eastAsia"/>
          <w:color w:val="auto"/>
          <w:sz w:val="21"/>
          <w:szCs w:val="21"/>
          <w:highlight w:val="none"/>
          <w:lang w:eastAsia="zh-CN"/>
        </w:rPr>
      </w:pPr>
      <w:r>
        <w:rPr>
          <w:rFonts w:hint="eastAsia"/>
          <w:color w:val="auto"/>
          <w:sz w:val="21"/>
          <w:szCs w:val="21"/>
          <w:highlight w:val="none"/>
          <w:lang w:eastAsia="zh-CN"/>
        </w:rPr>
        <w:t>1.项目编号：CZZC2025-C2-210059-GXHL</w:t>
      </w:r>
    </w:p>
    <w:p w14:paraId="2747441C">
      <w:pPr>
        <w:spacing w:line="360" w:lineRule="auto"/>
        <w:ind w:firstLine="420" w:firstLineChars="200"/>
        <w:rPr>
          <w:rFonts w:hint="eastAsia"/>
          <w:color w:val="auto"/>
          <w:sz w:val="21"/>
          <w:szCs w:val="21"/>
          <w:highlight w:val="none"/>
        </w:rPr>
      </w:pPr>
      <w:r>
        <w:rPr>
          <w:rFonts w:hint="eastAsia"/>
          <w:color w:val="auto"/>
          <w:sz w:val="21"/>
          <w:szCs w:val="21"/>
          <w:highlight w:val="none"/>
        </w:rPr>
        <w:t>2.项目名称：</w:t>
      </w:r>
      <w:r>
        <w:rPr>
          <w:rFonts w:hint="eastAsia"/>
          <w:color w:val="auto"/>
          <w:sz w:val="21"/>
          <w:szCs w:val="21"/>
          <w:highlight w:val="none"/>
          <w:lang w:eastAsia="zh-CN"/>
        </w:rPr>
        <w:t>东门镇郝佐村郝章屯产业道路硬化项目</w:t>
      </w:r>
      <w:r>
        <w:rPr>
          <w:rFonts w:hint="eastAsia"/>
          <w:color w:val="auto"/>
          <w:sz w:val="21"/>
          <w:szCs w:val="21"/>
          <w:highlight w:val="none"/>
        </w:rPr>
        <w:t>。</w:t>
      </w:r>
    </w:p>
    <w:p w14:paraId="0C070C42">
      <w:pPr>
        <w:spacing w:line="360" w:lineRule="auto"/>
        <w:ind w:firstLine="420" w:firstLineChars="200"/>
        <w:rPr>
          <w:rFonts w:hint="eastAsia" w:ascii="Times New Roman" w:hAnsi="Times New Roman" w:eastAsia="宋体" w:cs="Times New Roman"/>
          <w:bCs w:val="0"/>
          <w:color w:val="auto"/>
          <w:spacing w:val="0"/>
          <w:sz w:val="21"/>
          <w:szCs w:val="21"/>
          <w:highlight w:val="none"/>
          <w:lang w:val="en-US" w:eastAsia="zh-CN" w:bidi="hi-IN"/>
        </w:rPr>
      </w:pPr>
      <w:r>
        <w:rPr>
          <w:rFonts w:hint="eastAsia"/>
          <w:color w:val="auto"/>
          <w:sz w:val="21"/>
          <w:szCs w:val="21"/>
          <w:highlight w:val="none"/>
        </w:rPr>
        <w:t>3.采购方式：竞争性磋商。</w:t>
      </w:r>
    </w:p>
    <w:p w14:paraId="3CDC9F96">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4.采购预算金额：人民币</w:t>
      </w:r>
      <w:bookmarkStart w:id="8" w:name="OLE_LINK3"/>
      <w:r>
        <w:rPr>
          <w:rFonts w:hint="eastAsia" w:ascii="Times New Roman" w:hAnsi="Times New Roman" w:cs="Times New Roman"/>
          <w:bCs w:val="0"/>
          <w:color w:val="auto"/>
          <w:spacing w:val="0"/>
          <w:sz w:val="21"/>
          <w:szCs w:val="21"/>
          <w:highlight w:val="none"/>
          <w:lang w:val="en-US" w:eastAsia="zh-CN" w:bidi="hi-IN"/>
        </w:rPr>
        <w:t>壹佰壹拾伍万叁仟肆佰捌拾陆元整</w:t>
      </w:r>
      <w:r>
        <w:rPr>
          <w:rFonts w:hint="eastAsia" w:ascii="Times New Roman" w:hAnsi="Times New Roman" w:eastAsia="宋体" w:cs="Times New Roman"/>
          <w:bCs w:val="0"/>
          <w:color w:val="auto"/>
          <w:spacing w:val="0"/>
          <w:sz w:val="21"/>
          <w:szCs w:val="21"/>
          <w:highlight w:val="none"/>
          <w:lang w:val="en-US" w:eastAsia="zh-CN" w:bidi="hi-IN"/>
        </w:rPr>
        <w:t>（¥1153486.00）</w:t>
      </w:r>
      <w:bookmarkEnd w:id="8"/>
      <w:r>
        <w:rPr>
          <w:rFonts w:hint="eastAsia" w:ascii="Times New Roman" w:hAnsi="Times New Roman" w:eastAsia="宋体" w:cs="Times New Roman"/>
          <w:bCs w:val="0"/>
          <w:color w:val="auto"/>
          <w:spacing w:val="0"/>
          <w:sz w:val="21"/>
          <w:szCs w:val="21"/>
          <w:highlight w:val="none"/>
          <w:lang w:val="en-US" w:eastAsia="zh-CN" w:bidi="hi-IN"/>
        </w:rPr>
        <w:t>。</w:t>
      </w:r>
    </w:p>
    <w:p w14:paraId="62351F6C">
      <w:pPr>
        <w:pStyle w:val="28"/>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cs="Times New Roman"/>
          <w:bCs w:val="0"/>
          <w:color w:val="auto"/>
          <w:spacing w:val="0"/>
          <w:sz w:val="21"/>
          <w:szCs w:val="21"/>
          <w:highlight w:val="none"/>
          <w:lang w:val="en-US" w:eastAsia="zh-CN" w:bidi="hi-IN"/>
        </w:rPr>
        <w:t>5.</w:t>
      </w:r>
      <w:r>
        <w:rPr>
          <w:rFonts w:hint="eastAsia" w:ascii="Times New Roman" w:hAnsi="Times New Roman" w:eastAsia="宋体" w:cs="Times New Roman"/>
          <w:bCs w:val="0"/>
          <w:color w:val="auto"/>
          <w:spacing w:val="0"/>
          <w:sz w:val="21"/>
          <w:szCs w:val="21"/>
          <w:highlight w:val="none"/>
          <w:lang w:val="en-US" w:eastAsia="zh-CN" w:bidi="hi-IN"/>
        </w:rPr>
        <w:t>最高限价：人民币</w:t>
      </w:r>
      <w:r>
        <w:rPr>
          <w:rFonts w:hint="eastAsia" w:ascii="Times New Roman" w:hAnsi="Times New Roman" w:cs="Times New Roman"/>
          <w:bCs w:val="0"/>
          <w:color w:val="auto"/>
          <w:spacing w:val="0"/>
          <w:sz w:val="21"/>
          <w:szCs w:val="21"/>
          <w:highlight w:val="none"/>
          <w:lang w:val="en-US" w:eastAsia="zh-CN" w:bidi="hi-IN"/>
        </w:rPr>
        <w:t>壹佰壹拾伍万叁仟肆佰捌拾陆元整</w:t>
      </w:r>
      <w:r>
        <w:rPr>
          <w:rFonts w:hint="eastAsia" w:ascii="Times New Roman" w:hAnsi="Times New Roman" w:eastAsia="宋体" w:cs="Times New Roman"/>
          <w:bCs w:val="0"/>
          <w:color w:val="auto"/>
          <w:spacing w:val="0"/>
          <w:sz w:val="21"/>
          <w:szCs w:val="21"/>
          <w:highlight w:val="none"/>
          <w:lang w:val="en-US" w:eastAsia="zh-CN" w:bidi="hi-IN"/>
        </w:rPr>
        <w:t>（¥1153486.00）。</w:t>
      </w:r>
    </w:p>
    <w:p w14:paraId="74C1254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Cs w:val="0"/>
          <w:color w:val="auto"/>
          <w:spacing w:val="0"/>
          <w:sz w:val="21"/>
          <w:szCs w:val="21"/>
          <w:highlight w:val="none"/>
          <w:lang w:val="en-US" w:eastAsia="zh-CN" w:bidi="hi-IN"/>
        </w:rPr>
      </w:pPr>
      <w:r>
        <w:rPr>
          <w:rFonts w:hint="eastAsia" w:ascii="Times New Roman" w:hAnsi="Times New Roman" w:eastAsia="宋体" w:cs="Times New Roman"/>
          <w:bCs w:val="0"/>
          <w:color w:val="auto"/>
          <w:spacing w:val="0"/>
          <w:sz w:val="21"/>
          <w:szCs w:val="21"/>
          <w:highlight w:val="none"/>
          <w:lang w:val="en-US" w:eastAsia="zh-CN" w:bidi="hi-IN"/>
        </w:rPr>
        <w:t>6.采购需求：</w:t>
      </w:r>
      <w:r>
        <w:rPr>
          <w:rFonts w:hint="eastAsia" w:cs="Times New Roman"/>
          <w:bCs w:val="0"/>
          <w:color w:val="auto"/>
          <w:spacing w:val="0"/>
          <w:sz w:val="21"/>
          <w:szCs w:val="21"/>
          <w:highlight w:val="none"/>
          <w:lang w:val="en-US" w:eastAsia="zh-CN" w:bidi="hi-IN"/>
        </w:rPr>
        <w:t>本项目位于崇左市扶绥县东门镇，设计范围：那章屯至白尧村，建设内容：道路设计全长1261.796米，设计速度15km/h，标准段道路红线宽度4.5米，路面类型为混凝土路面</w:t>
      </w:r>
      <w:r>
        <w:rPr>
          <w:rFonts w:hint="eastAsia" w:ascii="Times New Roman" w:hAnsi="Times New Roman" w:eastAsia="宋体" w:cs="Times New Roman"/>
          <w:bCs w:val="0"/>
          <w:color w:val="auto"/>
          <w:spacing w:val="0"/>
          <w:sz w:val="21"/>
          <w:szCs w:val="21"/>
          <w:highlight w:val="none"/>
          <w:lang w:val="en-US" w:eastAsia="zh-CN" w:bidi="hi-IN"/>
        </w:rPr>
        <w:t xml:space="preserve">等，以工程量清单和图纸包含的内容为准。 </w:t>
      </w:r>
    </w:p>
    <w:p w14:paraId="66BDF7A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7.合同履行期限：</w:t>
      </w:r>
      <w:r>
        <w:rPr>
          <w:rFonts w:hint="eastAsia"/>
          <w:color w:val="auto"/>
          <w:sz w:val="21"/>
          <w:szCs w:val="21"/>
          <w:highlight w:val="none"/>
          <w:lang w:val="en-US" w:eastAsia="zh-CN"/>
        </w:rPr>
        <w:t>60日历天</w:t>
      </w:r>
      <w:r>
        <w:rPr>
          <w:rFonts w:hint="eastAsia"/>
          <w:color w:val="auto"/>
          <w:sz w:val="21"/>
          <w:szCs w:val="21"/>
          <w:highlight w:val="none"/>
        </w:rPr>
        <w:t>。</w:t>
      </w:r>
    </w:p>
    <w:p w14:paraId="6B2F5C83">
      <w:pPr>
        <w:spacing w:line="360" w:lineRule="auto"/>
        <w:ind w:firstLine="420" w:firstLineChars="200"/>
        <w:rPr>
          <w:rFonts w:hint="eastAsia"/>
          <w:color w:val="auto"/>
          <w:sz w:val="21"/>
          <w:szCs w:val="21"/>
          <w:highlight w:val="none"/>
        </w:rPr>
      </w:pPr>
      <w:r>
        <w:rPr>
          <w:rFonts w:hint="eastAsia"/>
          <w:color w:val="auto"/>
          <w:sz w:val="21"/>
          <w:szCs w:val="21"/>
          <w:highlight w:val="none"/>
        </w:rPr>
        <w:t>8.本项目不接受联合体。</w:t>
      </w:r>
    </w:p>
    <w:p w14:paraId="1A8FCCD3">
      <w:pPr>
        <w:spacing w:line="360" w:lineRule="auto"/>
        <w:rPr>
          <w:b/>
          <w:bCs/>
          <w:color w:val="auto"/>
          <w:sz w:val="21"/>
          <w:szCs w:val="21"/>
          <w:highlight w:val="none"/>
        </w:rPr>
      </w:pPr>
      <w:bookmarkStart w:id="9" w:name="_Toc28359090"/>
      <w:bookmarkStart w:id="10" w:name="_Toc35393799"/>
      <w:bookmarkStart w:id="11" w:name="_Toc35393630"/>
      <w:bookmarkStart w:id="12" w:name="_Toc28359013"/>
      <w:r>
        <w:rPr>
          <w:rFonts w:hint="eastAsia"/>
          <w:b/>
          <w:bCs/>
          <w:color w:val="auto"/>
          <w:sz w:val="21"/>
          <w:szCs w:val="21"/>
          <w:highlight w:val="none"/>
        </w:rPr>
        <w:t>二、申请人的资格要求：</w:t>
      </w:r>
      <w:bookmarkEnd w:id="9"/>
      <w:bookmarkEnd w:id="10"/>
      <w:bookmarkEnd w:id="11"/>
      <w:bookmarkEnd w:id="12"/>
    </w:p>
    <w:p w14:paraId="26A2EE19">
      <w:pPr>
        <w:spacing w:line="360" w:lineRule="auto"/>
        <w:ind w:firstLine="420" w:firstLineChars="200"/>
        <w:rPr>
          <w:rFonts w:hint="eastAsia"/>
          <w:color w:val="auto"/>
          <w:sz w:val="21"/>
          <w:szCs w:val="21"/>
          <w:highlight w:val="none"/>
        </w:rPr>
      </w:pPr>
      <w:bookmarkStart w:id="13" w:name="_Toc28359091"/>
      <w:bookmarkStart w:id="14" w:name="_Toc28359014"/>
      <w:r>
        <w:rPr>
          <w:rFonts w:hint="eastAsia"/>
          <w:color w:val="auto"/>
          <w:sz w:val="21"/>
          <w:szCs w:val="21"/>
          <w:highlight w:val="none"/>
        </w:rPr>
        <w:t>1.满足《中华人民共和国政府采购法》第二十二条规定；</w:t>
      </w:r>
    </w:p>
    <w:p w14:paraId="4056B71A">
      <w:pPr>
        <w:spacing w:line="360" w:lineRule="auto"/>
        <w:ind w:firstLine="420" w:firstLineChars="200"/>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本项目专门面向中小企业采购，预留份额100%</w:t>
      </w:r>
      <w:r>
        <w:rPr>
          <w:rFonts w:hint="eastAsia"/>
          <w:color w:val="auto"/>
          <w:sz w:val="21"/>
          <w:szCs w:val="21"/>
          <w:highlight w:val="none"/>
        </w:rPr>
        <w:t>。</w:t>
      </w:r>
    </w:p>
    <w:p w14:paraId="14697B3B">
      <w:pPr>
        <w:keepNext w:val="0"/>
        <w:keepLines w:val="0"/>
        <w:pageBreakBefore w:val="0"/>
        <w:kinsoku/>
        <w:wordWrap/>
        <w:overflowPunct/>
        <w:topLinePunct w:val="0"/>
        <w:autoSpaceDE/>
        <w:autoSpaceDN/>
        <w:bidi w:val="0"/>
        <w:adjustRightInd/>
        <w:spacing w:line="336"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3</w:t>
      </w:r>
      <w:r>
        <w:rPr>
          <w:rFonts w:hint="eastAsia"/>
          <w:color w:val="auto"/>
          <w:sz w:val="21"/>
          <w:szCs w:val="21"/>
          <w:highlight w:val="none"/>
        </w:rPr>
        <w:t>.本项目的特定资格要求：</w:t>
      </w:r>
      <w:bookmarkStart w:id="15" w:name="_Toc35393631"/>
      <w:bookmarkStart w:id="16" w:name="_Toc35393800"/>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市政公用工程施工总承包三级或</w:t>
      </w:r>
      <w:r>
        <w:rPr>
          <w:rFonts w:hint="eastAsia"/>
          <w:color w:val="auto"/>
          <w:sz w:val="21"/>
          <w:szCs w:val="21"/>
          <w:highlight w:val="none"/>
          <w:lang w:eastAsia="zh-CN"/>
        </w:rPr>
        <w:t>公路工程施工总承包三级(含三级)</w:t>
      </w:r>
      <w:r>
        <w:rPr>
          <w:rFonts w:hint="eastAsia" w:ascii="宋体" w:hAnsi="宋体" w:eastAsia="宋体" w:cs="宋体"/>
          <w:color w:val="auto"/>
          <w:sz w:val="21"/>
          <w:szCs w:val="21"/>
          <w:highlight w:val="none"/>
          <w:lang w:eastAsia="zh-CN"/>
        </w:rPr>
        <w:t>及以上资质，并在人员、设备、资金等方面具有相应的施工能力</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拟派驻的项目经理须具备</w:t>
      </w:r>
      <w:r>
        <w:rPr>
          <w:rFonts w:hint="eastAsia" w:ascii="宋体" w:hAnsi="宋体" w:cs="宋体"/>
          <w:color w:val="auto"/>
          <w:sz w:val="21"/>
          <w:szCs w:val="21"/>
          <w:highlight w:val="none"/>
          <w:lang w:eastAsia="zh-CN"/>
        </w:rPr>
        <w:t>市政公用工程专业二级或</w:t>
      </w:r>
      <w:r>
        <w:rPr>
          <w:rFonts w:hint="eastAsia"/>
          <w:color w:val="auto"/>
          <w:sz w:val="21"/>
          <w:szCs w:val="21"/>
          <w:highlight w:val="none"/>
          <w:lang w:eastAsia="zh-CN"/>
        </w:rPr>
        <w:t>公路工程专业二级</w:t>
      </w:r>
      <w:r>
        <w:rPr>
          <w:rFonts w:hint="eastAsia" w:ascii="宋体" w:hAnsi="宋体" w:eastAsia="宋体" w:cs="宋体"/>
          <w:color w:val="auto"/>
          <w:sz w:val="21"/>
          <w:szCs w:val="21"/>
          <w:highlight w:val="none"/>
          <w:lang w:eastAsia="zh-CN"/>
        </w:rPr>
        <w:t>以上（含</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lang w:eastAsia="zh-CN"/>
        </w:rPr>
        <w:t>级）注册建造师执业资格，具备有效的安全生产考核合格证书（B类），且为本单位在职员工</w:t>
      </w:r>
      <w:r>
        <w:rPr>
          <w:rFonts w:hint="eastAsia"/>
          <w:color w:val="auto"/>
          <w:sz w:val="21"/>
          <w:szCs w:val="21"/>
          <w:highlight w:val="none"/>
          <w:lang w:eastAsia="zh-CN"/>
        </w:rPr>
        <w:t>。</w:t>
      </w:r>
    </w:p>
    <w:p w14:paraId="0AFF3CDD">
      <w:pPr>
        <w:spacing w:line="360" w:lineRule="auto"/>
        <w:rPr>
          <w:b/>
          <w:bCs/>
          <w:color w:val="auto"/>
          <w:sz w:val="21"/>
          <w:szCs w:val="21"/>
          <w:highlight w:val="none"/>
        </w:rPr>
      </w:pPr>
      <w:r>
        <w:rPr>
          <w:rFonts w:hint="eastAsia"/>
          <w:b/>
          <w:bCs/>
          <w:color w:val="auto"/>
          <w:sz w:val="21"/>
          <w:szCs w:val="21"/>
          <w:highlight w:val="none"/>
        </w:rPr>
        <w:t>三、获取采购文件</w:t>
      </w:r>
      <w:bookmarkEnd w:id="13"/>
      <w:bookmarkEnd w:id="14"/>
      <w:bookmarkEnd w:id="15"/>
      <w:bookmarkEnd w:id="16"/>
    </w:p>
    <w:p w14:paraId="0928F4CC">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1.时间：</w:t>
      </w:r>
      <w:r>
        <w:rPr>
          <w:rFonts w:hint="eastAsia" w:ascii="宋体" w:hAnsi="宋体" w:cs="宋体"/>
          <w:color w:val="auto"/>
          <w:sz w:val="21"/>
          <w:szCs w:val="21"/>
          <w:highlight w:val="none"/>
          <w:lang w:eastAsia="zh-CN"/>
        </w:rPr>
        <w:t>2025年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lang w:eastAsia="zh-CN"/>
        </w:rPr>
        <w:t>日起至202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lang w:eastAsia="zh-CN"/>
        </w:rPr>
        <w:t>年</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月</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lang w:eastAsia="zh-CN"/>
        </w:rPr>
        <w:t>日。</w:t>
      </w:r>
    </w:p>
    <w:p w14:paraId="67781454">
      <w:pPr>
        <w:pageBreakBefore w:val="0"/>
        <w:widowControl w:val="0"/>
        <w:kinsoku/>
        <w:wordWrap/>
        <w:overflowPunct/>
        <w:topLinePunct w:val="0"/>
        <w:autoSpaceDE/>
        <w:autoSpaceDN/>
        <w:bidi w:val="0"/>
        <w:snapToGrid/>
        <w:spacing w:line="327"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2.</w:t>
      </w:r>
      <w:r>
        <w:rPr>
          <w:rFonts w:hint="default" w:eastAsia="宋体"/>
          <w:color w:val="auto"/>
          <w:sz w:val="21"/>
          <w:szCs w:val="21"/>
          <w:highlight w:val="none"/>
          <w:lang w:val="en-US" w:eastAsia="zh-CN"/>
        </w:rPr>
        <w:t>地点：</w:t>
      </w:r>
      <w:r>
        <w:rPr>
          <w:rFonts w:hint="eastAsia"/>
          <w:color w:val="auto"/>
          <w:sz w:val="21"/>
          <w:szCs w:val="21"/>
          <w:highlight w:val="none"/>
          <w:lang w:val="en-US" w:eastAsia="zh-CN"/>
        </w:rPr>
        <w:t>广西政府采购云平台线上</w:t>
      </w:r>
      <w:r>
        <w:rPr>
          <w:rFonts w:hint="default" w:eastAsia="宋体"/>
          <w:color w:val="auto"/>
          <w:sz w:val="21"/>
          <w:szCs w:val="21"/>
          <w:highlight w:val="none"/>
          <w:lang w:val="en-US" w:eastAsia="zh-CN"/>
        </w:rPr>
        <w:t>。</w:t>
      </w:r>
    </w:p>
    <w:p w14:paraId="78DED1E0">
      <w:pPr>
        <w:pageBreakBefore w:val="0"/>
        <w:widowControl w:val="0"/>
        <w:kinsoku/>
        <w:wordWrap/>
        <w:overflowPunct/>
        <w:topLinePunct w:val="0"/>
        <w:autoSpaceDE/>
        <w:autoSpaceDN/>
        <w:bidi w:val="0"/>
        <w:snapToGrid/>
        <w:spacing w:line="327" w:lineRule="auto"/>
        <w:ind w:firstLine="420" w:firstLineChars="200"/>
        <w:rPr>
          <w:rFonts w:ascii="宋体" w:hAnsi="宋体" w:cs="宋体"/>
          <w:color w:val="auto"/>
          <w:sz w:val="21"/>
          <w:szCs w:val="21"/>
          <w:highlight w:val="none"/>
          <w:u w:val="single"/>
        </w:rPr>
      </w:pPr>
      <w:r>
        <w:rPr>
          <w:rFonts w:hint="eastAsia"/>
          <w:color w:val="auto"/>
          <w:sz w:val="21"/>
          <w:szCs w:val="21"/>
          <w:highlight w:val="none"/>
          <w:lang w:val="en-US" w:eastAsia="zh-CN"/>
        </w:rPr>
        <w:t>3.</w:t>
      </w:r>
      <w:r>
        <w:rPr>
          <w:rFonts w:hint="default" w:eastAsia="宋体"/>
          <w:color w:val="auto"/>
          <w:sz w:val="21"/>
          <w:szCs w:val="21"/>
          <w:highlight w:val="none"/>
          <w:lang w:val="en-US" w:eastAsia="zh-CN"/>
        </w:rPr>
        <w:t>方式：</w:t>
      </w:r>
      <w:r>
        <w:rPr>
          <w:rFonts w:hint="eastAsia" w:ascii="宋体" w:hAnsi="宋体" w:eastAsia="宋体" w:cs="宋体"/>
          <w:color w:val="auto"/>
          <w:sz w:val="21"/>
          <w:szCs w:val="21"/>
          <w:highlight w:val="none"/>
        </w:rPr>
        <w:t>供应商登录</w:t>
      </w:r>
      <w:r>
        <w:rPr>
          <w:rFonts w:hint="eastAsia" w:ascii="宋体" w:hAnsi="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在线申请获取采购文件（进入“项目采购”应用，在获取采购文件菜单中选择项目，申请获取采购文件）。</w:t>
      </w:r>
    </w:p>
    <w:p w14:paraId="252E1D91">
      <w:pPr>
        <w:spacing w:line="360" w:lineRule="auto"/>
        <w:rPr>
          <w:rFonts w:hint="eastAsia"/>
          <w:b/>
          <w:bCs/>
          <w:color w:val="auto"/>
          <w:sz w:val="21"/>
          <w:szCs w:val="21"/>
          <w:highlight w:val="none"/>
        </w:rPr>
      </w:pPr>
      <w:bookmarkStart w:id="17" w:name="_Toc28359092"/>
      <w:bookmarkStart w:id="18" w:name="_Toc35393632"/>
      <w:bookmarkStart w:id="19" w:name="_Toc28359015"/>
      <w:bookmarkStart w:id="20" w:name="_Toc35393801"/>
      <w:r>
        <w:rPr>
          <w:rFonts w:hint="eastAsia"/>
          <w:b/>
          <w:bCs/>
          <w:color w:val="auto"/>
          <w:sz w:val="21"/>
          <w:szCs w:val="21"/>
          <w:highlight w:val="none"/>
        </w:rPr>
        <w:t>四、响应文件提交</w:t>
      </w:r>
      <w:bookmarkEnd w:id="17"/>
      <w:bookmarkEnd w:id="18"/>
      <w:bookmarkEnd w:id="19"/>
      <w:bookmarkEnd w:id="20"/>
      <w:r>
        <w:rPr>
          <w:rFonts w:hint="eastAsia"/>
          <w:b/>
          <w:bCs/>
          <w:color w:val="auto"/>
          <w:sz w:val="21"/>
          <w:szCs w:val="21"/>
          <w:highlight w:val="none"/>
        </w:rPr>
        <w:t>：</w:t>
      </w:r>
    </w:p>
    <w:p w14:paraId="139517EA">
      <w:pPr>
        <w:spacing w:line="360" w:lineRule="auto"/>
        <w:rPr>
          <w:rFonts w:hint="eastAsia"/>
          <w:color w:val="auto"/>
          <w:sz w:val="21"/>
          <w:szCs w:val="21"/>
          <w:highlight w:val="none"/>
        </w:rPr>
      </w:pPr>
      <w:r>
        <w:rPr>
          <w:rFonts w:hint="eastAsia"/>
          <w:color w:val="auto"/>
          <w:sz w:val="21"/>
          <w:szCs w:val="21"/>
          <w:highlight w:val="none"/>
        </w:rPr>
        <w:t>截止时间：</w:t>
      </w:r>
      <w:r>
        <w:rPr>
          <w:rFonts w:hint="eastAsia" w:ascii="宋体" w:hAnsi="宋体" w:cs="宋体"/>
          <w:color w:val="auto"/>
          <w:sz w:val="21"/>
          <w:szCs w:val="21"/>
          <w:highlight w:val="none"/>
          <w:lang w:val="en-US" w:eastAsia="zh-CN"/>
        </w:rPr>
        <w:t>2025年9月15日9时00分</w:t>
      </w:r>
      <w:r>
        <w:rPr>
          <w:rFonts w:hint="eastAsia"/>
          <w:color w:val="auto"/>
          <w:sz w:val="21"/>
          <w:szCs w:val="21"/>
          <w:highlight w:val="none"/>
        </w:rPr>
        <w:t>（北京时间）</w:t>
      </w:r>
    </w:p>
    <w:p w14:paraId="539B79EE">
      <w:pPr>
        <w:spacing w:line="360" w:lineRule="auto"/>
        <w:rPr>
          <w:color w:val="auto"/>
          <w:sz w:val="21"/>
          <w:szCs w:val="21"/>
          <w:highlight w:val="none"/>
        </w:rPr>
      </w:pPr>
      <w:r>
        <w:rPr>
          <w:rFonts w:hint="eastAsia"/>
          <w:color w:val="auto"/>
          <w:sz w:val="21"/>
          <w:szCs w:val="21"/>
          <w:highlight w:val="none"/>
          <w:lang w:eastAsia="zh-CN"/>
        </w:rPr>
        <w:t>地址（网址）：通过广西政府采购云平台实行在线投标</w:t>
      </w:r>
      <w:r>
        <w:rPr>
          <w:rFonts w:hint="eastAsia" w:ascii="宋体" w:hAnsi="宋体" w:cs="宋体"/>
          <w:color w:val="auto"/>
          <w:sz w:val="21"/>
          <w:szCs w:val="21"/>
          <w:highlight w:val="none"/>
        </w:rPr>
        <w:t>。</w:t>
      </w:r>
    </w:p>
    <w:p w14:paraId="525CFA84">
      <w:pPr>
        <w:numPr>
          <w:ilvl w:val="0"/>
          <w:numId w:val="2"/>
        </w:numPr>
        <w:spacing w:line="360" w:lineRule="auto"/>
        <w:rPr>
          <w:rFonts w:hint="eastAsia"/>
          <w:color w:val="auto"/>
          <w:sz w:val="21"/>
          <w:szCs w:val="21"/>
          <w:highlight w:val="none"/>
        </w:rPr>
      </w:pPr>
      <w:bookmarkStart w:id="21" w:name="_Toc35393802"/>
      <w:bookmarkStart w:id="22" w:name="_Toc35393633"/>
      <w:bookmarkStart w:id="23" w:name="_Toc28359016"/>
      <w:bookmarkStart w:id="24" w:name="_Toc28359093"/>
      <w:r>
        <w:rPr>
          <w:rFonts w:hint="eastAsia"/>
          <w:b/>
          <w:bCs/>
          <w:color w:val="auto"/>
          <w:sz w:val="21"/>
          <w:szCs w:val="21"/>
          <w:highlight w:val="none"/>
        </w:rPr>
        <w:t>开启</w:t>
      </w:r>
      <w:bookmarkEnd w:id="21"/>
      <w:bookmarkEnd w:id="22"/>
      <w:bookmarkEnd w:id="23"/>
      <w:bookmarkEnd w:id="24"/>
      <w:r>
        <w:rPr>
          <w:rFonts w:hint="eastAsia"/>
          <w:b/>
          <w:bCs/>
          <w:color w:val="auto"/>
          <w:sz w:val="21"/>
          <w:szCs w:val="21"/>
          <w:highlight w:val="none"/>
        </w:rPr>
        <w:t>：</w:t>
      </w:r>
      <w:r>
        <w:rPr>
          <w:rFonts w:hint="eastAsia"/>
          <w:color w:val="auto"/>
          <w:sz w:val="21"/>
          <w:szCs w:val="21"/>
          <w:highlight w:val="none"/>
        </w:rPr>
        <w:t>时间：</w:t>
      </w:r>
      <w:r>
        <w:rPr>
          <w:rFonts w:hint="eastAsia" w:ascii="宋体" w:hAnsi="宋体" w:cs="宋体"/>
          <w:color w:val="auto"/>
          <w:sz w:val="21"/>
          <w:szCs w:val="21"/>
          <w:highlight w:val="none"/>
          <w:lang w:val="en-US" w:eastAsia="zh-CN"/>
        </w:rPr>
        <w:t>2025年9月15日9时00分</w:t>
      </w:r>
      <w:r>
        <w:rPr>
          <w:rFonts w:hint="eastAsia"/>
          <w:color w:val="auto"/>
          <w:sz w:val="21"/>
          <w:szCs w:val="21"/>
          <w:highlight w:val="none"/>
        </w:rPr>
        <w:t>（北京时间）</w:t>
      </w:r>
    </w:p>
    <w:p w14:paraId="25A1555F">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color w:val="auto"/>
          <w:sz w:val="21"/>
          <w:szCs w:val="21"/>
          <w:highlight w:val="none"/>
          <w:lang w:eastAsia="zh-CN"/>
        </w:rPr>
        <w:t>地址：</w:t>
      </w:r>
      <w:r>
        <w:rPr>
          <w:rFonts w:hint="eastAsia" w:ascii="Times New Roman" w:hAnsi="Times New Roman" w:eastAsia="宋体" w:cs="Times New Roman"/>
          <w:color w:val="auto"/>
          <w:sz w:val="21"/>
          <w:szCs w:val="21"/>
          <w:highlight w:val="none"/>
        </w:rPr>
        <w:t>本项目采用远程异地评审，主会场在崇左市公共资源交易中心【崇左市城南新区石景林路东段政务服务中心综合楼5楼】通过广西政府采购云平台实行在线解密开启，</w:t>
      </w:r>
      <w:r>
        <w:rPr>
          <w:rFonts w:hint="eastAsia" w:cs="Times New Roman"/>
          <w:color w:val="auto"/>
          <w:sz w:val="21"/>
          <w:szCs w:val="21"/>
          <w:highlight w:val="none"/>
          <w:lang w:eastAsia="zh-CN"/>
        </w:rPr>
        <w:t>副会场在广西广百投资集团有限责任公司（百色市右江区长乐星城写字楼9层0776-2983306）</w:t>
      </w:r>
      <w:r>
        <w:rPr>
          <w:rFonts w:hint="eastAsia" w:ascii="宋体" w:hAnsi="宋体" w:cs="宋体"/>
          <w:color w:val="auto"/>
          <w:sz w:val="21"/>
          <w:szCs w:val="21"/>
          <w:highlight w:val="none"/>
          <w:lang w:eastAsia="zh-CN"/>
        </w:rPr>
        <w:t>。</w:t>
      </w:r>
    </w:p>
    <w:p w14:paraId="5D96F372">
      <w:pPr>
        <w:spacing w:line="360" w:lineRule="auto"/>
        <w:rPr>
          <w:color w:val="auto"/>
          <w:sz w:val="21"/>
          <w:szCs w:val="21"/>
          <w:highlight w:val="none"/>
        </w:rPr>
      </w:pPr>
      <w:bookmarkStart w:id="25" w:name="_Toc28359017"/>
      <w:bookmarkStart w:id="26" w:name="_Toc35393803"/>
      <w:bookmarkStart w:id="27" w:name="_Toc35393634"/>
      <w:bookmarkStart w:id="28" w:name="_Toc28359094"/>
      <w:r>
        <w:rPr>
          <w:rFonts w:hint="eastAsia"/>
          <w:b/>
          <w:bCs/>
          <w:color w:val="auto"/>
          <w:sz w:val="21"/>
          <w:szCs w:val="21"/>
          <w:highlight w:val="none"/>
        </w:rPr>
        <w:t>六、公告期限</w:t>
      </w:r>
      <w:bookmarkEnd w:id="25"/>
      <w:bookmarkEnd w:id="26"/>
      <w:bookmarkEnd w:id="27"/>
      <w:bookmarkEnd w:id="28"/>
      <w:r>
        <w:rPr>
          <w:rFonts w:hint="eastAsia"/>
          <w:b/>
          <w:bCs/>
          <w:color w:val="auto"/>
          <w:sz w:val="21"/>
          <w:szCs w:val="21"/>
          <w:highlight w:val="none"/>
        </w:rPr>
        <w:t>：</w:t>
      </w:r>
      <w:r>
        <w:rPr>
          <w:rFonts w:hint="eastAsia"/>
          <w:color w:val="auto"/>
          <w:sz w:val="21"/>
          <w:szCs w:val="21"/>
          <w:highlight w:val="none"/>
        </w:rPr>
        <w:t>自本公告发布之日起</w:t>
      </w:r>
      <w:r>
        <w:rPr>
          <w:rFonts w:hint="eastAsia"/>
          <w:color w:val="auto"/>
          <w:sz w:val="21"/>
          <w:szCs w:val="21"/>
          <w:highlight w:val="none"/>
          <w:lang w:val="en-US" w:eastAsia="zh-CN"/>
        </w:rPr>
        <w:t>5</w:t>
      </w:r>
      <w:r>
        <w:rPr>
          <w:rFonts w:hint="eastAsia"/>
          <w:color w:val="auto"/>
          <w:sz w:val="21"/>
          <w:szCs w:val="21"/>
          <w:highlight w:val="none"/>
        </w:rPr>
        <w:t>个工作日。</w:t>
      </w:r>
    </w:p>
    <w:p w14:paraId="13671E9C">
      <w:pPr>
        <w:spacing w:line="360" w:lineRule="auto"/>
        <w:rPr>
          <w:rFonts w:hint="eastAsia"/>
          <w:b/>
          <w:bCs/>
          <w:color w:val="auto"/>
          <w:sz w:val="21"/>
          <w:szCs w:val="21"/>
          <w:highlight w:val="none"/>
        </w:rPr>
      </w:pPr>
      <w:bookmarkStart w:id="29" w:name="_Toc35393635"/>
      <w:bookmarkStart w:id="30" w:name="_Toc35393804"/>
      <w:r>
        <w:rPr>
          <w:rFonts w:hint="eastAsia"/>
          <w:b/>
          <w:bCs/>
          <w:color w:val="auto"/>
          <w:sz w:val="21"/>
          <w:szCs w:val="21"/>
          <w:highlight w:val="none"/>
        </w:rPr>
        <w:t>七、其他补充事宜</w:t>
      </w:r>
      <w:bookmarkEnd w:id="29"/>
      <w:bookmarkEnd w:id="30"/>
      <w:r>
        <w:rPr>
          <w:rFonts w:hint="eastAsia"/>
          <w:b/>
          <w:bCs/>
          <w:color w:val="auto"/>
          <w:sz w:val="21"/>
          <w:szCs w:val="21"/>
          <w:highlight w:val="none"/>
        </w:rPr>
        <w:t>：</w:t>
      </w:r>
    </w:p>
    <w:p w14:paraId="3073F9AA">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bookmarkStart w:id="31" w:name="_Toc35393636"/>
      <w:bookmarkStart w:id="32" w:name="_Toc28359018"/>
      <w:bookmarkStart w:id="33" w:name="_Toc35393805"/>
      <w:bookmarkStart w:id="34" w:name="_Toc28359095"/>
      <w:r>
        <w:rPr>
          <w:rFonts w:hint="eastAsia"/>
          <w:color w:val="auto"/>
          <w:sz w:val="21"/>
          <w:szCs w:val="21"/>
          <w:highlight w:val="none"/>
          <w:lang w:val="en-US" w:eastAsia="zh-CN"/>
        </w:rPr>
        <w:t>1.</w:t>
      </w:r>
      <w:r>
        <w:rPr>
          <w:rFonts w:hint="eastAsia"/>
          <w:color w:val="auto"/>
          <w:sz w:val="21"/>
          <w:szCs w:val="21"/>
          <w:highlight w:val="none"/>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E23735B">
      <w:pPr>
        <w:keepNext w:val="0"/>
        <w:keepLines w:val="0"/>
        <w:pageBreakBefore w:val="0"/>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lang w:val="en-US" w:eastAsia="zh-CN"/>
        </w:rPr>
        <w:t>2.</w:t>
      </w:r>
      <w:r>
        <w:rPr>
          <w:rFonts w:hint="eastAsia" w:ascii="宋体" w:hAnsi="宋体" w:cs="宋体"/>
          <w:color w:val="auto"/>
          <w:sz w:val="21"/>
          <w:szCs w:val="21"/>
          <w:highlight w:val="none"/>
        </w:rPr>
        <w:t>对在“信用中国”网站</w:t>
      </w:r>
      <w:r>
        <w:rPr>
          <w:rFonts w:ascii="宋体" w:hAnsi="宋体" w:cs="宋体"/>
          <w:color w:val="auto"/>
          <w:sz w:val="21"/>
          <w:szCs w:val="21"/>
          <w:highlight w:val="none"/>
        </w:rPr>
        <w:t>(www.creditchina.gov.cn)</w:t>
      </w:r>
      <w:r>
        <w:rPr>
          <w:rFonts w:hint="eastAsia" w:ascii="宋体" w:hAnsi="宋体" w:cs="宋体"/>
          <w:color w:val="auto"/>
          <w:sz w:val="21"/>
          <w:szCs w:val="21"/>
          <w:highlight w:val="none"/>
        </w:rPr>
        <w:t>、中国政府采购网</w:t>
      </w:r>
      <w:r>
        <w:rPr>
          <w:rFonts w:ascii="宋体" w:hAnsi="宋体" w:cs="宋体"/>
          <w:color w:val="auto"/>
          <w:sz w:val="21"/>
          <w:szCs w:val="21"/>
          <w:highlight w:val="none"/>
        </w:rPr>
        <w:t>(www.ccgp.gov.cn)</w:t>
      </w:r>
      <w:r>
        <w:rPr>
          <w:rFonts w:hint="eastAsia" w:ascii="宋体" w:hAnsi="宋体" w:cs="宋体"/>
          <w:color w:val="auto"/>
          <w:sz w:val="21"/>
          <w:szCs w:val="21"/>
          <w:highlight w:val="none"/>
        </w:rPr>
        <w:t>等渠道列入失信被执行人、重大税收违法案件当事人名单、政府采购严重违法失信行为记录名单及其他不符合《中华人民共和国政府采购法》第二十二条规定条件的供应商，不得参与</w:t>
      </w:r>
      <w:r>
        <w:rPr>
          <w:rFonts w:hint="eastAsia" w:ascii="宋体" w:hAnsi="宋体" w:cs="宋体"/>
          <w:color w:val="auto"/>
          <w:sz w:val="21"/>
          <w:szCs w:val="21"/>
          <w:highlight w:val="none"/>
          <w:lang w:eastAsia="zh-CN"/>
        </w:rPr>
        <w:t>采购活动</w:t>
      </w:r>
      <w:r>
        <w:rPr>
          <w:rFonts w:hint="eastAsia"/>
          <w:color w:val="auto"/>
          <w:sz w:val="21"/>
          <w:szCs w:val="21"/>
          <w:highlight w:val="none"/>
        </w:rPr>
        <w:t>。</w:t>
      </w:r>
    </w:p>
    <w:p w14:paraId="77807914">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Times New Roman" w:hAnsi="Times New Roman" w:eastAsia="宋体" w:cs="Times New Roman"/>
          <w:color w:val="auto"/>
          <w:sz w:val="21"/>
          <w:szCs w:val="21"/>
          <w:highlight w:val="none"/>
        </w:rPr>
        <w:t>落实政</w:t>
      </w:r>
      <w:r>
        <w:rPr>
          <w:rFonts w:hint="eastAsia"/>
          <w:color w:val="auto"/>
          <w:sz w:val="21"/>
          <w:szCs w:val="21"/>
          <w:highlight w:val="none"/>
        </w:rPr>
        <w:t>府采购政策：</w:t>
      </w:r>
      <w:r>
        <w:rPr>
          <w:rFonts w:hint="eastAsia" w:ascii="宋体" w:hAnsi="宋体" w:cs="宋体"/>
          <w:color w:val="auto"/>
          <w:sz w:val="21"/>
          <w:szCs w:val="21"/>
          <w:highlight w:val="none"/>
        </w:rPr>
        <w:t>政府采购促进中小企业发展；政府采购支持采用本国产品的政策；强制采购、优先采购环境标志产品、节能产品；政府采购促进残疾人就业政策；政府采购支持监狱企业发展；扶持不发达地区和少数民族地区政策</w:t>
      </w:r>
      <w:r>
        <w:rPr>
          <w:rFonts w:hint="eastAsia" w:ascii="宋体" w:hAnsi="宋体" w:cs="宋体"/>
          <w:color w:val="auto"/>
          <w:sz w:val="21"/>
          <w:szCs w:val="21"/>
          <w:highlight w:val="none"/>
          <w:lang w:eastAsia="zh-CN"/>
        </w:rPr>
        <w:t>。</w:t>
      </w:r>
    </w:p>
    <w:p w14:paraId="1BEAE4AC">
      <w:pPr>
        <w:keepNext w:val="0"/>
        <w:keepLines w:val="0"/>
        <w:pageBreakBefore w:val="0"/>
        <w:kinsoku/>
        <w:overflowPunct/>
        <w:topLinePunct w:val="0"/>
        <w:autoSpaceDE/>
        <w:autoSpaceDN/>
        <w:bidi w:val="0"/>
        <w:adjustRightInd/>
        <w:snapToGrid w:val="0"/>
        <w:spacing w:line="360" w:lineRule="auto"/>
        <w:ind w:firstLine="420" w:firstLineChars="200"/>
        <w:textAlignment w:val="auto"/>
        <w:rPr>
          <w:rFonts w:hint="eastAsia" w:ascii="宋体" w:hAnsi="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本次公告同时在中国政府采购网（http://pub.ccgp.gov.cn/）、广西壮族自治区政府采购网（http://www.ccgp-guangxi.gov.cn/）、全国公共资源交易平台 (广西.崇左)（http://ggzy.jgswj.gxzf.gov.cn/czggzy/）上发布</w:t>
      </w:r>
      <w:r>
        <w:rPr>
          <w:rFonts w:hint="eastAsia" w:ascii="宋体" w:hAnsi="宋体" w:cs="宋体"/>
          <w:color w:val="auto"/>
          <w:sz w:val="21"/>
          <w:szCs w:val="21"/>
          <w:highlight w:val="none"/>
        </w:rPr>
        <w:t>。</w:t>
      </w:r>
      <w:r>
        <w:rPr>
          <w:rFonts w:hint="eastAsia" w:ascii="宋体" w:hAnsi="宋体"/>
          <w:color w:val="auto"/>
          <w:sz w:val="21"/>
          <w:szCs w:val="21"/>
          <w:highlight w:val="none"/>
        </w:rPr>
        <w:t xml:space="preserve">  </w:t>
      </w:r>
    </w:p>
    <w:p w14:paraId="61215575">
      <w:pPr>
        <w:keepNext w:val="0"/>
        <w:keepLines w:val="0"/>
        <w:pageBreakBefore w:val="0"/>
        <w:kinsoku/>
        <w:wordWrap w:val="0"/>
        <w:overflowPunct/>
        <w:topLinePunct w:val="0"/>
        <w:autoSpaceDE/>
        <w:autoSpaceDN/>
        <w:bidi w:val="0"/>
        <w:adjustRightIn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olor w:val="auto"/>
          <w:sz w:val="21"/>
          <w:szCs w:val="21"/>
          <w:highlight w:val="none"/>
          <w:lang w:val="en-US" w:eastAsia="zh-CN"/>
        </w:rPr>
        <w:t>5.</w:t>
      </w:r>
      <w:r>
        <w:rPr>
          <w:rFonts w:hint="eastAsia" w:ascii="宋体" w:hAnsi="宋体" w:cs="宋体"/>
          <w:color w:val="auto"/>
          <w:kern w:val="0"/>
          <w:sz w:val="21"/>
          <w:szCs w:val="21"/>
          <w:highlight w:val="none"/>
        </w:rPr>
        <w:t>在线</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标响应（电子</w:t>
      </w:r>
      <w:r>
        <w:rPr>
          <w:rFonts w:hint="eastAsia" w:ascii="宋体" w:hAnsi="宋体" w:cs="宋体"/>
          <w:color w:val="auto"/>
          <w:kern w:val="0"/>
          <w:sz w:val="21"/>
          <w:szCs w:val="21"/>
          <w:highlight w:val="none"/>
          <w:lang w:eastAsia="zh-CN"/>
        </w:rPr>
        <w:t>投</w:t>
      </w:r>
      <w:r>
        <w:rPr>
          <w:rFonts w:hint="eastAsia" w:ascii="宋体" w:hAnsi="宋体" w:cs="宋体"/>
          <w:color w:val="auto"/>
          <w:kern w:val="0"/>
          <w:sz w:val="21"/>
          <w:szCs w:val="21"/>
          <w:highlight w:val="none"/>
        </w:rPr>
        <w:t>标）说明</w:t>
      </w:r>
      <w:r>
        <w:rPr>
          <w:rFonts w:hint="eastAsia" w:ascii="宋体" w:hAnsi="宋体" w:cs="宋体"/>
          <w:color w:val="auto"/>
          <w:kern w:val="0"/>
          <w:sz w:val="21"/>
          <w:szCs w:val="21"/>
          <w:highlight w:val="none"/>
          <w:lang w:eastAsia="zh-CN"/>
        </w:rPr>
        <w:t>：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w:t>
      </w:r>
      <w:r>
        <w:rPr>
          <w:rFonts w:hint="eastAsia" w:ascii="宋体" w:hAnsi="宋体" w:cs="宋体"/>
          <w:color w:val="auto"/>
          <w:kern w:val="0"/>
          <w:sz w:val="21"/>
          <w:szCs w:val="21"/>
          <w:highlight w:val="none"/>
        </w:rPr>
        <w:t>。供应商未按规定编制并加密的</w:t>
      </w:r>
      <w:r>
        <w:rPr>
          <w:rFonts w:hint="eastAsia" w:ascii="宋体" w:hAnsi="宋体" w:cs="宋体"/>
          <w:color w:val="auto"/>
          <w:kern w:val="0"/>
          <w:sz w:val="21"/>
          <w:szCs w:val="21"/>
          <w:highlight w:val="none"/>
          <w:lang w:eastAsia="zh-CN"/>
        </w:rPr>
        <w:t>投标</w:t>
      </w:r>
      <w:r>
        <w:rPr>
          <w:rFonts w:hint="eastAsia" w:ascii="宋体" w:hAnsi="宋体" w:cs="宋体"/>
          <w:color w:val="auto"/>
          <w:kern w:val="0"/>
          <w:sz w:val="21"/>
          <w:szCs w:val="21"/>
          <w:highlight w:val="none"/>
        </w:rPr>
        <w:t>文件，</w:t>
      </w:r>
      <w:r>
        <w:rPr>
          <w:rFonts w:hint="eastAsia" w:ascii="宋体" w:hAnsi="宋体" w:cs="宋体"/>
          <w:color w:val="auto"/>
          <w:kern w:val="0"/>
          <w:sz w:val="21"/>
          <w:szCs w:val="21"/>
          <w:highlight w:val="none"/>
          <w:lang w:eastAsia="zh-CN"/>
        </w:rPr>
        <w:t>广西政府采购云平台</w:t>
      </w:r>
      <w:r>
        <w:rPr>
          <w:rFonts w:hint="eastAsia" w:ascii="宋体" w:hAnsi="宋体" w:cs="宋体"/>
          <w:color w:val="auto"/>
          <w:kern w:val="0"/>
          <w:sz w:val="21"/>
          <w:szCs w:val="21"/>
          <w:highlight w:val="none"/>
        </w:rPr>
        <w:t>将予以拒收。</w:t>
      </w:r>
    </w:p>
    <w:p w14:paraId="7C0966BC">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.为加大政府采购支持中小企业力度，帮助政府采购成交供应商解决融资难、融资贵的问题，进一步做好线上“政采贷”融资业务工作，如供应商有需要的，详见</w:t>
      </w:r>
      <w:r>
        <w:rPr>
          <w:rFonts w:hint="eastAsia" w:ascii="宋体" w:hAnsi="宋体" w:eastAsia="宋体" w:cs="宋体"/>
          <w:color w:val="auto"/>
          <w:kern w:val="0"/>
          <w:sz w:val="21"/>
          <w:szCs w:val="21"/>
          <w:highlight w:val="none"/>
          <w:lang w:eastAsia="zh-CN"/>
        </w:rPr>
        <w:t>磋商须知正文后</w:t>
      </w: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：《崇左市线上“政采贷”政策告知函》、附件</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《崇左市线上“政采贷”业务流程图》、附件</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《崇左市金融机构线上“政采贷”业务办理联络表》。</w:t>
      </w:r>
    </w:p>
    <w:p w14:paraId="58C2C459">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7.本项目不收取磋商保证金</w:t>
      </w:r>
      <w:r>
        <w:rPr>
          <w:rFonts w:hint="eastAsia" w:ascii="宋体" w:hAnsi="宋体" w:eastAsia="宋体" w:cs="宋体"/>
          <w:color w:val="auto"/>
          <w:kern w:val="0"/>
          <w:sz w:val="21"/>
          <w:szCs w:val="21"/>
          <w:highlight w:val="none"/>
          <w:lang w:eastAsia="zh-CN"/>
        </w:rPr>
        <w:t>。</w:t>
      </w:r>
    </w:p>
    <w:p w14:paraId="75785FA7">
      <w:pPr>
        <w:keepNext w:val="0"/>
        <w:keepLines w:val="0"/>
        <w:pageBreakBefore w:val="0"/>
        <w:kinsoku/>
        <w:wordWrap w:val="0"/>
        <w:overflowPunct/>
        <w:topLinePunct w:val="0"/>
        <w:bidi w:val="0"/>
        <w:spacing w:line="360" w:lineRule="auto"/>
        <w:ind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r>
        <w:rPr>
          <w:rFonts w:hint="eastAsia" w:ascii="宋体" w:hAnsi="宋体" w:cs="宋体"/>
          <w:color w:val="auto"/>
          <w:kern w:val="0"/>
          <w:sz w:val="21"/>
          <w:szCs w:val="21"/>
          <w:highlight w:val="none"/>
          <w:lang w:val="en-US" w:eastAsia="zh-CN"/>
        </w:rPr>
        <w:t>本项目</w:t>
      </w:r>
      <w:r>
        <w:rPr>
          <w:rFonts w:hint="eastAsia" w:ascii="宋体" w:hAnsi="宋体" w:eastAsia="宋体" w:cs="宋体"/>
          <w:color w:val="auto"/>
          <w:kern w:val="0"/>
          <w:sz w:val="21"/>
          <w:szCs w:val="21"/>
          <w:highlight w:val="none"/>
          <w:lang w:eastAsia="zh-CN"/>
        </w:rPr>
        <w:t>按照</w:t>
      </w:r>
      <w:r>
        <w:rPr>
          <w:rFonts w:hint="eastAsia" w:ascii="宋体" w:hAnsi="宋体" w:eastAsia="宋体" w:cs="宋体"/>
          <w:color w:val="auto"/>
          <w:kern w:val="0"/>
          <w:sz w:val="21"/>
          <w:szCs w:val="21"/>
          <w:highlight w:val="none"/>
          <w:lang w:val="en-US" w:eastAsia="zh-CN"/>
        </w:rPr>
        <w:t>崇左市财政局关于推行政府采购领域信用承诺制度的通知的要求，供应商在参与崇左市政府采购活动时，供应商只需以书面形式提供《崇左市政府采购供应商信用承诺函》，即可替代《中华人民共和国政府采购法实施条例》第十七条第一款第（一）项至第（四）项所规定的基本资格条件相关材料，具体不再提供的资质材料有：法人或者他组织的营业执照等证明文件，自然人的身份证明、财务状况报告、依法缴纳税收和社会保障资金相关证明材料、有履行合同所必需的设备和专业技术能力相关证明材料、参加政府采购活动前3年内在经营活动中没有重大违法记录相关证明材料。</w:t>
      </w:r>
    </w:p>
    <w:p w14:paraId="4FDA0DFD">
      <w:pPr>
        <w:keepNext w:val="0"/>
        <w:keepLines w:val="0"/>
        <w:pageBreakBefore w:val="0"/>
        <w:numPr>
          <w:ilvl w:val="0"/>
          <w:numId w:val="0"/>
        </w:numPr>
        <w:shd w:val="clear"/>
        <w:kinsoku/>
        <w:overflowPunct/>
        <w:topLinePunct w:val="0"/>
        <w:autoSpaceDE/>
        <w:autoSpaceDN/>
        <w:bidi w:val="0"/>
        <w:adjustRightInd/>
        <w:spacing w:line="360" w:lineRule="auto"/>
        <w:ind w:firstLine="420" w:firstLineChars="200"/>
        <w:textAlignment w:val="auto"/>
        <w:rPr>
          <w:rFonts w:hint="default"/>
          <w:color w:val="auto"/>
          <w:highlight w:val="none"/>
          <w:lang w:val="en-US" w:eastAsia="zh-CN"/>
        </w:rPr>
      </w:pPr>
      <w:r>
        <w:rPr>
          <w:rFonts w:hint="eastAsia" w:ascii="宋体" w:hAnsi="宋体" w:cs="宋体"/>
          <w:color w:val="auto"/>
          <w:kern w:val="0"/>
          <w:sz w:val="21"/>
          <w:szCs w:val="21"/>
          <w:highlight w:val="none"/>
          <w:lang w:val="en-US" w:eastAsia="zh-CN"/>
        </w:rPr>
        <w:t>9.</w:t>
      </w:r>
      <w:r>
        <w:rPr>
          <w:rFonts w:hint="eastAsia" w:ascii="Times New Roman" w:hAnsi="Times New Roman" w:eastAsia="宋体" w:cs="Times New Roman"/>
          <w:color w:val="auto"/>
          <w:sz w:val="21"/>
          <w:szCs w:val="21"/>
          <w:highlight w:val="none"/>
        </w:rPr>
        <w:t>本项目采用远程异地评审，主会场在崇左市公共资源交易中心【崇左市城南新区石景林路东段政务服务中心综合楼5楼】通过广西政府采购云平台实行在线解密开启，</w:t>
      </w:r>
      <w:r>
        <w:rPr>
          <w:rFonts w:hint="eastAsia" w:cs="Times New Roman"/>
          <w:color w:val="auto"/>
          <w:sz w:val="21"/>
          <w:szCs w:val="21"/>
          <w:highlight w:val="none"/>
          <w:lang w:eastAsia="zh-CN"/>
        </w:rPr>
        <w:t>副会场在广西广百投资集团有限责任公司（百色市右江区长乐星城写字楼9层0776-2983306）</w:t>
      </w:r>
      <w:r>
        <w:rPr>
          <w:rFonts w:hint="eastAsia" w:ascii="宋体" w:hAnsi="宋体" w:cs="宋体"/>
          <w:color w:val="auto"/>
          <w:sz w:val="21"/>
          <w:szCs w:val="21"/>
          <w:highlight w:val="none"/>
          <w:lang w:eastAsia="zh-CN"/>
        </w:rPr>
        <w:t>。</w:t>
      </w:r>
    </w:p>
    <w:p w14:paraId="50147ED6">
      <w:pPr>
        <w:spacing w:line="360" w:lineRule="auto"/>
        <w:rPr>
          <w:b/>
          <w:bCs/>
          <w:color w:val="auto"/>
          <w:sz w:val="21"/>
          <w:szCs w:val="21"/>
          <w:highlight w:val="none"/>
        </w:rPr>
      </w:pPr>
      <w:r>
        <w:rPr>
          <w:rFonts w:hint="eastAsia"/>
          <w:b/>
          <w:bCs/>
          <w:color w:val="auto"/>
          <w:sz w:val="21"/>
          <w:szCs w:val="21"/>
          <w:highlight w:val="none"/>
          <w:lang w:eastAsia="zh-CN"/>
        </w:rPr>
        <w:t>八</w:t>
      </w:r>
      <w:r>
        <w:rPr>
          <w:rFonts w:hint="eastAsia"/>
          <w:b/>
          <w:bCs/>
          <w:color w:val="auto"/>
          <w:sz w:val="21"/>
          <w:szCs w:val="21"/>
          <w:highlight w:val="none"/>
        </w:rPr>
        <w:t>、凡对本次采购提出询问，请按以下方式联系。</w:t>
      </w:r>
      <w:bookmarkEnd w:id="31"/>
      <w:bookmarkEnd w:id="32"/>
      <w:bookmarkEnd w:id="33"/>
      <w:bookmarkEnd w:id="34"/>
    </w:p>
    <w:p w14:paraId="6B8CCD87">
      <w:pPr>
        <w:keepNext w:val="0"/>
        <w:keepLines w:val="0"/>
        <w:pageBreakBefore w:val="0"/>
        <w:kinsoku/>
        <w:wordWrap/>
        <w:overflowPunct/>
        <w:topLinePunct w:val="0"/>
        <w:autoSpaceDE/>
        <w:autoSpaceDN/>
        <w:bidi w:val="0"/>
        <w:adjustRightInd/>
        <w:spacing w:line="336" w:lineRule="auto"/>
        <w:textAlignment w:val="auto"/>
        <w:outlineLvl w:val="0"/>
        <w:rPr>
          <w:rFonts w:hint="eastAsia" w:ascii="宋体" w:hAnsi="宋体" w:cs="宋体"/>
          <w:color w:val="auto"/>
          <w:sz w:val="21"/>
          <w:szCs w:val="21"/>
          <w:highlight w:val="none"/>
        </w:rPr>
      </w:pPr>
      <w:bookmarkStart w:id="35" w:name="_Toc543"/>
      <w:r>
        <w:rPr>
          <w:rFonts w:hint="eastAsia" w:ascii="宋体" w:hAnsi="宋体" w:cs="宋体"/>
          <w:color w:val="auto"/>
          <w:sz w:val="21"/>
          <w:szCs w:val="21"/>
          <w:highlight w:val="none"/>
        </w:rPr>
        <w:t>1.采购人信息</w:t>
      </w:r>
      <w:bookmarkEnd w:id="35"/>
    </w:p>
    <w:p w14:paraId="500E5519">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r>
        <w:rPr>
          <w:rFonts w:hint="eastAsia" w:ascii="宋体" w:hAnsi="宋体" w:cs="宋体"/>
          <w:color w:val="auto"/>
          <w:sz w:val="21"/>
          <w:szCs w:val="21"/>
          <w:highlight w:val="none"/>
          <w:lang w:eastAsia="zh-CN"/>
        </w:rPr>
        <w:t>扶绥县农业农村局</w:t>
      </w:r>
      <w:r>
        <w:rPr>
          <w:rFonts w:hint="eastAsia" w:ascii="宋体" w:hAnsi="宋体" w:eastAsia="宋体" w:cs="宋体"/>
          <w:color w:val="auto"/>
          <w:sz w:val="21"/>
          <w:szCs w:val="21"/>
          <w:highlight w:val="none"/>
          <w:lang w:eastAsia="zh-CN"/>
        </w:rPr>
        <w:t>　　　　　　　　　　　　</w:t>
      </w:r>
    </w:p>
    <w:p w14:paraId="287BCFB2">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eastAsia="宋体" w:cs="宋体"/>
          <w:i w:val="0"/>
          <w:iCs w:val="0"/>
          <w:caps w:val="0"/>
          <w:color w:val="auto"/>
          <w:spacing w:val="0"/>
          <w:sz w:val="21"/>
          <w:szCs w:val="21"/>
          <w:highlight w:val="none"/>
        </w:rPr>
        <w:t>扶绥县新宁镇松江路105号</w:t>
      </w:r>
    </w:p>
    <w:p w14:paraId="452CAC66">
      <w:pPr>
        <w:keepNext w:val="0"/>
        <w:keepLines w:val="0"/>
        <w:pageBreakBefore w:val="0"/>
        <w:kinsoku/>
        <w:wordWrap/>
        <w:overflowPunct/>
        <w:topLinePunct w:val="0"/>
        <w:autoSpaceDE/>
        <w:autoSpaceDN/>
        <w:bidi w:val="0"/>
        <w:adjustRightInd/>
        <w:spacing w:line="336" w:lineRule="auto"/>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黄智明</w:t>
      </w:r>
    </w:p>
    <w:p w14:paraId="2C11FDB8">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宋体" w:hAnsi="宋体" w:eastAsia="宋体" w:cs="宋体"/>
          <w:color w:val="auto"/>
          <w:sz w:val="21"/>
          <w:szCs w:val="21"/>
          <w:highlight w:val="none"/>
          <w:lang w:eastAsia="zh-CN"/>
        </w:rPr>
        <w:t>项目联系人方式:</w:t>
      </w:r>
      <w:bookmarkStart w:id="36" w:name="OLE_LINK2"/>
      <w:r>
        <w:rPr>
          <w:rFonts w:hint="eastAsia" w:ascii="宋体" w:hAnsi="宋体" w:eastAsia="宋体" w:cs="宋体"/>
          <w:color w:val="auto"/>
          <w:sz w:val="21"/>
          <w:szCs w:val="21"/>
          <w:highlight w:val="none"/>
          <w:lang w:eastAsia="zh-CN"/>
        </w:rPr>
        <w:t>0771</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 xml:space="preserve">7517320 </w:t>
      </w:r>
      <w:bookmarkEnd w:id="36"/>
      <w:r>
        <w:rPr>
          <w:rFonts w:hint="eastAsia" w:asciiTheme="majorEastAsia" w:hAnsiTheme="majorEastAsia" w:eastAsiaTheme="majorEastAsia" w:cstheme="majorEastAsia"/>
          <w:color w:val="auto"/>
          <w:sz w:val="21"/>
          <w:szCs w:val="21"/>
          <w:highlight w:val="none"/>
        </w:rPr>
        <w:t xml:space="preserve">　　　　　　 　　　 </w:t>
      </w:r>
    </w:p>
    <w:p w14:paraId="7D217C34">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bookmarkStart w:id="37" w:name="_Toc35393638"/>
      <w:bookmarkStart w:id="38" w:name="_Toc28359020"/>
      <w:bookmarkStart w:id="39" w:name="_Toc35393807"/>
      <w:bookmarkStart w:id="40" w:name="_Toc28359097"/>
      <w:r>
        <w:rPr>
          <w:rFonts w:hint="eastAsia" w:asciiTheme="majorEastAsia" w:hAnsiTheme="majorEastAsia" w:eastAsiaTheme="majorEastAsia" w:cstheme="majorEastAsia"/>
          <w:color w:val="auto"/>
          <w:sz w:val="21"/>
          <w:szCs w:val="21"/>
          <w:highlight w:val="none"/>
        </w:rPr>
        <w:t>2.采购代理机构信息</w:t>
      </w:r>
      <w:bookmarkEnd w:id="37"/>
      <w:bookmarkEnd w:id="38"/>
      <w:bookmarkEnd w:id="39"/>
      <w:bookmarkEnd w:id="40"/>
    </w:p>
    <w:p w14:paraId="46D92FB9">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名 称：</w:t>
      </w:r>
      <w:bookmarkStart w:id="41" w:name="_Toc28359010"/>
      <w:bookmarkStart w:id="42" w:name="_Toc28359087"/>
      <w:r>
        <w:rPr>
          <w:rFonts w:hint="eastAsia" w:ascii="宋体" w:hAnsi="宋体" w:cs="宋体"/>
          <w:color w:val="auto"/>
          <w:sz w:val="21"/>
          <w:szCs w:val="21"/>
          <w:highlight w:val="none"/>
          <w:lang w:eastAsia="zh-CN"/>
        </w:rPr>
        <w:t>广西宏朗工程咨询服务有限公司</w:t>
      </w:r>
    </w:p>
    <w:p w14:paraId="5021CFBE">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地址：</w:t>
      </w:r>
      <w:r>
        <w:rPr>
          <w:rFonts w:hint="eastAsia" w:ascii="宋体" w:hAnsi="宋体" w:cs="宋体"/>
          <w:color w:val="auto"/>
          <w:sz w:val="21"/>
          <w:szCs w:val="21"/>
          <w:highlight w:val="none"/>
          <w:lang w:eastAsia="zh-CN"/>
        </w:rPr>
        <w:t>崇左市友谊大道(龙胤财富广场)第1栋1-201号房</w:t>
      </w:r>
    </w:p>
    <w:p w14:paraId="4AB745E3">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w:t>
      </w:r>
      <w:r>
        <w:rPr>
          <w:rFonts w:hint="eastAsia" w:ascii="宋体" w:hAnsi="宋体" w:cs="宋体"/>
          <w:color w:val="auto"/>
          <w:sz w:val="21"/>
          <w:szCs w:val="21"/>
          <w:highlight w:val="none"/>
          <w:lang w:eastAsia="zh-CN"/>
        </w:rPr>
        <w:t>何</w:t>
      </w:r>
      <w:r>
        <w:rPr>
          <w:rFonts w:hint="eastAsia" w:ascii="宋体" w:hAnsi="宋体" w:cs="宋体"/>
          <w:color w:val="auto"/>
          <w:sz w:val="21"/>
          <w:szCs w:val="21"/>
          <w:highlight w:val="none"/>
          <w:lang w:val="en-US" w:eastAsia="zh-CN"/>
        </w:rPr>
        <w:t>丽</w:t>
      </w:r>
    </w:p>
    <w:p w14:paraId="16C6C2F5">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cs="宋体"/>
          <w:color w:val="auto"/>
          <w:sz w:val="21"/>
          <w:szCs w:val="21"/>
          <w:highlight w:val="none"/>
          <w:lang w:val="en-US" w:eastAsia="zh-CN"/>
        </w:rPr>
      </w:pPr>
      <w:bookmarkStart w:id="43" w:name="_Toc17394"/>
      <w:r>
        <w:rPr>
          <w:rFonts w:hint="eastAsia" w:ascii="宋体" w:hAnsi="宋体" w:eastAsia="宋体" w:cs="宋体"/>
          <w:color w:val="auto"/>
          <w:sz w:val="21"/>
          <w:szCs w:val="21"/>
          <w:highlight w:val="none"/>
          <w:lang w:eastAsia="zh-CN"/>
        </w:rPr>
        <w:t>项目联系人方式：</w:t>
      </w:r>
      <w:bookmarkEnd w:id="43"/>
      <w:r>
        <w:rPr>
          <w:rFonts w:hint="eastAsia" w:ascii="宋体" w:hAnsi="宋体" w:cs="宋体"/>
          <w:color w:val="auto"/>
          <w:sz w:val="21"/>
          <w:szCs w:val="21"/>
          <w:highlight w:val="none"/>
          <w:lang w:val="en-US" w:eastAsia="zh-CN"/>
        </w:rPr>
        <w:t>0771-7910706</w:t>
      </w:r>
    </w:p>
    <w:p w14:paraId="702FCBE2">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项目联系方式：　　　　　</w:t>
      </w:r>
      <w:bookmarkEnd w:id="41"/>
      <w:bookmarkEnd w:id="42"/>
    </w:p>
    <w:p w14:paraId="4EBB9F3F">
      <w:pPr>
        <w:keepNext w:val="0"/>
        <w:keepLines w:val="0"/>
        <w:pageBreakBefore w:val="0"/>
        <w:shd w:val="clear"/>
        <w:kinsoku/>
        <w:wordWrap/>
        <w:overflowPunct/>
        <w:topLinePunct w:val="0"/>
        <w:autoSpaceDE/>
        <w:autoSpaceDN/>
        <w:bidi w:val="0"/>
        <w:adjustRightInd/>
        <w:spacing w:line="348"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项目联系人：</w:t>
      </w:r>
      <w:r>
        <w:rPr>
          <w:rFonts w:hint="eastAsia" w:ascii="宋体" w:hAnsi="宋体" w:eastAsia="宋体" w:cs="宋体"/>
          <w:color w:val="auto"/>
          <w:sz w:val="21"/>
          <w:szCs w:val="21"/>
          <w:highlight w:val="none"/>
          <w:lang w:val="en-US" w:eastAsia="zh-CN"/>
        </w:rPr>
        <w:t>何</w:t>
      </w:r>
      <w:r>
        <w:rPr>
          <w:rFonts w:hint="eastAsia" w:ascii="宋体" w:hAnsi="宋体" w:cs="宋体"/>
          <w:color w:val="auto"/>
          <w:sz w:val="21"/>
          <w:szCs w:val="21"/>
          <w:highlight w:val="none"/>
          <w:lang w:val="en-US" w:eastAsia="zh-CN"/>
        </w:rPr>
        <w:t>丽</w:t>
      </w:r>
    </w:p>
    <w:p w14:paraId="4FBF9FAE">
      <w:pPr>
        <w:keepNext w:val="0"/>
        <w:keepLines w:val="0"/>
        <w:pageBreakBefore w:val="0"/>
        <w:shd w:val="clear"/>
        <w:kinsoku/>
        <w:wordWrap/>
        <w:overflowPunct/>
        <w:topLinePunct w:val="0"/>
        <w:autoSpaceDE/>
        <w:autoSpaceDN/>
        <w:bidi w:val="0"/>
        <w:adjustRightInd/>
        <w:spacing w:line="348"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项目联系人方式：</w:t>
      </w:r>
      <w:r>
        <w:rPr>
          <w:rFonts w:hint="eastAsia" w:ascii="宋体" w:hAnsi="宋体" w:eastAsia="宋体" w:cs="宋体"/>
          <w:color w:val="auto"/>
          <w:sz w:val="21"/>
          <w:szCs w:val="21"/>
          <w:highlight w:val="none"/>
          <w:lang w:val="en-US" w:eastAsia="zh-CN"/>
        </w:rPr>
        <w:t>0771-7910706</w:t>
      </w:r>
    </w:p>
    <w:p w14:paraId="64A441DC">
      <w:pPr>
        <w:keepNext w:val="0"/>
        <w:keepLines w:val="0"/>
        <w:pageBreakBefore w:val="0"/>
        <w:shd w:val="clear"/>
        <w:kinsoku/>
        <w:wordWrap/>
        <w:overflowPunct/>
        <w:topLinePunct w:val="0"/>
        <w:autoSpaceDE/>
        <w:autoSpaceDN/>
        <w:bidi w:val="0"/>
        <w:adjustRightInd/>
        <w:spacing w:line="348" w:lineRule="auto"/>
        <w:textAlignment w:val="auto"/>
        <w:rPr>
          <w:rFonts w:hint="default" w:asciiTheme="majorEastAsia" w:hAnsiTheme="majorEastAsia" w:eastAsiaTheme="majorEastAsia" w:cstheme="majorEastAsia"/>
          <w:color w:val="auto"/>
          <w:sz w:val="21"/>
          <w:szCs w:val="21"/>
          <w:highlight w:val="none"/>
          <w:lang w:val="en-US" w:eastAsia="zh-CN"/>
        </w:rPr>
      </w:pPr>
      <w:r>
        <w:rPr>
          <w:rFonts w:hint="eastAsia" w:asciiTheme="majorEastAsia" w:hAnsiTheme="majorEastAsia" w:eastAsiaTheme="majorEastAsia" w:cstheme="majorEastAsia"/>
          <w:color w:val="auto"/>
          <w:sz w:val="21"/>
          <w:szCs w:val="21"/>
          <w:highlight w:val="none"/>
          <w:lang w:val="en-US" w:eastAsia="zh-CN"/>
        </w:rPr>
        <w:t>4.</w:t>
      </w:r>
      <w:r>
        <w:rPr>
          <w:rFonts w:hint="eastAsia" w:asciiTheme="majorEastAsia" w:hAnsiTheme="majorEastAsia" w:eastAsiaTheme="majorEastAsia" w:cstheme="majorEastAsia"/>
          <w:color w:val="auto"/>
          <w:sz w:val="21"/>
          <w:szCs w:val="21"/>
          <w:highlight w:val="none"/>
        </w:rPr>
        <w:t>监督部门：</w:t>
      </w:r>
      <w:r>
        <w:rPr>
          <w:rFonts w:hint="eastAsia" w:asciiTheme="majorEastAsia" w:hAnsiTheme="majorEastAsia" w:eastAsiaTheme="majorEastAsia" w:cstheme="majorEastAsia"/>
          <w:color w:val="auto"/>
          <w:sz w:val="21"/>
          <w:szCs w:val="21"/>
          <w:highlight w:val="none"/>
          <w:lang w:eastAsia="zh-CN"/>
        </w:rPr>
        <w:t>扶绥县政府采购监督管理股</w:t>
      </w:r>
      <w:r>
        <w:rPr>
          <w:rFonts w:hint="eastAsia" w:asciiTheme="majorEastAsia" w:hAnsiTheme="majorEastAsia" w:eastAsiaTheme="majorEastAsia" w:cstheme="majorEastAsia"/>
          <w:color w:val="auto"/>
          <w:sz w:val="21"/>
          <w:szCs w:val="21"/>
          <w:highlight w:val="none"/>
          <w:lang w:val="en-US" w:eastAsia="zh-CN"/>
        </w:rPr>
        <w:t xml:space="preserve">    电话：</w:t>
      </w:r>
      <w:r>
        <w:rPr>
          <w:rFonts w:hint="eastAsia" w:asciiTheme="majorEastAsia" w:hAnsiTheme="majorEastAsia" w:eastAsiaTheme="majorEastAsia" w:cstheme="majorEastAsia"/>
          <w:color w:val="auto"/>
          <w:sz w:val="21"/>
          <w:szCs w:val="21"/>
          <w:highlight w:val="none"/>
          <w:lang w:eastAsia="zh-CN"/>
        </w:rPr>
        <w:t>0771-</w:t>
      </w:r>
      <w:r>
        <w:rPr>
          <w:rFonts w:hint="eastAsia" w:asciiTheme="majorEastAsia" w:hAnsiTheme="majorEastAsia" w:eastAsiaTheme="majorEastAsia" w:cstheme="majorEastAsia"/>
          <w:color w:val="auto"/>
          <w:sz w:val="21"/>
          <w:szCs w:val="21"/>
          <w:highlight w:val="none"/>
          <w:lang w:val="en-US" w:eastAsia="zh-CN"/>
        </w:rPr>
        <w:t>7536611</w:t>
      </w:r>
      <w:r>
        <w:rPr>
          <w:rFonts w:hint="eastAsia" w:asciiTheme="majorEastAsia" w:hAnsiTheme="majorEastAsia" w:eastAsiaTheme="majorEastAsia" w:cstheme="majorEastAsia"/>
          <w:color w:val="auto"/>
          <w:sz w:val="21"/>
          <w:szCs w:val="21"/>
          <w:highlight w:val="none"/>
        </w:rPr>
        <w:t>　</w:t>
      </w:r>
    </w:p>
    <w:p w14:paraId="6ACB72B0">
      <w:pPr>
        <w:pStyle w:val="28"/>
        <w:pageBreakBefore w:val="0"/>
        <w:widowControl w:val="0"/>
        <w:numPr>
          <w:ilvl w:val="0"/>
          <w:numId w:val="0"/>
        </w:numPr>
        <w:kinsoku/>
        <w:wordWrap/>
        <w:overflowPunct/>
        <w:topLinePunct w:val="0"/>
        <w:autoSpaceDE/>
        <w:autoSpaceDN/>
        <w:bidi w:val="0"/>
        <w:adjustRightInd/>
        <w:spacing w:line="336" w:lineRule="auto"/>
        <w:jc w:val="left"/>
        <w:textAlignment w:val="auto"/>
        <w:rPr>
          <w:rFonts w:hint="eastAsia"/>
          <w:color w:val="auto"/>
          <w:highlight w:val="none"/>
        </w:rPr>
      </w:pPr>
    </w:p>
    <w:p w14:paraId="717DDB1C">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采购单位：</w:t>
      </w:r>
      <w:r>
        <w:rPr>
          <w:rFonts w:hint="eastAsia" w:asciiTheme="majorEastAsia" w:hAnsiTheme="majorEastAsia" w:eastAsiaTheme="majorEastAsia" w:cstheme="majorEastAsia"/>
          <w:color w:val="auto"/>
          <w:sz w:val="21"/>
          <w:szCs w:val="21"/>
          <w:highlight w:val="none"/>
          <w:lang w:eastAsia="zh-CN"/>
        </w:rPr>
        <w:t>扶绥县农业农村局</w:t>
      </w:r>
    </w:p>
    <w:p w14:paraId="6BCC4863">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lang w:eastAsia="zh-CN"/>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采购代理机构：</w:t>
      </w:r>
      <w:r>
        <w:rPr>
          <w:rFonts w:hint="eastAsia" w:asciiTheme="majorEastAsia" w:hAnsiTheme="majorEastAsia" w:eastAsiaTheme="majorEastAsia" w:cstheme="majorEastAsia"/>
          <w:color w:val="auto"/>
          <w:sz w:val="21"/>
          <w:szCs w:val="21"/>
          <w:highlight w:val="none"/>
          <w:lang w:eastAsia="zh-CN"/>
        </w:rPr>
        <w:t>广西宏朗工程咨询服务有限公司</w:t>
      </w:r>
    </w:p>
    <w:p w14:paraId="45CB6856">
      <w:pPr>
        <w:keepNext w:val="0"/>
        <w:keepLines w:val="0"/>
        <w:pageBreakBefore w:val="0"/>
        <w:widowControl/>
        <w:kinsoku/>
        <w:wordWrap/>
        <w:overflowPunct/>
        <w:topLinePunct w:val="0"/>
        <w:autoSpaceDE/>
        <w:autoSpaceDN/>
        <w:bidi w:val="0"/>
        <w:adjustRightInd/>
        <w:snapToGrid w:val="0"/>
        <w:spacing w:line="336" w:lineRule="auto"/>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                            </w:t>
      </w:r>
      <w:r>
        <w:rPr>
          <w:rFonts w:hint="eastAsia" w:asciiTheme="majorEastAsia" w:hAnsiTheme="majorEastAsia" w:eastAsiaTheme="majorEastAsia" w:cstheme="majorEastAsia"/>
          <w:color w:val="auto"/>
          <w:sz w:val="21"/>
          <w:szCs w:val="21"/>
          <w:highlight w:val="none"/>
          <w:lang w:val="en-US" w:eastAsia="zh-CN"/>
        </w:rPr>
        <w:t xml:space="preserve">          </w:t>
      </w:r>
      <w:r>
        <w:rPr>
          <w:rFonts w:hint="eastAsia" w:asciiTheme="majorEastAsia" w:hAnsiTheme="majorEastAsia" w:eastAsiaTheme="majorEastAsia" w:cstheme="majorEastAsia"/>
          <w:color w:val="auto"/>
          <w:sz w:val="21"/>
          <w:szCs w:val="21"/>
          <w:highlight w:val="none"/>
        </w:rPr>
        <w:t xml:space="preserve">   日     期： </w:t>
      </w:r>
      <w:r>
        <w:rPr>
          <w:rFonts w:hint="eastAsia" w:asciiTheme="majorEastAsia" w:hAnsiTheme="majorEastAsia" w:eastAsiaTheme="majorEastAsia" w:cstheme="majorEastAsia"/>
          <w:color w:val="auto"/>
          <w:sz w:val="21"/>
          <w:szCs w:val="21"/>
          <w:highlight w:val="none"/>
          <w:lang w:eastAsia="zh-CN"/>
        </w:rPr>
        <w:t>202</w:t>
      </w:r>
      <w:r>
        <w:rPr>
          <w:rFonts w:hint="eastAsia" w:asciiTheme="majorEastAsia" w:hAnsiTheme="majorEastAsia" w:eastAsiaTheme="majorEastAsia" w:cstheme="majorEastAsia"/>
          <w:color w:val="auto"/>
          <w:sz w:val="21"/>
          <w:szCs w:val="21"/>
          <w:highlight w:val="none"/>
          <w:lang w:val="en-US" w:eastAsia="zh-CN"/>
        </w:rPr>
        <w:t>5</w:t>
      </w:r>
      <w:r>
        <w:rPr>
          <w:rFonts w:hint="eastAsia" w:asciiTheme="majorEastAsia" w:hAnsiTheme="majorEastAsia" w:eastAsiaTheme="majorEastAsia" w:cstheme="majorEastAsia"/>
          <w:color w:val="auto"/>
          <w:sz w:val="21"/>
          <w:szCs w:val="21"/>
          <w:highlight w:val="none"/>
          <w:lang w:eastAsia="zh-CN"/>
        </w:rPr>
        <w:t>年</w:t>
      </w:r>
      <w:r>
        <w:rPr>
          <w:rFonts w:hint="eastAsia" w:asciiTheme="majorEastAsia" w:hAnsiTheme="majorEastAsia" w:eastAsiaTheme="majorEastAsia" w:cstheme="majorEastAsia"/>
          <w:color w:val="auto"/>
          <w:sz w:val="21"/>
          <w:szCs w:val="21"/>
          <w:highlight w:val="none"/>
          <w:lang w:val="en-US" w:eastAsia="zh-CN"/>
        </w:rPr>
        <w:t>9月2</w:t>
      </w:r>
      <w:r>
        <w:rPr>
          <w:rFonts w:hint="eastAsia" w:asciiTheme="majorEastAsia" w:hAnsiTheme="majorEastAsia" w:eastAsiaTheme="majorEastAsia" w:cstheme="majorEastAsia"/>
          <w:color w:val="auto"/>
          <w:sz w:val="21"/>
          <w:szCs w:val="21"/>
          <w:highlight w:val="none"/>
        </w:rPr>
        <w:t>日</w:t>
      </w:r>
    </w:p>
    <w:p w14:paraId="4C3FC775">
      <w:pPr>
        <w:pStyle w:val="32"/>
        <w:rPr>
          <w:color w:val="auto"/>
          <w:highlight w:val="none"/>
        </w:rPr>
      </w:pPr>
    </w:p>
    <w:p w14:paraId="0DDD4D42">
      <w:pPr>
        <w:pStyle w:val="31"/>
        <w:rPr>
          <w:color w:val="auto"/>
          <w:highlight w:val="none"/>
        </w:rPr>
      </w:pPr>
    </w:p>
    <w:p w14:paraId="5A5FE2A4">
      <w:pPr>
        <w:pStyle w:val="32"/>
        <w:rPr>
          <w:color w:val="auto"/>
          <w:highlight w:val="none"/>
        </w:rPr>
      </w:pPr>
    </w:p>
    <w:p w14:paraId="257663E6">
      <w:pPr>
        <w:pStyle w:val="31"/>
        <w:rPr>
          <w:color w:val="auto"/>
          <w:highlight w:val="none"/>
        </w:rPr>
      </w:pPr>
    </w:p>
    <w:p w14:paraId="0A3F693D">
      <w:pPr>
        <w:pStyle w:val="32"/>
        <w:rPr>
          <w:color w:val="auto"/>
          <w:highlight w:val="none"/>
        </w:rPr>
      </w:pPr>
    </w:p>
    <w:p w14:paraId="4FE55AE1">
      <w:pPr>
        <w:pStyle w:val="31"/>
        <w:rPr>
          <w:color w:val="auto"/>
          <w:highlight w:val="none"/>
        </w:rPr>
      </w:pPr>
    </w:p>
    <w:p w14:paraId="2905DD59">
      <w:pPr>
        <w:pStyle w:val="32"/>
        <w:rPr>
          <w:color w:val="auto"/>
          <w:highlight w:val="none"/>
        </w:rPr>
      </w:pPr>
    </w:p>
    <w:p w14:paraId="32DCB3AF">
      <w:pPr>
        <w:pStyle w:val="31"/>
        <w:rPr>
          <w:color w:val="auto"/>
          <w:highlight w:val="none"/>
        </w:rPr>
      </w:pPr>
    </w:p>
    <w:p w14:paraId="79895920">
      <w:pPr>
        <w:pStyle w:val="32"/>
        <w:rPr>
          <w:color w:val="auto"/>
          <w:highlight w:val="none"/>
        </w:rPr>
      </w:pPr>
    </w:p>
    <w:p w14:paraId="147A8FF4">
      <w:pPr>
        <w:pStyle w:val="31"/>
        <w:rPr>
          <w:color w:val="auto"/>
          <w:highlight w:val="none"/>
        </w:rPr>
      </w:pPr>
    </w:p>
    <w:p w14:paraId="477970EE">
      <w:pPr>
        <w:pStyle w:val="32"/>
        <w:rPr>
          <w:color w:val="auto"/>
          <w:highlight w:val="none"/>
        </w:rPr>
      </w:pPr>
    </w:p>
    <w:p w14:paraId="0F2D0331">
      <w:pPr>
        <w:pStyle w:val="31"/>
        <w:rPr>
          <w:color w:val="auto"/>
          <w:highlight w:val="none"/>
        </w:rPr>
      </w:pPr>
    </w:p>
    <w:p w14:paraId="320F119E">
      <w:pPr>
        <w:pStyle w:val="32"/>
        <w:rPr>
          <w:color w:val="auto"/>
          <w:highlight w:val="none"/>
        </w:rPr>
      </w:pPr>
    </w:p>
    <w:p w14:paraId="5A25180C">
      <w:pPr>
        <w:pStyle w:val="31"/>
        <w:rPr>
          <w:color w:val="auto"/>
          <w:highlight w:val="none"/>
        </w:rPr>
      </w:pPr>
    </w:p>
    <w:p w14:paraId="46A4E184">
      <w:pPr>
        <w:pStyle w:val="32"/>
        <w:rPr>
          <w:color w:val="auto"/>
          <w:highlight w:val="none"/>
        </w:rPr>
      </w:pPr>
    </w:p>
    <w:p w14:paraId="50192C62">
      <w:pPr>
        <w:pStyle w:val="31"/>
        <w:spacing w:line="360" w:lineRule="auto"/>
        <w:jc w:val="center"/>
        <w:outlineLvl w:val="0"/>
        <w:rPr>
          <w:color w:val="auto"/>
          <w:highlight w:val="none"/>
        </w:rPr>
      </w:pPr>
      <w:bookmarkStart w:id="44" w:name="_Toc7350"/>
      <w:r>
        <w:rPr>
          <w:rFonts w:ascii="宋体" w:hAnsi="宋体"/>
          <w:b/>
          <w:color w:val="auto"/>
          <w:sz w:val="32"/>
          <w:szCs w:val="32"/>
          <w:highlight w:val="none"/>
        </w:rPr>
        <w:t>第二章  供应商须知</w:t>
      </w:r>
      <w:bookmarkEnd w:id="44"/>
    </w:p>
    <w:p w14:paraId="5C29D2AE">
      <w:pPr>
        <w:pStyle w:val="31"/>
        <w:spacing w:line="400" w:lineRule="exact"/>
        <w:jc w:val="center"/>
        <w:rPr>
          <w:rFonts w:ascii="宋体" w:hAnsi="宋体" w:cs="宋体"/>
          <w:b/>
          <w:color w:val="auto"/>
          <w:sz w:val="32"/>
          <w:szCs w:val="32"/>
          <w:highlight w:val="none"/>
        </w:rPr>
      </w:pPr>
      <w:r>
        <w:rPr>
          <w:rFonts w:ascii="宋体" w:hAnsi="宋体" w:cs="宋体"/>
          <w:b/>
          <w:color w:val="auto"/>
          <w:sz w:val="32"/>
          <w:szCs w:val="32"/>
          <w:highlight w:val="none"/>
        </w:rPr>
        <w:t>供应商须知前附表</w:t>
      </w:r>
    </w:p>
    <w:p w14:paraId="46CFC36C">
      <w:pPr>
        <w:pStyle w:val="31"/>
        <w:rPr>
          <w:color w:val="auto"/>
          <w:highlight w:val="none"/>
        </w:rPr>
      </w:pPr>
    </w:p>
    <w:tbl>
      <w:tblPr>
        <w:tblStyle w:val="23"/>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1822"/>
        <w:gridCol w:w="11"/>
        <w:gridCol w:w="6309"/>
        <w:gridCol w:w="11"/>
      </w:tblGrid>
      <w:tr w14:paraId="5FA2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644" w:type="dxa"/>
            <w:vAlign w:val="center"/>
          </w:tcPr>
          <w:p w14:paraId="78D238DB">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项号</w:t>
            </w:r>
          </w:p>
        </w:tc>
        <w:tc>
          <w:tcPr>
            <w:tcW w:w="1833" w:type="dxa"/>
            <w:gridSpan w:val="2"/>
            <w:vAlign w:val="center"/>
          </w:tcPr>
          <w:p w14:paraId="00D764D0">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内容</w:t>
            </w:r>
          </w:p>
        </w:tc>
        <w:tc>
          <w:tcPr>
            <w:tcW w:w="6320" w:type="dxa"/>
            <w:gridSpan w:val="2"/>
            <w:vAlign w:val="center"/>
          </w:tcPr>
          <w:p w14:paraId="0E98D679">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说明与要求</w:t>
            </w:r>
          </w:p>
        </w:tc>
      </w:tr>
      <w:tr w14:paraId="1537C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0" w:hRule="exact"/>
          <w:jc w:val="center"/>
        </w:trPr>
        <w:tc>
          <w:tcPr>
            <w:tcW w:w="644" w:type="dxa"/>
            <w:vAlign w:val="center"/>
          </w:tcPr>
          <w:p w14:paraId="2E2C5943">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w:t>
            </w:r>
          </w:p>
        </w:tc>
        <w:tc>
          <w:tcPr>
            <w:tcW w:w="1833" w:type="dxa"/>
            <w:gridSpan w:val="2"/>
            <w:vAlign w:val="center"/>
          </w:tcPr>
          <w:p w14:paraId="796B2908">
            <w:pPr>
              <w:keepNext w:val="0"/>
              <w:keepLines w:val="0"/>
              <w:pageBreakBefore w:val="0"/>
              <w:kinsoku/>
              <w:wordWrap/>
              <w:overflowPunct/>
              <w:topLinePunct w:val="0"/>
              <w:autoSpaceDE w:val="0"/>
              <w:autoSpaceDN w:val="0"/>
              <w:bidi w:val="0"/>
              <w:adjustRightInd/>
              <w:snapToGrid/>
              <w:spacing w:line="360" w:lineRule="auto"/>
              <w:jc w:val="both"/>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工程名称及编号</w:t>
            </w:r>
          </w:p>
        </w:tc>
        <w:tc>
          <w:tcPr>
            <w:tcW w:w="6320" w:type="dxa"/>
            <w:gridSpan w:val="2"/>
            <w:vAlign w:val="center"/>
          </w:tcPr>
          <w:p w14:paraId="4129370A">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工程名称：</w:t>
            </w:r>
            <w:r>
              <w:rPr>
                <w:rFonts w:hint="eastAsia" w:ascii="宋体" w:hAnsi="宋体" w:cs="宋体"/>
                <w:color w:val="auto"/>
                <w:sz w:val="21"/>
                <w:szCs w:val="21"/>
                <w:highlight w:val="none"/>
                <w:lang w:eastAsia="zh-CN"/>
              </w:rPr>
              <w:t xml:space="preserve">东门镇郝佐村郝章屯产业道路硬化项目 </w:t>
            </w:r>
          </w:p>
          <w:p w14:paraId="7710205E">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cs="宋体"/>
                <w:color w:val="auto"/>
                <w:sz w:val="21"/>
                <w:szCs w:val="21"/>
                <w:highlight w:val="none"/>
                <w:lang w:eastAsia="zh-CN"/>
              </w:rPr>
              <w:t>CZZC2025-C2-210059-GXHL</w:t>
            </w:r>
          </w:p>
          <w:p w14:paraId="441F2EF4">
            <w:pPr>
              <w:keepNext w:val="0"/>
              <w:keepLines w:val="0"/>
              <w:pageBreakBefore w:val="0"/>
              <w:kinsoku/>
              <w:wordWrap/>
              <w:overflowPunct/>
              <w:topLinePunct w:val="0"/>
              <w:autoSpaceDE w:val="0"/>
              <w:autoSpaceDN w:val="0"/>
              <w:bidi w:val="0"/>
              <w:adjustRightInd/>
              <w:snapToGrid/>
              <w:spacing w:line="360" w:lineRule="auto"/>
              <w:textAlignment w:val="auto"/>
              <w:rPr>
                <w:rFonts w:hint="eastAsia" w:ascii="宋体" w:hAnsi="宋体" w:eastAsia="宋体" w:cs="宋体"/>
                <w:bCs/>
                <w:color w:val="auto"/>
                <w:sz w:val="21"/>
                <w:szCs w:val="21"/>
                <w:highlight w:val="none"/>
                <w:lang w:eastAsia="zh-CN"/>
              </w:rPr>
            </w:pPr>
          </w:p>
        </w:tc>
      </w:tr>
      <w:tr w14:paraId="07164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jc w:val="center"/>
        </w:trPr>
        <w:tc>
          <w:tcPr>
            <w:tcW w:w="644" w:type="dxa"/>
            <w:vAlign w:val="center"/>
          </w:tcPr>
          <w:p w14:paraId="2BE6383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2</w:t>
            </w:r>
          </w:p>
        </w:tc>
        <w:tc>
          <w:tcPr>
            <w:tcW w:w="1833" w:type="dxa"/>
            <w:gridSpan w:val="2"/>
            <w:vAlign w:val="center"/>
          </w:tcPr>
          <w:p w14:paraId="5A11149E">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建设地点</w:t>
            </w:r>
          </w:p>
        </w:tc>
        <w:tc>
          <w:tcPr>
            <w:tcW w:w="6320" w:type="dxa"/>
            <w:gridSpan w:val="2"/>
            <w:vAlign w:val="center"/>
          </w:tcPr>
          <w:p w14:paraId="4EB8BEDD">
            <w:pPr>
              <w:keepNext w:val="0"/>
              <w:keepLines w:val="0"/>
              <w:pageBreakBefore w:val="0"/>
              <w:kinsoku/>
              <w:wordWrap/>
              <w:overflowPunct/>
              <w:topLinePunct w:val="0"/>
              <w:autoSpaceDE w:val="0"/>
              <w:autoSpaceDN w:val="0"/>
              <w:bidi w:val="0"/>
              <w:adjustRightInd/>
              <w:snapToGrid/>
              <w:spacing w:line="360" w:lineRule="auto"/>
              <w:ind w:firstLine="420" w:firstLineChars="200"/>
              <w:jc w:val="both"/>
              <w:textAlignment w:val="auto"/>
              <w:rPr>
                <w:rFonts w:hint="default" w:ascii="宋体" w:eastAsia="宋体" w:cs="宋体"/>
                <w:bCs/>
                <w:color w:val="auto"/>
                <w:sz w:val="21"/>
                <w:szCs w:val="21"/>
                <w:highlight w:val="none"/>
                <w:lang w:val="en-US" w:eastAsia="zh-CN"/>
              </w:rPr>
            </w:pPr>
            <w:r>
              <w:rPr>
                <w:rFonts w:hint="eastAsia" w:ascii="宋体" w:cs="宋体"/>
                <w:bCs/>
                <w:color w:val="auto"/>
                <w:sz w:val="21"/>
                <w:szCs w:val="21"/>
                <w:highlight w:val="none"/>
                <w:lang w:val="en-US" w:eastAsia="zh-CN"/>
              </w:rPr>
              <w:t>崇左</w:t>
            </w:r>
            <w:r>
              <w:rPr>
                <w:rFonts w:hint="eastAsia" w:ascii="宋体" w:cs="宋体"/>
                <w:bCs/>
                <w:color w:val="auto"/>
                <w:sz w:val="21"/>
                <w:szCs w:val="21"/>
                <w:highlight w:val="none"/>
                <w:lang w:eastAsia="zh-CN"/>
              </w:rPr>
              <w:t>市</w:t>
            </w:r>
            <w:r>
              <w:rPr>
                <w:rFonts w:hint="eastAsia" w:ascii="宋体" w:hAnsi="宋体" w:cs="宋体"/>
                <w:color w:val="auto"/>
                <w:sz w:val="21"/>
                <w:szCs w:val="21"/>
                <w:highlight w:val="none"/>
                <w:lang w:eastAsia="zh-CN"/>
              </w:rPr>
              <w:t>扶绥县</w:t>
            </w:r>
          </w:p>
        </w:tc>
      </w:tr>
      <w:tr w14:paraId="4BD8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exact"/>
          <w:jc w:val="center"/>
        </w:trPr>
        <w:tc>
          <w:tcPr>
            <w:tcW w:w="644" w:type="dxa"/>
            <w:vAlign w:val="center"/>
          </w:tcPr>
          <w:p w14:paraId="32B4E2B4">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3</w:t>
            </w:r>
          </w:p>
        </w:tc>
        <w:tc>
          <w:tcPr>
            <w:tcW w:w="1833" w:type="dxa"/>
            <w:gridSpan w:val="2"/>
            <w:vAlign w:val="center"/>
          </w:tcPr>
          <w:p w14:paraId="538A7282">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rPr>
              <w:t>采购预算金额</w:t>
            </w:r>
          </w:p>
        </w:tc>
        <w:tc>
          <w:tcPr>
            <w:tcW w:w="6320" w:type="dxa"/>
            <w:gridSpan w:val="2"/>
            <w:vAlign w:val="center"/>
          </w:tcPr>
          <w:p w14:paraId="0204938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cs="宋体"/>
                <w:bCs/>
                <w:color w:val="auto"/>
                <w:sz w:val="21"/>
                <w:szCs w:val="21"/>
                <w:highlight w:val="none"/>
              </w:rPr>
            </w:pPr>
            <w:r>
              <w:rPr>
                <w:rFonts w:hint="eastAsia" w:ascii="Times New Roman" w:hAnsi="Times New Roman" w:eastAsia="宋体" w:cs="Times New Roman"/>
                <w:bCs w:val="0"/>
                <w:color w:val="auto"/>
                <w:spacing w:val="0"/>
                <w:sz w:val="21"/>
                <w:szCs w:val="21"/>
                <w:highlight w:val="none"/>
                <w:lang w:val="en-US" w:eastAsia="zh-CN" w:bidi="hi-IN"/>
              </w:rPr>
              <w:t>人民币</w:t>
            </w:r>
            <w:r>
              <w:rPr>
                <w:rFonts w:hint="eastAsia" w:ascii="Times New Roman" w:hAnsi="Times New Roman" w:cs="Times New Roman"/>
                <w:bCs w:val="0"/>
                <w:color w:val="auto"/>
                <w:spacing w:val="0"/>
                <w:sz w:val="21"/>
                <w:szCs w:val="21"/>
                <w:highlight w:val="none"/>
                <w:lang w:val="en-US" w:eastAsia="zh-CN" w:bidi="hi-IN"/>
              </w:rPr>
              <w:t>壹佰壹拾伍万叁仟肆佰捌拾陆元整</w:t>
            </w:r>
            <w:r>
              <w:rPr>
                <w:rFonts w:hint="eastAsia" w:ascii="Times New Roman" w:hAnsi="Times New Roman" w:eastAsia="宋体" w:cs="Times New Roman"/>
                <w:bCs w:val="0"/>
                <w:color w:val="auto"/>
                <w:spacing w:val="0"/>
                <w:sz w:val="21"/>
                <w:szCs w:val="21"/>
                <w:highlight w:val="none"/>
                <w:lang w:val="en-US" w:eastAsia="zh-CN" w:bidi="hi-IN"/>
              </w:rPr>
              <w:t>（¥1153486.00）</w:t>
            </w:r>
          </w:p>
        </w:tc>
      </w:tr>
      <w:tr w14:paraId="3BC3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exact"/>
          <w:jc w:val="center"/>
        </w:trPr>
        <w:tc>
          <w:tcPr>
            <w:tcW w:w="644" w:type="dxa"/>
            <w:vAlign w:val="center"/>
          </w:tcPr>
          <w:p w14:paraId="2CE5594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4</w:t>
            </w:r>
          </w:p>
        </w:tc>
        <w:tc>
          <w:tcPr>
            <w:tcW w:w="1833" w:type="dxa"/>
            <w:gridSpan w:val="2"/>
            <w:vAlign w:val="center"/>
          </w:tcPr>
          <w:p w14:paraId="76E2A7D7">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承包方式</w:t>
            </w:r>
          </w:p>
        </w:tc>
        <w:tc>
          <w:tcPr>
            <w:tcW w:w="6320" w:type="dxa"/>
            <w:gridSpan w:val="2"/>
            <w:vAlign w:val="center"/>
          </w:tcPr>
          <w:p w14:paraId="6FF1C908">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包工包料</w:t>
            </w:r>
          </w:p>
        </w:tc>
      </w:tr>
      <w:tr w14:paraId="30AB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5" w:hRule="exact"/>
          <w:jc w:val="center"/>
        </w:trPr>
        <w:tc>
          <w:tcPr>
            <w:tcW w:w="644" w:type="dxa"/>
            <w:vAlign w:val="center"/>
          </w:tcPr>
          <w:p w14:paraId="7D24106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5</w:t>
            </w:r>
          </w:p>
        </w:tc>
        <w:tc>
          <w:tcPr>
            <w:tcW w:w="1833" w:type="dxa"/>
            <w:gridSpan w:val="2"/>
            <w:vAlign w:val="center"/>
          </w:tcPr>
          <w:p w14:paraId="1E618E13">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质量标准</w:t>
            </w:r>
          </w:p>
        </w:tc>
        <w:tc>
          <w:tcPr>
            <w:tcW w:w="6320" w:type="dxa"/>
            <w:gridSpan w:val="2"/>
            <w:vAlign w:val="center"/>
          </w:tcPr>
          <w:p w14:paraId="470CF08C">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达到国家竣工验收规范合格标准</w:t>
            </w:r>
          </w:p>
        </w:tc>
      </w:tr>
      <w:tr w14:paraId="00A8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9" w:hRule="exact"/>
          <w:jc w:val="center"/>
        </w:trPr>
        <w:tc>
          <w:tcPr>
            <w:tcW w:w="644" w:type="dxa"/>
            <w:vAlign w:val="center"/>
          </w:tcPr>
          <w:p w14:paraId="77364670">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6</w:t>
            </w:r>
          </w:p>
        </w:tc>
        <w:tc>
          <w:tcPr>
            <w:tcW w:w="1833" w:type="dxa"/>
            <w:gridSpan w:val="2"/>
            <w:vAlign w:val="center"/>
          </w:tcPr>
          <w:p w14:paraId="5A1030A9">
            <w:pPr>
              <w:keepNext w:val="0"/>
              <w:keepLines w:val="0"/>
              <w:pageBreakBefore w:val="0"/>
              <w:kinsoku/>
              <w:wordWrap/>
              <w:overflowPunct/>
              <w:topLinePunct w:val="0"/>
              <w:autoSpaceDE w:val="0"/>
              <w:autoSpaceDN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采购范围</w:t>
            </w:r>
          </w:p>
        </w:tc>
        <w:tc>
          <w:tcPr>
            <w:tcW w:w="6320" w:type="dxa"/>
            <w:gridSpan w:val="2"/>
            <w:vAlign w:val="center"/>
          </w:tcPr>
          <w:p w14:paraId="20B6B58A">
            <w:pPr>
              <w:keepNext w:val="0"/>
              <w:keepLines w:val="0"/>
              <w:pageBreakBefore w:val="0"/>
              <w:kinsoku/>
              <w:wordWrap/>
              <w:overflowPunct/>
              <w:topLinePunct w:val="0"/>
              <w:bidi w:val="0"/>
              <w:adjustRightInd/>
              <w:snapToGrid/>
              <w:spacing w:line="360" w:lineRule="auto"/>
              <w:ind w:firstLine="420" w:firstLineChars="200"/>
              <w:textAlignment w:val="auto"/>
              <w:rPr>
                <w:rFonts w:ascii="宋体" w:hAnsi="宋体" w:cs="宋体"/>
                <w:bCs/>
                <w:color w:val="auto"/>
                <w:sz w:val="21"/>
                <w:szCs w:val="21"/>
                <w:highlight w:val="none"/>
              </w:rPr>
            </w:pPr>
            <w:r>
              <w:rPr>
                <w:rFonts w:hint="eastAsia" w:cs="Times New Roman"/>
                <w:bCs w:val="0"/>
                <w:color w:val="auto"/>
                <w:spacing w:val="0"/>
                <w:sz w:val="21"/>
                <w:szCs w:val="21"/>
                <w:highlight w:val="none"/>
                <w:lang w:val="en-US" w:eastAsia="zh-CN" w:bidi="hi-IN"/>
              </w:rPr>
              <w:t>本项目位于崇左市扶绥县东门镇，设计范围：那章屯至白尧村，建设内容：道路设计全长1261.796米，设计速度15km/h，标准段道路红线宽度4.5米，路面类型为混凝土路面</w:t>
            </w:r>
            <w:r>
              <w:rPr>
                <w:rFonts w:hint="eastAsia" w:ascii="Times New Roman" w:hAnsi="Times New Roman" w:eastAsia="宋体" w:cs="Times New Roman"/>
                <w:bCs w:val="0"/>
                <w:color w:val="auto"/>
                <w:spacing w:val="0"/>
                <w:sz w:val="21"/>
                <w:szCs w:val="21"/>
                <w:highlight w:val="none"/>
                <w:lang w:val="en-US" w:eastAsia="zh-CN" w:bidi="hi-IN"/>
              </w:rPr>
              <w:t>等，以工程量清单和图纸包含的内容为准。</w:t>
            </w:r>
          </w:p>
        </w:tc>
      </w:tr>
      <w:tr w14:paraId="3479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exact"/>
          <w:jc w:val="center"/>
        </w:trPr>
        <w:tc>
          <w:tcPr>
            <w:tcW w:w="644" w:type="dxa"/>
            <w:vAlign w:val="center"/>
          </w:tcPr>
          <w:p w14:paraId="28C05D4D">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7</w:t>
            </w:r>
          </w:p>
        </w:tc>
        <w:tc>
          <w:tcPr>
            <w:tcW w:w="1833" w:type="dxa"/>
            <w:gridSpan w:val="2"/>
            <w:vAlign w:val="center"/>
          </w:tcPr>
          <w:p w14:paraId="78B9B836">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color w:val="auto"/>
                <w:sz w:val="21"/>
                <w:szCs w:val="21"/>
                <w:highlight w:val="none"/>
                <w:lang w:eastAsia="zh-CN"/>
              </w:rPr>
            </w:pPr>
            <w:r>
              <w:rPr>
                <w:rFonts w:hint="eastAsia" w:ascii="宋体" w:hAnsi="宋体" w:cs="宋体"/>
                <w:b/>
                <w:bCs/>
                <w:color w:val="auto"/>
                <w:kern w:val="0"/>
                <w:sz w:val="21"/>
                <w:szCs w:val="21"/>
                <w:highlight w:val="none"/>
                <w:lang w:eastAsia="zh-CN"/>
              </w:rPr>
              <w:t>工期要求</w:t>
            </w:r>
          </w:p>
        </w:tc>
        <w:tc>
          <w:tcPr>
            <w:tcW w:w="6320" w:type="dxa"/>
            <w:gridSpan w:val="2"/>
            <w:vAlign w:val="center"/>
          </w:tcPr>
          <w:p w14:paraId="6FA7D319">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60日历天</w:t>
            </w:r>
          </w:p>
        </w:tc>
      </w:tr>
      <w:tr w14:paraId="3D3D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8" w:hRule="exact"/>
          <w:jc w:val="center"/>
        </w:trPr>
        <w:tc>
          <w:tcPr>
            <w:tcW w:w="644" w:type="dxa"/>
            <w:vAlign w:val="center"/>
          </w:tcPr>
          <w:p w14:paraId="0ECECB7A">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8</w:t>
            </w:r>
          </w:p>
        </w:tc>
        <w:tc>
          <w:tcPr>
            <w:tcW w:w="1833" w:type="dxa"/>
            <w:gridSpan w:val="2"/>
            <w:vAlign w:val="center"/>
          </w:tcPr>
          <w:p w14:paraId="370A1DBE">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cs="宋体"/>
                <w:bCs/>
                <w:color w:val="auto"/>
                <w:sz w:val="21"/>
                <w:szCs w:val="21"/>
                <w:highlight w:val="none"/>
                <w:lang w:eastAsia="zh-CN"/>
              </w:rPr>
            </w:pPr>
            <w:r>
              <w:rPr>
                <w:rFonts w:hint="eastAsia" w:ascii="宋体" w:hAnsi="宋体" w:cs="宋体"/>
                <w:b/>
                <w:bCs w:val="0"/>
                <w:color w:val="auto"/>
                <w:sz w:val="21"/>
                <w:szCs w:val="21"/>
                <w:highlight w:val="none"/>
                <w:lang w:eastAsia="zh-CN"/>
              </w:rPr>
              <w:t>资金来源</w:t>
            </w:r>
          </w:p>
        </w:tc>
        <w:tc>
          <w:tcPr>
            <w:tcW w:w="6320" w:type="dxa"/>
            <w:gridSpan w:val="2"/>
            <w:vAlign w:val="center"/>
          </w:tcPr>
          <w:p w14:paraId="182C8BD5">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color w:val="auto"/>
                <w:sz w:val="21"/>
                <w:szCs w:val="21"/>
                <w:highlight w:val="none"/>
                <w:lang w:eastAsia="zh-CN"/>
              </w:rPr>
              <w:t>广西壮族自治区财政厅关于下达2025年中央和自治区财政衔接推进乡村振兴补助资金的通知</w:t>
            </w:r>
          </w:p>
        </w:tc>
      </w:tr>
      <w:tr w14:paraId="469C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44" w:type="dxa"/>
            <w:vAlign w:val="center"/>
          </w:tcPr>
          <w:p w14:paraId="3DF7760A">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9</w:t>
            </w:r>
          </w:p>
        </w:tc>
        <w:tc>
          <w:tcPr>
            <w:tcW w:w="1833" w:type="dxa"/>
            <w:gridSpan w:val="2"/>
            <w:vAlign w:val="center"/>
          </w:tcPr>
          <w:p w14:paraId="6A8DD275">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磋商单位资质</w:t>
            </w:r>
          </w:p>
          <w:p w14:paraId="1B936D56">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color w:val="auto"/>
                <w:kern w:val="0"/>
                <w:sz w:val="21"/>
                <w:szCs w:val="21"/>
                <w:highlight w:val="none"/>
              </w:rPr>
            </w:pPr>
            <w:r>
              <w:rPr>
                <w:rFonts w:hint="eastAsia" w:ascii="宋体" w:hAnsi="宋体" w:cs="宋体"/>
                <w:b/>
                <w:bCs/>
                <w:color w:val="auto"/>
                <w:kern w:val="0"/>
                <w:sz w:val="21"/>
                <w:szCs w:val="21"/>
                <w:highlight w:val="none"/>
              </w:rPr>
              <w:t>等级要求</w:t>
            </w:r>
          </w:p>
        </w:tc>
        <w:tc>
          <w:tcPr>
            <w:tcW w:w="6320" w:type="dxa"/>
            <w:gridSpan w:val="2"/>
            <w:vAlign w:val="center"/>
          </w:tcPr>
          <w:p w14:paraId="466E7B78">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1.满足《中华人民共和国政府采购法》第二十二条规定；</w:t>
            </w:r>
          </w:p>
          <w:p w14:paraId="25AA2702">
            <w:pPr>
              <w:keepNext w:val="0"/>
              <w:keepLines w:val="0"/>
              <w:pageBreakBefore w:val="0"/>
              <w:kinsoku/>
              <w:wordWrap/>
              <w:overflowPunct/>
              <w:topLinePunct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2.落实政府采购政策需满足的资格要求：</w:t>
            </w:r>
            <w:r>
              <w:rPr>
                <w:rFonts w:hint="eastAsia"/>
                <w:color w:val="auto"/>
                <w:sz w:val="21"/>
                <w:szCs w:val="21"/>
                <w:highlight w:val="none"/>
                <w:lang w:eastAsia="zh-CN"/>
              </w:rPr>
              <w:t>供应商为中小企业</w:t>
            </w:r>
            <w:r>
              <w:rPr>
                <w:rFonts w:hint="eastAsia"/>
                <w:color w:val="auto"/>
                <w:sz w:val="21"/>
                <w:szCs w:val="21"/>
                <w:highlight w:val="none"/>
              </w:rPr>
              <w:t>。</w:t>
            </w:r>
          </w:p>
          <w:p w14:paraId="467C8B02">
            <w:pPr>
              <w:keepNext w:val="0"/>
              <w:keepLines w:val="0"/>
              <w:pageBreakBefore w:val="0"/>
              <w:kinsoku/>
              <w:wordWrap/>
              <w:overflowPunct/>
              <w:topLinePunct w:val="0"/>
              <w:autoSpaceDE/>
              <w:autoSpaceDN/>
              <w:bidi w:val="0"/>
              <w:adjustRightInd/>
              <w:spacing w:line="336" w:lineRule="auto"/>
              <w:ind w:firstLine="420" w:firstLineChars="200"/>
              <w:textAlignment w:val="auto"/>
              <w:rPr>
                <w:rFonts w:ascii="宋体" w:cs="宋体"/>
                <w:bCs/>
                <w:color w:val="auto"/>
                <w:sz w:val="21"/>
                <w:szCs w:val="21"/>
                <w:highlight w:val="none"/>
              </w:rPr>
            </w:pPr>
            <w:r>
              <w:rPr>
                <w:rFonts w:hint="eastAsia"/>
                <w:color w:val="auto"/>
                <w:sz w:val="21"/>
                <w:szCs w:val="21"/>
                <w:highlight w:val="none"/>
                <w:lang w:val="en-US" w:eastAsia="zh-CN"/>
              </w:rPr>
              <w:t>3</w:t>
            </w:r>
            <w:r>
              <w:rPr>
                <w:rFonts w:hint="eastAsia"/>
                <w:color w:val="auto"/>
                <w:sz w:val="21"/>
                <w:szCs w:val="21"/>
                <w:highlight w:val="none"/>
              </w:rPr>
              <w:t>.本项目的特定资格要求：</w:t>
            </w:r>
            <w:r>
              <w:rPr>
                <w:rFonts w:hint="eastAsia" w:ascii="宋体" w:hAnsi="宋体" w:eastAsia="宋体" w:cs="宋体"/>
                <w:color w:val="auto"/>
                <w:sz w:val="21"/>
                <w:szCs w:val="21"/>
                <w:highlight w:val="none"/>
                <w:lang w:eastAsia="zh-CN"/>
              </w:rPr>
              <w:t>具备</w:t>
            </w:r>
            <w:r>
              <w:rPr>
                <w:rFonts w:hint="eastAsia" w:ascii="宋体" w:hAnsi="宋体" w:cs="宋体"/>
                <w:color w:val="auto"/>
                <w:sz w:val="21"/>
                <w:szCs w:val="21"/>
                <w:highlight w:val="none"/>
                <w:lang w:eastAsia="zh-CN"/>
              </w:rPr>
              <w:t>市政公用工程施工总承包三级或</w:t>
            </w:r>
            <w:r>
              <w:rPr>
                <w:rFonts w:hint="eastAsia"/>
                <w:color w:val="auto"/>
                <w:sz w:val="21"/>
                <w:szCs w:val="21"/>
                <w:highlight w:val="none"/>
                <w:lang w:eastAsia="zh-CN"/>
              </w:rPr>
              <w:t>公路工程施工总承包三级(含三级)</w:t>
            </w:r>
            <w:r>
              <w:rPr>
                <w:rFonts w:hint="eastAsia" w:ascii="宋体" w:hAnsi="宋体" w:eastAsia="宋体" w:cs="宋体"/>
                <w:color w:val="auto"/>
                <w:sz w:val="21"/>
                <w:szCs w:val="21"/>
                <w:highlight w:val="none"/>
                <w:lang w:eastAsia="zh-CN"/>
              </w:rPr>
              <w:t>及以上资质，并在人员、设备、资金等方面具有相应的施工能力</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eastAsia="zh-CN"/>
              </w:rPr>
              <w:t>拟派驻的项目经理须具备</w:t>
            </w:r>
            <w:r>
              <w:rPr>
                <w:rFonts w:hint="eastAsia" w:ascii="宋体" w:hAnsi="宋体" w:cs="宋体"/>
                <w:color w:val="auto"/>
                <w:sz w:val="21"/>
                <w:szCs w:val="21"/>
                <w:highlight w:val="none"/>
                <w:lang w:eastAsia="zh-CN"/>
              </w:rPr>
              <w:t>市政公用工程专业二级或</w:t>
            </w:r>
            <w:r>
              <w:rPr>
                <w:rFonts w:hint="eastAsia"/>
                <w:color w:val="auto"/>
                <w:sz w:val="21"/>
                <w:szCs w:val="21"/>
                <w:highlight w:val="none"/>
                <w:lang w:eastAsia="zh-CN"/>
              </w:rPr>
              <w:t>公路工程专业二级</w:t>
            </w:r>
            <w:r>
              <w:rPr>
                <w:rFonts w:hint="eastAsia" w:ascii="宋体" w:hAnsi="宋体" w:eastAsia="宋体" w:cs="宋体"/>
                <w:color w:val="auto"/>
                <w:sz w:val="21"/>
                <w:szCs w:val="21"/>
                <w:highlight w:val="none"/>
                <w:lang w:eastAsia="zh-CN"/>
              </w:rPr>
              <w:t>以上（含</w:t>
            </w:r>
            <w:r>
              <w:rPr>
                <w:rFonts w:hint="eastAsia" w:ascii="宋体" w:hAnsi="宋体" w:cs="宋体"/>
                <w:color w:val="auto"/>
                <w:sz w:val="21"/>
                <w:szCs w:val="21"/>
                <w:highlight w:val="none"/>
                <w:lang w:eastAsia="zh-CN"/>
              </w:rPr>
              <w:t>二</w:t>
            </w:r>
            <w:r>
              <w:rPr>
                <w:rFonts w:hint="eastAsia" w:ascii="宋体" w:hAnsi="宋体" w:eastAsia="宋体" w:cs="宋体"/>
                <w:color w:val="auto"/>
                <w:sz w:val="21"/>
                <w:szCs w:val="21"/>
                <w:highlight w:val="none"/>
                <w:lang w:eastAsia="zh-CN"/>
              </w:rPr>
              <w:t>级）注册建造师执业资格，具备有效的安全生产考核合格证书（B类），且为本单位在职员工</w:t>
            </w:r>
            <w:r>
              <w:rPr>
                <w:rFonts w:hint="eastAsia"/>
                <w:color w:val="auto"/>
                <w:sz w:val="21"/>
                <w:szCs w:val="21"/>
                <w:highlight w:val="none"/>
                <w:lang w:eastAsia="zh-CN"/>
              </w:rPr>
              <w:t>。</w:t>
            </w:r>
          </w:p>
        </w:tc>
      </w:tr>
      <w:tr w14:paraId="03F1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644" w:type="dxa"/>
            <w:vAlign w:val="center"/>
          </w:tcPr>
          <w:p w14:paraId="1320E395">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10</w:t>
            </w:r>
          </w:p>
        </w:tc>
        <w:tc>
          <w:tcPr>
            <w:tcW w:w="1833" w:type="dxa"/>
            <w:gridSpan w:val="2"/>
            <w:vAlign w:val="center"/>
          </w:tcPr>
          <w:p w14:paraId="6CF1CE9B">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资格审查方式</w:t>
            </w:r>
          </w:p>
        </w:tc>
        <w:tc>
          <w:tcPr>
            <w:tcW w:w="6320" w:type="dxa"/>
            <w:gridSpan w:val="2"/>
            <w:vAlign w:val="center"/>
          </w:tcPr>
          <w:p w14:paraId="3472336F">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资格后审</w:t>
            </w:r>
          </w:p>
        </w:tc>
      </w:tr>
      <w:tr w14:paraId="6384A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644" w:type="dxa"/>
            <w:vAlign w:val="center"/>
          </w:tcPr>
          <w:p w14:paraId="37611687">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11</w:t>
            </w:r>
          </w:p>
        </w:tc>
        <w:tc>
          <w:tcPr>
            <w:tcW w:w="1833" w:type="dxa"/>
            <w:gridSpan w:val="2"/>
            <w:vAlign w:val="center"/>
          </w:tcPr>
          <w:p w14:paraId="1DEC59F5">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工程报价方式</w:t>
            </w:r>
          </w:p>
        </w:tc>
        <w:tc>
          <w:tcPr>
            <w:tcW w:w="6320" w:type="dxa"/>
            <w:gridSpan w:val="2"/>
            <w:vAlign w:val="center"/>
          </w:tcPr>
          <w:p w14:paraId="2F7F5DD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bCs/>
                <w:color w:val="auto"/>
                <w:sz w:val="21"/>
                <w:szCs w:val="21"/>
                <w:highlight w:val="none"/>
              </w:rPr>
            </w:pPr>
            <w:r>
              <w:rPr>
                <w:rFonts w:hint="eastAsia" w:ascii="宋体" w:hAnsi="宋体" w:cs="宋体"/>
                <w:bCs/>
                <w:color w:val="auto"/>
                <w:sz w:val="21"/>
                <w:szCs w:val="21"/>
                <w:highlight w:val="none"/>
              </w:rPr>
              <w:t>工程量清单报价</w:t>
            </w:r>
          </w:p>
        </w:tc>
      </w:tr>
      <w:tr w14:paraId="074E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 w:hRule="atLeast"/>
          <w:jc w:val="center"/>
        </w:trPr>
        <w:tc>
          <w:tcPr>
            <w:tcW w:w="644" w:type="dxa"/>
            <w:vAlign w:val="center"/>
          </w:tcPr>
          <w:p w14:paraId="2F99BE58">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12</w:t>
            </w:r>
          </w:p>
        </w:tc>
        <w:tc>
          <w:tcPr>
            <w:tcW w:w="1833" w:type="dxa"/>
            <w:gridSpan w:val="2"/>
            <w:vAlign w:val="center"/>
          </w:tcPr>
          <w:p w14:paraId="62AFB3CC">
            <w:pPr>
              <w:keepNext w:val="0"/>
              <w:keepLines w:val="0"/>
              <w:pageBreakBefore w:val="0"/>
              <w:widowControl/>
              <w:kinsoku/>
              <w:wordWrap/>
              <w:overflowPunct/>
              <w:topLinePunct w:val="0"/>
              <w:bidi w:val="0"/>
              <w:adjustRightInd/>
              <w:snapToGrid/>
              <w:spacing w:line="360" w:lineRule="auto"/>
              <w:ind w:firstLine="422" w:firstLineChars="200"/>
              <w:jc w:val="center"/>
              <w:textAlignment w:val="auto"/>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竞标有效期</w:t>
            </w:r>
          </w:p>
        </w:tc>
        <w:tc>
          <w:tcPr>
            <w:tcW w:w="6320" w:type="dxa"/>
            <w:gridSpan w:val="2"/>
            <w:vAlign w:val="center"/>
          </w:tcPr>
          <w:p w14:paraId="3E3D1939">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rPr>
            </w:pPr>
            <w:r>
              <w:rPr>
                <w:rFonts w:hint="eastAsia" w:ascii="宋体" w:hAnsi="宋体" w:cs="宋体"/>
                <w:color w:val="auto"/>
                <w:kern w:val="0"/>
                <w:sz w:val="21"/>
                <w:szCs w:val="21"/>
                <w:highlight w:val="none"/>
              </w:rPr>
              <w:t>45日（自提交响应文件截止之日算起）</w:t>
            </w:r>
          </w:p>
        </w:tc>
      </w:tr>
      <w:tr w14:paraId="3BF57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5" w:hRule="atLeast"/>
          <w:jc w:val="center"/>
        </w:trPr>
        <w:tc>
          <w:tcPr>
            <w:tcW w:w="644" w:type="dxa"/>
            <w:vAlign w:val="center"/>
          </w:tcPr>
          <w:p w14:paraId="3DDFC4A7">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13</w:t>
            </w:r>
          </w:p>
        </w:tc>
        <w:tc>
          <w:tcPr>
            <w:tcW w:w="1822" w:type="dxa"/>
            <w:vAlign w:val="center"/>
          </w:tcPr>
          <w:p w14:paraId="69525AF4">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磋商保证金</w:t>
            </w:r>
          </w:p>
        </w:tc>
        <w:tc>
          <w:tcPr>
            <w:tcW w:w="6320" w:type="dxa"/>
            <w:gridSpan w:val="2"/>
          </w:tcPr>
          <w:p w14:paraId="0B394A99">
            <w:pPr>
              <w:pStyle w:val="28"/>
              <w:keepNext w:val="0"/>
              <w:keepLines w:val="0"/>
              <w:pageBreakBefore w:val="0"/>
              <w:kinsoku/>
              <w:wordWrap/>
              <w:overflowPunct/>
              <w:topLinePunct w:val="0"/>
              <w:bidi w:val="0"/>
              <w:adjustRightInd/>
              <w:snapToGrid/>
              <w:spacing w:line="360" w:lineRule="auto"/>
              <w:ind w:firstLine="46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缴纳磋商保证金金额：否</w:t>
            </w:r>
          </w:p>
        </w:tc>
      </w:tr>
      <w:tr w14:paraId="39E0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67" w:hRule="atLeast"/>
          <w:jc w:val="center"/>
        </w:trPr>
        <w:tc>
          <w:tcPr>
            <w:tcW w:w="644" w:type="dxa"/>
            <w:vAlign w:val="center"/>
          </w:tcPr>
          <w:p w14:paraId="7ACC83E8">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14</w:t>
            </w:r>
          </w:p>
        </w:tc>
        <w:tc>
          <w:tcPr>
            <w:tcW w:w="1822" w:type="dxa"/>
            <w:vAlign w:val="center"/>
          </w:tcPr>
          <w:p w14:paraId="59E73F9E">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踏勘现场</w:t>
            </w:r>
          </w:p>
        </w:tc>
        <w:tc>
          <w:tcPr>
            <w:tcW w:w="6320" w:type="dxa"/>
            <w:gridSpan w:val="2"/>
            <w:vAlign w:val="center"/>
          </w:tcPr>
          <w:p w14:paraId="2A88E6C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磋商单位自行对工程现场及周围环境进行踏勘</w:t>
            </w:r>
          </w:p>
        </w:tc>
      </w:tr>
      <w:tr w14:paraId="1A9FC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92" w:hRule="atLeast"/>
          <w:jc w:val="center"/>
        </w:trPr>
        <w:tc>
          <w:tcPr>
            <w:tcW w:w="644" w:type="dxa"/>
            <w:vAlign w:val="center"/>
          </w:tcPr>
          <w:p w14:paraId="7C7979B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15</w:t>
            </w:r>
          </w:p>
        </w:tc>
        <w:tc>
          <w:tcPr>
            <w:tcW w:w="1822" w:type="dxa"/>
            <w:vAlign w:val="center"/>
          </w:tcPr>
          <w:p w14:paraId="20BDB216">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响应文件份数</w:t>
            </w:r>
          </w:p>
        </w:tc>
        <w:tc>
          <w:tcPr>
            <w:tcW w:w="6320" w:type="dxa"/>
            <w:gridSpan w:val="2"/>
            <w:vAlign w:val="center"/>
          </w:tcPr>
          <w:p w14:paraId="567912E5">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1.电子响应文件，电子响应文件按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要求及本竞争性磋商文件要求制作、加密并递交。 </w:t>
            </w:r>
          </w:p>
          <w:p w14:paraId="539286EC">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2.以介质存储的数据电文形式的电子备份响应文件，按</w:t>
            </w:r>
            <w:r>
              <w:rPr>
                <w:rFonts w:hint="eastAsia" w:ascii="宋体" w:hAnsi="宋体" w:cs="宋体"/>
                <w:color w:val="auto"/>
                <w:kern w:val="0"/>
                <w:sz w:val="21"/>
                <w:szCs w:val="21"/>
                <w:highlight w:val="none"/>
                <w:lang w:val="en-US" w:eastAsia="zh-CN" w:bidi="ar"/>
              </w:rPr>
              <w:t>广西政府采购云平台</w:t>
            </w:r>
            <w:r>
              <w:rPr>
                <w:rFonts w:hint="eastAsia" w:ascii="宋体" w:hAnsi="宋体" w:eastAsia="宋体" w:cs="宋体"/>
                <w:color w:val="auto"/>
                <w:kern w:val="0"/>
                <w:sz w:val="21"/>
                <w:szCs w:val="21"/>
                <w:highlight w:val="none"/>
                <w:lang w:val="en-US" w:eastAsia="zh-CN" w:bidi="ar"/>
              </w:rPr>
              <w:t xml:space="preserve">项目采购-电子招投标操作指南中上传的电子响应文件格式，以 DVD 光盘或者 U 盘等形式提供。数量为1 份。 </w:t>
            </w:r>
          </w:p>
          <w:p w14:paraId="4BCDA318">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3.响应文件启用顺序和效力：响应文件的启用，按先后顺位分别为电子响应文件、以介质存储的数据电文形式的电子备份响应文件。顺位在先的响应文件已按时解密的， 下一顺位响应文件自动失效。在下一顺位的响应文件启用时，前一顺位的响应文件自动失效。 </w:t>
            </w:r>
          </w:p>
          <w:p w14:paraId="0AAFCF9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▲未传输递交电子响应文件的，竞标无效。 </w:t>
            </w:r>
          </w:p>
          <w:p w14:paraId="7ED0B9CB">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ascii="宋体" w:hAnsi="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 xml:space="preserve">▲未按规定提供相应的备份响应文件，造成项目开评标活动无法进行下去的，竞标无效。 </w:t>
            </w:r>
          </w:p>
        </w:tc>
      </w:tr>
      <w:tr w14:paraId="0BA0E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1072" w:hRule="atLeast"/>
          <w:jc w:val="center"/>
        </w:trPr>
        <w:tc>
          <w:tcPr>
            <w:tcW w:w="644" w:type="dxa"/>
            <w:vAlign w:val="center"/>
          </w:tcPr>
          <w:p w14:paraId="1E5C94D6">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16</w:t>
            </w:r>
          </w:p>
        </w:tc>
        <w:tc>
          <w:tcPr>
            <w:tcW w:w="1822" w:type="dxa"/>
            <w:vAlign w:val="center"/>
          </w:tcPr>
          <w:p w14:paraId="64274695">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响应文件提交</w:t>
            </w:r>
          </w:p>
          <w:p w14:paraId="435A279D">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u w:val="single"/>
              </w:rPr>
            </w:pPr>
            <w:r>
              <w:rPr>
                <w:rFonts w:hint="eastAsia" w:ascii="宋体" w:hAnsi="宋体" w:cs="宋体"/>
                <w:b/>
                <w:bCs/>
                <w:color w:val="auto"/>
                <w:kern w:val="0"/>
                <w:sz w:val="21"/>
                <w:szCs w:val="21"/>
                <w:highlight w:val="none"/>
              </w:rPr>
              <w:t>地点及截止时间</w:t>
            </w:r>
          </w:p>
        </w:tc>
        <w:tc>
          <w:tcPr>
            <w:tcW w:w="6320" w:type="dxa"/>
            <w:gridSpan w:val="2"/>
            <w:vAlign w:val="center"/>
          </w:tcPr>
          <w:p w14:paraId="180AD720">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ascii="宋体" w:hAnsi="宋体" w:cs="宋体"/>
                <w:color w:val="auto"/>
                <w:sz w:val="21"/>
                <w:szCs w:val="21"/>
                <w:highlight w:val="none"/>
              </w:rPr>
              <w:t>地点</w:t>
            </w:r>
            <w:r>
              <w:rPr>
                <w:rFonts w:hint="eastAsia" w:ascii="宋体" w:hAnsi="宋体" w:cs="宋体"/>
                <w:color w:val="auto"/>
                <w:kern w:val="0"/>
                <w:sz w:val="21"/>
                <w:szCs w:val="21"/>
                <w:highlight w:val="none"/>
              </w:rPr>
              <w:t>：</w:t>
            </w:r>
            <w:r>
              <w:rPr>
                <w:rFonts w:hint="eastAsia"/>
                <w:color w:val="auto"/>
                <w:sz w:val="21"/>
                <w:szCs w:val="21"/>
                <w:highlight w:val="none"/>
                <w:lang w:eastAsia="zh-CN"/>
              </w:rPr>
              <w:t>通过广西政府采购云平台实行在线投标</w:t>
            </w:r>
          </w:p>
          <w:p w14:paraId="09722EDD">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ascii="宋体" w:cs="宋体"/>
                <w:color w:val="auto"/>
                <w:kern w:val="0"/>
                <w:sz w:val="21"/>
                <w:szCs w:val="21"/>
                <w:highlight w:val="none"/>
                <w:u w:val="single"/>
              </w:rPr>
            </w:pPr>
            <w:r>
              <w:rPr>
                <w:rFonts w:hint="eastAsia" w:ascii="宋体" w:hAnsi="宋体" w:cs="宋体"/>
                <w:color w:val="auto"/>
                <w:sz w:val="21"/>
                <w:szCs w:val="21"/>
                <w:highlight w:val="none"/>
              </w:rPr>
              <w:t>时间：</w:t>
            </w:r>
            <w:r>
              <w:rPr>
                <w:rFonts w:hint="eastAsia"/>
                <w:color w:val="auto"/>
                <w:sz w:val="21"/>
                <w:szCs w:val="21"/>
                <w:highlight w:val="none"/>
                <w:lang w:val="en-US" w:eastAsia="zh-CN"/>
              </w:rPr>
              <w:t>2025年9月15日9时00分</w:t>
            </w:r>
            <w:r>
              <w:rPr>
                <w:rFonts w:hint="eastAsia" w:ascii="宋体" w:hAnsi="宋体" w:cs="宋体"/>
                <w:color w:val="auto"/>
                <w:sz w:val="21"/>
                <w:szCs w:val="21"/>
                <w:highlight w:val="none"/>
              </w:rPr>
              <w:t>前</w:t>
            </w:r>
          </w:p>
        </w:tc>
      </w:tr>
      <w:tr w14:paraId="6D5C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82" w:hRule="atLeast"/>
          <w:jc w:val="center"/>
        </w:trPr>
        <w:tc>
          <w:tcPr>
            <w:tcW w:w="644" w:type="dxa"/>
            <w:vAlign w:val="center"/>
          </w:tcPr>
          <w:p w14:paraId="4F3BBBAF">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17</w:t>
            </w:r>
          </w:p>
        </w:tc>
        <w:tc>
          <w:tcPr>
            <w:tcW w:w="1822" w:type="dxa"/>
            <w:vAlign w:val="center"/>
          </w:tcPr>
          <w:p w14:paraId="5CAFE793">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开标地点</w:t>
            </w:r>
          </w:p>
          <w:p w14:paraId="10D88C61">
            <w:pPr>
              <w:keepNext w:val="0"/>
              <w:keepLines w:val="0"/>
              <w:pageBreakBefore w:val="0"/>
              <w:widowControl/>
              <w:kinsoku/>
              <w:wordWrap/>
              <w:overflowPunct/>
              <w:topLinePunct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及时间</w:t>
            </w:r>
          </w:p>
        </w:tc>
        <w:tc>
          <w:tcPr>
            <w:tcW w:w="6320" w:type="dxa"/>
            <w:gridSpan w:val="2"/>
            <w:vAlign w:val="center"/>
          </w:tcPr>
          <w:p w14:paraId="352BB30B">
            <w:pPr>
              <w:keepNext w:val="0"/>
              <w:keepLines w:val="0"/>
              <w:pageBreakBefore w:val="0"/>
              <w:numPr>
                <w:ilvl w:val="0"/>
                <w:numId w:val="0"/>
              </w:numPr>
              <w:kinsoku/>
              <w:overflowPunct/>
              <w:topLinePunct w:val="0"/>
              <w:autoSpaceDE/>
              <w:autoSpaceDN/>
              <w:bidi w:val="0"/>
              <w:adjustRightInd/>
              <w:spacing w:line="360" w:lineRule="auto"/>
              <w:ind w:firstLine="420" w:firstLineChars="200"/>
              <w:textAlignment w:val="auto"/>
              <w:rPr>
                <w:color w:val="auto"/>
                <w:sz w:val="21"/>
                <w:szCs w:val="21"/>
                <w:highlight w:val="none"/>
              </w:rPr>
            </w:pPr>
            <w:r>
              <w:rPr>
                <w:rFonts w:hint="eastAsia"/>
                <w:color w:val="auto"/>
                <w:sz w:val="21"/>
                <w:szCs w:val="21"/>
                <w:highlight w:val="none"/>
              </w:rPr>
              <w:t>地点：</w:t>
            </w:r>
            <w:r>
              <w:rPr>
                <w:rFonts w:hint="eastAsia" w:ascii="Times New Roman" w:hAnsi="Times New Roman" w:eastAsia="宋体" w:cs="Times New Roman"/>
                <w:color w:val="auto"/>
                <w:sz w:val="21"/>
                <w:szCs w:val="21"/>
                <w:highlight w:val="none"/>
              </w:rPr>
              <w:t>本项目采用远程异地评审，主会场在崇左市公共资源交易中心【崇左市城南新区石景林路东段政务服务中心综合楼5楼】通过广西政府采购云平台实行在线解密开启，</w:t>
            </w:r>
            <w:r>
              <w:rPr>
                <w:rFonts w:hint="eastAsia" w:cs="Times New Roman"/>
                <w:color w:val="auto"/>
                <w:sz w:val="21"/>
                <w:szCs w:val="21"/>
                <w:highlight w:val="none"/>
                <w:lang w:eastAsia="zh-CN"/>
              </w:rPr>
              <w:t>副会场在广西广百投资集团有限责任公司（百色市右江区长乐星城写字楼9层0776-2983306）</w:t>
            </w:r>
            <w:r>
              <w:rPr>
                <w:rFonts w:hint="eastAsia" w:ascii="宋体" w:hAnsi="宋体" w:cs="宋体"/>
                <w:color w:val="auto"/>
                <w:sz w:val="21"/>
                <w:szCs w:val="21"/>
                <w:highlight w:val="none"/>
                <w:lang w:eastAsia="zh-CN"/>
              </w:rPr>
              <w:t>。</w:t>
            </w:r>
          </w:p>
          <w:p w14:paraId="4B010A24">
            <w:pPr>
              <w:keepNext w:val="0"/>
              <w:keepLines w:val="0"/>
              <w:pageBreakBefore w:val="0"/>
              <w:widowControl/>
              <w:kinsoku/>
              <w:wordWrap/>
              <w:overflowPunct/>
              <w:topLinePunct w:val="0"/>
              <w:bidi w:val="0"/>
              <w:adjustRightInd/>
              <w:snapToGrid/>
              <w:spacing w:line="360" w:lineRule="auto"/>
              <w:ind w:firstLine="420" w:firstLineChars="200"/>
              <w:jc w:val="left"/>
              <w:textAlignment w:val="auto"/>
              <w:rPr>
                <w:rFonts w:hint="eastAsia"/>
                <w:color w:val="auto"/>
                <w:sz w:val="21"/>
                <w:szCs w:val="21"/>
                <w:highlight w:val="none"/>
                <w:lang w:eastAsia="zh-CN"/>
              </w:rPr>
            </w:pPr>
            <w:r>
              <w:rPr>
                <w:rFonts w:hint="eastAsia"/>
                <w:color w:val="auto"/>
                <w:sz w:val="21"/>
                <w:szCs w:val="21"/>
                <w:highlight w:val="none"/>
              </w:rPr>
              <w:t>时间</w:t>
            </w:r>
            <w:r>
              <w:rPr>
                <w:rFonts w:hint="eastAsia"/>
                <w:color w:val="auto"/>
                <w:sz w:val="21"/>
                <w:szCs w:val="21"/>
                <w:highlight w:val="none"/>
                <w:lang w:eastAsia="zh-CN"/>
              </w:rPr>
              <w:t>：</w:t>
            </w:r>
            <w:r>
              <w:rPr>
                <w:rFonts w:hint="eastAsia"/>
                <w:color w:val="auto"/>
                <w:sz w:val="21"/>
                <w:szCs w:val="21"/>
                <w:highlight w:val="none"/>
                <w:lang w:val="en-US" w:eastAsia="zh-CN"/>
              </w:rPr>
              <w:t>2025年9月15日9时00分</w:t>
            </w:r>
            <w:r>
              <w:rPr>
                <w:rFonts w:hint="eastAsia"/>
                <w:color w:val="auto"/>
                <w:sz w:val="21"/>
                <w:szCs w:val="21"/>
                <w:highlight w:val="none"/>
                <w:lang w:eastAsia="zh-CN"/>
              </w:rPr>
              <w:t>后</w:t>
            </w:r>
          </w:p>
          <w:p w14:paraId="62DE645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eastAsia" w:eastAsia="宋体" w:cs="Times New Roman"/>
                <w:color w:val="auto"/>
                <w:sz w:val="21"/>
                <w:szCs w:val="21"/>
                <w:highlight w:val="none"/>
                <w:lang w:val="en-US" w:eastAsia="zh-CN"/>
              </w:rPr>
            </w:pPr>
            <w:r>
              <w:rPr>
                <w:rFonts w:hint="eastAsia"/>
                <w:color w:val="auto"/>
                <w:sz w:val="21"/>
                <w:szCs w:val="21"/>
                <w:highlight w:val="none"/>
                <w:lang w:val="en-US" w:eastAsia="zh-CN"/>
              </w:rPr>
              <w:t xml:space="preserve">电子响应文件解密时间：首次响应文件提交截止时间后30分钟内，供应商必须在此时间段内登录广西政府采购云平台，用“项目采购-开标评标”功能完成电子响应文件的解密。 </w:t>
            </w:r>
            <w:r>
              <w:rPr>
                <w:rFonts w:hint="eastAsia" w:eastAsia="宋体" w:cs="Times New Roman"/>
                <w:color w:val="auto"/>
                <w:sz w:val="21"/>
                <w:szCs w:val="21"/>
                <w:highlight w:val="none"/>
                <w:lang w:val="en-US" w:eastAsia="zh-CN"/>
              </w:rPr>
              <w:t>若竞标供应商在规定时间内未按时解密的，视为响应文件撤回。</w:t>
            </w:r>
          </w:p>
          <w:p w14:paraId="0C90FCB9">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color w:val="auto"/>
                <w:sz w:val="21"/>
                <w:szCs w:val="21"/>
                <w:highlight w:val="none"/>
              </w:rPr>
            </w:pPr>
            <w:r>
              <w:rPr>
                <w:rFonts w:hint="eastAsia"/>
                <w:color w:val="auto"/>
                <w:sz w:val="21"/>
                <w:szCs w:val="21"/>
                <w:highlight w:val="none"/>
                <w:lang w:val="en-US" w:eastAsia="zh-CN"/>
              </w:rPr>
              <w:t>供应商可以根据自身情况提供以介质（U盘或光盘等）存储的数据电文形成的电子备份投标文件。电子备份投标文件应当在投标文件递交截止时间前按要求密封并送达开标地址，逾期送达或未按要求密封将被拒收。如在政采云系统规定时间内，供应商解密失败后可通知采购代理机构通过备份文件进行上传，如备份文件无法上传由供应商自行承担责任，电子备份投标文件应当密封包装并在包装上标注项目名称、单位名称并加盖公章。</w:t>
            </w:r>
          </w:p>
        </w:tc>
      </w:tr>
      <w:tr w14:paraId="184F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663" w:hRule="atLeast"/>
          <w:jc w:val="center"/>
        </w:trPr>
        <w:tc>
          <w:tcPr>
            <w:tcW w:w="644" w:type="dxa"/>
            <w:vAlign w:val="center"/>
          </w:tcPr>
          <w:p w14:paraId="72D848B7">
            <w:pPr>
              <w:keepNext w:val="0"/>
              <w:keepLines w:val="0"/>
              <w:pageBreakBefore w:val="0"/>
              <w:kinsoku/>
              <w:wordWrap/>
              <w:overflowPunct/>
              <w:topLinePunct w:val="0"/>
              <w:autoSpaceDE w:val="0"/>
              <w:autoSpaceDN w:val="0"/>
              <w:bidi w:val="0"/>
              <w:spacing w:line="360" w:lineRule="auto"/>
              <w:jc w:val="center"/>
              <w:rPr>
                <w:rFonts w:ascii="宋体" w:hAnsi="宋体" w:cs="宋体"/>
                <w:b/>
                <w:color w:val="auto"/>
                <w:kern w:val="0"/>
                <w:sz w:val="21"/>
                <w:szCs w:val="21"/>
                <w:highlight w:val="none"/>
              </w:rPr>
            </w:pPr>
            <w:r>
              <w:rPr>
                <w:rFonts w:ascii="宋体" w:hAnsi="宋体" w:cs="宋体"/>
                <w:b/>
                <w:color w:val="auto"/>
                <w:kern w:val="0"/>
                <w:sz w:val="21"/>
                <w:szCs w:val="21"/>
                <w:highlight w:val="none"/>
              </w:rPr>
              <w:t>18</w:t>
            </w:r>
          </w:p>
        </w:tc>
        <w:tc>
          <w:tcPr>
            <w:tcW w:w="1822" w:type="dxa"/>
            <w:vAlign w:val="center"/>
          </w:tcPr>
          <w:p w14:paraId="1211F30A">
            <w:pPr>
              <w:keepNext w:val="0"/>
              <w:keepLines w:val="0"/>
              <w:pageBreakBefore w:val="0"/>
              <w:kinsoku/>
              <w:wordWrap/>
              <w:overflowPunct/>
              <w:topLinePunct w:val="0"/>
              <w:autoSpaceDE w:val="0"/>
              <w:autoSpaceDN w:val="0"/>
              <w:bidi w:val="0"/>
              <w:spacing w:line="360" w:lineRule="auto"/>
              <w:jc w:val="center"/>
              <w:rPr>
                <w:rFonts w:ascii="宋体" w:cs="宋体"/>
                <w:b/>
                <w:bCs/>
                <w:color w:val="auto"/>
                <w:kern w:val="0"/>
                <w:sz w:val="21"/>
                <w:szCs w:val="21"/>
                <w:highlight w:val="none"/>
              </w:rPr>
            </w:pPr>
            <w:r>
              <w:rPr>
                <w:rFonts w:hint="eastAsia" w:ascii="宋体" w:hAnsi="宋体" w:cs="宋体"/>
                <w:b/>
                <w:bCs/>
                <w:color w:val="auto"/>
                <w:kern w:val="0"/>
                <w:sz w:val="21"/>
                <w:szCs w:val="21"/>
                <w:highlight w:val="none"/>
              </w:rPr>
              <w:t>评标方法</w:t>
            </w:r>
          </w:p>
        </w:tc>
        <w:tc>
          <w:tcPr>
            <w:tcW w:w="6320" w:type="dxa"/>
            <w:gridSpan w:val="2"/>
            <w:vAlign w:val="center"/>
          </w:tcPr>
          <w:p w14:paraId="16164536">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cs="宋体"/>
                <w:color w:val="auto"/>
                <w:kern w:val="0"/>
                <w:sz w:val="21"/>
                <w:szCs w:val="21"/>
                <w:highlight w:val="none"/>
              </w:rPr>
            </w:pPr>
            <w:r>
              <w:rPr>
                <w:rFonts w:hint="eastAsia" w:ascii="宋体" w:hAnsi="宋体" w:cs="宋体"/>
                <w:color w:val="auto"/>
                <w:sz w:val="21"/>
                <w:szCs w:val="21"/>
                <w:highlight w:val="none"/>
              </w:rPr>
              <w:t>综合评分法</w:t>
            </w:r>
          </w:p>
        </w:tc>
      </w:tr>
      <w:tr w14:paraId="6127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852E82D">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val="en-US" w:eastAsia="zh-CN"/>
              </w:rPr>
            </w:pPr>
            <w:r>
              <w:rPr>
                <w:rFonts w:ascii="宋体" w:hAnsi="宋体" w:cs="宋体"/>
                <w:b/>
                <w:color w:val="auto"/>
                <w:kern w:val="0"/>
                <w:sz w:val="21"/>
                <w:szCs w:val="21"/>
                <w:highlight w:val="none"/>
              </w:rPr>
              <w:t>19</w:t>
            </w:r>
          </w:p>
        </w:tc>
        <w:tc>
          <w:tcPr>
            <w:tcW w:w="1822" w:type="dxa"/>
            <w:vAlign w:val="center"/>
          </w:tcPr>
          <w:p w14:paraId="40A892DC">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农民工工资</w:t>
            </w:r>
          </w:p>
          <w:p w14:paraId="48E7EA1D">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保障金</w:t>
            </w:r>
          </w:p>
        </w:tc>
        <w:tc>
          <w:tcPr>
            <w:tcW w:w="6320" w:type="dxa"/>
            <w:gridSpan w:val="2"/>
            <w:vAlign w:val="center"/>
          </w:tcPr>
          <w:p w14:paraId="42F70369">
            <w:pPr>
              <w:keepNext w:val="0"/>
              <w:keepLines w:val="0"/>
              <w:pageBreakBefore w:val="0"/>
              <w:kinsoku/>
              <w:wordWrap/>
              <w:overflowPunct/>
              <w:topLinePunct w:val="0"/>
              <w:bidi w:val="0"/>
              <w:adjustRightInd/>
              <w:snapToGrid/>
              <w:spacing w:line="336" w:lineRule="auto"/>
              <w:ind w:firstLine="420" w:firstLineChars="200"/>
              <w:textAlignment w:val="auto"/>
              <w:rPr>
                <w:rFonts w:hint="default"/>
                <w:color w:val="auto"/>
                <w:sz w:val="21"/>
                <w:szCs w:val="21"/>
                <w:highlight w:val="none"/>
                <w:lang w:val="en-US" w:eastAsia="zh-CN"/>
              </w:rPr>
            </w:pPr>
            <w:r>
              <w:rPr>
                <w:rFonts w:hint="eastAsia"/>
                <w:color w:val="auto"/>
                <w:sz w:val="21"/>
                <w:szCs w:val="21"/>
                <w:highlight w:val="none"/>
                <w:lang w:eastAsia="zh-CN"/>
              </w:rPr>
              <w:t>无</w:t>
            </w:r>
          </w:p>
        </w:tc>
      </w:tr>
      <w:tr w14:paraId="167D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29" w:hRule="atLeast"/>
          <w:jc w:val="center"/>
        </w:trPr>
        <w:tc>
          <w:tcPr>
            <w:tcW w:w="644" w:type="dxa"/>
            <w:vAlign w:val="center"/>
          </w:tcPr>
          <w:p w14:paraId="548CA29D">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20</w:t>
            </w:r>
          </w:p>
        </w:tc>
        <w:tc>
          <w:tcPr>
            <w:tcW w:w="1822" w:type="dxa"/>
            <w:vAlign w:val="center"/>
          </w:tcPr>
          <w:p w14:paraId="52FBBAD6">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计税方式</w:t>
            </w:r>
          </w:p>
        </w:tc>
        <w:tc>
          <w:tcPr>
            <w:tcW w:w="6320" w:type="dxa"/>
            <w:gridSpan w:val="2"/>
            <w:vAlign w:val="center"/>
          </w:tcPr>
          <w:p w14:paraId="2CF1F76E">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一般计税</w:t>
            </w:r>
          </w:p>
        </w:tc>
      </w:tr>
      <w:tr w14:paraId="262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588" w:hRule="atLeast"/>
          <w:jc w:val="center"/>
        </w:trPr>
        <w:tc>
          <w:tcPr>
            <w:tcW w:w="644" w:type="dxa"/>
            <w:vAlign w:val="center"/>
          </w:tcPr>
          <w:p w14:paraId="54F65B2B">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21</w:t>
            </w:r>
          </w:p>
        </w:tc>
        <w:tc>
          <w:tcPr>
            <w:tcW w:w="1822" w:type="dxa"/>
            <w:vAlign w:val="center"/>
          </w:tcPr>
          <w:p w14:paraId="165458BD">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履约保证金</w:t>
            </w:r>
          </w:p>
        </w:tc>
        <w:tc>
          <w:tcPr>
            <w:tcW w:w="6320" w:type="dxa"/>
            <w:gridSpan w:val="2"/>
            <w:vAlign w:val="center"/>
          </w:tcPr>
          <w:p w14:paraId="606240C2">
            <w:pPr>
              <w:keepNext w:val="0"/>
              <w:keepLines w:val="0"/>
              <w:pageBreakBefore w:val="0"/>
              <w:kinsoku/>
              <w:wordWrap/>
              <w:overflowPunct/>
              <w:topLinePunct w:val="0"/>
              <w:bidi w:val="0"/>
              <w:adjustRightInd/>
              <w:snapToGrid/>
              <w:spacing w:after="0"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val="en-US" w:eastAsia="zh-CN"/>
              </w:rPr>
              <w:t>无</w:t>
            </w:r>
          </w:p>
        </w:tc>
      </w:tr>
      <w:tr w14:paraId="3FBE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287" w:hRule="atLeast"/>
          <w:jc w:val="center"/>
        </w:trPr>
        <w:tc>
          <w:tcPr>
            <w:tcW w:w="644" w:type="dxa"/>
            <w:vAlign w:val="center"/>
          </w:tcPr>
          <w:p w14:paraId="4519D054">
            <w:pPr>
              <w:keepNext w:val="0"/>
              <w:keepLines w:val="0"/>
              <w:pageBreakBefore w:val="0"/>
              <w:kinsoku/>
              <w:wordWrap/>
              <w:overflowPunct/>
              <w:topLinePunct w:val="0"/>
              <w:autoSpaceDE w:val="0"/>
              <w:autoSpaceDN w:val="0"/>
              <w:bidi w:val="0"/>
              <w:spacing w:line="360" w:lineRule="auto"/>
              <w:jc w:val="center"/>
              <w:rPr>
                <w:rFonts w:hint="default" w:ascii="宋体" w:hAnsi="宋体" w:eastAsia="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22</w:t>
            </w:r>
          </w:p>
        </w:tc>
        <w:tc>
          <w:tcPr>
            <w:tcW w:w="1822" w:type="dxa"/>
            <w:vAlign w:val="center"/>
          </w:tcPr>
          <w:p w14:paraId="21F068FD">
            <w:pPr>
              <w:keepNext w:val="0"/>
              <w:keepLines w:val="0"/>
              <w:pageBreakBefore w:val="0"/>
              <w:kinsoku/>
              <w:wordWrap/>
              <w:overflowPunct/>
              <w:topLinePunct w:val="0"/>
              <w:autoSpaceDE w:val="0"/>
              <w:autoSpaceDN w:val="0"/>
              <w:bidi w:val="0"/>
              <w:spacing w:line="360" w:lineRule="auto"/>
              <w:jc w:val="center"/>
              <w:rPr>
                <w:rFonts w:ascii="宋体" w:cs="宋体"/>
                <w:b/>
                <w:color w:val="auto"/>
                <w:kern w:val="0"/>
                <w:sz w:val="21"/>
                <w:szCs w:val="21"/>
                <w:highlight w:val="none"/>
              </w:rPr>
            </w:pPr>
            <w:r>
              <w:rPr>
                <w:rFonts w:hint="eastAsia" w:ascii="宋体" w:hAnsi="宋体" w:cs="宋体"/>
                <w:b/>
                <w:color w:val="auto"/>
                <w:kern w:val="0"/>
                <w:sz w:val="21"/>
                <w:szCs w:val="21"/>
                <w:highlight w:val="none"/>
              </w:rPr>
              <w:t>采购代理服务费</w:t>
            </w:r>
          </w:p>
        </w:tc>
        <w:tc>
          <w:tcPr>
            <w:tcW w:w="6320" w:type="dxa"/>
            <w:gridSpan w:val="2"/>
            <w:vAlign w:val="center"/>
          </w:tcPr>
          <w:p w14:paraId="675870B3">
            <w:pPr>
              <w:keepNext w:val="0"/>
              <w:keepLines w:val="0"/>
              <w:pageBreakBefore w:val="0"/>
              <w:kinsoku/>
              <w:wordWrap/>
              <w:overflowPunct/>
              <w:topLinePunct w:val="0"/>
              <w:autoSpaceDE w:val="0"/>
              <w:autoSpaceDN w:val="0"/>
              <w:bidi w:val="0"/>
              <w:adjustRightInd/>
              <w:snapToGrid/>
              <w:spacing w:line="360" w:lineRule="auto"/>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lang w:eastAsia="zh-CN"/>
              </w:rPr>
              <w:t>采购代理服务费参照原发改办价格[2003]857号、原发改价格[2011]534号按照标准进行收取。</w:t>
            </w:r>
          </w:p>
        </w:tc>
      </w:tr>
      <w:tr w14:paraId="73C3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72" w:hRule="atLeast"/>
          <w:jc w:val="center"/>
        </w:trPr>
        <w:tc>
          <w:tcPr>
            <w:tcW w:w="644" w:type="dxa"/>
            <w:vAlign w:val="center"/>
          </w:tcPr>
          <w:p w14:paraId="74AE88A4">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23</w:t>
            </w:r>
          </w:p>
        </w:tc>
        <w:tc>
          <w:tcPr>
            <w:tcW w:w="1822" w:type="dxa"/>
            <w:vAlign w:val="center"/>
          </w:tcPr>
          <w:p w14:paraId="5F89A109">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其他</w:t>
            </w:r>
          </w:p>
        </w:tc>
        <w:tc>
          <w:tcPr>
            <w:tcW w:w="6320" w:type="dxa"/>
            <w:gridSpan w:val="2"/>
            <w:vAlign w:val="center"/>
          </w:tcPr>
          <w:p w14:paraId="073F42D7">
            <w:pPr>
              <w:keepNext w:val="0"/>
              <w:keepLines w:val="0"/>
              <w:pageBreakBefore w:val="0"/>
              <w:kinsoku/>
              <w:wordWrap/>
              <w:overflowPunct/>
              <w:topLinePunct w:val="0"/>
              <w:bidi w:val="0"/>
              <w:adjustRightInd/>
              <w:snapToGrid/>
              <w:spacing w:line="360" w:lineRule="auto"/>
              <w:ind w:firstLine="420" w:firstLineChars="200"/>
              <w:jc w:val="left"/>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注：本项目实行电子化投标采购文件中描述供应商的“公章”是指供应商通过指定电子化政府采购平台办理数字证书（CA认证证书）获得的以法定主体行为名称制作的电子印章。文件中要求供应商对其电子响应文件的相关内容加盖公章的，均指采用CA证书签章。）</w:t>
            </w:r>
          </w:p>
          <w:p w14:paraId="7DBF0AF5">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26B837">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3.本磋商文件中描述供应商的“签字”是指供应商的法定代表人或者委托代理人亲自在文件规定签署处亲笔写上个人的名字的行为，私章、签字章、印鉴、影印等其他形式均不能代替亲笔签字。</w:t>
            </w:r>
            <w:r>
              <w:rPr>
                <w:rFonts w:hint="eastAsia" w:ascii="Calibri" w:hAnsi="Calibri" w:cs="Times New Roman"/>
                <w:color w:val="auto"/>
                <w:kern w:val="2"/>
                <w:sz w:val="21"/>
                <w:szCs w:val="21"/>
                <w:highlight w:val="none"/>
                <w:lang w:val="en-US" w:eastAsia="zh-CN" w:bidi="ar-SA"/>
              </w:rPr>
              <w:t>（注：</w:t>
            </w:r>
            <w:r>
              <w:rPr>
                <w:rFonts w:hint="eastAsia" w:ascii="Calibri" w:hAnsi="Calibri" w:eastAsia="宋体" w:cs="Times New Roman"/>
                <w:color w:val="auto"/>
                <w:kern w:val="2"/>
                <w:sz w:val="21"/>
                <w:szCs w:val="21"/>
                <w:highlight w:val="none"/>
                <w:lang w:val="en-US" w:eastAsia="zh-CN" w:bidi="ar-SA"/>
              </w:rPr>
              <w:t>本项目实行电子化投标</w:t>
            </w:r>
            <w:r>
              <w:rPr>
                <w:rFonts w:hint="eastAsia" w:ascii="Calibri" w:hAnsi="Calibri" w:cs="Times New Roman"/>
                <w:color w:val="auto"/>
                <w:kern w:val="2"/>
                <w:sz w:val="21"/>
                <w:szCs w:val="21"/>
                <w:highlight w:val="none"/>
                <w:lang w:val="en-US" w:eastAsia="zh-CN" w:bidi="ar-SA"/>
              </w:rPr>
              <w:t>，</w:t>
            </w:r>
            <w:r>
              <w:rPr>
                <w:rFonts w:hint="eastAsia" w:ascii="Calibri" w:hAnsi="Calibri" w:eastAsia="宋体" w:cs="Times New Roman"/>
                <w:color w:val="auto"/>
                <w:kern w:val="2"/>
                <w:sz w:val="21"/>
                <w:szCs w:val="21"/>
                <w:highlight w:val="none"/>
                <w:lang w:val="en-US" w:eastAsia="zh-CN" w:bidi="ar-SA"/>
              </w:rPr>
              <w:t>文件中描述供应商的“签字”是指供应商通过指定电子化政府采购平台办理数字证书（</w:t>
            </w:r>
            <w:r>
              <w:rPr>
                <w:rFonts w:hint="eastAsia" w:ascii="Calibri" w:hAnsi="Calibri" w:cs="Times New Roman"/>
                <w:color w:val="auto"/>
                <w:kern w:val="2"/>
                <w:sz w:val="21"/>
                <w:szCs w:val="21"/>
                <w:highlight w:val="none"/>
                <w:lang w:val="en-US" w:eastAsia="zh-CN" w:bidi="ar-SA"/>
              </w:rPr>
              <w:t>个人</w:t>
            </w:r>
            <w:r>
              <w:rPr>
                <w:rFonts w:hint="eastAsia" w:ascii="Calibri" w:hAnsi="Calibri" w:eastAsia="宋体" w:cs="Times New Roman"/>
                <w:color w:val="auto"/>
                <w:kern w:val="2"/>
                <w:sz w:val="21"/>
                <w:szCs w:val="21"/>
                <w:highlight w:val="none"/>
                <w:lang w:val="en-US" w:eastAsia="zh-CN" w:bidi="ar-SA"/>
              </w:rPr>
              <w:t>CA认证证书）获得的以供应商法定代表人（负责人、自然人）或者委托代理人姓名制作的个人电子</w:t>
            </w:r>
            <w:r>
              <w:rPr>
                <w:rFonts w:hint="eastAsia" w:ascii="Calibri" w:hAnsi="Calibri" w:cs="Times New Roman"/>
                <w:color w:val="auto"/>
                <w:kern w:val="2"/>
                <w:sz w:val="21"/>
                <w:szCs w:val="21"/>
                <w:highlight w:val="none"/>
                <w:lang w:val="en-US" w:eastAsia="zh-CN" w:bidi="ar-SA"/>
              </w:rPr>
              <w:t>签字</w:t>
            </w:r>
            <w:r>
              <w:rPr>
                <w:rFonts w:hint="eastAsia" w:ascii="Calibri" w:hAnsi="Calibri" w:eastAsia="宋体" w:cs="Times New Roman"/>
                <w:color w:val="auto"/>
                <w:kern w:val="2"/>
                <w:sz w:val="21"/>
                <w:szCs w:val="21"/>
                <w:highlight w:val="none"/>
                <w:lang w:val="en-US" w:eastAsia="zh-CN" w:bidi="ar-SA"/>
              </w:rPr>
              <w:t>章或手写签字。没有办理个人CA证书的，可以为手写签字的形式。</w:t>
            </w:r>
            <w:r>
              <w:rPr>
                <w:rFonts w:hint="eastAsia" w:ascii="Calibri" w:hAnsi="Calibri" w:cs="Times New Roman"/>
                <w:color w:val="auto"/>
                <w:kern w:val="2"/>
                <w:sz w:val="21"/>
                <w:szCs w:val="21"/>
                <w:highlight w:val="none"/>
                <w:lang w:val="en-US" w:eastAsia="zh-CN" w:bidi="ar-SA"/>
              </w:rPr>
              <w:t>）</w:t>
            </w:r>
          </w:p>
          <w:p w14:paraId="0E3F7B81">
            <w:pPr>
              <w:pStyle w:val="13"/>
              <w:keepNext w:val="0"/>
              <w:keepLines w:val="0"/>
              <w:pageBreakBefore w:val="0"/>
              <w:kinsoku/>
              <w:wordWrap/>
              <w:overflowPunct/>
              <w:topLinePunct w:val="0"/>
              <w:bidi w:val="0"/>
              <w:adjustRightInd/>
              <w:snapToGrid/>
              <w:spacing w:line="360" w:lineRule="auto"/>
              <w:ind w:firstLine="420" w:firstLineChars="200"/>
              <w:textAlignment w:val="auto"/>
              <w:rPr>
                <w:rFonts w:hint="eastAsia" w:ascii="Calibri" w:hAnsi="Calibri" w:eastAsia="宋体" w:cs="Times New Roman"/>
                <w:color w:val="auto"/>
                <w:kern w:val="2"/>
                <w:sz w:val="21"/>
                <w:szCs w:val="21"/>
                <w:highlight w:val="none"/>
                <w:lang w:val="en-US" w:eastAsia="zh-CN" w:bidi="ar-SA"/>
              </w:rPr>
            </w:pPr>
            <w:r>
              <w:rPr>
                <w:rFonts w:hint="eastAsia" w:ascii="Calibri" w:hAnsi="Calibri" w:eastAsia="宋体" w:cs="Times New Roman"/>
                <w:color w:val="auto"/>
                <w:kern w:val="2"/>
                <w:sz w:val="21"/>
                <w:szCs w:val="21"/>
                <w:highlight w:val="none"/>
                <w:lang w:val="en-US" w:eastAsia="zh-CN" w:bidi="ar-SA"/>
              </w:rPr>
              <w:t>4.自然人竞标的，磋商文件规定盖公章处由自然人摁手指指印。</w:t>
            </w:r>
          </w:p>
          <w:p w14:paraId="6A450782">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s="宋体"/>
                <w:color w:val="auto"/>
                <w:kern w:val="0"/>
                <w:sz w:val="21"/>
                <w:szCs w:val="21"/>
                <w:highlight w:val="none"/>
                <w:lang w:val="en-US" w:eastAsia="zh-CN"/>
              </w:rPr>
            </w:pPr>
            <w:r>
              <w:rPr>
                <w:rFonts w:hint="eastAsia" w:ascii="Calibri" w:hAnsi="Calibri" w:eastAsia="宋体" w:cs="Times New Roman"/>
                <w:color w:val="auto"/>
                <w:kern w:val="2"/>
                <w:sz w:val="21"/>
                <w:szCs w:val="21"/>
                <w:highlight w:val="none"/>
                <w:lang w:val="en-US" w:eastAsia="zh-CN" w:bidi="ar-SA"/>
              </w:rPr>
              <w:t>5.本磋商文件所称的“以上”“</w:t>
            </w:r>
            <w:r>
              <w:rPr>
                <w:rFonts w:hint="eastAsia" w:ascii="宋体" w:hAnsi="宋体" w:cs="宋体"/>
                <w:color w:val="auto"/>
                <w:kern w:val="0"/>
                <w:sz w:val="21"/>
                <w:szCs w:val="21"/>
                <w:highlight w:val="none"/>
                <w:lang w:val="en-US" w:eastAsia="zh-CN"/>
              </w:rPr>
              <w:t>以下”“以内”“届满”，包括本数；所称的“不满”“超过”“以外”，不包括本数。</w:t>
            </w:r>
          </w:p>
          <w:p w14:paraId="46E3EB1E">
            <w:pPr>
              <w:keepNext w:val="0"/>
              <w:keepLines w:val="0"/>
              <w:pageBreakBefore w:val="0"/>
              <w:widowControl/>
              <w:suppressLineNumbers w:val="0"/>
              <w:kinsoku/>
              <w:wordWrap/>
              <w:overflowPunct/>
              <w:topLinePunct w:val="0"/>
              <w:bidi w:val="0"/>
              <w:adjustRightInd/>
              <w:snapToGrid/>
              <w:spacing w:line="360" w:lineRule="auto"/>
              <w:ind w:firstLine="420" w:firstLineChars="200"/>
              <w:jc w:val="left"/>
              <w:textAlignment w:val="auto"/>
              <w:rPr>
                <w:rFonts w:hint="default" w:ascii="Calibri" w:hAnsi="Calibri" w:eastAsia="宋体" w:cs="Times New Roman"/>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 xml:space="preserve">6.电子响应文件中根据“政府采购项目电子交易管理操作指南-供应商”及本竞争性磋商文件规定的格式和顺序编制电子响应文件并进行关联定位，以便磋商小组在评审时，点击评分项可直接定位到该评分项内容。如对竞争性磋商文件的某项要求，供应商的电子响应文件未能关联定位提供相应的内容与其对应，则磋商小组在评审时如做出对供应商不利的评审由供应商自行承担。电子响应文件如内容不完整、编排混乱导致响应文件被误读、漏读，或者在按采购文件规定的部位查找不到相关内容的，由供应商自行承担。 </w:t>
            </w:r>
          </w:p>
        </w:tc>
      </w:tr>
      <w:tr w14:paraId="7A38B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324" w:hRule="atLeast"/>
          <w:jc w:val="center"/>
        </w:trPr>
        <w:tc>
          <w:tcPr>
            <w:tcW w:w="644" w:type="dxa"/>
            <w:vAlign w:val="center"/>
          </w:tcPr>
          <w:p w14:paraId="106A242F">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24</w:t>
            </w:r>
          </w:p>
        </w:tc>
        <w:tc>
          <w:tcPr>
            <w:tcW w:w="1822" w:type="dxa"/>
            <w:vAlign w:val="center"/>
          </w:tcPr>
          <w:p w14:paraId="37F07BDA">
            <w:pPr>
              <w:keepNext w:val="0"/>
              <w:keepLines w:val="0"/>
              <w:pageBreakBefore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hAnsi="宋体" w:cs="宋体"/>
                <w:b/>
                <w:color w:val="auto"/>
                <w:kern w:val="0"/>
                <w:sz w:val="21"/>
                <w:szCs w:val="21"/>
                <w:highlight w:val="none"/>
                <w:lang w:eastAsia="zh-CN"/>
              </w:rPr>
            </w:pPr>
            <w:r>
              <w:rPr>
                <w:rFonts w:hint="eastAsia" w:ascii="宋体" w:hAnsi="宋体" w:cs="宋体"/>
                <w:b/>
                <w:color w:val="auto"/>
                <w:kern w:val="0"/>
                <w:sz w:val="21"/>
                <w:szCs w:val="21"/>
                <w:highlight w:val="none"/>
                <w:lang w:eastAsia="zh-CN"/>
              </w:rPr>
              <w:t>电子投标准备工作</w:t>
            </w:r>
          </w:p>
        </w:tc>
        <w:tc>
          <w:tcPr>
            <w:tcW w:w="6320" w:type="dxa"/>
            <w:gridSpan w:val="2"/>
            <w:vAlign w:val="center"/>
          </w:tcPr>
          <w:p w14:paraId="69351AFE">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lang w:val="en-US" w:eastAsia="zh-CN"/>
              </w:rPr>
              <w:t>1、</w:t>
            </w:r>
            <w:r>
              <w:rPr>
                <w:rFonts w:hint="eastAsia" w:ascii="宋体" w:hAnsi="宋体"/>
                <w:color w:val="auto"/>
                <w:sz w:val="21"/>
                <w:szCs w:val="21"/>
                <w:highlight w:val="none"/>
              </w:rPr>
              <w:t>参与电子竞标的准备工作：</w:t>
            </w:r>
          </w:p>
          <w:p w14:paraId="143D8A36">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4C3F2C4">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5B032CD1">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19C4518">
            <w:pPr>
              <w:pStyle w:val="31"/>
              <w:keepNext w:val="0"/>
              <w:keepLines w:val="0"/>
              <w:pageBreakBefore w:val="0"/>
              <w:kinsoku/>
              <w:overflowPunct/>
              <w:topLinePunct w:val="0"/>
              <w:bidi w:val="0"/>
              <w:adjustRightIn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p>
          <w:p w14:paraId="4226DFFE">
            <w:pPr>
              <w:pStyle w:val="31"/>
              <w:keepNext w:val="0"/>
              <w:keepLines w:val="0"/>
              <w:pageBreakBefore w:val="0"/>
              <w:kinsoku/>
              <w:overflowPunct/>
              <w:topLinePunct w:val="0"/>
              <w:bidi w:val="0"/>
              <w:adjustRightInd/>
              <w:spacing w:line="360" w:lineRule="auto"/>
              <w:ind w:firstLine="420" w:firstLineChars="200"/>
              <w:textAlignment w:val="auto"/>
              <w:rPr>
                <w:rFonts w:hint="eastAsia"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）供应商需要在具备有摄像头及语音功能且互联网网络状况良好的电脑登录广西政府采购云平台远程开标大厅参与本次磋商，否则后果自负</w:t>
            </w:r>
            <w:r>
              <w:rPr>
                <w:rFonts w:hint="eastAsia" w:ascii="宋体" w:hAnsi="宋体" w:cs="宋体"/>
                <w:color w:val="auto"/>
                <w:sz w:val="21"/>
                <w:szCs w:val="21"/>
                <w:highlight w:val="none"/>
                <w:lang w:eastAsia="zh-CN"/>
              </w:rPr>
              <w:t>。</w:t>
            </w:r>
          </w:p>
        </w:tc>
      </w:tr>
      <w:tr w14:paraId="203C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844" w:hRule="atLeast"/>
          <w:jc w:val="center"/>
        </w:trPr>
        <w:tc>
          <w:tcPr>
            <w:tcW w:w="644" w:type="dxa"/>
            <w:vAlign w:val="center"/>
          </w:tcPr>
          <w:p w14:paraId="3B6FB46B">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25</w:t>
            </w:r>
          </w:p>
        </w:tc>
        <w:tc>
          <w:tcPr>
            <w:tcW w:w="1822" w:type="dxa"/>
            <w:vAlign w:val="center"/>
          </w:tcPr>
          <w:p w14:paraId="77F2CA35">
            <w:pPr>
              <w:keepNext w:val="0"/>
              <w:keepLines w:val="0"/>
              <w:pageBreakBefore w:val="0"/>
              <w:kinsoku/>
              <w:wordWrap/>
              <w:overflowPunct/>
              <w:topLinePunct w:val="0"/>
              <w:autoSpaceDE w:val="0"/>
              <w:autoSpaceDN w:val="0"/>
              <w:bidi w:val="0"/>
              <w:spacing w:line="360" w:lineRule="auto"/>
              <w:jc w:val="center"/>
              <w:rPr>
                <w:rFonts w:hint="eastAsia" w:ascii="宋体" w:hAnsi="宋体" w:cs="宋体"/>
                <w:b/>
                <w:color w:val="auto"/>
                <w:kern w:val="0"/>
                <w:sz w:val="21"/>
                <w:szCs w:val="21"/>
                <w:highlight w:val="none"/>
                <w:lang w:eastAsia="zh-CN"/>
              </w:rPr>
            </w:pPr>
            <w:r>
              <w:rPr>
                <w:rFonts w:hint="eastAsia" w:ascii="宋体" w:hAnsi="宋体"/>
                <w:b/>
                <w:bCs/>
                <w:color w:val="auto"/>
                <w:sz w:val="21"/>
                <w:szCs w:val="21"/>
                <w:highlight w:val="none"/>
              </w:rPr>
              <w:t>电子响应文件的制作、加密</w:t>
            </w:r>
          </w:p>
        </w:tc>
        <w:tc>
          <w:tcPr>
            <w:tcW w:w="6320" w:type="dxa"/>
            <w:gridSpan w:val="2"/>
            <w:vAlign w:val="center"/>
          </w:tcPr>
          <w:p w14:paraId="6A31A340">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1、供应商制作电子响应文件前，应登陆</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进行“申请获取采购文件”操作，否则，有可能导致无法在线编制响应文件并参与竞标，其不利后果由供应商自行承担。</w:t>
            </w:r>
          </w:p>
          <w:p w14:paraId="76A101FE">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15.2供应商下载或获取竞争性磋商文件后，登录“</w:t>
            </w:r>
            <w:r>
              <w:rPr>
                <w:rFonts w:hint="eastAsia" w:ascii="宋体" w:hAnsi="宋体"/>
                <w:color w:val="auto"/>
                <w:sz w:val="21"/>
                <w:szCs w:val="21"/>
                <w:highlight w:val="none"/>
                <w:lang w:eastAsia="zh-CN"/>
              </w:rPr>
              <w:t>广西政府采购云平台电子投标客户端</w:t>
            </w:r>
            <w:r>
              <w:rPr>
                <w:rFonts w:hint="eastAsia" w:ascii="宋体" w:hAnsi="宋体"/>
                <w:color w:val="auto"/>
                <w:sz w:val="21"/>
                <w:szCs w:val="21"/>
                <w:highlight w:val="none"/>
              </w:rPr>
              <w:t>”，按照本磋商文件规定的响应文件格式、顺序以及</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的要求，通过“</w:t>
            </w:r>
            <w:r>
              <w:rPr>
                <w:rFonts w:hint="eastAsia" w:ascii="宋体" w:hAnsi="宋体"/>
                <w:color w:val="auto"/>
                <w:sz w:val="21"/>
                <w:szCs w:val="21"/>
                <w:highlight w:val="none"/>
                <w:lang w:eastAsia="zh-CN"/>
              </w:rPr>
              <w:t>广西政府采购云平台电子投标客户端</w:t>
            </w:r>
            <w:r>
              <w:rPr>
                <w:rFonts w:hint="eastAsia" w:ascii="宋体" w:hAnsi="宋体"/>
                <w:color w:val="auto"/>
                <w:sz w:val="21"/>
                <w:szCs w:val="21"/>
                <w:highlight w:val="none"/>
              </w:rPr>
              <w:t>”编制电子响应文件。</w:t>
            </w:r>
          </w:p>
          <w:p w14:paraId="01B3F7CF">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2、供应商应按“</w:t>
            </w:r>
            <w:r>
              <w:rPr>
                <w:rFonts w:hint="eastAsia" w:ascii="宋体" w:hAnsi="宋体"/>
                <w:color w:val="auto"/>
                <w:sz w:val="21"/>
                <w:szCs w:val="21"/>
                <w:highlight w:val="none"/>
                <w:lang w:eastAsia="zh-CN"/>
              </w:rPr>
              <w:t>广西政府采购云平台电子投标客户端</w:t>
            </w:r>
            <w:r>
              <w:rPr>
                <w:rFonts w:hint="eastAsia" w:ascii="宋体" w:hAnsi="宋体"/>
                <w:color w:val="auto"/>
                <w:sz w:val="21"/>
                <w:szCs w:val="21"/>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154DD14A">
            <w:pPr>
              <w:pStyle w:val="31"/>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3、电子响应文件不得涂改，若有修改错漏处，须由法定代表人（负责人、自然人）或授权委托代理人通过“</w:t>
            </w:r>
            <w:r>
              <w:rPr>
                <w:rFonts w:hint="eastAsia" w:ascii="宋体" w:hAnsi="宋体"/>
                <w:color w:val="auto"/>
                <w:sz w:val="21"/>
                <w:szCs w:val="21"/>
                <w:highlight w:val="none"/>
                <w:lang w:eastAsia="zh-CN"/>
              </w:rPr>
              <w:t>广西政府采购云平台电子投标客户端</w:t>
            </w:r>
            <w:r>
              <w:rPr>
                <w:rFonts w:hint="eastAsia" w:ascii="宋体" w:hAnsi="宋体"/>
                <w:color w:val="auto"/>
                <w:sz w:val="21"/>
                <w:szCs w:val="21"/>
                <w:highlight w:val="none"/>
              </w:rPr>
              <w:t>”采用政采云个人CA证书签章，没有办理政采云个人CA证书签章的，在响应文件中响应位置手写签字后扫描或者拍照</w:t>
            </w:r>
            <w:r>
              <w:rPr>
                <w:rFonts w:hint="eastAsia" w:ascii="宋体" w:hAnsi="宋体"/>
                <w:color w:val="auto"/>
                <w:sz w:val="21"/>
                <w:szCs w:val="21"/>
                <w:highlight w:val="none"/>
                <w:lang w:eastAsia="zh-CN"/>
              </w:rPr>
              <w:t>转换成</w:t>
            </w:r>
            <w:r>
              <w:rPr>
                <w:rFonts w:hint="eastAsia" w:ascii="宋体" w:hAnsi="宋体"/>
                <w:color w:val="auto"/>
                <w:sz w:val="21"/>
                <w:szCs w:val="21"/>
                <w:highlight w:val="none"/>
              </w:rPr>
              <w:t>PDF格式上传。因响应文件字迹潦草、表达不清、内容不完整、编排混乱导致响应文件被误读、漏读，或者在按竞争性磋商文件规定的部位查找不到相关内容的，其不利后果由供应商自行承担。</w:t>
            </w:r>
          </w:p>
          <w:p w14:paraId="2C75DCA6">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color w:val="auto"/>
                <w:sz w:val="21"/>
                <w:szCs w:val="21"/>
                <w:highlight w:val="none"/>
              </w:rPr>
            </w:pPr>
            <w:r>
              <w:rPr>
                <w:rFonts w:hint="eastAsia" w:ascii="宋体" w:hAnsi="宋体"/>
                <w:color w:val="auto"/>
                <w:sz w:val="21"/>
                <w:szCs w:val="21"/>
                <w:highlight w:val="none"/>
              </w:rPr>
              <w:t>4、供应商编制、生成电子响应文件后应当加密响应文件。供应商未按规定编制并加密的响应文件，</w:t>
            </w:r>
            <w:r>
              <w:rPr>
                <w:rFonts w:hint="eastAsia" w:ascii="宋体" w:hAnsi="宋体"/>
                <w:color w:val="auto"/>
                <w:sz w:val="21"/>
                <w:szCs w:val="21"/>
                <w:highlight w:val="none"/>
                <w:lang w:eastAsia="zh-CN"/>
              </w:rPr>
              <w:t>广西政府采购云平台</w:t>
            </w:r>
            <w:r>
              <w:rPr>
                <w:rFonts w:hint="eastAsia" w:ascii="宋体" w:hAnsi="宋体"/>
                <w:color w:val="auto"/>
                <w:sz w:val="21"/>
                <w:szCs w:val="21"/>
                <w:highlight w:val="none"/>
              </w:rPr>
              <w:t>将予以拒收。</w:t>
            </w:r>
          </w:p>
        </w:tc>
      </w:tr>
      <w:tr w14:paraId="5E87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11" w:type="dxa"/>
          <w:trHeight w:val="474" w:hRule="atLeast"/>
          <w:jc w:val="center"/>
        </w:trPr>
        <w:tc>
          <w:tcPr>
            <w:tcW w:w="644" w:type="dxa"/>
            <w:vAlign w:val="center"/>
          </w:tcPr>
          <w:p w14:paraId="0E62F5DC">
            <w:pPr>
              <w:keepNext w:val="0"/>
              <w:keepLines w:val="0"/>
              <w:pageBreakBefore w:val="0"/>
              <w:kinsoku/>
              <w:wordWrap/>
              <w:overflowPunct/>
              <w:topLinePunct w:val="0"/>
              <w:autoSpaceDE w:val="0"/>
              <w:autoSpaceDN w:val="0"/>
              <w:bidi w:val="0"/>
              <w:spacing w:line="360" w:lineRule="auto"/>
              <w:jc w:val="center"/>
              <w:rPr>
                <w:rFonts w:hint="default" w:ascii="宋体" w:hAnsi="宋体" w:cs="宋体"/>
                <w:b/>
                <w:color w:val="auto"/>
                <w:kern w:val="0"/>
                <w:sz w:val="21"/>
                <w:szCs w:val="21"/>
                <w:highlight w:val="none"/>
                <w:lang w:val="en-US" w:eastAsia="zh-CN"/>
              </w:rPr>
            </w:pPr>
            <w:r>
              <w:rPr>
                <w:rFonts w:hint="eastAsia" w:ascii="宋体" w:hAnsi="宋体" w:cs="宋体"/>
                <w:b/>
                <w:color w:val="auto"/>
                <w:kern w:val="0"/>
                <w:sz w:val="21"/>
                <w:szCs w:val="21"/>
                <w:highlight w:val="none"/>
                <w:lang w:val="en-US" w:eastAsia="zh-CN"/>
              </w:rPr>
              <w:t>26</w:t>
            </w:r>
          </w:p>
        </w:tc>
        <w:tc>
          <w:tcPr>
            <w:tcW w:w="1822" w:type="dxa"/>
            <w:vAlign w:val="center"/>
          </w:tcPr>
          <w:p w14:paraId="5D298C73">
            <w:pPr>
              <w:keepNext w:val="0"/>
              <w:keepLines w:val="0"/>
              <w:pageBreakBefore w:val="0"/>
              <w:kinsoku/>
              <w:wordWrap/>
              <w:overflowPunct/>
              <w:topLinePunct w:val="0"/>
              <w:autoSpaceDE w:val="0"/>
              <w:autoSpaceDN w:val="0"/>
              <w:bidi w:val="0"/>
              <w:spacing w:line="360" w:lineRule="auto"/>
              <w:jc w:val="center"/>
              <w:rPr>
                <w:rFonts w:hint="eastAsia" w:ascii="宋体" w:hAnsi="宋体" w:eastAsia="宋体"/>
                <w:b/>
                <w:bCs/>
                <w:color w:val="auto"/>
                <w:sz w:val="21"/>
                <w:szCs w:val="21"/>
                <w:highlight w:val="none"/>
                <w:lang w:eastAsia="zh-CN"/>
              </w:rPr>
            </w:pPr>
            <w:r>
              <w:rPr>
                <w:rFonts w:hint="eastAsia" w:ascii="宋体" w:hAnsi="宋体"/>
                <w:b/>
                <w:bCs/>
                <w:color w:val="auto"/>
                <w:sz w:val="21"/>
                <w:szCs w:val="21"/>
                <w:highlight w:val="none"/>
                <w:lang w:eastAsia="zh-CN"/>
              </w:rPr>
              <w:t>预留份额</w:t>
            </w:r>
          </w:p>
        </w:tc>
        <w:tc>
          <w:tcPr>
            <w:tcW w:w="6320" w:type="dxa"/>
            <w:gridSpan w:val="2"/>
            <w:vAlign w:val="center"/>
          </w:tcPr>
          <w:p w14:paraId="298407F6">
            <w:pPr>
              <w:keepNext w:val="0"/>
              <w:keepLines w:val="0"/>
              <w:pageBreakBefore w:val="0"/>
              <w:kinsoku/>
              <w:wordWrap/>
              <w:overflowPunct/>
              <w:topLinePunct w:val="0"/>
              <w:bidi w:val="0"/>
              <w:adjustRightInd/>
              <w:snapToGrid/>
              <w:spacing w:line="360" w:lineRule="auto"/>
              <w:ind w:firstLine="420" w:firstLineChars="200"/>
              <w:textAlignment w:val="auto"/>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eastAsia="zh-CN"/>
              </w:rPr>
              <w:t>本项目专门面向中小企业，预留份额</w:t>
            </w:r>
            <w:r>
              <w:rPr>
                <w:rFonts w:hint="eastAsia" w:ascii="宋体" w:hAnsi="宋体"/>
                <w:color w:val="auto"/>
                <w:sz w:val="21"/>
                <w:szCs w:val="21"/>
                <w:highlight w:val="none"/>
                <w:lang w:val="en-US" w:eastAsia="zh-CN"/>
              </w:rPr>
              <w:t>100%，本项目属于建筑业。</w:t>
            </w:r>
          </w:p>
        </w:tc>
      </w:tr>
    </w:tbl>
    <w:p w14:paraId="6D7BD32D">
      <w:pPr>
        <w:pStyle w:val="31"/>
        <w:spacing w:line="360" w:lineRule="auto"/>
        <w:jc w:val="center"/>
        <w:rPr>
          <w:rFonts w:ascii="宋体" w:hAnsi="宋体"/>
          <w:color w:val="auto"/>
          <w:highlight w:val="none"/>
        </w:rPr>
      </w:pPr>
    </w:p>
    <w:p w14:paraId="3C976B18">
      <w:pPr>
        <w:pStyle w:val="31"/>
        <w:spacing w:line="360" w:lineRule="auto"/>
        <w:jc w:val="center"/>
        <w:rPr>
          <w:rFonts w:ascii="宋体" w:hAnsi="宋体"/>
          <w:b/>
          <w:color w:val="auto"/>
          <w:sz w:val="28"/>
          <w:szCs w:val="28"/>
          <w:highlight w:val="none"/>
        </w:rPr>
        <w:sectPr>
          <w:footerReference r:id="rId9" w:type="default"/>
          <w:pgSz w:w="11906" w:h="16838"/>
          <w:pgMar w:top="1134" w:right="1469" w:bottom="737" w:left="1817" w:header="851" w:footer="851" w:gutter="0"/>
          <w:pgNumType w:start="1"/>
          <w:cols w:space="720" w:num="1"/>
          <w:formProt w:val="1"/>
          <w:docGrid w:linePitch="312" w:charSpace="43007"/>
        </w:sectPr>
      </w:pPr>
      <w:r>
        <w:rPr>
          <w:rFonts w:ascii="宋体" w:hAnsi="宋体"/>
          <w:b/>
          <w:color w:val="auto"/>
          <w:sz w:val="28"/>
          <w:szCs w:val="28"/>
          <w:highlight w:val="none"/>
        </w:rPr>
        <w:t xml:space="preserve"> </w:t>
      </w:r>
    </w:p>
    <w:p w14:paraId="6BA0D523">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供 应 商 须 知</w:t>
      </w:r>
    </w:p>
    <w:p w14:paraId="446C7D5A">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一、总则</w:t>
      </w:r>
    </w:p>
    <w:p w14:paraId="675B64E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 适用范围</w:t>
      </w:r>
    </w:p>
    <w:p w14:paraId="152178C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1.1 本文件仅适用于本文件中所叙述的工程类采购项目。</w:t>
      </w:r>
    </w:p>
    <w:p w14:paraId="4B382F4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 定义</w:t>
      </w:r>
    </w:p>
    <w:p w14:paraId="26FA8FC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2.1“采购人”是指：</w:t>
      </w:r>
      <w:r>
        <w:rPr>
          <w:rFonts w:hint="eastAsia" w:ascii="宋体" w:hAnsi="宋体"/>
          <w:color w:val="auto"/>
          <w:szCs w:val="21"/>
          <w:highlight w:val="none"/>
          <w:lang w:val="zh-CN"/>
        </w:rPr>
        <w:t>扶绥县农业农村局</w:t>
      </w:r>
    </w:p>
    <w:p w14:paraId="31F4C2D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lang w:eastAsia="zh-CN"/>
        </w:rPr>
      </w:pPr>
      <w:r>
        <w:rPr>
          <w:rFonts w:ascii="宋体" w:hAnsi="宋体"/>
          <w:color w:val="auto"/>
          <w:szCs w:val="21"/>
          <w:highlight w:val="none"/>
        </w:rPr>
        <w:t>2.2“采购代理机构”是指：</w:t>
      </w:r>
      <w:r>
        <w:rPr>
          <w:rFonts w:hint="eastAsia" w:ascii="宋体" w:hAnsi="宋体"/>
          <w:color w:val="auto"/>
          <w:szCs w:val="21"/>
          <w:highlight w:val="none"/>
          <w:lang w:eastAsia="zh-CN"/>
        </w:rPr>
        <w:t>广西宏朗工程咨询服务有限公司</w:t>
      </w:r>
    </w:p>
    <w:p w14:paraId="35569B8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2.3“响应供应商”是指响应本文件要求，参加磋商的法人或者其它组织。如果该供应商在本次磋商中成交，即成为“成交供应商”。</w:t>
      </w:r>
    </w:p>
    <w:p w14:paraId="292CDFB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2.4“货物”是指各种形态和种类的物品，包括原材料、燃料、设备、产品等。</w:t>
      </w:r>
    </w:p>
    <w:p w14:paraId="7A69832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2.5“服务”是指除货物和工程以外的其它采购对象。</w:t>
      </w:r>
    </w:p>
    <w:p w14:paraId="489824F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2.6“竞争性磋商响应文件”是指：响应供应商根据本文件要求，编制包含报价、技术和服务等所有内容的文件。</w:t>
      </w:r>
    </w:p>
    <w:p w14:paraId="147D1FC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2.7计税方式：详见竞标须知前附表</w:t>
      </w:r>
    </w:p>
    <w:p w14:paraId="3318E3A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 响应供应商的基本条件：</w:t>
      </w:r>
    </w:p>
    <w:p w14:paraId="1B3302A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3.1</w:t>
      </w:r>
      <w:r>
        <w:rPr>
          <w:rFonts w:hint="eastAsia" w:ascii="宋体" w:hAnsi="宋体" w:cs="宋体"/>
          <w:color w:val="auto"/>
          <w:szCs w:val="21"/>
          <w:highlight w:val="none"/>
        </w:rPr>
        <w:t>供应商的资格条件详见“竞争性磋商公告”。</w:t>
      </w:r>
    </w:p>
    <w:p w14:paraId="383422D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 磋商费用</w:t>
      </w:r>
    </w:p>
    <w:p w14:paraId="03B1DF1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4.1响应供应商应自行承担所有与编写和提交竞争性磋商响应文件有关的费用，不论磋商结果如何，采购人和</w:t>
      </w:r>
      <w:r>
        <w:rPr>
          <w:rFonts w:hint="eastAsia" w:ascii="宋体" w:hAnsi="宋体"/>
          <w:color w:val="auto"/>
          <w:szCs w:val="21"/>
          <w:highlight w:val="none"/>
          <w:lang w:eastAsia="zh-CN"/>
        </w:rPr>
        <w:t>广西宏朗工程咨询服务有限公司</w:t>
      </w:r>
      <w:r>
        <w:rPr>
          <w:rFonts w:ascii="宋体" w:hAnsi="宋体"/>
          <w:color w:val="auto"/>
          <w:szCs w:val="21"/>
          <w:highlight w:val="none"/>
        </w:rPr>
        <w:t>在任何情况下无义务和责任承担此类费用。</w:t>
      </w:r>
    </w:p>
    <w:p w14:paraId="2460625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 磋商无效的情形</w:t>
      </w:r>
    </w:p>
    <w:p w14:paraId="46A9F8D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5.1有下列情形之一的视为响应供应商相互串通竞标，响应文件将被视为无效：</w:t>
      </w:r>
    </w:p>
    <w:p w14:paraId="2545F67D">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（1）不同响应供应商的响应文件由同一单位或者个人编制；或不同响应供应商报名的IP地址一致的；</w:t>
      </w:r>
    </w:p>
    <w:p w14:paraId="65DFC484">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（2）不同响应供应商委托同一单位或者个人办理磋商事宜；</w:t>
      </w:r>
    </w:p>
    <w:p w14:paraId="46D37172">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（3）不同的响应供应商的响应文件载明的项目管理员为同一个人；</w:t>
      </w:r>
    </w:p>
    <w:p w14:paraId="4A89AEE6">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（4）不同响应供应商的响应文件异常一致或磋商报价呈规律性差异；</w:t>
      </w:r>
    </w:p>
    <w:p w14:paraId="219B30F4">
      <w:pPr>
        <w:pStyle w:val="34"/>
        <w:keepNext w:val="0"/>
        <w:keepLines w:val="0"/>
        <w:pageBreakBefore w:val="0"/>
        <w:widowControl w:val="0"/>
        <w:kinsoku/>
        <w:wordWrap/>
        <w:overflowPunct/>
        <w:topLinePunct w:val="0"/>
        <w:autoSpaceDE/>
        <w:autoSpaceDN/>
        <w:bidi w:val="0"/>
        <w:adjustRightInd/>
        <w:snapToGrid w:val="0"/>
        <w:spacing w:line="360" w:lineRule="auto"/>
        <w:ind w:firstLine="404" w:firstLineChars="200"/>
        <w:textAlignment w:val="auto"/>
        <w:rPr>
          <w:color w:val="auto"/>
          <w:sz w:val="21"/>
          <w:szCs w:val="21"/>
          <w:highlight w:val="none"/>
        </w:rPr>
      </w:pPr>
      <w:r>
        <w:rPr>
          <w:color w:val="auto"/>
          <w:sz w:val="21"/>
          <w:szCs w:val="21"/>
          <w:highlight w:val="none"/>
        </w:rPr>
        <w:t>（5）不同响应供应商的响应文件相互混装。</w:t>
      </w:r>
    </w:p>
    <w:p w14:paraId="7801CE6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5.2特别说明</w:t>
      </w:r>
    </w:p>
    <w:p w14:paraId="2CF120A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（1）关联响应供应商不得参加同一合同项下采购活动，否则响应文件将被视为无效。单位负责人为同一人或者存在直接控股、管理关系的不同的响应供应商，不得参加同一合同项下的采购活动；</w:t>
      </w:r>
    </w:p>
    <w:p w14:paraId="14ED159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（2）响应供应商磋商所使用的资格、信誉、荣誉、业绩与企业认证必须为本法人所拥有。响应供应商投入所使用的采购项目实施人员必须为本法人员工（或必须为本法人或控股公司正式员工）。</w:t>
      </w:r>
    </w:p>
    <w:p w14:paraId="61535F7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（3）响应供应商应仔细阅读磋商文件的所有内容，按照磋商文件的要求提交响应文件，并对所提供的全部资料的真实性承担法律责任。</w:t>
      </w:r>
    </w:p>
    <w:p w14:paraId="19FE6B5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4）响应供应商在采购活动中提供任何虚假材料，其磋商无效，并报监管部门查处；成交后发现的，响应供应商须依照《中华人民共和国消费者权益保护法》第49条之规定双倍赔偿采购人，且民事赔偿并不免除违法响应供应商的行政与刑事责任。</w:t>
      </w:r>
    </w:p>
    <w:p w14:paraId="7CEDBB3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（5）本项目不允许转包、分包。如成交响应供应商出现转包或分包情形，采购单位有权取消其成交资格。</w:t>
      </w:r>
    </w:p>
    <w:p w14:paraId="162D094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b/>
          <w:bCs/>
          <w:color w:val="auto"/>
          <w:sz w:val="24"/>
          <w:highlight w:val="none"/>
        </w:rPr>
      </w:pPr>
      <w:r>
        <w:rPr>
          <w:rFonts w:ascii="宋体" w:hAnsi="宋体"/>
          <w:color w:val="auto"/>
          <w:szCs w:val="21"/>
          <w:highlight w:val="none"/>
        </w:rPr>
        <w:t>6、</w:t>
      </w:r>
      <w:r>
        <w:rPr>
          <w:rFonts w:ascii="宋体" w:hAnsi="宋体" w:cs="宋体"/>
          <w:b/>
          <w:bCs/>
          <w:color w:val="auto"/>
          <w:sz w:val="24"/>
          <w:highlight w:val="none"/>
        </w:rPr>
        <w:t>磋商文件的澄清和修改</w:t>
      </w:r>
    </w:p>
    <w:p w14:paraId="3A84B3C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6.1提交首次响应文件截止之日前，采购代理机构可以对已发出的磋商文件进行必要澄清或者修改，澄清或者修改的内容可能影响响应文件编制的，采购代理机构应当在提交首次响应文件提交截止时间五日前在本项目竞争性磋商公告发布的同一媒体上发布更正公告，不足五日的，应当顺延首次响应文件提交截止时间。</w:t>
      </w:r>
    </w:p>
    <w:p w14:paraId="37D9986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44E530C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6.3澄清或者修改的内容为磋商文件的组成部分。当澄清或者修改通知就同一内容的表述不一致时，以最后发出的书面文件为准。</w:t>
      </w:r>
    </w:p>
    <w:p w14:paraId="6D8AED3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6.4 磋商文件的澄清或者修改都应该通过本项目采购代理机构以法定形式发布，采购人非通过本机构，不得擅自澄清、答复、修改或补充磋商文件。</w:t>
      </w:r>
    </w:p>
    <w:p w14:paraId="6212986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6.5 采购代理机构可以视采购具体情况，延长响应文件提交截止时间和磋商时间，并在本项目竞争性磋商公告发布的同一媒体上发布变更公告。</w:t>
      </w:r>
    </w:p>
    <w:p w14:paraId="45294FE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二、竞争性磋商响应文件的编制</w:t>
      </w:r>
    </w:p>
    <w:p w14:paraId="52AD909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 竞争性磋商响应文件编制基本要求</w:t>
      </w:r>
    </w:p>
    <w:p w14:paraId="216A2C9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1</w:t>
      </w:r>
      <w:r>
        <w:rPr>
          <w:rFonts w:ascii="宋体" w:hAnsi="宋体"/>
          <w:color w:val="auto"/>
          <w:szCs w:val="21"/>
          <w:highlight w:val="none"/>
        </w:rPr>
        <w:t xml:space="preserve"> 响应供应商提交的竞争性磋商响应文件以及响应供应商与</w:t>
      </w:r>
      <w:r>
        <w:rPr>
          <w:rFonts w:hint="eastAsia" w:ascii="宋体" w:hAnsi="宋体"/>
          <w:color w:val="auto"/>
          <w:szCs w:val="21"/>
          <w:highlight w:val="none"/>
          <w:lang w:eastAsia="zh-CN"/>
        </w:rPr>
        <w:t>采购代理机构或</w:t>
      </w:r>
      <w:r>
        <w:rPr>
          <w:rFonts w:ascii="宋体" w:hAnsi="宋体"/>
          <w:color w:val="auto"/>
          <w:szCs w:val="21"/>
          <w:highlight w:val="none"/>
        </w:rPr>
        <w:t>采购人就有关磋商的所有来往函电均应使用中文。响应供应商提交的支持文件和印刷的文献可以使用别的语言，但其相应内容必须附有中文翻译文本，在解释竞争性磋商响应文件时以翻译文本为主。</w:t>
      </w:r>
    </w:p>
    <w:p w14:paraId="55FBC0F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2</w:t>
      </w:r>
      <w:r>
        <w:rPr>
          <w:rFonts w:ascii="宋体" w:hAnsi="宋体"/>
          <w:color w:val="auto"/>
          <w:szCs w:val="21"/>
          <w:highlight w:val="none"/>
        </w:rPr>
        <w:t>响应供应商应认真阅读、并充分理解本文件的全部内容（包括所有的补充、修改内容），承诺并履行本文件中各项条款规定及要求。</w:t>
      </w:r>
    </w:p>
    <w:p w14:paraId="6F21A20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3</w:t>
      </w:r>
      <w:r>
        <w:rPr>
          <w:rFonts w:ascii="宋体" w:hAnsi="宋体"/>
          <w:color w:val="auto"/>
          <w:szCs w:val="21"/>
          <w:highlight w:val="none"/>
        </w:rPr>
        <w:t xml:space="preserve"> 竞争性磋商响应文件必须按本文件全部内容，包括所有的补充通知及附件进行编制。</w:t>
      </w:r>
    </w:p>
    <w:p w14:paraId="36796B8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7.5 如因响应供应商只填写和提供了本文件要求的部分内容和附件，而给评审造成困难，其可能导致的结果和责任由响应供应商自行承担。</w:t>
      </w:r>
    </w:p>
    <w:p w14:paraId="4CE6762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7.6供应商编写的且在响应文件递交截止时间前递交的响应文件由</w:t>
      </w:r>
      <w:r>
        <w:rPr>
          <w:rFonts w:hint="eastAsia" w:ascii="宋体" w:hAnsi="宋体"/>
          <w:color w:val="auto"/>
          <w:szCs w:val="21"/>
          <w:highlight w:val="none"/>
          <w:lang w:eastAsia="zh-CN"/>
        </w:rPr>
        <w:t>资格文件</w:t>
      </w:r>
      <w:r>
        <w:rPr>
          <w:rFonts w:ascii="宋体" w:hAnsi="宋体"/>
          <w:color w:val="auto"/>
          <w:szCs w:val="21"/>
          <w:highlight w:val="none"/>
        </w:rPr>
        <w:t>、</w:t>
      </w:r>
      <w:r>
        <w:rPr>
          <w:rFonts w:hint="eastAsia" w:ascii="宋体" w:hAnsi="宋体"/>
          <w:color w:val="auto"/>
          <w:szCs w:val="21"/>
          <w:highlight w:val="none"/>
          <w:lang w:eastAsia="zh-CN"/>
        </w:rPr>
        <w:t>商务报价文件</w:t>
      </w:r>
      <w:r>
        <w:rPr>
          <w:rFonts w:ascii="宋体" w:hAnsi="宋体"/>
          <w:color w:val="auto"/>
          <w:szCs w:val="21"/>
          <w:highlight w:val="none"/>
        </w:rPr>
        <w:t>和</w:t>
      </w:r>
      <w:r>
        <w:rPr>
          <w:rFonts w:hint="eastAsia" w:ascii="宋体" w:hAnsi="宋体"/>
          <w:color w:val="auto"/>
          <w:szCs w:val="21"/>
          <w:highlight w:val="none"/>
          <w:lang w:eastAsia="zh-CN"/>
        </w:rPr>
        <w:t>技术文件</w:t>
      </w:r>
      <w:r>
        <w:rPr>
          <w:rFonts w:ascii="宋体" w:hAnsi="宋体"/>
          <w:color w:val="auto"/>
          <w:szCs w:val="21"/>
          <w:highlight w:val="none"/>
        </w:rPr>
        <w:t>组成，必须包括下列内容：</w:t>
      </w:r>
    </w:p>
    <w:p w14:paraId="71B7853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7.6.1响应文件的</w:t>
      </w:r>
      <w:r>
        <w:rPr>
          <w:rFonts w:hint="eastAsia" w:ascii="宋体" w:hAnsi="宋体"/>
          <w:color w:val="auto"/>
          <w:szCs w:val="21"/>
          <w:highlight w:val="none"/>
          <w:lang w:eastAsia="zh-CN"/>
        </w:rPr>
        <w:t>资格文件</w:t>
      </w:r>
      <w:r>
        <w:rPr>
          <w:rFonts w:ascii="宋体" w:hAnsi="宋体"/>
          <w:color w:val="auto"/>
          <w:szCs w:val="21"/>
          <w:highlight w:val="none"/>
        </w:rPr>
        <w:t>主要包括下列内容：</w:t>
      </w:r>
    </w:p>
    <w:p w14:paraId="0CFDE9D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（1）崇左市政府采购供应商信用承诺</w:t>
      </w:r>
      <w:r>
        <w:rPr>
          <w:rFonts w:hint="eastAsia" w:ascii="宋体" w:hAnsi="宋体" w:cs="Times New Roman"/>
          <w:color w:val="auto"/>
          <w:szCs w:val="21"/>
          <w:highlight w:val="none"/>
          <w:lang w:eastAsia="zh-CN"/>
        </w:rPr>
        <w:t>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72893C8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有效的资质证书副本复印件及有效的安全生产许可证副本复印件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5FE644B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52FDAA2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530940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6EB43D0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71E4169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7.6.2响应文件的</w:t>
      </w:r>
      <w:r>
        <w:rPr>
          <w:rFonts w:hint="eastAsia" w:ascii="宋体" w:hAnsi="宋体"/>
          <w:color w:val="auto"/>
          <w:szCs w:val="21"/>
          <w:highlight w:val="none"/>
          <w:lang w:eastAsia="zh-CN"/>
        </w:rPr>
        <w:t>商务报价文件</w:t>
      </w:r>
      <w:r>
        <w:rPr>
          <w:rFonts w:ascii="宋体" w:hAnsi="宋体"/>
          <w:color w:val="auto"/>
          <w:szCs w:val="21"/>
          <w:highlight w:val="none"/>
        </w:rPr>
        <w:t>主要包括下列内容：</w:t>
      </w:r>
    </w:p>
    <w:p w14:paraId="04C21E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eastAsia="宋体" w:cs="Times New Roman"/>
          <w:color w:val="auto"/>
          <w:kern w:val="2"/>
          <w:sz w:val="21"/>
          <w:szCs w:val="21"/>
          <w:highlight w:val="none"/>
          <w:lang w:val="en-US" w:eastAsia="zh-CN" w:bidi="ar-SA"/>
        </w:rPr>
        <w:t>（1）法定代表人身份证明书，须附上法定代表</w:t>
      </w:r>
      <w:r>
        <w:rPr>
          <w:rFonts w:hint="eastAsia" w:ascii="宋体" w:hAnsi="宋体"/>
          <w:color w:val="auto"/>
          <w:sz w:val="21"/>
          <w:szCs w:val="21"/>
          <w:highlight w:val="none"/>
          <w:lang w:val="en-US" w:eastAsia="zh-CN"/>
        </w:rPr>
        <w:t>人身份证复印件；</w:t>
      </w:r>
      <w:r>
        <w:rPr>
          <w:rFonts w:hint="eastAsia" w:ascii="宋体" w:hAnsi="宋体"/>
          <w:b/>
          <w:bCs/>
          <w:color w:val="auto"/>
          <w:sz w:val="21"/>
          <w:szCs w:val="21"/>
          <w:highlight w:val="none"/>
          <w:lang w:val="en-US" w:eastAsia="zh-CN"/>
        </w:rPr>
        <w:t>（必须提供，否则竞标无效）</w:t>
      </w:r>
    </w:p>
    <w:p w14:paraId="359E3EF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（2）法定代表人授权委托书，须附上委托代理人的身份证复印件；</w:t>
      </w:r>
      <w:r>
        <w:rPr>
          <w:rFonts w:hint="eastAsia" w:ascii="宋体" w:hAnsi="宋体"/>
          <w:b/>
          <w:bCs/>
          <w:color w:val="auto"/>
          <w:sz w:val="21"/>
          <w:szCs w:val="21"/>
          <w:highlight w:val="none"/>
          <w:lang w:val="en-US" w:eastAsia="zh-CN"/>
        </w:rPr>
        <w:t>（委托代理时必须提供，否则竞标无效）</w:t>
      </w:r>
    </w:p>
    <w:p w14:paraId="30791F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b/>
          <w:bCs/>
          <w:color w:val="auto"/>
          <w:sz w:val="21"/>
          <w:szCs w:val="21"/>
          <w:highlight w:val="none"/>
          <w:lang w:val="en-US" w:eastAsia="zh-CN"/>
        </w:rPr>
      </w:pPr>
      <w:r>
        <w:rPr>
          <w:rFonts w:hint="eastAsia" w:ascii="宋体" w:hAnsi="宋体"/>
          <w:color w:val="auto"/>
          <w:sz w:val="21"/>
          <w:szCs w:val="21"/>
          <w:highlight w:val="none"/>
          <w:lang w:val="en-US" w:eastAsia="zh-CN"/>
        </w:rPr>
        <w:t>（3）无虚假应标、串通竞标行为的承诺函;</w:t>
      </w:r>
      <w:r>
        <w:rPr>
          <w:rFonts w:hint="eastAsia" w:ascii="宋体" w:hAnsi="宋体"/>
          <w:b/>
          <w:bCs/>
          <w:color w:val="auto"/>
          <w:sz w:val="21"/>
          <w:szCs w:val="21"/>
          <w:highlight w:val="none"/>
          <w:lang w:val="en-US" w:eastAsia="zh-CN"/>
        </w:rPr>
        <w:t>（必须提供，否则竞标无效）</w:t>
      </w:r>
    </w:p>
    <w:p w14:paraId="5AC0615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4</w:t>
      </w:r>
      <w:r>
        <w:rPr>
          <w:rFonts w:ascii="宋体" w:hAnsi="宋体"/>
          <w:color w:val="auto"/>
          <w:sz w:val="21"/>
          <w:szCs w:val="21"/>
          <w:highlight w:val="none"/>
        </w:rPr>
        <w:t>）磋商函；</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5533788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5</w:t>
      </w:r>
      <w:r>
        <w:rPr>
          <w:rFonts w:ascii="宋体" w:hAnsi="宋体"/>
          <w:color w:val="auto"/>
          <w:sz w:val="21"/>
          <w:szCs w:val="21"/>
          <w:highlight w:val="none"/>
        </w:rPr>
        <w:t>）磋商函附录；</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3849D9A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6</w:t>
      </w:r>
      <w:r>
        <w:rPr>
          <w:rFonts w:ascii="宋体" w:hAnsi="宋体"/>
          <w:color w:val="auto"/>
          <w:sz w:val="21"/>
          <w:szCs w:val="21"/>
          <w:highlight w:val="none"/>
        </w:rPr>
        <w:t>）磋商报价表；</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15A29CA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 w:val="21"/>
          <w:szCs w:val="21"/>
          <w:highlight w:val="none"/>
        </w:rPr>
        <w:t>（</w:t>
      </w:r>
      <w:r>
        <w:rPr>
          <w:rFonts w:hint="eastAsia" w:ascii="宋体" w:hAnsi="宋体"/>
          <w:color w:val="auto"/>
          <w:sz w:val="21"/>
          <w:szCs w:val="21"/>
          <w:highlight w:val="none"/>
          <w:lang w:val="en-US" w:eastAsia="zh-CN"/>
        </w:rPr>
        <w:t>7</w:t>
      </w:r>
      <w:r>
        <w:rPr>
          <w:rFonts w:ascii="宋体" w:hAnsi="宋体"/>
          <w:color w:val="auto"/>
          <w:sz w:val="21"/>
          <w:szCs w:val="21"/>
          <w:highlight w:val="none"/>
        </w:rPr>
        <w:t>）</w:t>
      </w:r>
      <w:r>
        <w:rPr>
          <w:rFonts w:hint="eastAsia" w:ascii="宋体" w:hAnsi="宋体"/>
          <w:color w:val="auto"/>
          <w:sz w:val="21"/>
          <w:szCs w:val="21"/>
          <w:highlight w:val="none"/>
          <w:lang w:eastAsia="zh-CN"/>
        </w:rPr>
        <w:t>已标价工程量清单</w:t>
      </w:r>
      <w:r>
        <w:rPr>
          <w:rFonts w:ascii="宋体" w:hAnsi="宋体"/>
          <w:color w:val="auto"/>
          <w:sz w:val="21"/>
          <w:szCs w:val="21"/>
          <w:highlight w:val="none"/>
        </w:rPr>
        <w:t>（格式后附）；</w:t>
      </w:r>
      <w:r>
        <w:rPr>
          <w:rFonts w:ascii="宋体" w:hAnsi="宋体"/>
          <w:b/>
          <w:bCs/>
          <w:color w:val="auto"/>
          <w:sz w:val="21"/>
          <w:szCs w:val="21"/>
          <w:highlight w:val="none"/>
        </w:rPr>
        <w:t>（必须提供</w:t>
      </w:r>
      <w:r>
        <w:rPr>
          <w:rFonts w:hint="eastAsia" w:ascii="宋体" w:hAnsi="宋体"/>
          <w:b/>
          <w:bCs/>
          <w:color w:val="auto"/>
          <w:sz w:val="21"/>
          <w:szCs w:val="21"/>
          <w:highlight w:val="none"/>
          <w:lang w:eastAsia="zh-CN"/>
        </w:rPr>
        <w:t>，否则竞标无效</w:t>
      </w:r>
      <w:r>
        <w:rPr>
          <w:rFonts w:ascii="宋体" w:hAnsi="宋体"/>
          <w:b/>
          <w:bCs/>
          <w:color w:val="auto"/>
          <w:sz w:val="21"/>
          <w:szCs w:val="21"/>
          <w:highlight w:val="none"/>
        </w:rPr>
        <w:t>）</w:t>
      </w:r>
    </w:p>
    <w:p w14:paraId="597EBE4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37291B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7.6.3响应文件的</w:t>
      </w:r>
      <w:r>
        <w:rPr>
          <w:rFonts w:hint="eastAsia" w:ascii="宋体" w:hAnsi="宋体"/>
          <w:color w:val="auto"/>
          <w:szCs w:val="21"/>
          <w:highlight w:val="none"/>
          <w:lang w:eastAsia="zh-CN"/>
        </w:rPr>
        <w:t>技术文件</w:t>
      </w:r>
      <w:r>
        <w:rPr>
          <w:rFonts w:ascii="宋体" w:hAnsi="宋体"/>
          <w:color w:val="auto"/>
          <w:szCs w:val="21"/>
          <w:highlight w:val="none"/>
        </w:rPr>
        <w:t>主要包括下列内容：</w:t>
      </w:r>
    </w:p>
    <w:p w14:paraId="63F702A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（1）施工组织设计；</w:t>
      </w:r>
    </w:p>
    <w:p w14:paraId="4CABA8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项目管理机构：</w:t>
      </w:r>
    </w:p>
    <w:p w14:paraId="73D66CA1">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1）项目管理机构配备情况表；</w:t>
      </w:r>
    </w:p>
    <w:p w14:paraId="00B27E8A">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2）项目经理（注册建造师）简历表；</w:t>
      </w:r>
    </w:p>
    <w:p w14:paraId="59ED7184">
      <w:pPr>
        <w:pStyle w:val="35"/>
        <w:keepNext w:val="0"/>
        <w:keepLines w:val="0"/>
        <w:pageBreakBefore w:val="0"/>
        <w:widowControl w:val="0"/>
        <w:kinsoku/>
        <w:wordWrap/>
        <w:overflowPunct/>
        <w:topLinePunct w:val="0"/>
        <w:autoSpaceDE/>
        <w:autoSpaceDN/>
        <w:bidi w:val="0"/>
        <w:adjustRightInd/>
        <w:snapToGrid/>
        <w:spacing w:line="460" w:lineRule="exact"/>
        <w:ind w:firstLine="420" w:firstLineChars="200"/>
        <w:textAlignment w:val="auto"/>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3）项目技术负责人简历表。</w:t>
      </w:r>
    </w:p>
    <w:p w14:paraId="027FB2AF">
      <w:pPr>
        <w:pStyle w:val="35"/>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（3）</w:t>
      </w:r>
      <w:r>
        <w:rPr>
          <w:rFonts w:hint="eastAsia" w:ascii="宋体" w:hAnsi="宋体" w:eastAsia="宋体" w:cs="Times New Roman"/>
          <w:color w:val="auto"/>
          <w:kern w:val="2"/>
          <w:sz w:val="21"/>
          <w:szCs w:val="21"/>
          <w:highlight w:val="none"/>
          <w:lang w:val="en-US" w:eastAsia="zh-CN" w:bidi="ar-SA"/>
        </w:rPr>
        <w:t>供应商认为有必要提供的声明及其他证明材料</w:t>
      </w:r>
      <w:r>
        <w:rPr>
          <w:rFonts w:hint="eastAsia" w:ascii="宋体" w:hAnsi="宋体" w:cs="Times New Roman"/>
          <w:color w:val="auto"/>
          <w:kern w:val="2"/>
          <w:sz w:val="21"/>
          <w:szCs w:val="21"/>
          <w:highlight w:val="none"/>
          <w:lang w:val="en-US" w:eastAsia="zh-CN" w:bidi="ar-SA"/>
        </w:rPr>
        <w:t>（如有，请提供）</w:t>
      </w:r>
    </w:p>
    <w:p w14:paraId="4E55E186">
      <w:pPr>
        <w:pStyle w:val="32"/>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bCs/>
          <w:color w:val="auto"/>
          <w:spacing w:val="0"/>
          <w:kern w:val="2"/>
          <w:sz w:val="21"/>
          <w:szCs w:val="21"/>
          <w:highlight w:val="none"/>
          <w:lang w:val="en-US" w:eastAsia="zh-CN" w:bidi="ar-SA"/>
        </w:rPr>
      </w:pPr>
      <w:r>
        <w:rPr>
          <w:rFonts w:hint="eastAsia" w:ascii="宋体" w:hAnsi="宋体" w:eastAsia="宋体" w:cs="Times New Roman"/>
          <w:b/>
          <w:bCs/>
          <w:color w:val="auto"/>
          <w:spacing w:val="0"/>
          <w:kern w:val="2"/>
          <w:sz w:val="21"/>
          <w:szCs w:val="21"/>
          <w:highlight w:val="none"/>
          <w:lang w:val="en-US" w:eastAsia="zh-CN" w:bidi="ar-SA"/>
        </w:rPr>
        <w:t>注：供应商提供的以上相关证明材料必须真实有效，属于“必须提供”的文件应加盖供应商CA证书签章，否则响应无效；其中“必须提供”的文件“响应文件（格式）”中有要求法定代表人(负责人、自然人)或相应的授权委托代理人在规定位置签字的，可使用法定代表人(负责人、自然人)或相应的授权委托代理人个人CA证书签章，没有办理政采云个人CA证书签章的可在响应文件中涉及到签字的位置手写签字后扫描或者拍照做成 PDF 的格式上传，无个人CA证书签章或手写签字的，响应文件按无效处理。</w:t>
      </w:r>
    </w:p>
    <w:p w14:paraId="63B24E6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 计量单位</w:t>
      </w:r>
    </w:p>
    <w:p w14:paraId="046CF4A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8.1 除技术要求中另有规定外，本文件所要求使用的计量单位均应采用国家法定计量单位。</w:t>
      </w:r>
    </w:p>
    <w:p w14:paraId="6E1E49EC">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三、采购预算与磋商报价要求</w:t>
      </w:r>
    </w:p>
    <w:p w14:paraId="34CACE6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olor w:val="auto"/>
          <w:szCs w:val="21"/>
          <w:highlight w:val="none"/>
          <w:lang w:val="en-US" w:eastAsia="zh-CN"/>
        </w:rPr>
      </w:pPr>
      <w:r>
        <w:rPr>
          <w:rFonts w:ascii="宋体" w:hAnsi="宋体"/>
          <w:color w:val="auto"/>
          <w:szCs w:val="21"/>
          <w:highlight w:val="none"/>
        </w:rPr>
        <w:t>9.1本项目采购预算金额为：</w:t>
      </w:r>
      <w:r>
        <w:rPr>
          <w:rFonts w:hint="eastAsia" w:ascii="宋体" w:hAnsi="宋体"/>
          <w:color w:val="auto"/>
          <w:szCs w:val="21"/>
          <w:highlight w:val="none"/>
          <w:lang w:val="en-US" w:eastAsia="zh-CN"/>
        </w:rPr>
        <w:t>与竞争性磋商公告一致，</w:t>
      </w:r>
      <w:r>
        <w:rPr>
          <w:rFonts w:hint="eastAsia" w:ascii="宋体" w:hAnsi="宋体" w:cs="宋体"/>
          <w:color w:val="auto"/>
          <w:szCs w:val="21"/>
          <w:highlight w:val="none"/>
        </w:rPr>
        <w:t>报价超出采购预算总金额的将被视为无效竞标。</w:t>
      </w:r>
    </w:p>
    <w:p w14:paraId="595EC0F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9.2本工程采用</w:t>
      </w:r>
      <w:r>
        <w:rPr>
          <w:rFonts w:ascii="宋体" w:hAnsi="宋体"/>
          <w:b/>
          <w:color w:val="auto"/>
          <w:szCs w:val="21"/>
          <w:highlight w:val="none"/>
          <w:u w:val="single"/>
        </w:rPr>
        <w:t>工程量清单</w:t>
      </w:r>
      <w:r>
        <w:rPr>
          <w:rFonts w:ascii="宋体" w:hAnsi="宋体"/>
          <w:bCs/>
          <w:color w:val="auto"/>
          <w:szCs w:val="21"/>
          <w:highlight w:val="none"/>
        </w:rPr>
        <w:t>方式</w:t>
      </w:r>
      <w:r>
        <w:rPr>
          <w:rFonts w:ascii="宋体" w:hAnsi="宋体"/>
          <w:color w:val="auto"/>
          <w:szCs w:val="21"/>
          <w:highlight w:val="none"/>
        </w:rPr>
        <w:t>报价</w:t>
      </w:r>
      <w:r>
        <w:rPr>
          <w:rFonts w:ascii="宋体" w:hAnsi="宋体"/>
          <w:color w:val="auto"/>
          <w:highlight w:val="none"/>
        </w:rPr>
        <w:t>。</w:t>
      </w:r>
    </w:p>
    <w:p w14:paraId="18BF95C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9.2.1</w:t>
      </w:r>
      <w:r>
        <w:rPr>
          <w:rFonts w:ascii="宋体" w:hAnsi="宋体"/>
          <w:color w:val="auto"/>
          <w:szCs w:val="21"/>
          <w:highlight w:val="none"/>
        </w:rPr>
        <w:t>合同价款采用</w:t>
      </w:r>
      <w:r>
        <w:rPr>
          <w:rFonts w:hint="eastAsia" w:ascii="宋体" w:hAnsi="宋体"/>
          <w:b/>
          <w:bCs/>
          <w:color w:val="auto"/>
          <w:szCs w:val="21"/>
          <w:highlight w:val="none"/>
          <w:u w:val="single"/>
        </w:rPr>
        <w:t>单价合同</w:t>
      </w:r>
      <w:r>
        <w:rPr>
          <w:rFonts w:ascii="宋体" w:hAnsi="宋体"/>
          <w:b/>
          <w:color w:val="auto"/>
          <w:highlight w:val="none"/>
          <w:u w:val="single"/>
        </w:rPr>
        <w:t xml:space="preserve"> </w:t>
      </w:r>
      <w:r>
        <w:rPr>
          <w:rFonts w:ascii="宋体" w:hAnsi="宋体"/>
          <w:color w:val="auto"/>
          <w:szCs w:val="21"/>
          <w:highlight w:val="none"/>
        </w:rPr>
        <w:t>的方式确定，工程量按实际结算，</w:t>
      </w:r>
      <w:r>
        <w:rPr>
          <w:rFonts w:hint="eastAsia" w:ascii="宋体" w:hAnsi="宋体"/>
          <w:bCs/>
          <w:color w:val="auto"/>
          <w:szCs w:val="21"/>
          <w:highlight w:val="none"/>
        </w:rPr>
        <w:t>磋商</w:t>
      </w:r>
      <w:r>
        <w:rPr>
          <w:rFonts w:ascii="宋体" w:hAnsi="宋体"/>
          <w:bCs/>
          <w:color w:val="auto"/>
          <w:szCs w:val="21"/>
          <w:highlight w:val="none"/>
        </w:rPr>
        <w:t>报价</w:t>
      </w:r>
      <w:r>
        <w:rPr>
          <w:rFonts w:ascii="宋体" w:hAnsi="宋体"/>
          <w:color w:val="auto"/>
          <w:szCs w:val="21"/>
          <w:highlight w:val="none"/>
        </w:rPr>
        <w:t>为</w:t>
      </w:r>
      <w:r>
        <w:rPr>
          <w:rFonts w:ascii="宋体" w:hAnsi="宋体"/>
          <w:bCs/>
          <w:color w:val="auto"/>
          <w:szCs w:val="21"/>
          <w:highlight w:val="none"/>
        </w:rPr>
        <w:t>供应商</w:t>
      </w:r>
      <w:r>
        <w:rPr>
          <w:rFonts w:ascii="宋体" w:hAnsi="宋体"/>
          <w:color w:val="auto"/>
          <w:szCs w:val="21"/>
          <w:highlight w:val="none"/>
        </w:rPr>
        <w:t>在</w:t>
      </w:r>
      <w:r>
        <w:rPr>
          <w:rFonts w:ascii="宋体" w:hAnsi="宋体"/>
          <w:bCs/>
          <w:color w:val="auto"/>
          <w:szCs w:val="21"/>
          <w:highlight w:val="none"/>
        </w:rPr>
        <w:t>响应文件</w:t>
      </w:r>
      <w:r>
        <w:rPr>
          <w:rFonts w:ascii="宋体" w:hAnsi="宋体"/>
          <w:color w:val="auto"/>
          <w:szCs w:val="21"/>
          <w:highlight w:val="none"/>
        </w:rPr>
        <w:t>中提出的各项支付金额的总和。</w:t>
      </w:r>
    </w:p>
    <w:p w14:paraId="091E43F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9.2.2</w:t>
      </w:r>
      <w:r>
        <w:rPr>
          <w:rFonts w:ascii="宋体" w:hAnsi="宋体"/>
          <w:color w:val="auto"/>
          <w:szCs w:val="21"/>
          <w:highlight w:val="none"/>
        </w:rPr>
        <w:t>供应商所填报的各项基价中的各种材料单价在合同实施期间不因市场价格变化因素而变动，除工程变更、项目特征不符、工程量清单缺项、工程量偏差、约定的材料设备价格风险和政策性调整以外，供应商在报综合单价时应考虑各种风险因素和自己的承受能力。</w:t>
      </w:r>
    </w:p>
    <w:p w14:paraId="08D8267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9.2.3 因设计变更引起工程项目、工程量变化的，变更合同价款按下列方法进行：</w:t>
      </w:r>
    </w:p>
    <w:p w14:paraId="35F1DE7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（1）工程量清单中有相同项目的按供应商谈判时的成交价格进行结算；</w:t>
      </w:r>
    </w:p>
    <w:p w14:paraId="779BC09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（2）有类似项目的参考类似成交价格结算；</w:t>
      </w:r>
    </w:p>
    <w:p w14:paraId="6D03075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（3）没有适用于变更工程的单价，则有定额的套定额计算，执行本响应文件计算依据并乘以下浮系数（成交报价/工程采购预算价）结算，其中材料价格有信息价的按施工期间的《</w:t>
      </w:r>
      <w:r>
        <w:rPr>
          <w:rFonts w:hint="eastAsia" w:ascii="宋体" w:hAnsi="宋体"/>
          <w:color w:val="auto"/>
          <w:szCs w:val="21"/>
          <w:highlight w:val="none"/>
          <w:lang w:eastAsia="zh-CN"/>
        </w:rPr>
        <w:t>崇左市建设工程造价信息</w:t>
      </w:r>
      <w:r>
        <w:rPr>
          <w:rFonts w:ascii="宋体" w:hAnsi="宋体"/>
          <w:color w:val="auto"/>
          <w:szCs w:val="21"/>
          <w:highlight w:val="none"/>
        </w:rPr>
        <w:t>》相应价格信息进行计算，无信息价的由发包人及承包人根据市场价格协商议定；新增项目无定额可套的，根据市场价格协商确定综合价格；新增项目单价必须经发包人审定。</w:t>
      </w:r>
    </w:p>
    <w:p w14:paraId="7715846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9.2.4</w:t>
      </w:r>
      <w:r>
        <w:rPr>
          <w:rFonts w:ascii="宋体" w:hAnsi="宋体"/>
          <w:color w:val="auto"/>
          <w:szCs w:val="21"/>
          <w:highlight w:val="none"/>
        </w:rPr>
        <w:t>供应商应认真填写工程量清单中所列的所有各细目的单价和合价，填写工程量清单时应注意：</w:t>
      </w:r>
    </w:p>
    <w:p w14:paraId="15C1B83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（1）有工程数量的应报单价和合价。</w:t>
      </w:r>
    </w:p>
    <w:p w14:paraId="74132ACC">
      <w:pPr>
        <w:pStyle w:val="31"/>
        <w:keepNext w:val="0"/>
        <w:keepLines w:val="0"/>
        <w:pageBreakBefore w:val="0"/>
        <w:widowControl w:val="0"/>
        <w:tabs>
          <w:tab w:val="left" w:pos="0"/>
        </w:tabs>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（2）供应商应按采购人提供的工程量清单中列出的工程项目和工程量填报单价和合价。每一项目只允许有一个报价。任何有选择的报价将不予接受。</w:t>
      </w:r>
      <w:r>
        <w:rPr>
          <w:rFonts w:ascii="宋体" w:hAnsi="宋体"/>
          <w:b/>
          <w:color w:val="auto"/>
          <w:szCs w:val="21"/>
          <w:highlight w:val="none"/>
        </w:rPr>
        <w:t>供应商未填单价或合价的工程项目在实施后，采购人将不予以支付，并视为该项费用已包括在其他有价款的单价或合价内，供应商必须按采购人的指令完成工程量清单中未填入单价或总额价的工程项目，但不能得到支付与结算</w:t>
      </w:r>
      <w:r>
        <w:rPr>
          <w:rFonts w:ascii="宋体" w:hAnsi="宋体"/>
          <w:color w:val="auto"/>
          <w:szCs w:val="21"/>
          <w:highlight w:val="none"/>
        </w:rPr>
        <w:t>。</w:t>
      </w:r>
    </w:p>
    <w:p w14:paraId="235B51FB">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highlight w:val="none"/>
        </w:rPr>
        <w:t>9.2.5</w:t>
      </w:r>
      <w:r>
        <w:rPr>
          <w:rFonts w:ascii="宋体" w:hAnsi="宋体"/>
          <w:b/>
          <w:color w:val="auto"/>
          <w:szCs w:val="21"/>
          <w:highlight w:val="none"/>
        </w:rPr>
        <w:t>采购人所提供的工程量清单（预算书）仅为报价参考，供应商应以采购人提供工程量清单作为谈判报价的依据。凡工程量清单已指明的工程费用，供应商应计入相关项目的单价中。</w:t>
      </w:r>
    </w:p>
    <w:p w14:paraId="026A07D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9.2.6</w:t>
      </w:r>
      <w:r>
        <w:rPr>
          <w:rFonts w:ascii="宋体" w:hAnsi="宋体"/>
          <w:color w:val="auto"/>
          <w:szCs w:val="21"/>
          <w:highlight w:val="none"/>
        </w:rPr>
        <w:t>供应商的临时占地（含半成品加工厂、料厂、拌和站、借弃土场、项目部驻地等）租用费（含拆迁补偿）、临时用地的环保、恢复及所有临时性占地的青苗补偿及地面附着物发生的费用均由供应商负责；由于供应商原因引起工期延长造成供应商临时占地的租用费增加由供应商负责。以上费用在谈判报价中自行考虑。</w:t>
      </w:r>
    </w:p>
    <w:p w14:paraId="38AF644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9.2.7</w:t>
      </w:r>
      <w:r>
        <w:rPr>
          <w:rFonts w:ascii="宋体" w:hAnsi="宋体"/>
          <w:color w:val="auto"/>
          <w:szCs w:val="21"/>
          <w:highlight w:val="none"/>
        </w:rPr>
        <w:t>施工用的水、电供应由承包人通过现场勘察后自行确定。施工用水、电由承包人负责施工场地内的管、线路的铺、架设，并承担施工期间用电、用水的使用、维护和安全责任等。</w:t>
      </w:r>
    </w:p>
    <w:p w14:paraId="337671F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9.2.8</w:t>
      </w:r>
      <w:r>
        <w:rPr>
          <w:rFonts w:ascii="宋体" w:hAnsi="宋体"/>
          <w:color w:val="auto"/>
          <w:szCs w:val="21"/>
          <w:highlight w:val="none"/>
        </w:rPr>
        <w:t>有关土料的一切费用，包括挖、填、弃、运距以及运输过程中所发生的费用，以及土料场（包括弃土场）的林地补偿费、林木补偿费、林地安置补助费、森林植被恢复费、取土费、复垦费、运输道路修建费、临时占地费、青苗补偿费、维护费等，由供应商根据市场价格及本身所能承受的风险自行考虑。但土料场的土料必须试验合格并经设计、发包人同意后方可用于本工程。</w:t>
      </w:r>
    </w:p>
    <w:p w14:paraId="60E3163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9.2.9 </w:t>
      </w:r>
      <w:r>
        <w:rPr>
          <w:rFonts w:ascii="宋体" w:hAnsi="宋体"/>
          <w:color w:val="auto"/>
          <w:szCs w:val="21"/>
          <w:highlight w:val="none"/>
        </w:rPr>
        <w:t>供应商在报价中所报的单价和合价，以及谈判报价汇总表中的价格均包括完成该工程项目的成本、利润、增值税、开办费、技术措施费、设备吊装.运输.装卸费、大型机械进出场费、风险费、政策性文件规定费用等所有费用。</w:t>
      </w:r>
    </w:p>
    <w:p w14:paraId="2291456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9.2.10 </w:t>
      </w:r>
      <w:r>
        <w:rPr>
          <w:rFonts w:ascii="宋体" w:hAnsi="宋体"/>
          <w:color w:val="auto"/>
          <w:szCs w:val="21"/>
          <w:highlight w:val="none"/>
        </w:rPr>
        <w:t>供应商可先到工地踏勘以充分了解工地位置、情况、道路、储存空间、装卸限制及任何其他足以影响承包价的情况，任何因忽视或误解工地情况而导致的索赔或工期延长申请将不被批准。</w:t>
      </w:r>
    </w:p>
    <w:p w14:paraId="1C4C1AF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 xml:space="preserve">9.2.11 </w:t>
      </w:r>
      <w:r>
        <w:rPr>
          <w:rFonts w:ascii="宋体" w:hAnsi="宋体"/>
          <w:color w:val="auto"/>
          <w:szCs w:val="21"/>
          <w:highlight w:val="none"/>
        </w:rPr>
        <w:t>人工工日单价、机械台班单价允许按照市场情况进行调整。供应商应提供人工工日单价、机械台班单价以及涉及调整的单价一览表，并同时提供调整说明。供应商不得以机械设备闲置为由压低机械台班单价。利润及风险由供应商自行考虑，利润不得为负数。</w:t>
      </w:r>
    </w:p>
    <w:p w14:paraId="457C043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Times New Roman"/>
          <w:b/>
          <w:color w:val="auto"/>
          <w:szCs w:val="21"/>
          <w:highlight w:val="none"/>
        </w:rPr>
      </w:pPr>
      <w:r>
        <w:rPr>
          <w:rFonts w:ascii="宋体" w:hAnsi="宋体"/>
          <w:color w:val="auto"/>
          <w:highlight w:val="none"/>
        </w:rPr>
        <w:t xml:space="preserve">9.2.12 </w:t>
      </w:r>
      <w:r>
        <w:rPr>
          <w:rFonts w:ascii="宋体" w:hAnsi="宋体"/>
          <w:b/>
          <w:color w:val="auto"/>
          <w:szCs w:val="21"/>
          <w:highlight w:val="none"/>
        </w:rPr>
        <w:t>本项目采用多次报价方式，</w:t>
      </w:r>
      <w:r>
        <w:rPr>
          <w:rFonts w:hint="eastAsia" w:ascii="宋体" w:hAnsi="宋体"/>
          <w:b/>
          <w:color w:val="auto"/>
          <w:szCs w:val="21"/>
          <w:highlight w:val="none"/>
        </w:rPr>
        <w:t>未书面退出磋商的供应商必须在规定时间内登录</w:t>
      </w:r>
      <w:r>
        <w:rPr>
          <w:rFonts w:hint="eastAsia" w:ascii="宋体" w:hAnsi="宋体"/>
          <w:b/>
          <w:color w:val="auto"/>
          <w:szCs w:val="21"/>
          <w:highlight w:val="none"/>
          <w:lang w:eastAsia="zh-CN"/>
        </w:rPr>
        <w:t>广西政府采购云平台</w:t>
      </w:r>
      <w:r>
        <w:rPr>
          <w:rFonts w:hint="eastAsia" w:ascii="宋体" w:hAnsi="宋体"/>
          <w:b/>
          <w:color w:val="auto"/>
          <w:szCs w:val="21"/>
          <w:highlight w:val="none"/>
        </w:rPr>
        <w:t>在线提交最后报价，其最后报价不得超出采购预算；磋商过程中磋商文件未作实质性变动的，最后报价不得超过首次报价。</w:t>
      </w:r>
      <w:r>
        <w:rPr>
          <w:rFonts w:ascii="宋体" w:hAnsi="宋体"/>
          <w:b/>
          <w:color w:val="auto"/>
          <w:szCs w:val="21"/>
          <w:highlight w:val="none"/>
        </w:rPr>
        <w:t>供应商的最终报价如有变动，则必须以工程量清单报价表（</w:t>
      </w:r>
      <w:r>
        <w:rPr>
          <w:rFonts w:hint="eastAsia" w:ascii="宋体" w:hAnsi="宋体"/>
          <w:b/>
          <w:color w:val="auto"/>
          <w:szCs w:val="21"/>
          <w:highlight w:val="none"/>
        </w:rPr>
        <w:t>已标价工程量清单</w:t>
      </w:r>
      <w:r>
        <w:rPr>
          <w:rFonts w:ascii="宋体" w:hAnsi="宋体"/>
          <w:b/>
          <w:color w:val="auto"/>
          <w:szCs w:val="21"/>
          <w:highlight w:val="none"/>
        </w:rPr>
        <w:t>）的格式编制提交，供应商须提前做好相关准备并按时</w:t>
      </w:r>
      <w:r>
        <w:rPr>
          <w:rFonts w:hint="eastAsia" w:ascii="宋体" w:hAnsi="宋体"/>
          <w:b/>
          <w:color w:val="auto"/>
          <w:szCs w:val="21"/>
          <w:highlight w:val="none"/>
        </w:rPr>
        <w:t>上传</w:t>
      </w:r>
      <w:r>
        <w:rPr>
          <w:rFonts w:ascii="宋体" w:hAnsi="宋体"/>
          <w:b/>
          <w:color w:val="auto"/>
          <w:szCs w:val="21"/>
          <w:highlight w:val="none"/>
        </w:rPr>
        <w:t>最终</w:t>
      </w:r>
      <w:r>
        <w:rPr>
          <w:rFonts w:hint="eastAsia" w:ascii="宋体" w:hAnsi="宋体"/>
          <w:b/>
          <w:color w:val="auto"/>
          <w:szCs w:val="21"/>
          <w:highlight w:val="none"/>
          <w:lang w:eastAsia="zh-CN"/>
        </w:rPr>
        <w:t>商务</w:t>
      </w:r>
      <w:r>
        <w:rPr>
          <w:rFonts w:ascii="宋体" w:hAnsi="宋体"/>
          <w:b/>
          <w:color w:val="auto"/>
          <w:szCs w:val="21"/>
          <w:highlight w:val="none"/>
        </w:rPr>
        <w:t>报价文件，否则磋商</w:t>
      </w:r>
      <w:r>
        <w:rPr>
          <w:rFonts w:hint="eastAsia" w:ascii="宋体" w:hAnsi="宋体" w:eastAsia="宋体" w:cs="Times New Roman"/>
          <w:b/>
          <w:color w:val="auto"/>
          <w:szCs w:val="21"/>
          <w:highlight w:val="none"/>
        </w:rPr>
        <w:t>无效。</w:t>
      </w:r>
    </w:p>
    <w:p w14:paraId="5A65DB26">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9.2.13 供应商的竞标报价须按竞争性谈判文件及澄清答疑中所确认的工程量清单及清单顺序进行报价，否则，将视为实质上不响应竞争性谈判文件的要求。</w:t>
      </w:r>
    </w:p>
    <w:p w14:paraId="5DDD5A9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highlight w:val="none"/>
        </w:rPr>
        <w:t>9.3</w:t>
      </w:r>
      <w:r>
        <w:rPr>
          <w:rFonts w:ascii="宋体" w:hAnsi="宋体"/>
          <w:color w:val="auto"/>
          <w:szCs w:val="21"/>
          <w:highlight w:val="none"/>
        </w:rPr>
        <w:t>计算依据：</w:t>
      </w:r>
    </w:p>
    <w:p w14:paraId="0A985E7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b/>
          <w:color w:val="auto"/>
          <w:szCs w:val="21"/>
          <w:highlight w:val="none"/>
        </w:rPr>
      </w:pPr>
      <w:r>
        <w:rPr>
          <w:rFonts w:ascii="宋体" w:hAnsi="宋体"/>
          <w:color w:val="auto"/>
          <w:highlight w:val="none"/>
        </w:rPr>
        <w:t>9.3.1 本</w:t>
      </w:r>
      <w:r>
        <w:rPr>
          <w:rFonts w:ascii="宋体" w:hAnsi="宋体"/>
          <w:color w:val="auto"/>
          <w:szCs w:val="21"/>
          <w:highlight w:val="none"/>
        </w:rPr>
        <w:t>工程的计算依据：</w:t>
      </w:r>
      <w:r>
        <w:rPr>
          <w:rFonts w:ascii="宋体" w:hAnsi="宋体"/>
          <w:b/>
          <w:color w:val="auto"/>
          <w:szCs w:val="21"/>
          <w:highlight w:val="none"/>
        </w:rPr>
        <w:t>详见工程量清单</w:t>
      </w:r>
    </w:p>
    <w:p w14:paraId="20F7FD1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 w:val="21"/>
          <w:szCs w:val="21"/>
          <w:highlight w:val="none"/>
        </w:rPr>
      </w:pPr>
      <w:r>
        <w:rPr>
          <w:rFonts w:ascii="宋体" w:hAnsi="宋体"/>
          <w:color w:val="auto"/>
          <w:sz w:val="21"/>
          <w:szCs w:val="21"/>
          <w:highlight w:val="none"/>
        </w:rPr>
        <w:t>9.4 磋商有效期：</w:t>
      </w:r>
    </w:p>
    <w:p w14:paraId="6ADFFAFD">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rFonts w:ascii="Times New Roman" w:hAnsi="Times New Roman"/>
          <w:color w:val="auto"/>
          <w:sz w:val="21"/>
          <w:szCs w:val="21"/>
          <w:highlight w:val="none"/>
        </w:rPr>
      </w:pPr>
      <w:r>
        <w:rPr>
          <w:rFonts w:ascii="Times New Roman" w:hAnsi="Times New Roman"/>
          <w:color w:val="auto"/>
          <w:sz w:val="21"/>
          <w:szCs w:val="21"/>
          <w:highlight w:val="none"/>
        </w:rPr>
        <w:t>9.4.1</w:t>
      </w:r>
      <w:r>
        <w:rPr>
          <w:color w:val="auto"/>
          <w:sz w:val="21"/>
          <w:szCs w:val="21"/>
          <w:highlight w:val="none"/>
        </w:rPr>
        <w:t>磋商截止日期后</w:t>
      </w:r>
      <w:r>
        <w:rPr>
          <w:rFonts w:hint="eastAsia"/>
          <w:color w:val="auto"/>
          <w:sz w:val="21"/>
          <w:szCs w:val="21"/>
          <w:highlight w:val="none"/>
          <w:lang w:val="en-US" w:eastAsia="zh-CN"/>
        </w:rPr>
        <w:t>45</w:t>
      </w:r>
      <w:r>
        <w:rPr>
          <w:color w:val="auto"/>
          <w:sz w:val="21"/>
          <w:szCs w:val="21"/>
          <w:highlight w:val="none"/>
        </w:rPr>
        <w:t>天</w:t>
      </w:r>
      <w:r>
        <w:rPr>
          <w:rFonts w:ascii="Times New Roman" w:hAnsi="Times New Roman"/>
          <w:color w:val="auto"/>
          <w:sz w:val="21"/>
          <w:szCs w:val="21"/>
          <w:highlight w:val="none"/>
        </w:rPr>
        <w:t>。</w:t>
      </w:r>
    </w:p>
    <w:p w14:paraId="2A2FC374">
      <w:pPr>
        <w:pStyle w:val="13"/>
        <w:keepNext w:val="0"/>
        <w:keepLines w:val="0"/>
        <w:pageBreakBefore w:val="0"/>
        <w:widowControl w:val="0"/>
        <w:kinsoku/>
        <w:wordWrap/>
        <w:overflowPunct/>
        <w:topLinePunct w:val="0"/>
        <w:autoSpaceDE/>
        <w:autoSpaceDN/>
        <w:bidi w:val="0"/>
        <w:adjustRightInd/>
        <w:spacing w:line="360" w:lineRule="auto"/>
        <w:ind w:right="97" w:firstLine="420" w:firstLineChars="200"/>
        <w:textAlignment w:val="auto"/>
        <w:rPr>
          <w:color w:val="auto"/>
          <w:sz w:val="21"/>
          <w:szCs w:val="21"/>
          <w:highlight w:val="none"/>
        </w:rPr>
      </w:pPr>
      <w:r>
        <w:rPr>
          <w:rFonts w:ascii="Times New Roman" w:hAnsi="Times New Roman"/>
          <w:color w:val="auto"/>
          <w:sz w:val="21"/>
          <w:szCs w:val="21"/>
          <w:highlight w:val="none"/>
        </w:rPr>
        <w:t xml:space="preserve">9.4.2 </w:t>
      </w:r>
      <w:r>
        <w:rPr>
          <w:color w:val="auto"/>
          <w:sz w:val="21"/>
          <w:szCs w:val="21"/>
          <w:highlight w:val="none"/>
        </w:rPr>
        <w:t>在特殊情况下，在原定磋商有效期满之前，采购人可以书面形式向供应商提出延长磋商有效期的要求。供应商须以书面形式予以答复，供应商可以拒绝这种要求。同意延长磋商有效期的供应商不允许修改其响应文件，在延长期内本须知第8.4条的规定仍然适用。</w:t>
      </w:r>
    </w:p>
    <w:p w14:paraId="3EE0BDAE">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color w:val="auto"/>
          <w:szCs w:val="21"/>
          <w:highlight w:val="none"/>
        </w:rPr>
      </w:pPr>
      <w:r>
        <w:rPr>
          <w:rFonts w:ascii="宋体" w:hAnsi="宋体"/>
          <w:b/>
          <w:color w:val="auto"/>
          <w:szCs w:val="21"/>
          <w:highlight w:val="none"/>
        </w:rPr>
        <w:t>四、</w:t>
      </w:r>
      <w:r>
        <w:rPr>
          <w:rFonts w:hint="eastAsia" w:ascii="宋体" w:hAnsi="宋体"/>
          <w:b/>
          <w:color w:val="auto"/>
          <w:szCs w:val="21"/>
          <w:highlight w:val="none"/>
        </w:rPr>
        <w:t>电子响应文件的制作、加密要求、</w:t>
      </w:r>
      <w:r>
        <w:rPr>
          <w:rFonts w:hint="eastAsia" w:ascii="宋体" w:hAnsi="宋体" w:cs="宋体"/>
          <w:b/>
          <w:color w:val="auto"/>
          <w:kern w:val="0"/>
          <w:szCs w:val="21"/>
          <w:highlight w:val="none"/>
        </w:rPr>
        <w:t>供应商公章及签字</w:t>
      </w:r>
    </w:p>
    <w:p w14:paraId="3990B51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1</w:t>
      </w:r>
      <w:r>
        <w:rPr>
          <w:rFonts w:hint="eastAsia" w:ascii="宋体" w:hAnsi="宋体"/>
          <w:b/>
          <w:color w:val="auto"/>
          <w:szCs w:val="21"/>
          <w:highlight w:val="none"/>
        </w:rPr>
        <w:t>电子响应文件的制作、加密要求</w:t>
      </w:r>
    </w:p>
    <w:p w14:paraId="7B5E8C0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10.1.1供应商制作电子响应文件前，应登陆</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进行“申请获取采购文件”操作，否则，有可能导致无法在线编制响应文件并参与竞标，其不利后果由供应商自行承担。</w:t>
      </w:r>
    </w:p>
    <w:p w14:paraId="4F5D64A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10.1.2供应商下载或获取竞争性磋商文件后，登录“</w:t>
      </w:r>
      <w:r>
        <w:rPr>
          <w:rFonts w:hint="eastAsia" w:ascii="宋体" w:hAnsi="宋体"/>
          <w:color w:val="auto"/>
          <w:szCs w:val="21"/>
          <w:highlight w:val="none"/>
          <w:lang w:eastAsia="zh-CN"/>
        </w:rPr>
        <w:t>广西政府采购云平台电子投标客户端</w:t>
      </w:r>
      <w:r>
        <w:rPr>
          <w:rFonts w:hint="eastAsia" w:ascii="宋体" w:hAnsi="宋体"/>
          <w:color w:val="auto"/>
          <w:szCs w:val="21"/>
          <w:highlight w:val="none"/>
        </w:rPr>
        <w:t>”，按照本磋商文件规定的响应文件格式、顺序以及</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的要求，通过“</w:t>
      </w:r>
      <w:r>
        <w:rPr>
          <w:rFonts w:hint="eastAsia" w:ascii="宋体" w:hAnsi="宋体"/>
          <w:color w:val="auto"/>
          <w:szCs w:val="21"/>
          <w:highlight w:val="none"/>
          <w:lang w:eastAsia="zh-CN"/>
        </w:rPr>
        <w:t>广西政府采购云平台电子投标客户端</w:t>
      </w:r>
      <w:r>
        <w:rPr>
          <w:rFonts w:hint="eastAsia" w:ascii="宋体" w:hAnsi="宋体"/>
          <w:color w:val="auto"/>
          <w:szCs w:val="21"/>
          <w:highlight w:val="none"/>
        </w:rPr>
        <w:t>”编制电子响应文件。</w:t>
      </w:r>
    </w:p>
    <w:p w14:paraId="136FBD3F">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10.1.3供应商应按“</w:t>
      </w:r>
      <w:r>
        <w:rPr>
          <w:rFonts w:hint="eastAsia" w:ascii="宋体" w:hAnsi="宋体"/>
          <w:color w:val="auto"/>
          <w:szCs w:val="21"/>
          <w:highlight w:val="none"/>
          <w:lang w:eastAsia="zh-CN"/>
        </w:rPr>
        <w:t>广西政府采购云平台电子投标客户端</w:t>
      </w:r>
      <w:r>
        <w:rPr>
          <w:rFonts w:hint="eastAsia" w:ascii="宋体" w:hAnsi="宋体"/>
          <w:color w:val="auto"/>
          <w:szCs w:val="21"/>
          <w:highlight w:val="none"/>
        </w:rPr>
        <w:t>”载明的“标书关联”功能进行电子响应文件的关联定位，以便磋商小组在评审时点击相应评审项可直接定位到该评审内容；如供应商的电子响应文件未能关联定位相应内容，或者关联定位的内容与该评审项不符，导致磋商小组无法查询并做出对供应商不利的评审，相关后果由供应商自行承担。</w:t>
      </w:r>
    </w:p>
    <w:p w14:paraId="35D4764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10.1.4电子响应文件不得涂改，若有修改错漏处，须由法定代表人（负责人、自然人）或授权委托代理人通过“</w:t>
      </w:r>
      <w:r>
        <w:rPr>
          <w:rFonts w:hint="eastAsia" w:ascii="宋体" w:hAnsi="宋体"/>
          <w:color w:val="auto"/>
          <w:szCs w:val="21"/>
          <w:highlight w:val="none"/>
          <w:lang w:eastAsia="zh-CN"/>
        </w:rPr>
        <w:t>广西政府采购云平台电子投标客户端</w:t>
      </w:r>
      <w:r>
        <w:rPr>
          <w:rFonts w:hint="eastAsia" w:ascii="宋体" w:hAnsi="宋体"/>
          <w:color w:val="auto"/>
          <w:szCs w:val="21"/>
          <w:highlight w:val="none"/>
        </w:rPr>
        <w:t>”采用政采云个人CA证书签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章，没有办理政采云个人CA证书签</w:t>
      </w:r>
      <w:r>
        <w:rPr>
          <w:rFonts w:hint="eastAsia" w:ascii="宋体" w:hAnsi="宋体"/>
          <w:color w:val="auto"/>
          <w:szCs w:val="21"/>
          <w:highlight w:val="none"/>
          <w:lang w:eastAsia="zh-CN"/>
        </w:rPr>
        <w:t>字</w:t>
      </w:r>
      <w:r>
        <w:rPr>
          <w:rFonts w:hint="eastAsia" w:ascii="宋体" w:hAnsi="宋体"/>
          <w:color w:val="auto"/>
          <w:szCs w:val="21"/>
          <w:highlight w:val="none"/>
        </w:rPr>
        <w:t>章的，在响应文件中响应位置手写签字后扫描或者拍照</w:t>
      </w:r>
      <w:r>
        <w:rPr>
          <w:rFonts w:hint="eastAsia" w:ascii="宋体" w:hAnsi="宋体"/>
          <w:color w:val="auto"/>
          <w:szCs w:val="21"/>
          <w:highlight w:val="none"/>
          <w:lang w:eastAsia="zh-CN"/>
        </w:rPr>
        <w:t>转换</w:t>
      </w:r>
      <w:r>
        <w:rPr>
          <w:rFonts w:hint="eastAsia" w:ascii="宋体" w:hAnsi="宋体"/>
          <w:color w:val="auto"/>
          <w:szCs w:val="21"/>
          <w:highlight w:val="none"/>
        </w:rPr>
        <w:t>成 PDF 的格式上传。因响应文件字迹潦草、表达不清、内容不完整、编排混乱导致响应文件被误读、漏读，或者在按竞争性磋商文件规定的部位查找不到相关内容的，其不利后果由供应商自行承担。</w:t>
      </w:r>
    </w:p>
    <w:p w14:paraId="0E42ADB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10.1.5供应商编制、生成电子响应文件后应当加密响应文件。供应商未按规定编制并加密的响应文件，</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将予以拒收。</w:t>
      </w:r>
    </w:p>
    <w:p w14:paraId="7E7228E3">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10.2供应商公章及签字</w:t>
      </w:r>
    </w:p>
    <w:p w14:paraId="548F9FD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10.2.1本竞争性磋商文件中描述供应商的“公章”是指供应商通过指定电子化政府采购平台办理数字证书（CA认证证书）获得的以法定主体行为名称制作的电子印章。</w:t>
      </w:r>
    </w:p>
    <w:p w14:paraId="2330CA9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10.2.2本竞争性磋商文件中要求供应商对其电子响应文件的相关内容加盖公章的，均指采用CA证书签章。</w:t>
      </w:r>
    </w:p>
    <w:p w14:paraId="309C93B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10.2.3本磋商文件中描述供应商的“签字”是指供应商通过指定电子化政府采购平台办理数字证书（CA认证证书）获得的以供应商法定代表人（自负责人、自然人）或者委托代理人姓名制作的个人电子印章或手写签字。没有办理个人CA证书的，可以为手写签字的形式。</w:t>
      </w:r>
    </w:p>
    <w:p w14:paraId="755B2AF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 xml:space="preserve">11. </w:t>
      </w:r>
      <w:r>
        <w:rPr>
          <w:rFonts w:hint="eastAsia" w:ascii="宋体" w:hAnsi="宋体" w:cs="宋体"/>
          <w:b/>
          <w:color w:val="auto"/>
          <w:kern w:val="0"/>
          <w:szCs w:val="21"/>
          <w:highlight w:val="none"/>
        </w:rPr>
        <w:t>首次响应文件的提交、撤回、修改、响应文件的解密</w:t>
      </w:r>
    </w:p>
    <w:p w14:paraId="21A5EA25">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11.1首次响应文件的提交、撤回、修改</w:t>
      </w:r>
    </w:p>
    <w:p w14:paraId="7F788F8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11.1.1响应文件的提交截止时间：详见竞争性磋商公告</w:t>
      </w:r>
    </w:p>
    <w:p w14:paraId="596974B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11.1.2地点：通过</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在线提交。</w:t>
      </w:r>
    </w:p>
    <w:p w14:paraId="67411EE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11.1.3供应商应当在响应文件提交截止时间前，将生成的电子响应文件上传提交至</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响应文件提交截止时间前可以补充、修改或撤回电子响应文件，补充、修改电子响应文件的，应当先行撤回原文件，补充、修改后重新传输提交。在响应文件提交截止时间后的响应文件有效期内，供应商不得撤回其响应文件。响应文件提交截止时间前未成功将电子响应文件上传</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的，视为未提交响应文件。</w:t>
      </w:r>
    </w:p>
    <w:p w14:paraId="3C12211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11.1.4除竞争性磋商文件另有规定外，供应商所提交的响应文件不予退还。</w:t>
      </w:r>
    </w:p>
    <w:p w14:paraId="24E56AC0">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hint="eastAsia" w:ascii="宋体" w:hAnsi="宋体"/>
          <w:b/>
          <w:bCs/>
          <w:color w:val="auto"/>
          <w:szCs w:val="21"/>
          <w:highlight w:val="none"/>
        </w:rPr>
      </w:pPr>
      <w:r>
        <w:rPr>
          <w:rFonts w:hint="eastAsia" w:ascii="宋体" w:hAnsi="宋体"/>
          <w:b/>
          <w:bCs/>
          <w:color w:val="auto"/>
          <w:szCs w:val="21"/>
          <w:highlight w:val="none"/>
        </w:rPr>
        <w:t>11.2响应文件的解密</w:t>
      </w:r>
    </w:p>
    <w:p w14:paraId="0AD04A0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代理机构将在“竞争性磋商公告”规定的时间通过电子交易平台组织响应文件开启，采购机构依托电子交易平台发起开始解密指令，供应商的法定代表人或其委托代理人须携带加密时所用的CA锁按平台提示和采购文件的规定登录到</w:t>
      </w:r>
      <w:r>
        <w:rPr>
          <w:rFonts w:hint="eastAsia" w:ascii="宋体" w:hAnsi="宋体"/>
          <w:color w:val="auto"/>
          <w:szCs w:val="21"/>
          <w:highlight w:val="none"/>
          <w:lang w:eastAsia="zh-CN"/>
        </w:rPr>
        <w:t>广西政府采购云平台</w:t>
      </w:r>
      <w:r>
        <w:rPr>
          <w:rFonts w:hint="eastAsia" w:ascii="宋体" w:hAnsi="宋体"/>
          <w:color w:val="auto"/>
          <w:szCs w:val="21"/>
          <w:highlight w:val="none"/>
        </w:rPr>
        <w:t>电子开标大厅签到并在发起解密指令之时起30分钟内完成对电子响应文件在线解密。发起解密指令之时起5分钟内供应商还未进行解密的，代理机构要通知供应商，供应商没预留联系方式或预留联系方式无效，非代理机构原因导致代理机构无法联系到供应商进行解密的。(解密异常情况处理：详见本章</w:t>
      </w:r>
      <w:r>
        <w:rPr>
          <w:rFonts w:hint="eastAsia" w:ascii="宋体" w:hAnsi="宋体"/>
          <w:color w:val="auto"/>
          <w:szCs w:val="21"/>
          <w:highlight w:val="none"/>
          <w:lang w:val="en-US" w:eastAsia="zh-CN"/>
        </w:rPr>
        <w:t>19.2</w:t>
      </w:r>
      <w:r>
        <w:rPr>
          <w:rFonts w:hint="eastAsia" w:ascii="宋体" w:hAnsi="宋体"/>
          <w:color w:val="auto"/>
          <w:szCs w:val="21"/>
          <w:highlight w:val="none"/>
        </w:rPr>
        <w:t>电子交易活动的中止。)</w:t>
      </w:r>
    </w:p>
    <w:p w14:paraId="55E5685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如供应商成功解密响应文件，但未在“政采云”电子开标大厅参加磋商的，视同认可磋商过程和结果，由此产生的后果由供应商自行负责。参与磋商的供应商不足3家的，不得磋商。</w:t>
      </w:r>
    </w:p>
    <w:p w14:paraId="3AF89773">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12. 迟交的竞争性磋商响应文件</w:t>
      </w:r>
    </w:p>
    <w:p w14:paraId="35F751D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广西宏朗工程咨询服务有限公司</w:t>
      </w:r>
      <w:r>
        <w:rPr>
          <w:rFonts w:ascii="宋体" w:hAnsi="宋体"/>
          <w:color w:val="auto"/>
          <w:szCs w:val="21"/>
          <w:highlight w:val="none"/>
        </w:rPr>
        <w:t>将拒绝或原封退回在其规定的递交竞争性磋商响应文件截止时间之后收到的任何竞争性磋商响应文件。</w:t>
      </w:r>
    </w:p>
    <w:p w14:paraId="03382AC5">
      <w:pPr>
        <w:pStyle w:val="31"/>
        <w:spacing w:line="360" w:lineRule="auto"/>
        <w:ind w:firstLine="211" w:firstLineChars="100"/>
        <w:rPr>
          <w:rFonts w:hint="eastAsia" w:ascii="宋体" w:hAnsi="宋体"/>
          <w:b/>
          <w:color w:val="auto"/>
          <w:szCs w:val="21"/>
          <w:highlight w:val="none"/>
        </w:rPr>
      </w:pPr>
      <w:r>
        <w:rPr>
          <w:rFonts w:hint="eastAsia" w:ascii="宋体" w:hAnsi="宋体"/>
          <w:b/>
          <w:color w:val="auto"/>
          <w:szCs w:val="21"/>
          <w:highlight w:val="none"/>
        </w:rPr>
        <w:t>五、竞争性磋商（简称磋商）与评审</w:t>
      </w:r>
    </w:p>
    <w:p w14:paraId="25623B38">
      <w:pPr>
        <w:tabs>
          <w:tab w:val="center" w:pos="4411"/>
          <w:tab w:val="left" w:pos="5475"/>
        </w:tabs>
        <w:spacing w:line="380" w:lineRule="exact"/>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13磋商小组组成及磋商时间、地点、人员</w:t>
      </w:r>
    </w:p>
    <w:p w14:paraId="4E7426D7">
      <w:pPr>
        <w:spacing w:line="380" w:lineRule="exact"/>
        <w:ind w:firstLine="435"/>
        <w:rPr>
          <w:rFonts w:hint="eastAsia" w:ascii="宋体" w:hAnsi="宋体" w:cs="宋体"/>
          <w:b/>
          <w:color w:val="auto"/>
          <w:sz w:val="21"/>
          <w:szCs w:val="21"/>
          <w:highlight w:val="none"/>
        </w:rPr>
      </w:pPr>
      <w:r>
        <w:rPr>
          <w:rFonts w:hint="eastAsia" w:ascii="宋体" w:hAnsi="宋体" w:cs="宋体"/>
          <w:b/>
          <w:color w:val="auto"/>
          <w:sz w:val="21"/>
          <w:szCs w:val="21"/>
          <w:highlight w:val="none"/>
        </w:rPr>
        <w:t>13.1 磋商小组组成：</w:t>
      </w:r>
    </w:p>
    <w:p w14:paraId="7E64FC09">
      <w:pPr>
        <w:tabs>
          <w:tab w:val="left" w:pos="1140"/>
        </w:tabs>
        <w:spacing w:line="380" w:lineRule="exact"/>
        <w:ind w:firstLine="420" w:firstLineChars="2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磋商及评审组织工作由采购代理机构负责，具体磋商、评审工作由依法组建的磋商小组负责，本项目的磋商小组依法由采购人代表及采购招投标专家库中随机抽取的评审专家组成，成员总数为3人。</w:t>
      </w:r>
    </w:p>
    <w:p w14:paraId="18C627BD">
      <w:pPr>
        <w:tabs>
          <w:tab w:val="left" w:pos="1305"/>
        </w:tabs>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13.2 磋商时间、地点、人员：</w:t>
      </w:r>
    </w:p>
    <w:p w14:paraId="02589546">
      <w:pPr>
        <w:spacing w:line="380" w:lineRule="exact"/>
        <w:ind w:left="300" w:leftChars="150" w:firstLine="105" w:firstLineChars="50"/>
        <w:rPr>
          <w:rFonts w:hint="eastAsia" w:ascii="宋体" w:hAnsi="宋体" w:cs="宋体"/>
          <w:color w:val="auto"/>
          <w:sz w:val="21"/>
          <w:szCs w:val="21"/>
          <w:highlight w:val="none"/>
        </w:rPr>
      </w:pPr>
      <w:r>
        <w:rPr>
          <w:rFonts w:hint="eastAsia" w:ascii="宋体" w:hAnsi="宋体" w:cs="宋体"/>
          <w:color w:val="auto"/>
          <w:sz w:val="21"/>
          <w:szCs w:val="21"/>
          <w:highlight w:val="none"/>
        </w:rPr>
        <w:t>13.2.1 磋商时间：首次响应文件提交截止时间后。</w:t>
      </w:r>
    </w:p>
    <w:p w14:paraId="51821B3C">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13.2.2 磋商地点：</w:t>
      </w:r>
      <w:r>
        <w:rPr>
          <w:rFonts w:hint="eastAsia" w:ascii="宋体" w:hAnsi="宋体" w:cs="宋体"/>
          <w:bCs/>
          <w:color w:val="auto"/>
          <w:sz w:val="21"/>
          <w:szCs w:val="21"/>
          <w:highlight w:val="none"/>
        </w:rPr>
        <w:t>供应商代表在响应文件提交当天实时登陆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bCs/>
          <w:color w:val="auto"/>
          <w:sz w:val="21"/>
          <w:szCs w:val="21"/>
          <w:highlight w:val="none"/>
        </w:rPr>
        <w:t>，按磋商小组要求在线等候参与磋商及提交最后报价。因供应商未保持实时在线，导致磋商小组无法及时与其取得联系，从而造成供应商未按规定参与磋商或报价的，其不利后果由供应商自行承担。</w:t>
      </w:r>
    </w:p>
    <w:p w14:paraId="684B7E4B">
      <w:pPr>
        <w:tabs>
          <w:tab w:val="left" w:pos="1140"/>
        </w:tabs>
        <w:spacing w:line="380" w:lineRule="exact"/>
        <w:ind w:left="400" w:leftChars="200"/>
        <w:rPr>
          <w:rFonts w:hint="eastAsia" w:ascii="宋体" w:hAnsi="宋体" w:cs="宋体"/>
          <w:color w:val="auto"/>
          <w:sz w:val="21"/>
          <w:szCs w:val="21"/>
          <w:highlight w:val="none"/>
        </w:rPr>
      </w:pPr>
      <w:r>
        <w:rPr>
          <w:rFonts w:hint="eastAsia" w:ascii="宋体" w:hAnsi="宋体" w:cs="宋体"/>
          <w:color w:val="auto"/>
          <w:sz w:val="21"/>
          <w:szCs w:val="21"/>
          <w:highlight w:val="none"/>
        </w:rPr>
        <w:t>13.2.3 磋商参加人员：供应商法定代表人(负责人、自然人)或相应的委托代理人参加磋商。请供</w:t>
      </w:r>
    </w:p>
    <w:p w14:paraId="69F3AE88">
      <w:pPr>
        <w:tabs>
          <w:tab w:val="left" w:pos="1140"/>
        </w:tabs>
        <w:spacing w:line="38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应商</w:t>
      </w:r>
      <w:r>
        <w:rPr>
          <w:rFonts w:hint="eastAsia" w:ascii="宋体" w:hAnsi="宋体" w:cs="宋体"/>
          <w:bCs/>
          <w:color w:val="auto"/>
          <w:sz w:val="21"/>
          <w:szCs w:val="21"/>
          <w:highlight w:val="none"/>
        </w:rPr>
        <w:t>实时登陆</w:t>
      </w:r>
      <w:r>
        <w:rPr>
          <w:rFonts w:hint="eastAsia" w:ascii="宋体" w:hAnsi="宋体" w:cs="宋体"/>
          <w:color w:val="auto"/>
          <w:sz w:val="21"/>
          <w:szCs w:val="21"/>
          <w:highlight w:val="none"/>
        </w:rPr>
        <w:t>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等候在线磋商。</w:t>
      </w:r>
    </w:p>
    <w:p w14:paraId="4A4AD8A6">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13.2.4 首次响应文件提交截止时间后，登录</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在线解密开启。</w:t>
      </w:r>
    </w:p>
    <w:p w14:paraId="4FB22E15">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14.评审原则和评审办法</w:t>
      </w:r>
    </w:p>
    <w:p w14:paraId="0229FA42">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14.1 磋商小组必须坚持公平、公正、科学和择优的原则。</w:t>
      </w:r>
    </w:p>
    <w:p w14:paraId="5DF8F3E2">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14.2综合评分法，具体详见第六章</w:t>
      </w:r>
      <w:r>
        <w:rPr>
          <w:rFonts w:hint="eastAsia" w:ascii="宋体" w:hAnsi="宋体" w:cs="宋体"/>
          <w:color w:val="auto"/>
          <w:sz w:val="21"/>
          <w:szCs w:val="21"/>
          <w:highlight w:val="none"/>
          <w:lang w:eastAsia="zh-CN"/>
        </w:rPr>
        <w:t>评分办法和标准</w:t>
      </w:r>
      <w:r>
        <w:rPr>
          <w:rFonts w:hint="eastAsia" w:ascii="宋体" w:hAnsi="宋体" w:cs="宋体"/>
          <w:color w:val="auto"/>
          <w:sz w:val="21"/>
          <w:szCs w:val="21"/>
          <w:highlight w:val="none"/>
        </w:rPr>
        <w:t>。</w:t>
      </w:r>
    </w:p>
    <w:p w14:paraId="22B2E1E2">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14.3 磋商小组应按磋商文件进行评审，不得擅自更改评审办法。</w:t>
      </w:r>
    </w:p>
    <w:p w14:paraId="17E08FD9">
      <w:pPr>
        <w:pStyle w:val="13"/>
        <w:spacing w:line="380" w:lineRule="exact"/>
        <w:ind w:firstLine="359" w:firstLineChars="171"/>
        <w:rPr>
          <w:rFonts w:hint="eastAsia" w:cs="宋体"/>
          <w:color w:val="auto"/>
          <w:sz w:val="21"/>
          <w:szCs w:val="21"/>
          <w:highlight w:val="none"/>
        </w:rPr>
      </w:pPr>
      <w:r>
        <w:rPr>
          <w:rFonts w:hint="eastAsia" w:cs="宋体"/>
          <w:color w:val="auto"/>
          <w:sz w:val="21"/>
          <w:szCs w:val="21"/>
          <w:highlight w:val="none"/>
        </w:rPr>
        <w:t>14.4 在评审过程中，磋商小组任何人不得对某个供应商发表任何倾向性意见，不得向其他磋商小组成员明示或者暗示自己的评审意见。</w:t>
      </w:r>
    </w:p>
    <w:p w14:paraId="562AFAB8">
      <w:pPr>
        <w:tabs>
          <w:tab w:val="left" w:pos="1140"/>
        </w:tabs>
        <w:spacing w:line="380" w:lineRule="exact"/>
        <w:ind w:firstLine="359" w:firstLineChars="171"/>
        <w:rPr>
          <w:rFonts w:hint="eastAsia" w:ascii="宋体" w:hAnsi="宋体" w:cs="宋体"/>
          <w:color w:val="auto"/>
          <w:sz w:val="21"/>
          <w:szCs w:val="21"/>
          <w:highlight w:val="none"/>
        </w:rPr>
      </w:pPr>
      <w:r>
        <w:rPr>
          <w:rFonts w:hint="eastAsia" w:ascii="宋体" w:hAnsi="宋体" w:cs="宋体"/>
          <w:color w:val="auto"/>
          <w:sz w:val="21"/>
          <w:szCs w:val="21"/>
          <w:highlight w:val="none"/>
        </w:rPr>
        <w:t>14.5磋商小组成员对需要共同认定的事项存在争议的，按照少数服从多数的原则作出结论。持不同意见的磋商小组成员应当在评审报告上签署不同意见并说明理由，否则视为同意。</w:t>
      </w:r>
    </w:p>
    <w:p w14:paraId="40085A75">
      <w:pPr>
        <w:tabs>
          <w:tab w:val="left" w:pos="1140"/>
        </w:tabs>
        <w:spacing w:line="380" w:lineRule="exact"/>
        <w:ind w:left="403" w:leftChars="172" w:hanging="59" w:hangingChars="28"/>
        <w:rPr>
          <w:rFonts w:hint="eastAsia" w:ascii="宋体" w:hAnsi="宋体" w:cs="宋体"/>
          <w:b/>
          <w:color w:val="auto"/>
          <w:sz w:val="21"/>
          <w:szCs w:val="21"/>
          <w:highlight w:val="none"/>
        </w:rPr>
      </w:pPr>
      <w:r>
        <w:rPr>
          <w:rFonts w:hint="eastAsia" w:ascii="宋体" w:hAnsi="宋体" w:cs="宋体"/>
          <w:b/>
          <w:color w:val="auto"/>
          <w:sz w:val="21"/>
          <w:szCs w:val="21"/>
          <w:highlight w:val="none"/>
        </w:rPr>
        <w:t>15.评审程序及磋商要求</w:t>
      </w:r>
    </w:p>
    <w:p w14:paraId="66EB8574">
      <w:pPr>
        <w:pStyle w:val="13"/>
        <w:spacing w:line="380" w:lineRule="exact"/>
        <w:ind w:firstLine="315" w:firstLineChars="150"/>
        <w:rPr>
          <w:rFonts w:hint="eastAsia" w:cs="宋体"/>
          <w:color w:val="auto"/>
          <w:sz w:val="21"/>
          <w:szCs w:val="21"/>
          <w:highlight w:val="none"/>
        </w:rPr>
      </w:pPr>
      <w:r>
        <w:rPr>
          <w:rFonts w:hint="eastAsia" w:cs="宋体"/>
          <w:color w:val="auto"/>
          <w:sz w:val="21"/>
          <w:szCs w:val="21"/>
          <w:highlight w:val="none"/>
        </w:rPr>
        <w:t>15.1磋商小组成员的通讯工具或相关电子设备交由</w:t>
      </w:r>
      <w:r>
        <w:rPr>
          <w:rFonts w:hint="eastAsia" w:cs="宋体"/>
          <w:color w:val="auto"/>
          <w:sz w:val="21"/>
          <w:szCs w:val="21"/>
          <w:highlight w:val="none"/>
          <w:lang w:val="en-US" w:eastAsia="zh-CN"/>
        </w:rPr>
        <w:t>代理机构</w:t>
      </w:r>
      <w:r>
        <w:rPr>
          <w:rFonts w:hint="eastAsia" w:cs="宋体"/>
          <w:color w:val="auto"/>
          <w:sz w:val="21"/>
          <w:szCs w:val="21"/>
          <w:highlight w:val="none"/>
        </w:rPr>
        <w:t>统一保管后到达评标室，采购代理机构核实磋商小组成员身份，告知回避要求，宣布评审工作纪律和程序，推选磋商小组组长。</w:t>
      </w:r>
    </w:p>
    <w:p w14:paraId="4D4D22AA">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15.2 磋商小组应当审查供应商的响应文件并作出评价；要求供应商解释或者澄清其响应文件；编写评审报告；告知采购人、采购代理机构在评审过程中发现的供应商的违法违规行为。</w:t>
      </w:r>
    </w:p>
    <w:p w14:paraId="4859D299">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15.3 磋商小组依据法律法规和竞争性磋商文件的规定，首先对响应文件进行资格性审查，以确定供应商是否具备本项目供应商资格；再对通过资格性审查的供应商响应文件的有效性、完整性和对磋商文件的响应程度进行符合性审查，以确定是否对磋商文件的实质性要求做出响应。</w:t>
      </w:r>
    </w:p>
    <w:p w14:paraId="02AB5355">
      <w:pPr>
        <w:spacing w:line="380" w:lineRule="exact"/>
        <w:ind w:firstLine="316" w:firstLineChars="150"/>
        <w:rPr>
          <w:rFonts w:hint="eastAsia" w:ascii="宋体" w:hAnsi="宋体" w:cs="宋体"/>
          <w:color w:val="auto"/>
          <w:sz w:val="21"/>
          <w:szCs w:val="21"/>
          <w:highlight w:val="none"/>
        </w:rPr>
      </w:pPr>
      <w:r>
        <w:rPr>
          <w:rFonts w:hint="eastAsia" w:ascii="宋体" w:hAnsi="宋体" w:cs="宋体"/>
          <w:b/>
          <w:color w:val="auto"/>
          <w:sz w:val="21"/>
          <w:szCs w:val="21"/>
          <w:highlight w:val="none"/>
        </w:rPr>
        <w:t>15.4磋商小组在对供应商进行资格性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3A72948A">
      <w:pPr>
        <w:spacing w:line="380" w:lineRule="exact"/>
        <w:ind w:firstLine="315" w:firstLineChars="15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15.4.1查询渠道：《国家企业信用信息公示系统》（网址：www.gsxt.gov.cn/index.html）</w:t>
      </w:r>
    </w:p>
    <w:p w14:paraId="2C6AA1A4">
      <w:pPr>
        <w:spacing w:line="380" w:lineRule="exact"/>
        <w:ind w:firstLine="315" w:firstLineChars="150"/>
        <w:rPr>
          <w:rFonts w:hint="eastAsia" w:ascii="宋体" w:hAnsi="宋体" w:cs="宋体"/>
          <w:color w:val="auto"/>
          <w:sz w:val="21"/>
          <w:szCs w:val="21"/>
          <w:highlight w:val="none"/>
        </w:rPr>
      </w:pPr>
      <w:r>
        <w:rPr>
          <w:rFonts w:hint="eastAsia" w:ascii="宋体" w:hAnsi="宋体" w:cs="宋体"/>
          <w:color w:val="auto"/>
          <w:sz w:val="21"/>
          <w:szCs w:val="21"/>
          <w:highlight w:val="none"/>
        </w:rPr>
        <w:t>15.4.2审查流程：</w:t>
      </w:r>
    </w:p>
    <w:p w14:paraId="1B11E0C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（1）进入《国家企业信用信息公示系统》（网址：www.gsxt.gov.cn/index.html），输入企业名称，进入企业信息主页面；</w:t>
      </w:r>
    </w:p>
    <w:p w14:paraId="1937EC2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（2）查看主页“股东及出资信息”栏，或年报中的“股东及出资信息”栏信息；</w:t>
      </w:r>
    </w:p>
    <w:p w14:paraId="57534F1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（3）将各供应商的股东及出资信息进行比对，得出审查结论；</w:t>
      </w:r>
    </w:p>
    <w:p w14:paraId="4B5B72C8">
      <w:pPr>
        <w:snapToGrid w:val="0"/>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（4）将相关资料作为评审资料打印存档。</w:t>
      </w:r>
    </w:p>
    <w:p w14:paraId="56A8FCBA">
      <w:pPr>
        <w:spacing w:line="380" w:lineRule="exact"/>
        <w:ind w:firstLine="422" w:firstLineChars="200"/>
        <w:rPr>
          <w:rFonts w:hint="eastAsia" w:ascii="宋体" w:hAnsi="宋体" w:cs="宋体"/>
          <w:b/>
          <w:color w:val="auto"/>
          <w:sz w:val="21"/>
          <w:szCs w:val="21"/>
          <w:highlight w:val="none"/>
        </w:rPr>
      </w:pPr>
      <w:r>
        <w:rPr>
          <w:rFonts w:hint="eastAsia" w:ascii="宋体" w:hAnsi="宋体" w:cs="宋体"/>
          <w:b/>
          <w:color w:val="auto"/>
          <w:sz w:val="21"/>
          <w:szCs w:val="21"/>
          <w:highlight w:val="none"/>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文件无效处理。</w:t>
      </w:r>
    </w:p>
    <w:p w14:paraId="0B852ABF">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更正应当通过</w:t>
      </w:r>
      <w:r>
        <w:rPr>
          <w:rFonts w:hint="eastAsia" w:ascii="宋体" w:hAnsi="宋体" w:cs="宋体"/>
          <w:bCs/>
          <w:color w:val="auto"/>
          <w:sz w:val="21"/>
          <w:szCs w:val="21"/>
          <w:highlight w:val="none"/>
          <w:lang w:eastAsia="zh-CN"/>
        </w:rPr>
        <w:t>广西政府采购云平台</w:t>
      </w:r>
      <w:r>
        <w:rPr>
          <w:rFonts w:hint="eastAsia" w:ascii="宋体" w:hAnsi="宋体" w:cs="宋体"/>
          <w:color w:val="auto"/>
          <w:sz w:val="21"/>
          <w:szCs w:val="21"/>
          <w:highlight w:val="none"/>
        </w:rPr>
        <w:t>采用在线书面形式，并加盖公章（CA证书签章），或者由法定代表人（负责人）或其授权委托代理人个人CA证书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的格式上传），供应商为自然人的，应当由本人个人CA证书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章（没有办理政采云个人CA证书签章的可在响应文件中涉及到签字的位置手写签字后扫描或者拍照做成 PDF 的格式上传）并附身份证明。</w:t>
      </w:r>
    </w:p>
    <w:p w14:paraId="3BCB520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根据磋商文件规定的程序、评定成交的标准等事项与实质性响应竞争性磋商文件要求的供应商进行磋商。未实质性响应磋商文件的响应文件按无效处理，磋商小组应当告知有关供应商。</w:t>
      </w:r>
    </w:p>
    <w:p w14:paraId="30CEC15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磋商小组所有成员应当按已确定的磋商顺序集中与单一供应商分别进行磋商，并给予所有实质性响应竞争性磋商文件要求的供应商平等的磋商机会。</w:t>
      </w:r>
    </w:p>
    <w:p w14:paraId="24CD9B68">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磋商中，磋商小组不得透露与磋商有关的其他供应商的技术资料、价格和其他信息。</w:t>
      </w:r>
    </w:p>
    <w:p w14:paraId="1661D7E2">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采购代理机构（磋商小组）对磋商过程和重要磋商内容进行记录，磋商双方在记录上签字确认（或CA证书签章）。</w:t>
      </w:r>
    </w:p>
    <w:p w14:paraId="377C962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15.6在磋商过程中，磋商小组可以根据磋商文件和磋商情况实质性变动项目需求中的技术、服务要求以及合同草案条款，但不得变动磋商文件中的其他内容。实质性变动的内容，须经采购人代表确认。</w:t>
      </w:r>
    </w:p>
    <w:p w14:paraId="6FEA1E6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对磋商文件作出的实质性变动是磋商文件的有效组成部分，磋商小组应当及时通过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以书面形式同时通知所有参加磋商的供应商。</w:t>
      </w:r>
    </w:p>
    <w:p w14:paraId="6825BB93">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供应商必须按照磋商文件的变动情况和磋商小组的要求重新提交响应文件，并由其法定代表人(负责人、自然人)或相应的授权委托代表个人CA证书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章（没有办理政采云个人CA证书</w:t>
      </w:r>
      <w:r>
        <w:rPr>
          <w:rFonts w:hint="eastAsia" w:ascii="宋体" w:hAnsi="宋体"/>
          <w:color w:val="auto"/>
          <w:szCs w:val="21"/>
          <w:highlight w:val="none"/>
        </w:rPr>
        <w:t>签</w:t>
      </w:r>
      <w:r>
        <w:rPr>
          <w:rFonts w:hint="eastAsia" w:ascii="宋体" w:hAnsi="宋体"/>
          <w:color w:val="auto"/>
          <w:szCs w:val="21"/>
          <w:highlight w:val="none"/>
          <w:lang w:eastAsia="zh-CN"/>
        </w:rPr>
        <w:t>字</w:t>
      </w:r>
      <w:r>
        <w:rPr>
          <w:rFonts w:hint="eastAsia" w:ascii="宋体" w:hAnsi="宋体" w:cs="宋体"/>
          <w:color w:val="auto"/>
          <w:sz w:val="21"/>
          <w:szCs w:val="21"/>
          <w:highlight w:val="none"/>
        </w:rPr>
        <w:t>章的可在响应文件中涉及到签字的位置手写签字后扫描或者拍照做成 PDF 的格式上传）或者加盖供应商公章（CA证书签章）。逾时不交的，视同放弃磋商。</w:t>
      </w:r>
    </w:p>
    <w:p w14:paraId="16F1D7D5">
      <w:pPr>
        <w:widowControl/>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15.7最后报价</w:t>
      </w:r>
    </w:p>
    <w:p w14:paraId="430320B1">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15.7.1磋商文件能够详细列明采购标的的技术、服务要求的，磋商结束后，磋商小组应当要求所有继续参加磋商的供应商在规定时间内通过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w:t>
      </w:r>
    </w:p>
    <w:p w14:paraId="25930AC9">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在线提交最后报价；采购过程中符合要求的供应商（社会资本）只有1家的，采购人或者采购代理机构应当终止竞争性磋商采购活动，发布项目终止公告并说明原因，重新开展采购活动。</w:t>
      </w:r>
    </w:p>
    <w:p w14:paraId="491C746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15.7.3最后报价是供应商响应文件的有效组成部分。</w:t>
      </w:r>
    </w:p>
    <w:p w14:paraId="14EA7512">
      <w:pPr>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15.8已提交响应文件的供应商，在提交最后报价之前，可以根据磋商情况书面退出磋商。</w:t>
      </w:r>
    </w:p>
    <w:p w14:paraId="29DB34FD">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未书面退出磋商的供应商必须在规定时间内通过</w:t>
      </w:r>
      <w:r>
        <w:rPr>
          <w:rFonts w:hint="eastAsia" w:ascii="宋体" w:hAnsi="宋体" w:cs="宋体"/>
          <w:color w:val="auto"/>
          <w:sz w:val="21"/>
          <w:szCs w:val="21"/>
          <w:highlight w:val="none"/>
          <w:lang w:eastAsia="zh-CN"/>
        </w:rPr>
        <w:t>广西政府采购云平台</w:t>
      </w:r>
      <w:r>
        <w:rPr>
          <w:rFonts w:hint="eastAsia" w:ascii="宋体" w:hAnsi="宋体" w:cs="宋体"/>
          <w:color w:val="auto"/>
          <w:sz w:val="21"/>
          <w:szCs w:val="21"/>
          <w:highlight w:val="none"/>
        </w:rPr>
        <w:t>在线提交最后报价；磋商过程中磋商文件未作实质性变动的，</w:t>
      </w:r>
      <w:r>
        <w:rPr>
          <w:rFonts w:hint="eastAsia" w:ascii="宋体" w:hAnsi="宋体"/>
          <w:color w:val="auto"/>
          <w:sz w:val="21"/>
          <w:szCs w:val="21"/>
          <w:highlight w:val="none"/>
        </w:rPr>
        <w:t>最后报价不得大于首次报价</w:t>
      </w:r>
      <w:r>
        <w:rPr>
          <w:rFonts w:hint="eastAsia" w:ascii="宋体" w:hAnsi="宋体" w:cs="宋体"/>
          <w:color w:val="auto"/>
          <w:sz w:val="21"/>
          <w:szCs w:val="21"/>
          <w:highlight w:val="none"/>
        </w:rPr>
        <w:t>。</w:t>
      </w:r>
    </w:p>
    <w:p w14:paraId="0E0DBCC6">
      <w:pPr>
        <w:widowControl/>
        <w:tabs>
          <w:tab w:val="left" w:pos="540"/>
        </w:tabs>
        <w:spacing w:line="380" w:lineRule="exac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15.9综合比较与评价：</w:t>
      </w:r>
    </w:p>
    <w:p w14:paraId="6BBE2ED4">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15.9.1 磋商小组按竞争性磋商文件中规定的评审办法，对资格性审查和符合性审查合格的响应文件进行商务和技术评估，综合比较与评价。</w:t>
      </w:r>
    </w:p>
    <w:p w14:paraId="10020036">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15.9.2磋商小组成员应当独立对每个供应商的响应文件进行评价，最终汇总每个供应商的得分。各供应商的得分为所有磋商小组的有效评分的算术平均数。</w:t>
      </w:r>
    </w:p>
    <w:p w14:paraId="7619BCAF">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15.9.3采购代理机构对评审数据进行校对、核对，对畸高、畸低的重大差异评分提示磋商小组复核或书面说明理由。</w:t>
      </w:r>
    </w:p>
    <w:p w14:paraId="212C083E">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15.10 在评审过程中出现法律法规和磋商文件均没有明确规定的情形时，由磋商小组现场协商解决，协商不一致的，由全体磋商小组投票表决，以得票率二分之一以上专家的意见为准。</w:t>
      </w:r>
    </w:p>
    <w:p w14:paraId="48A8F39F">
      <w:pPr>
        <w:tabs>
          <w:tab w:val="left" w:pos="1140"/>
        </w:tabs>
        <w:spacing w:line="380" w:lineRule="exact"/>
        <w:ind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15.11采购代理机构发现磋商小组有明显的违规倾向或歧视现象，或不按评</w:t>
      </w:r>
      <w:r>
        <w:rPr>
          <w:rFonts w:hint="eastAsia" w:ascii="宋体" w:hAnsi="宋体" w:eastAsia="宋体" w:cs="宋体"/>
          <w:color w:val="auto"/>
          <w:sz w:val="21"/>
          <w:szCs w:val="21"/>
          <w:highlight w:val="none"/>
        </w:rPr>
        <w:t>审办法进行，或其他不正常行为的，应当及时制止。如制止无效，应及时向政府采购监督管理机构报告。</w:t>
      </w:r>
    </w:p>
    <w:p w14:paraId="1E512F76">
      <w:pPr>
        <w:pStyle w:val="13"/>
        <w:spacing w:line="380" w:lineRule="exact"/>
        <w:rPr>
          <w:rFonts w:hint="eastAsia" w:cs="宋体"/>
          <w:b/>
          <w:bCs/>
          <w:color w:val="auto"/>
          <w:sz w:val="21"/>
          <w:szCs w:val="21"/>
          <w:highlight w:val="none"/>
        </w:rPr>
      </w:pPr>
      <w:r>
        <w:rPr>
          <w:rFonts w:hint="eastAsia" w:cs="宋体"/>
          <w:b/>
          <w:bCs/>
          <w:color w:val="auto"/>
          <w:sz w:val="21"/>
          <w:szCs w:val="21"/>
          <w:highlight w:val="none"/>
        </w:rPr>
        <w:t>16.</w:t>
      </w:r>
      <w:r>
        <w:rPr>
          <w:rFonts w:hint="eastAsia" w:cs="宋体"/>
          <w:b/>
          <w:color w:val="auto"/>
          <w:sz w:val="21"/>
          <w:szCs w:val="21"/>
          <w:highlight w:val="none"/>
        </w:rPr>
        <w:t>推荐及确定成交候选供应商原则</w:t>
      </w:r>
    </w:p>
    <w:p w14:paraId="4113E9A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履约能力分由高到低顺序排列并推荐成交候选供应商。</w:t>
      </w:r>
    </w:p>
    <w:p w14:paraId="621E86C3">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（2）本项目确定一名成交供应商。采购单位应当确定磋商小组推荐排名第一的成交候选供应商为成交供应商。</w:t>
      </w:r>
    </w:p>
    <w:p w14:paraId="0FBF680C">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排名第一的成交候选供应商放弃成交、因不可抗力提出不能履行合同，或者磋商文件规定应当提交履约保证金而在规定的期限内未能提交的，或因失信行为被取消成交候选人资格的，采购单位可以确定排名第二的成交候选供应商为成交供应商。</w:t>
      </w:r>
    </w:p>
    <w:p w14:paraId="49B5046B">
      <w:pPr>
        <w:tabs>
          <w:tab w:val="left" w:pos="1140"/>
        </w:tabs>
        <w:spacing w:line="380" w:lineRule="exact"/>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（4）排名第二的成交候选供应商因前款规定的同样原因不能签订合同的，采购单位可以确定排名第三的成交候选人为成交供应商。以此类推。</w:t>
      </w:r>
    </w:p>
    <w:p w14:paraId="0F98A783">
      <w:pPr>
        <w:widowControl/>
        <w:shd w:val="clear" w:color="auto" w:fill="FFFFFF"/>
        <w:spacing w:line="380" w:lineRule="exact"/>
        <w:jc w:val="left"/>
        <w:rPr>
          <w:rFonts w:hint="eastAsia" w:ascii="宋体" w:hAnsi="宋体" w:cs="宋体"/>
          <w:b/>
          <w:color w:val="auto"/>
          <w:sz w:val="21"/>
          <w:szCs w:val="21"/>
          <w:highlight w:val="none"/>
        </w:rPr>
      </w:pPr>
      <w:r>
        <w:rPr>
          <w:rFonts w:hint="eastAsia" w:ascii="宋体" w:hAnsi="宋体" w:cs="宋体"/>
          <w:b/>
          <w:bCs/>
          <w:color w:val="auto"/>
          <w:sz w:val="21"/>
          <w:szCs w:val="21"/>
          <w:highlight w:val="none"/>
        </w:rPr>
        <w:t>17.</w:t>
      </w:r>
      <w:r>
        <w:rPr>
          <w:rFonts w:hint="eastAsia" w:ascii="宋体" w:hAnsi="宋体" w:cs="宋体"/>
          <w:b/>
          <w:color w:val="auto"/>
          <w:sz w:val="21"/>
          <w:szCs w:val="21"/>
          <w:highlight w:val="none"/>
        </w:rPr>
        <w:t>属于下列情况之一者，响应文件无效：</w:t>
      </w:r>
    </w:p>
    <w:p w14:paraId="3F22024F">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（1）未按磋商文件规定完整提交响应文件或未按规定要求签字、签章的，或未提供授权委托书（委托代理的）；</w:t>
      </w:r>
    </w:p>
    <w:p w14:paraId="062B88EC">
      <w:pPr>
        <w:snapToGrid w:val="0"/>
        <w:spacing w:line="380" w:lineRule="exact"/>
        <w:ind w:firstLine="420" w:firstLineChars="200"/>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（2）超越了行政审批的经营范围的；</w:t>
      </w:r>
    </w:p>
    <w:p w14:paraId="2601D8C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（3）不具备磋商文件规定的资格要求的；</w:t>
      </w:r>
    </w:p>
    <w:p w14:paraId="62D7482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（4）响应文件未按磋商文件的内容和要求编制，或提供虚假材料的；</w:t>
      </w:r>
    </w:p>
    <w:p w14:paraId="4FB64907">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（5）响应文件有效期、服务期限、服务承诺不能满足磋商文件要求的；</w:t>
      </w:r>
    </w:p>
    <w:p w14:paraId="25FF3009">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（6）供应商未就“项目需求”中的所有服务内容作完整唯一报价的；</w:t>
      </w:r>
    </w:p>
    <w:p w14:paraId="03C88A75">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（7）未在磋商小组规定的时间内重新提交响应文件的；</w:t>
      </w:r>
    </w:p>
    <w:p w14:paraId="2CF19774">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（8）未满足磋商文件实质性要求的；或者响应文件有采购人不能接受的附加条件的；</w:t>
      </w:r>
    </w:p>
    <w:p w14:paraId="59A0E5F2">
      <w:pPr>
        <w:pStyle w:val="13"/>
        <w:spacing w:line="380" w:lineRule="exact"/>
        <w:ind w:firstLine="420" w:firstLineChars="200"/>
        <w:rPr>
          <w:rFonts w:hint="eastAsia" w:cs="宋体"/>
          <w:color w:val="auto"/>
          <w:sz w:val="21"/>
          <w:szCs w:val="21"/>
          <w:highlight w:val="none"/>
        </w:rPr>
      </w:pPr>
      <w:r>
        <w:rPr>
          <w:rFonts w:hint="eastAsia" w:cs="宋体"/>
          <w:color w:val="auto"/>
          <w:sz w:val="21"/>
          <w:szCs w:val="21"/>
          <w:highlight w:val="none"/>
        </w:rPr>
        <w:t>（9）不符合法律、法规和磋商文件规定的其他实质性要求和条件的。</w:t>
      </w:r>
    </w:p>
    <w:p w14:paraId="710DA9FB">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18.出现下列情形之一的，采购人或者采购代理机构应当终止竞争性磋商采购活动，发布项目终止公告并说明原因，重新开展采购活动：</w:t>
      </w:r>
    </w:p>
    <w:p w14:paraId="6E319D11">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（1）因情况变化，不再符合规定的竞争性磋商采购方式适用情形的；</w:t>
      </w:r>
    </w:p>
    <w:p w14:paraId="6424F415">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（2）出现影响采购公正的违法、违规行为的；</w:t>
      </w:r>
    </w:p>
    <w:p w14:paraId="7E3C617D">
      <w:pPr>
        <w:widowControl/>
        <w:spacing w:line="380" w:lineRule="exact"/>
        <w:ind w:firstLine="422" w:firstLineChars="201"/>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（3）除本须知第15.7.2条及法律法规规定的情形外，在采购过程中符合要求的供应商或者报价未超过采购预算的供应商不足3家的。</w:t>
      </w:r>
    </w:p>
    <w:p w14:paraId="5971BC7A">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19.</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在采购活动中因重大变故，采购任务取消的，采购人或者采购代理机构应当终止采购活动，通知所有参加采购活动的供应商，并将项目实施情况和采购任务取消原因报送本级财政部门。</w:t>
      </w:r>
    </w:p>
    <w:p w14:paraId="431412DE">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19.2电子交易活动的中止。采购过程中出现以下情形，导致电子交易平台无法正常运行，或者无法保证电子交易的公平、公正和安全时，采购机构可中止电子交易活动：</w:t>
      </w:r>
    </w:p>
    <w:p w14:paraId="2D911B0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(1)电子交易平台发生故障而无法登录访问的：</w:t>
      </w:r>
    </w:p>
    <w:p w14:paraId="5DFECA4F">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(2)电子交易平台应用或数据库出现错误，不能进行正常操作的：</w:t>
      </w:r>
    </w:p>
    <w:p w14:paraId="798D9E89">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(3)电子交易平台发现严重安全漏洞，有潜在泄密危险的；</w:t>
      </w:r>
    </w:p>
    <w:p w14:paraId="4C9DF101">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(4)病毒发作导致不能进行正常操作的；</w:t>
      </w:r>
    </w:p>
    <w:p w14:paraId="435E51B2">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(5)其他无法保证电子交易的公平、公正和安全的情况。</w:t>
      </w:r>
    </w:p>
    <w:p w14:paraId="6C860F6D">
      <w:pPr>
        <w:widowControl/>
        <w:spacing w:line="380" w:lineRule="exact"/>
        <w:ind w:firstLine="422" w:firstLineChars="201"/>
        <w:jc w:val="left"/>
        <w:rPr>
          <w:rFonts w:hint="eastAsia" w:ascii="宋体" w:hAnsi="宋体" w:eastAsia="宋体" w:cs="宋体"/>
          <w:color w:val="auto"/>
          <w:sz w:val="21"/>
          <w:szCs w:val="21"/>
          <w:highlight w:val="none"/>
          <w:lang w:val="en-US" w:eastAsia="zh-CN" w:bidi="hi-IN"/>
        </w:rPr>
      </w:pPr>
      <w:r>
        <w:rPr>
          <w:rFonts w:hint="eastAsia" w:ascii="宋体" w:hAnsi="宋体" w:eastAsia="宋体" w:cs="宋体"/>
          <w:color w:val="auto"/>
          <w:sz w:val="21"/>
          <w:szCs w:val="21"/>
          <w:highlight w:val="none"/>
          <w:lang w:val="en-US" w:eastAsia="zh-CN" w:bidi="hi-IN"/>
        </w:rPr>
        <w:t>19.3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175AA033">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20.磋商过程的监控</w:t>
      </w:r>
    </w:p>
    <w:p w14:paraId="69B69729">
      <w:pPr>
        <w:pStyle w:val="13"/>
        <w:spacing w:line="380" w:lineRule="exact"/>
        <w:ind w:firstLine="411" w:firstLineChars="196"/>
        <w:rPr>
          <w:rFonts w:hint="eastAsia" w:cs="宋体"/>
          <w:color w:val="auto"/>
          <w:sz w:val="21"/>
          <w:szCs w:val="21"/>
          <w:highlight w:val="none"/>
        </w:rPr>
      </w:pPr>
      <w:r>
        <w:rPr>
          <w:rFonts w:hint="eastAsia" w:cs="宋体"/>
          <w:color w:val="auto"/>
          <w:sz w:val="21"/>
          <w:szCs w:val="21"/>
          <w:highlight w:val="none"/>
        </w:rPr>
        <w:t>本项目磋商过程实行全程录音、录像监控，供应商在磋商过程中所进行的试图影响磋商结果的不公正活动，可能导致其响应被拒绝。</w:t>
      </w:r>
    </w:p>
    <w:p w14:paraId="66E73714">
      <w:pPr>
        <w:snapToGrid w:val="0"/>
        <w:spacing w:line="380" w:lineRule="exact"/>
        <w:outlineLvl w:val="4"/>
        <w:rPr>
          <w:rFonts w:hint="eastAsia" w:ascii="宋体" w:hAnsi="宋体" w:cs="宋体"/>
          <w:b/>
          <w:color w:val="auto"/>
          <w:sz w:val="21"/>
          <w:szCs w:val="21"/>
          <w:highlight w:val="none"/>
        </w:rPr>
      </w:pPr>
      <w:r>
        <w:rPr>
          <w:rFonts w:hint="eastAsia" w:ascii="宋体" w:hAnsi="宋体" w:cs="宋体"/>
          <w:b/>
          <w:color w:val="auto"/>
          <w:sz w:val="21"/>
          <w:szCs w:val="21"/>
          <w:highlight w:val="none"/>
        </w:rPr>
        <w:t xml:space="preserve">21. 信用查询 </w:t>
      </w:r>
    </w:p>
    <w:p w14:paraId="37C803E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根据《关于做好政府采购有关信用主体标识码登记及在政府采购活动中查询使用信用记录有关问题的通知》（桂财采〔2016〕37），由采购代理机构对第一成交候选人进行信用查询：</w:t>
      </w:r>
    </w:p>
    <w:p w14:paraId="0093D6B2">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⑴查询渠道：“信用中国”网站(www.creditchina.gov.cn)、中国政府采购网(www.ccgp.gov.cn)等；</w:t>
      </w:r>
    </w:p>
    <w:p w14:paraId="7F65B74C">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⑵查询截止时间：成交通知书发出前；</w:t>
      </w:r>
    </w:p>
    <w:p w14:paraId="7309993A">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⑶信用信息查询记录和证据留存方式：在查询网站中直接打印查询记录，打印材料作为采购活动资料保存；</w:t>
      </w:r>
    </w:p>
    <w:p w14:paraId="42AA1700">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⑷信用信息使用规则：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取消其成交候选人资格。    </w:t>
      </w:r>
    </w:p>
    <w:p w14:paraId="571AD85D">
      <w:pPr>
        <w:pStyle w:val="13"/>
        <w:spacing w:line="380" w:lineRule="exact"/>
        <w:rPr>
          <w:rFonts w:hint="eastAsia" w:cs="宋体"/>
          <w:b/>
          <w:color w:val="auto"/>
          <w:sz w:val="21"/>
          <w:szCs w:val="21"/>
          <w:highlight w:val="none"/>
        </w:rPr>
      </w:pPr>
      <w:r>
        <w:rPr>
          <w:rFonts w:hint="eastAsia" w:cs="宋体"/>
          <w:b/>
          <w:color w:val="auto"/>
          <w:sz w:val="21"/>
          <w:szCs w:val="21"/>
          <w:highlight w:val="none"/>
        </w:rPr>
        <w:t>22.成交公告及成交通知书</w:t>
      </w:r>
    </w:p>
    <w:p w14:paraId="0BAEECE7">
      <w:pPr>
        <w:snapToGrid w:val="0"/>
        <w:spacing w:line="380" w:lineRule="exact"/>
        <w:ind w:firstLine="411" w:firstLineChars="196"/>
        <w:outlineLvl w:val="4"/>
        <w:rPr>
          <w:rFonts w:hint="eastAsia" w:ascii="宋体" w:hAnsi="宋体" w:eastAsia="宋体" w:cs="宋体"/>
          <w:color w:val="auto"/>
          <w:sz w:val="21"/>
          <w:szCs w:val="21"/>
          <w:highlight w:val="none"/>
        </w:rPr>
      </w:pPr>
      <w:r>
        <w:rPr>
          <w:rFonts w:hint="eastAsia" w:ascii="宋体" w:hAnsi="宋体" w:cs="宋体"/>
          <w:color w:val="auto"/>
          <w:sz w:val="21"/>
          <w:szCs w:val="21"/>
          <w:highlight w:val="none"/>
        </w:rPr>
        <w:t>22.1 采购代理机构于评审结束后</w:t>
      </w: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个</w:t>
      </w:r>
      <w:r>
        <w:rPr>
          <w:rFonts w:hint="eastAsia" w:ascii="宋体" w:hAnsi="宋体" w:eastAsia="宋体" w:cs="宋体"/>
          <w:color w:val="auto"/>
          <w:sz w:val="21"/>
          <w:szCs w:val="21"/>
          <w:highlight w:val="none"/>
        </w:rPr>
        <w:t>工作日内将评审报告送交采购人，采购人应当自收到评审报告</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个工作日内在评审报告推荐的成交候选供应商中按顺序确定成交供应商，采购代理机构在成交供应商确定之日起两个工作日内在指定媒体上公告成交信息</w:t>
      </w:r>
      <w:r>
        <w:rPr>
          <w:rFonts w:hint="eastAsia" w:ascii="宋体" w:hAnsi="宋体" w:cs="宋体"/>
          <w:color w:val="auto"/>
          <w:sz w:val="21"/>
          <w:szCs w:val="21"/>
          <w:highlight w:val="none"/>
          <w:lang w:eastAsia="zh-CN"/>
        </w:rPr>
        <w:t>，并</w:t>
      </w:r>
      <w:r>
        <w:rPr>
          <w:rFonts w:hint="eastAsia" w:ascii="宋体" w:hAnsi="宋体" w:eastAsia="宋体" w:cs="宋体"/>
          <w:color w:val="auto"/>
          <w:sz w:val="21"/>
          <w:szCs w:val="21"/>
          <w:highlight w:val="none"/>
        </w:rPr>
        <w:t>发出成交通知书。</w:t>
      </w:r>
    </w:p>
    <w:p w14:paraId="031465CA">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eastAsia="宋体" w:cs="宋体"/>
          <w:color w:val="auto"/>
          <w:sz w:val="21"/>
          <w:szCs w:val="21"/>
          <w:highlight w:val="none"/>
        </w:rPr>
        <w:t>22.2中小企业在政府采购活动过程中，请根据自己的真实情况出具《中小企业声</w:t>
      </w:r>
      <w:r>
        <w:rPr>
          <w:rFonts w:hint="eastAsia" w:ascii="宋体" w:hAnsi="宋体" w:cs="宋体"/>
          <w:color w:val="auto"/>
          <w:sz w:val="21"/>
          <w:szCs w:val="21"/>
          <w:highlight w:val="none"/>
        </w:rPr>
        <w:t>明函》。采购人或采购代理机构在公告成交结果时，同时公告其《中小企业声明函》，接受社会监督。</w:t>
      </w:r>
    </w:p>
    <w:p w14:paraId="4A7C522D">
      <w:pPr>
        <w:snapToGrid w:val="0"/>
        <w:spacing w:line="380" w:lineRule="exact"/>
        <w:ind w:firstLine="411" w:firstLineChars="196"/>
        <w:outlineLvl w:val="4"/>
        <w:rPr>
          <w:rFonts w:hint="eastAsia" w:ascii="宋体" w:hAnsi="宋体" w:cs="宋体"/>
          <w:color w:val="auto"/>
          <w:sz w:val="21"/>
          <w:szCs w:val="21"/>
          <w:highlight w:val="none"/>
        </w:rPr>
      </w:pPr>
      <w:r>
        <w:rPr>
          <w:rFonts w:hint="eastAsia" w:ascii="宋体" w:hAnsi="宋体" w:cs="宋体"/>
          <w:color w:val="auto"/>
          <w:sz w:val="21"/>
          <w:szCs w:val="21"/>
          <w:highlight w:val="none"/>
        </w:rPr>
        <w:t>22.3在发布成交公告的同时，采购代理机构向成交供应商发出成交通知书。</w:t>
      </w:r>
    </w:p>
    <w:p w14:paraId="5E743100">
      <w:pPr>
        <w:snapToGrid w:val="0"/>
        <w:spacing w:line="380" w:lineRule="exact"/>
        <w:ind w:firstLine="411" w:firstLineChars="196"/>
        <w:outlineLvl w:val="4"/>
        <w:rPr>
          <w:rFonts w:hint="eastAsia" w:cs="宋体"/>
          <w:b/>
          <w:color w:val="auto"/>
          <w:sz w:val="28"/>
          <w:szCs w:val="28"/>
          <w:highlight w:val="none"/>
        </w:rPr>
      </w:pPr>
      <w:r>
        <w:rPr>
          <w:rFonts w:hint="eastAsia" w:ascii="宋体" w:hAnsi="宋体" w:cs="宋体"/>
          <w:color w:val="auto"/>
          <w:sz w:val="21"/>
          <w:szCs w:val="21"/>
          <w:highlight w:val="none"/>
        </w:rPr>
        <w:t>22.4采购代理机构无义务向未成交的供应商解释未成交原因和退还响应文件。</w:t>
      </w:r>
    </w:p>
    <w:p w14:paraId="6B4414EF">
      <w:pPr>
        <w:pStyle w:val="31"/>
        <w:spacing w:line="360" w:lineRule="auto"/>
        <w:rPr>
          <w:rFonts w:ascii="宋体" w:hAnsi="宋体"/>
          <w:b/>
          <w:color w:val="auto"/>
          <w:szCs w:val="21"/>
          <w:highlight w:val="none"/>
        </w:rPr>
      </w:pPr>
      <w:r>
        <w:rPr>
          <w:rFonts w:ascii="宋体" w:hAnsi="宋体"/>
          <w:b/>
          <w:color w:val="auto"/>
          <w:szCs w:val="21"/>
          <w:highlight w:val="none"/>
        </w:rPr>
        <w:t>八、采购代理服务费</w:t>
      </w:r>
    </w:p>
    <w:p w14:paraId="152E826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23</w:t>
      </w:r>
      <w:r>
        <w:rPr>
          <w:rFonts w:ascii="宋体" w:hAnsi="宋体"/>
          <w:color w:val="auto"/>
          <w:szCs w:val="21"/>
          <w:highlight w:val="none"/>
        </w:rPr>
        <w:t>. 详见“响应供应商须知前附表”。</w:t>
      </w:r>
    </w:p>
    <w:p w14:paraId="2D6017D7">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九、履约保证金</w:t>
      </w:r>
    </w:p>
    <w:p w14:paraId="659DC2DA">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24</w:t>
      </w:r>
      <w:r>
        <w:rPr>
          <w:rFonts w:ascii="宋体" w:hAnsi="宋体"/>
          <w:color w:val="auto"/>
          <w:szCs w:val="21"/>
          <w:highlight w:val="none"/>
        </w:rPr>
        <w:t>. 详见“响应供应商须知前附表”。</w:t>
      </w:r>
    </w:p>
    <w:p w14:paraId="4CB7D792">
      <w:pPr>
        <w:pStyle w:val="32"/>
        <w:rPr>
          <w:color w:val="auto"/>
          <w:highlight w:val="none"/>
        </w:rPr>
      </w:pPr>
    </w:p>
    <w:p w14:paraId="7CCBF744">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十、质疑和投诉</w:t>
      </w:r>
    </w:p>
    <w:p w14:paraId="6FDFECDB">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质疑。</w:t>
      </w:r>
    </w:p>
    <w:p w14:paraId="06577758">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1响应供应商认为采购文件、采购过程、成交结果使自己的权益受到损害的，可以在知道或者应知其权益受到损害之日起7个工作日内，以书面形式向采购人、采购代理机构提出质疑。响应供应商应在法定质疑期内一次性提出针对同一采购程序环节的质疑。</w:t>
      </w:r>
    </w:p>
    <w:p w14:paraId="4016BE94">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2提出质疑的响应供应商（以下简称质疑响应供应商）应当是参与所质疑项目采购活动的响应供应商。潜在响应供应商已依法获取其可质疑的采购文件的，可以对该文件提出质疑。对采购文件提出质疑的，应当在获取采购文件或者采购文件公告期限届满之日起7个工作日内提出。</w:t>
      </w:r>
    </w:p>
    <w:p w14:paraId="0EA89BA3">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.3响应供应商提出质疑应当提交质疑函和必要的证明材料。质疑函应当包括下列内容：</w:t>
      </w:r>
    </w:p>
    <w:p w14:paraId="500D72DE">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（1）响应供应商的姓名或者名称、地址、邮编、联系人及联系电话；</w:t>
      </w:r>
    </w:p>
    <w:p w14:paraId="7FA8C19A">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（2）质疑项目的名称、编号；</w:t>
      </w:r>
    </w:p>
    <w:p w14:paraId="30B0DAE4">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（3）具体、明确的质疑事项和与质疑事项相关的请求；</w:t>
      </w:r>
    </w:p>
    <w:p w14:paraId="1BAC45C8">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（4）事实依据；</w:t>
      </w:r>
    </w:p>
    <w:p w14:paraId="1486ACE9">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（5）必要的法律依据；</w:t>
      </w:r>
    </w:p>
    <w:p w14:paraId="01AFD16D">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（6）提出质疑的日期。</w:t>
      </w:r>
    </w:p>
    <w:p w14:paraId="24A2C1BF">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质疑书应当署名。质疑响应供应商为自然人的，应当由本人签字；质疑响应供应商为法人或者其他组织的，应当由法定代表人或者主要负责人签字和盖章，并加盖公章。</w:t>
      </w:r>
    </w:p>
    <w:p w14:paraId="391E0236">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4响应供应商可以委托代理人进行质疑。其授权委托书应当载明代理人的姓名或者名称、代理事项、具体权限、期限和相关事项。响应供应商为自然人的，应当由本人签字；响应供应商为法人或者其他组织的，应当由法定代表人、主要负责人签字和盖章，并加盖公章。代理人提出质疑，应当提交响应供应商签署的授权委托书。</w:t>
      </w:r>
    </w:p>
    <w:p w14:paraId="463DEDB9">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.5质疑函应明确阐述采购文件、采购过程、成交结果中使自己合法权益受到损害的实质性内容，提供相关事实、依据和证据及其来源或线索，便于有关单位调查、答复和处理。</w:t>
      </w:r>
    </w:p>
    <w:p w14:paraId="01CD3C94">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25</w:t>
      </w:r>
      <w:r>
        <w:rPr>
          <w:rFonts w:ascii="宋体" w:hAnsi="宋体" w:cs="宋体"/>
          <w:color w:val="auto"/>
          <w:highlight w:val="none"/>
        </w:rPr>
        <w:t>.6采购人、采购代理机构在收到响应供应商的质疑函后7个工作日内作出答复，并以书面形式通知质疑响应供应商和其他有关响应供应商。但答复的内容不得涉及商业秘密。</w:t>
      </w:r>
    </w:p>
    <w:p w14:paraId="59059F0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bCs/>
          <w:color w:val="auto"/>
          <w:highlight w:val="none"/>
          <w:lang w:eastAsia="zh-CN"/>
        </w:rPr>
      </w:pPr>
      <w:r>
        <w:rPr>
          <w:rFonts w:hint="eastAsia" w:ascii="宋体" w:hAnsi="宋体"/>
          <w:color w:val="auto"/>
          <w:szCs w:val="21"/>
          <w:highlight w:val="none"/>
        </w:rPr>
        <w:t>25</w:t>
      </w:r>
      <w:r>
        <w:rPr>
          <w:rFonts w:ascii="宋体" w:hAnsi="宋体"/>
          <w:color w:val="auto"/>
          <w:szCs w:val="21"/>
          <w:highlight w:val="none"/>
        </w:rPr>
        <w:t>.7递交质疑函的联系事项：</w:t>
      </w:r>
      <w:r>
        <w:rPr>
          <w:rFonts w:hint="eastAsia" w:ascii="宋体" w:hAnsi="宋体"/>
          <w:color w:val="auto"/>
          <w:szCs w:val="21"/>
          <w:highlight w:val="none"/>
          <w:lang w:eastAsia="zh-CN"/>
        </w:rPr>
        <w:t>（详见公告）</w:t>
      </w:r>
    </w:p>
    <w:p w14:paraId="065F81E1">
      <w:pPr>
        <w:pStyle w:val="31"/>
        <w:keepNext w:val="0"/>
        <w:keepLines w:val="0"/>
        <w:pageBreakBefore w:val="0"/>
        <w:widowControl w:val="0"/>
        <w:kinsoku/>
        <w:wordWrap/>
        <w:overflowPunct/>
        <w:topLinePunct w:val="0"/>
        <w:autoSpaceDE/>
        <w:autoSpaceDN/>
        <w:bidi w:val="0"/>
        <w:adjustRightInd/>
        <w:snapToGrid w:val="0"/>
        <w:spacing w:line="380" w:lineRule="exact"/>
        <w:ind w:firstLine="420" w:firstLineChars="200"/>
        <w:textAlignment w:val="auto"/>
        <w:rPr>
          <w:rFonts w:ascii="宋体" w:hAnsi="宋体" w:cs="宋体"/>
          <w:color w:val="auto"/>
          <w:highlight w:val="none"/>
        </w:rPr>
      </w:pPr>
      <w:r>
        <w:rPr>
          <w:rFonts w:ascii="宋体" w:hAnsi="宋体" w:cs="宋体"/>
          <w:color w:val="auto"/>
          <w:highlight w:val="none"/>
        </w:rPr>
        <w:t>投诉。质疑响应供应商对采购人、采购代理机构的答复不满意，或者采购人、采购代理机构未在规定时间内作出答复的，可以在答复期满后15个工作日内向同级监管部门提起投诉。</w:t>
      </w:r>
    </w:p>
    <w:p w14:paraId="49B0A467">
      <w:pPr>
        <w:pStyle w:val="31"/>
        <w:keepNext w:val="0"/>
        <w:keepLines w:val="0"/>
        <w:pageBreakBefore w:val="0"/>
        <w:widowControl w:val="0"/>
        <w:kinsoku/>
        <w:wordWrap/>
        <w:overflowPunct/>
        <w:topLinePunct w:val="0"/>
        <w:autoSpaceDE/>
        <w:autoSpaceDN/>
        <w:bidi w:val="0"/>
        <w:adjustRightInd/>
        <w:spacing w:line="360" w:lineRule="auto"/>
        <w:ind w:firstLine="422" w:firstLineChars="200"/>
        <w:textAlignment w:val="auto"/>
        <w:rPr>
          <w:rFonts w:ascii="宋体" w:hAnsi="宋体"/>
          <w:b/>
          <w:color w:val="auto"/>
          <w:szCs w:val="21"/>
          <w:highlight w:val="none"/>
        </w:rPr>
      </w:pPr>
      <w:r>
        <w:rPr>
          <w:rFonts w:ascii="宋体" w:hAnsi="宋体"/>
          <w:b/>
          <w:color w:val="auto"/>
          <w:szCs w:val="21"/>
          <w:highlight w:val="none"/>
        </w:rPr>
        <w:t>十一、签订合同</w:t>
      </w:r>
    </w:p>
    <w:p w14:paraId="12C8A20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.1 成交供应商在收到成交通知书后，须在</w:t>
      </w:r>
      <w:r>
        <w:rPr>
          <w:rFonts w:hint="eastAsia" w:ascii="宋体" w:hAnsi="宋体"/>
          <w:color w:val="auto"/>
          <w:szCs w:val="21"/>
          <w:highlight w:val="none"/>
        </w:rPr>
        <w:t>1</w:t>
      </w:r>
      <w:r>
        <w:rPr>
          <w:rFonts w:ascii="宋体" w:hAnsi="宋体"/>
          <w:color w:val="auto"/>
          <w:szCs w:val="21"/>
          <w:highlight w:val="none"/>
        </w:rPr>
        <w:t>5日历日内持成交通知书等材料与采购人签订施工合同</w:t>
      </w:r>
      <w:r>
        <w:rPr>
          <w:rFonts w:hint="eastAsia" w:ascii="宋体" w:hAnsi="宋体"/>
          <w:color w:val="auto"/>
          <w:szCs w:val="21"/>
          <w:highlight w:val="none"/>
          <w:lang w:eastAsia="zh-CN"/>
        </w:rPr>
        <w:t>（如因不可抗力原因延迟签订合同的，自不可抗力事由消除之日起5个工作日内完成合同签订事宜）</w:t>
      </w:r>
      <w:r>
        <w:rPr>
          <w:rFonts w:ascii="宋体" w:hAnsi="宋体"/>
          <w:color w:val="auto"/>
          <w:szCs w:val="21"/>
          <w:highlight w:val="none"/>
        </w:rPr>
        <w:t>，否则采购人将取消其成交资格。</w:t>
      </w:r>
    </w:p>
    <w:p w14:paraId="55EC10B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.2  发出成交通知书后，成交供应商有提供虚假材料或虚假承诺或未按相关规定与采购人签订合同等事宜的的，成交无效；给采购人造成的损失的，成交供应商还应当予以赔偿。</w:t>
      </w:r>
    </w:p>
    <w:p w14:paraId="163A4AE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.3  发出成交通知书后，采购人无正当理由拒签合同的并给成交供应商造成损失的，应当赔偿损失。</w:t>
      </w:r>
    </w:p>
    <w:p w14:paraId="691731C5">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.4  成交供应商因不可抗力或者自身原因不能履行采购合同的，采购人可以与排位在成交供应商之后第一位的成交候选供应商签订采购合同（或重新招标），以此类推。</w:t>
      </w:r>
    </w:p>
    <w:p w14:paraId="7996C76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19.5 采购合同是采购项目验收的依据，成交供应商和采购人应当按照采购合同约定的各自的权利和义务全面履行合同。任何一方当事人在履行合同过程中均不得擅自变更、中止或终止合同。采购合同继续履行将损害国家利益和社会公共利益的，双方当事人应当变更、中止或终止合同。有过错的一方应当承担赔偿责任，双方都有过错的，各自承担相应的责任。</w:t>
      </w:r>
    </w:p>
    <w:p w14:paraId="0030931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rPr>
        <w:t>26</w:t>
      </w:r>
      <w:r>
        <w:rPr>
          <w:rFonts w:ascii="宋体" w:hAnsi="宋体"/>
          <w:color w:val="auto"/>
          <w:szCs w:val="21"/>
          <w:highlight w:val="none"/>
        </w:rPr>
        <w:t xml:space="preserve">.6 采购人或成交供应商在合同履行过程中存在违反采购合同行为的，权益受损当事人应当将有关违约的情况以及拟采取的措施，及时书面报告采购代理机构。 </w:t>
      </w:r>
    </w:p>
    <w:p w14:paraId="7EA72C2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sectPr>
          <w:pgSz w:w="11906" w:h="16838"/>
          <w:pgMar w:top="1134" w:right="1134" w:bottom="1134" w:left="1417" w:header="851" w:footer="851" w:gutter="0"/>
          <w:cols w:space="720" w:num="1"/>
          <w:formProt w:val="1"/>
          <w:docGrid w:linePitch="312" w:charSpace="43007"/>
        </w:sectPr>
      </w:pPr>
      <w:r>
        <w:rPr>
          <w:rFonts w:hint="eastAsia" w:ascii="宋体" w:hAnsi="宋体"/>
          <w:color w:val="auto"/>
          <w:szCs w:val="21"/>
          <w:highlight w:val="none"/>
        </w:rPr>
        <w:t>26</w:t>
      </w:r>
      <w:r>
        <w:rPr>
          <w:rFonts w:ascii="宋体" w:hAnsi="宋体"/>
          <w:color w:val="auto"/>
          <w:szCs w:val="21"/>
          <w:highlight w:val="none"/>
        </w:rPr>
        <w:t>.7 成交供应商拒绝签订采购合同的，并给采购人造成其损失的，还应当赔偿损失，并作为不良行为记录在案。同时，已缴纳的成交服务费不予退还。</w:t>
      </w:r>
    </w:p>
    <w:p w14:paraId="68335140">
      <w:p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1</w:t>
      </w:r>
    </w:p>
    <w:p w14:paraId="777B758B">
      <w:pPr>
        <w:pStyle w:val="43"/>
        <w:ind w:firstLine="480"/>
        <w:rPr>
          <w:rFonts w:hint="eastAsia"/>
          <w:color w:val="auto"/>
          <w:highlight w:val="none"/>
        </w:rPr>
      </w:pPr>
    </w:p>
    <w:p w14:paraId="218450D5">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崇左市线上“政采贷”政策告知函</w:t>
      </w:r>
    </w:p>
    <w:p w14:paraId="7F763B3E">
      <w:pPr>
        <w:spacing w:line="360" w:lineRule="auto"/>
        <w:ind w:firstLine="400" w:firstLineChars="200"/>
        <w:rPr>
          <w:rFonts w:hint="eastAsia" w:ascii="宋体" w:hAnsi="宋体" w:cs="宋体"/>
          <w:color w:val="auto"/>
          <w:szCs w:val="21"/>
          <w:highlight w:val="none"/>
        </w:rPr>
      </w:pPr>
    </w:p>
    <w:p w14:paraId="54C85640">
      <w:pPr>
        <w:spacing w:line="360" w:lineRule="auto"/>
        <w:rPr>
          <w:rFonts w:hint="eastAsia" w:ascii="宋体" w:hAnsi="宋体" w:cs="宋体"/>
          <w:color w:val="auto"/>
          <w:sz w:val="21"/>
          <w:szCs w:val="21"/>
          <w:highlight w:val="none"/>
        </w:rPr>
      </w:pPr>
      <w:r>
        <w:rPr>
          <w:rFonts w:hint="eastAsia" w:ascii="宋体" w:hAnsi="宋体" w:cs="宋体"/>
          <w:color w:val="auto"/>
          <w:sz w:val="21"/>
          <w:szCs w:val="21"/>
          <w:highlight w:val="none"/>
        </w:rPr>
        <w:t>各供应商：</w:t>
      </w:r>
    </w:p>
    <w:p w14:paraId="239F130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欢迎贵公司参与崇左市政府采购活动！</w:t>
      </w:r>
    </w:p>
    <w:p w14:paraId="70219BD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75F6B26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相关金融产品和银行业金融机构联系方式，可在中征应收账款融资服务平台查询（网址：</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HYPERLINK "https://www.crcrfsp.com/" </w:instrText>
      </w:r>
      <w:r>
        <w:rPr>
          <w:rFonts w:hint="eastAsia" w:ascii="宋体" w:hAnsi="宋体" w:cs="宋体"/>
          <w:color w:val="auto"/>
          <w:sz w:val="21"/>
          <w:szCs w:val="21"/>
          <w:highlight w:val="none"/>
        </w:rPr>
        <w:fldChar w:fldCharType="separate"/>
      </w:r>
      <w:r>
        <w:rPr>
          <w:rStyle w:val="27"/>
          <w:rFonts w:hint="eastAsia" w:ascii="宋体" w:hAnsi="宋体" w:cs="宋体"/>
          <w:color w:val="auto"/>
          <w:sz w:val="21"/>
          <w:szCs w:val="21"/>
          <w:highlight w:val="none"/>
        </w:rPr>
        <w:t>https://www.crcrfsp.com/</w:t>
      </w:r>
      <w:r>
        <w:rPr>
          <w:rFonts w:hint="eastAsia" w:ascii="宋体" w:hAnsi="宋体" w:cs="宋体"/>
          <w:color w:val="auto"/>
          <w:sz w:val="21"/>
          <w:szCs w:val="21"/>
          <w:highlight w:val="none"/>
        </w:rPr>
        <w:fldChar w:fldCharType="end"/>
      </w:r>
      <w:r>
        <w:rPr>
          <w:rFonts w:hint="eastAsia" w:ascii="宋体" w:hAnsi="宋体" w:cs="宋体"/>
          <w:color w:val="auto"/>
          <w:sz w:val="21"/>
          <w:szCs w:val="21"/>
          <w:highlight w:val="none"/>
        </w:rPr>
        <w:t>，客服电话：400-009-0001）。</w:t>
      </w:r>
    </w:p>
    <w:p w14:paraId="11EE8E52">
      <w:pPr>
        <w:pStyle w:val="43"/>
        <w:ind w:firstLine="420"/>
        <w:rPr>
          <w:rFonts w:hint="eastAsia" w:ascii="宋体" w:hAnsi="宋体" w:cs="宋体"/>
          <w:color w:val="auto"/>
          <w:sz w:val="21"/>
          <w:szCs w:val="21"/>
          <w:highlight w:val="none"/>
        </w:rPr>
      </w:pPr>
    </w:p>
    <w:p w14:paraId="3027E81D">
      <w:pPr>
        <w:spacing w:line="360" w:lineRule="auto"/>
        <w:rPr>
          <w:rFonts w:hint="eastAsia" w:ascii="宋体" w:hAnsi="宋体" w:cs="宋体"/>
          <w:color w:val="auto"/>
          <w:szCs w:val="21"/>
          <w:highlight w:val="none"/>
        </w:rPr>
      </w:pPr>
    </w:p>
    <w:p w14:paraId="74585225">
      <w:pPr>
        <w:pStyle w:val="43"/>
        <w:ind w:firstLine="420"/>
        <w:rPr>
          <w:rFonts w:hint="eastAsia" w:ascii="宋体" w:hAnsi="宋体" w:cs="宋体"/>
          <w:color w:val="auto"/>
          <w:sz w:val="21"/>
          <w:szCs w:val="21"/>
          <w:highlight w:val="none"/>
        </w:rPr>
      </w:pPr>
    </w:p>
    <w:p w14:paraId="4832076F">
      <w:pPr>
        <w:spacing w:line="360" w:lineRule="auto"/>
        <w:rPr>
          <w:rFonts w:hint="eastAsia" w:ascii="宋体" w:hAnsi="宋体" w:cs="宋体"/>
          <w:color w:val="auto"/>
          <w:szCs w:val="21"/>
          <w:highlight w:val="none"/>
        </w:rPr>
      </w:pPr>
    </w:p>
    <w:p w14:paraId="31865416">
      <w:pPr>
        <w:spacing w:line="360" w:lineRule="auto"/>
        <w:rPr>
          <w:rFonts w:hint="eastAsia" w:ascii="宋体" w:hAnsi="宋体" w:cs="宋体"/>
          <w:color w:val="auto"/>
          <w:szCs w:val="21"/>
          <w:highlight w:val="none"/>
        </w:rPr>
      </w:pPr>
    </w:p>
    <w:p w14:paraId="7D2849F1">
      <w:pPr>
        <w:pStyle w:val="43"/>
        <w:ind w:firstLine="420"/>
        <w:rPr>
          <w:rFonts w:hint="eastAsia" w:ascii="宋体" w:hAnsi="宋体" w:cs="宋体"/>
          <w:color w:val="auto"/>
          <w:sz w:val="21"/>
          <w:szCs w:val="21"/>
          <w:highlight w:val="none"/>
        </w:rPr>
      </w:pPr>
    </w:p>
    <w:p w14:paraId="6E62B35B">
      <w:pPr>
        <w:spacing w:line="360" w:lineRule="auto"/>
        <w:rPr>
          <w:rFonts w:hint="eastAsia" w:ascii="宋体" w:hAnsi="宋体" w:cs="宋体"/>
          <w:color w:val="auto"/>
          <w:szCs w:val="21"/>
          <w:highlight w:val="none"/>
        </w:rPr>
      </w:pPr>
    </w:p>
    <w:p w14:paraId="079C0CD5">
      <w:pPr>
        <w:spacing w:line="360" w:lineRule="auto"/>
        <w:rPr>
          <w:rFonts w:hint="eastAsia" w:ascii="宋体" w:hAnsi="宋体" w:cs="宋体"/>
          <w:color w:val="auto"/>
          <w:szCs w:val="21"/>
          <w:highlight w:val="none"/>
        </w:rPr>
      </w:pPr>
    </w:p>
    <w:p w14:paraId="7CFE8B72">
      <w:pPr>
        <w:pStyle w:val="43"/>
        <w:ind w:firstLine="420"/>
        <w:rPr>
          <w:rFonts w:hint="eastAsia" w:ascii="宋体" w:hAnsi="宋体" w:cs="宋体"/>
          <w:color w:val="auto"/>
          <w:sz w:val="21"/>
          <w:szCs w:val="21"/>
          <w:highlight w:val="none"/>
        </w:rPr>
      </w:pPr>
    </w:p>
    <w:p w14:paraId="261DEDF6">
      <w:pPr>
        <w:spacing w:line="360" w:lineRule="auto"/>
        <w:rPr>
          <w:rFonts w:hint="eastAsia" w:ascii="宋体" w:hAnsi="宋体" w:cs="宋体"/>
          <w:color w:val="auto"/>
          <w:szCs w:val="21"/>
          <w:highlight w:val="none"/>
        </w:rPr>
      </w:pPr>
    </w:p>
    <w:p w14:paraId="7C4E270D">
      <w:pPr>
        <w:pStyle w:val="43"/>
        <w:ind w:firstLine="420"/>
        <w:rPr>
          <w:rFonts w:hint="eastAsia" w:ascii="宋体" w:hAnsi="宋体" w:cs="宋体"/>
          <w:color w:val="auto"/>
          <w:sz w:val="21"/>
          <w:szCs w:val="21"/>
          <w:highlight w:val="none"/>
        </w:rPr>
      </w:pPr>
    </w:p>
    <w:p w14:paraId="5D887040">
      <w:pPr>
        <w:rPr>
          <w:rFonts w:hint="eastAsia" w:ascii="黑体" w:hAnsi="黑体" w:eastAsia="黑体" w:cs="黑体"/>
          <w:color w:val="auto"/>
          <w:szCs w:val="32"/>
          <w:highlight w:val="none"/>
        </w:rPr>
      </w:pPr>
    </w:p>
    <w:p w14:paraId="2184BB59">
      <w:pPr>
        <w:pStyle w:val="43"/>
        <w:ind w:firstLine="480"/>
        <w:rPr>
          <w:rFonts w:hint="eastAsia" w:ascii="黑体" w:hAnsi="黑体" w:eastAsia="黑体" w:cs="黑体"/>
          <w:color w:val="auto"/>
          <w:szCs w:val="32"/>
          <w:highlight w:val="none"/>
        </w:rPr>
      </w:pPr>
    </w:p>
    <w:p w14:paraId="5D815B78">
      <w:pPr>
        <w:rPr>
          <w:rFonts w:hint="eastAsia" w:ascii="黑体" w:hAnsi="黑体" w:eastAsia="黑体" w:cs="黑体"/>
          <w:color w:val="auto"/>
          <w:szCs w:val="32"/>
          <w:highlight w:val="none"/>
        </w:rPr>
      </w:pPr>
    </w:p>
    <w:p w14:paraId="43FF3F68">
      <w:pPr>
        <w:pStyle w:val="3"/>
        <w:rPr>
          <w:rFonts w:hint="eastAsia" w:ascii="黑体" w:hAnsi="黑体" w:cs="黑体"/>
          <w:color w:val="auto"/>
          <w:highlight w:val="none"/>
        </w:rPr>
      </w:pPr>
    </w:p>
    <w:p w14:paraId="0E26E63A">
      <w:pPr>
        <w:rPr>
          <w:rFonts w:hint="eastAsia"/>
          <w:color w:val="auto"/>
          <w:highlight w:val="none"/>
        </w:rPr>
      </w:pPr>
    </w:p>
    <w:p w14:paraId="61EECCBE">
      <w:pPr>
        <w:pStyle w:val="3"/>
        <w:rPr>
          <w:rFonts w:hint="eastAsia"/>
          <w:color w:val="auto"/>
          <w:highlight w:val="none"/>
        </w:rPr>
      </w:pPr>
    </w:p>
    <w:p w14:paraId="3562FCAB">
      <w:pPr>
        <w:rPr>
          <w:rFonts w:hint="eastAsia"/>
          <w:color w:val="auto"/>
          <w:highlight w:val="none"/>
        </w:rPr>
      </w:pPr>
    </w:p>
    <w:p w14:paraId="48998EB4">
      <w:pPr>
        <w:spacing w:line="540" w:lineRule="exact"/>
        <w:rPr>
          <w:rFonts w:hint="eastAsia" w:ascii="黑体" w:hAnsi="黑体" w:eastAsia="黑体" w:cs="黑体"/>
          <w:b/>
          <w:bCs/>
          <w:color w:val="auto"/>
          <w:sz w:val="28"/>
          <w:szCs w:val="44"/>
          <w:highlight w:val="none"/>
          <w:lang w:eastAsia="zh-CN"/>
        </w:rPr>
      </w:pPr>
      <w:r>
        <w:rPr>
          <w:rFonts w:hint="eastAsia" w:ascii="黑体" w:hAnsi="黑体" w:eastAsia="黑体" w:cs="黑体"/>
          <w:b/>
          <w:bCs/>
          <w:color w:val="auto"/>
          <w:sz w:val="28"/>
          <w:szCs w:val="44"/>
          <w:highlight w:val="none"/>
        </w:rPr>
        <w:t>附件</w:t>
      </w:r>
      <w:r>
        <w:rPr>
          <w:rFonts w:hint="eastAsia" w:ascii="黑体" w:hAnsi="黑体" w:eastAsia="黑体" w:cs="黑体"/>
          <w:b/>
          <w:bCs/>
          <w:color w:val="auto"/>
          <w:sz w:val="28"/>
          <w:szCs w:val="44"/>
          <w:highlight w:val="none"/>
          <w:lang w:val="en-US" w:eastAsia="zh-CN"/>
        </w:rPr>
        <w:t>2</w:t>
      </w:r>
    </w:p>
    <w:p w14:paraId="63E535F4">
      <w:pPr>
        <w:pStyle w:val="43"/>
        <w:ind w:firstLine="480"/>
        <w:rPr>
          <w:color w:val="auto"/>
          <w:highlight w:val="none"/>
        </w:rPr>
      </w:pPr>
    </w:p>
    <w:p w14:paraId="4E8DAC76">
      <w:pPr>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崇左市线上“政采贷”业务流程图</w:t>
      </w:r>
    </w:p>
    <w:p w14:paraId="5B9881E1">
      <w:pPr>
        <w:rPr>
          <w:rFonts w:hint="eastAsia"/>
          <w:color w:val="auto"/>
          <w:highlight w:val="none"/>
        </w:rPr>
      </w:pPr>
      <w:r>
        <w:rPr>
          <w:rFonts w:hint="eastAsia" w:eastAsia="仿宋_GB2312"/>
          <w:color w:val="auto"/>
          <w:highlight w:val="none"/>
        </w:rPr>
        <w:drawing>
          <wp:inline distT="0" distB="0" distL="114300" distR="114300">
            <wp:extent cx="4926965" cy="7002780"/>
            <wp:effectExtent l="0" t="0" r="6985" b="7620"/>
            <wp:docPr id="6"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流程图1011"/>
                    <pic:cNvPicPr>
                      <a:picLocks noChangeAspect="1"/>
                    </pic:cNvPicPr>
                  </pic:nvPicPr>
                  <pic:blipFill>
                    <a:blip r:embed="rId16"/>
                    <a:stretch>
                      <a:fillRect/>
                    </a:stretch>
                  </pic:blipFill>
                  <pic:spPr>
                    <a:xfrm>
                      <a:off x="0" y="0"/>
                      <a:ext cx="4926965" cy="7002780"/>
                    </a:xfrm>
                    <a:prstGeom prst="rect">
                      <a:avLst/>
                    </a:prstGeom>
                    <a:noFill/>
                    <a:ln>
                      <a:noFill/>
                    </a:ln>
                  </pic:spPr>
                </pic:pic>
              </a:graphicData>
            </a:graphic>
          </wp:inline>
        </w:drawing>
      </w:r>
    </w:p>
    <w:p w14:paraId="60A2E292">
      <w:pPr>
        <w:widowControl/>
        <w:ind w:firstLine="400" w:firstLineChars="200"/>
        <w:rPr>
          <w:rFonts w:hint="eastAsia"/>
          <w:color w:val="auto"/>
          <w:highlight w:val="none"/>
        </w:rPr>
      </w:pPr>
    </w:p>
    <w:p w14:paraId="768704E0">
      <w:pPr>
        <w:pStyle w:val="43"/>
        <w:ind w:firstLine="480"/>
        <w:rPr>
          <w:rFonts w:hint="eastAsia"/>
          <w:color w:val="auto"/>
          <w:highlight w:val="none"/>
        </w:rPr>
      </w:pPr>
    </w:p>
    <w:p w14:paraId="239A6CB6">
      <w:pPr>
        <w:rPr>
          <w:rFonts w:hint="eastAsia"/>
          <w:color w:val="auto"/>
          <w:highlight w:val="none"/>
        </w:rPr>
      </w:pPr>
    </w:p>
    <w:p w14:paraId="22BF5947">
      <w:pPr>
        <w:rPr>
          <w:rFonts w:hint="eastAsia"/>
          <w:color w:val="auto"/>
          <w:highlight w:val="none"/>
        </w:rPr>
      </w:pPr>
    </w:p>
    <w:p w14:paraId="1CAB747E">
      <w:pPr>
        <w:widowControl/>
        <w:spacing w:line="720" w:lineRule="exact"/>
        <w:jc w:val="left"/>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lang w:val="zh-CN"/>
        </w:rPr>
        <w:t>附件</w:t>
      </w:r>
      <w:r>
        <w:rPr>
          <w:rFonts w:hint="eastAsia" w:ascii="宋体" w:hAnsi="宋体" w:cs="宋体"/>
          <w:b/>
          <w:bCs/>
          <w:color w:val="auto"/>
          <w:sz w:val="28"/>
          <w:szCs w:val="28"/>
          <w:highlight w:val="none"/>
          <w:lang w:val="en-US" w:eastAsia="zh-CN"/>
        </w:rPr>
        <w:t>3</w:t>
      </w:r>
    </w:p>
    <w:p w14:paraId="47698280">
      <w:pPr>
        <w:pStyle w:val="43"/>
        <w:ind w:firstLine="480"/>
        <w:rPr>
          <w:color w:val="auto"/>
          <w:highlight w:val="none"/>
        </w:rPr>
      </w:pPr>
    </w:p>
    <w:p w14:paraId="49EEE99F">
      <w:pPr>
        <w:pStyle w:val="43"/>
        <w:ind w:firstLine="562"/>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崇左市金融机构线上“政采贷”业务办理联络表</w:t>
      </w:r>
    </w:p>
    <w:tbl>
      <w:tblPr>
        <w:tblStyle w:val="23"/>
        <w:tblW w:w="8314" w:type="dxa"/>
        <w:tblInd w:w="96" w:type="dxa"/>
        <w:tblLayout w:type="fixed"/>
        <w:tblCellMar>
          <w:top w:w="0" w:type="dxa"/>
          <w:left w:w="108" w:type="dxa"/>
          <w:bottom w:w="0" w:type="dxa"/>
          <w:right w:w="108" w:type="dxa"/>
        </w:tblCellMar>
      </w:tblPr>
      <w:tblGrid>
        <w:gridCol w:w="2674"/>
        <w:gridCol w:w="3515"/>
        <w:gridCol w:w="2125"/>
      </w:tblGrid>
      <w:tr w14:paraId="3BC280C2">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2EC62D0D">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1C7A0D">
            <w:pPr>
              <w:widowControl/>
              <w:spacing w:line="400" w:lineRule="exact"/>
              <w:jc w:val="center"/>
              <w:textAlignment w:val="center"/>
              <w:rPr>
                <w:rFonts w:hint="eastAsia"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24DEAA">
            <w:pPr>
              <w:widowControl/>
              <w:spacing w:line="400" w:lineRule="exact"/>
              <w:jc w:val="center"/>
              <w:textAlignment w:val="center"/>
              <w:rPr>
                <w:rFonts w:hint="eastAsia" w:ascii="宋体" w:hAnsi="宋体" w:cs="宋体"/>
                <w:b/>
                <w:bCs/>
                <w:color w:val="auto"/>
                <w:sz w:val="28"/>
                <w:szCs w:val="28"/>
                <w:highlight w:val="none"/>
              </w:rPr>
            </w:pPr>
            <w:r>
              <w:rPr>
                <w:rFonts w:hint="eastAsia" w:cs="宋体"/>
                <w:b/>
                <w:bCs/>
                <w:color w:val="auto"/>
                <w:kern w:val="0"/>
                <w:sz w:val="28"/>
                <w:szCs w:val="28"/>
                <w:highlight w:val="none"/>
                <w:lang w:bidi="ar"/>
              </w:rPr>
              <w:t>业务</w:t>
            </w:r>
            <w:r>
              <w:rPr>
                <w:rFonts w:hint="eastAsia" w:ascii="宋体" w:hAnsi="宋体" w:cs="宋体"/>
                <w:b/>
                <w:bCs/>
                <w:color w:val="auto"/>
                <w:kern w:val="0"/>
                <w:sz w:val="28"/>
                <w:szCs w:val="28"/>
                <w:highlight w:val="none"/>
                <w:lang w:bidi="ar"/>
              </w:rPr>
              <w:t>咨询电话</w:t>
            </w:r>
          </w:p>
        </w:tc>
      </w:tr>
      <w:tr w14:paraId="527291E7">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238A64C2">
            <w:pPr>
              <w:widowControl/>
              <w:jc w:val="left"/>
              <w:textAlignment w:val="center"/>
              <w:rPr>
                <w:rFonts w:hint="eastAsia" w:cs="宋体"/>
                <w:color w:val="auto"/>
                <w:szCs w:val="21"/>
                <w:highlight w:val="none"/>
              </w:rPr>
            </w:pPr>
            <w:r>
              <w:rPr>
                <w:rFonts w:hint="eastAsia" w:cs="宋体"/>
                <w:b/>
                <w:bCs/>
                <w:color w:val="auto"/>
                <w:szCs w:val="21"/>
                <w:highlight w:val="none"/>
              </w:rPr>
              <w:t>崇左市本级及江州区</w:t>
            </w:r>
          </w:p>
        </w:tc>
      </w:tr>
      <w:tr w14:paraId="5633483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7B29F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C950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8A15FB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0771-7820436 0771-7820439</w:t>
            </w:r>
          </w:p>
        </w:tc>
      </w:tr>
      <w:tr w14:paraId="295F875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840C8D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4F4809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1FD30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0771-7917212</w:t>
            </w:r>
          </w:p>
        </w:tc>
      </w:tr>
      <w:tr w14:paraId="69A5A818">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84315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CF54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3BCC57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0771-7917054</w:t>
            </w:r>
          </w:p>
        </w:tc>
      </w:tr>
      <w:tr w14:paraId="3EDB110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C766F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129D9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1F117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0771-7831103</w:t>
            </w:r>
          </w:p>
        </w:tc>
      </w:tr>
      <w:tr w14:paraId="42E3AA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0DB03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BB156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E369B8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0771-7928650 0771-7920613</w:t>
            </w:r>
          </w:p>
        </w:tc>
      </w:tr>
      <w:tr w14:paraId="7654E7D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893F6D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5C6E84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0C40D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0771-7925660</w:t>
            </w:r>
          </w:p>
        </w:tc>
      </w:tr>
      <w:tr w14:paraId="7DE7DF6E">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08A1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8E88CD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BFF634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0771-7968699</w:t>
            </w:r>
          </w:p>
        </w:tc>
      </w:tr>
      <w:tr w14:paraId="468FFF23">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965A7F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9EDCF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FA493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0771-7916636</w:t>
            </w:r>
          </w:p>
        </w:tc>
      </w:tr>
      <w:tr w14:paraId="70216F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FB955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98D69D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39254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0771-7988895</w:t>
            </w:r>
          </w:p>
        </w:tc>
      </w:tr>
      <w:tr w14:paraId="335520BB">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54285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651FA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CEFC51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0771-7960855</w:t>
            </w:r>
          </w:p>
        </w:tc>
      </w:tr>
      <w:tr w14:paraId="15D83F60">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814962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F7FA07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50BCA8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0771-7821126</w:t>
            </w:r>
          </w:p>
        </w:tc>
      </w:tr>
      <w:tr w14:paraId="398ED0BF">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E3187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317EE8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AD784A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0771-7831866</w:t>
            </w:r>
          </w:p>
        </w:tc>
      </w:tr>
      <w:tr w14:paraId="0103FDF8">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3A67924">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扶绥县</w:t>
            </w:r>
          </w:p>
        </w:tc>
      </w:tr>
      <w:tr w14:paraId="631A61BD">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478E6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FAA474">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AF248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0771-7535612</w:t>
            </w:r>
          </w:p>
        </w:tc>
      </w:tr>
      <w:tr w14:paraId="27D4A0D8">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3BD0E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6B66F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196A36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0771-7917330</w:t>
            </w:r>
          </w:p>
        </w:tc>
      </w:tr>
      <w:tr w14:paraId="601F1A1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43062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710120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51CF20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0771-7516511 0771-7531157</w:t>
            </w:r>
          </w:p>
        </w:tc>
      </w:tr>
      <w:tr w14:paraId="003E85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DDD88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2325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D2A9F6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0771-7525822</w:t>
            </w:r>
          </w:p>
        </w:tc>
      </w:tr>
      <w:tr w14:paraId="0889050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EA72F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C44C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55332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0771-5025887</w:t>
            </w:r>
          </w:p>
        </w:tc>
      </w:tr>
      <w:tr w14:paraId="1341079F">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80FA92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059295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02CB6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0771-7533041</w:t>
            </w:r>
          </w:p>
        </w:tc>
      </w:tr>
      <w:tr w14:paraId="46142B4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75D441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6996AA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5A732A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0771-7536178 0771-7536177</w:t>
            </w:r>
          </w:p>
        </w:tc>
      </w:tr>
      <w:tr w14:paraId="35D22534">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54D22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3B13C2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10F357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0771-7661101</w:t>
            </w:r>
          </w:p>
        </w:tc>
      </w:tr>
      <w:tr w14:paraId="4745DCD3">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3CCB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CE9195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DA398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0771-7500768</w:t>
            </w:r>
          </w:p>
        </w:tc>
      </w:tr>
      <w:tr w14:paraId="2A95E5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6B02B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AFAB8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DCA51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0771-7525678</w:t>
            </w:r>
          </w:p>
        </w:tc>
      </w:tr>
      <w:tr w14:paraId="5E73904D">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1F60A1B">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03001">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011F89">
            <w:pPr>
              <w:widowControl/>
              <w:jc w:val="center"/>
              <w:textAlignment w:val="center"/>
              <w:rPr>
                <w:rFonts w:hint="eastAsia" w:ascii="宋体" w:hAnsi="宋体" w:cs="宋体"/>
                <w:color w:val="auto"/>
                <w:szCs w:val="21"/>
                <w:highlight w:val="none"/>
              </w:rPr>
            </w:pPr>
          </w:p>
        </w:tc>
      </w:tr>
      <w:tr w14:paraId="78A310B5">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79213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FCA50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05388A">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0771-8620729</w:t>
            </w:r>
          </w:p>
        </w:tc>
      </w:tr>
      <w:tr w14:paraId="45594798">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9BA6A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9EE26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57880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0771-7917093</w:t>
            </w:r>
          </w:p>
        </w:tc>
      </w:tr>
      <w:tr w14:paraId="2C8EF51F">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E3993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2D1D254">
            <w:pPr>
              <w:widowControl/>
              <w:spacing w:after="90" w:line="23" w:lineRule="atLeast"/>
              <w:jc w:val="left"/>
              <w:rPr>
                <w:rFonts w:hint="eastAsia" w:ascii="宋体" w:hAnsi="宋体" w:cs="宋体"/>
                <w:color w:val="auto"/>
                <w:szCs w:val="21"/>
                <w:highlight w:val="none"/>
              </w:rPr>
            </w:pPr>
            <w:r>
              <w:rPr>
                <w:rFonts w:hint="eastAsia" w:ascii="宋体" w:hAnsi="宋体"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E42532">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0771-8629006</w:t>
            </w:r>
          </w:p>
        </w:tc>
      </w:tr>
      <w:tr w14:paraId="6B91FC2E">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C0A76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982B1B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7E0CF2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0771-8628166</w:t>
            </w:r>
          </w:p>
        </w:tc>
      </w:tr>
      <w:tr w14:paraId="09D6FD0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ABB54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F652CC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84F4ED">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0771-8630787</w:t>
            </w:r>
          </w:p>
        </w:tc>
      </w:tr>
      <w:tr w14:paraId="06613984">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1ACAD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2D01DC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6EBE234">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0771-8622237</w:t>
            </w:r>
          </w:p>
        </w:tc>
      </w:tr>
      <w:tr w14:paraId="2C49917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A94D80B">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大新县</w:t>
            </w:r>
          </w:p>
        </w:tc>
      </w:tr>
      <w:tr w14:paraId="31B85929">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E0E31F">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4ED0BAB">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05064A4">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0771-3628078</w:t>
            </w:r>
          </w:p>
        </w:tc>
      </w:tr>
      <w:tr w14:paraId="152E8954">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E30CAA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DB925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16F0BA">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w:t>
            </w:r>
            <w:r>
              <w:rPr>
                <w:rFonts w:hint="eastAsia" w:ascii="宋体" w:hAnsi="宋体" w:cs="宋体"/>
                <w:color w:val="auto"/>
                <w:szCs w:val="21"/>
                <w:highlight w:val="none"/>
              </w:rPr>
              <w:t>7917015</w:t>
            </w:r>
          </w:p>
        </w:tc>
      </w:tr>
      <w:tr w14:paraId="589ACE00">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7CC4E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BBB54C">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24B75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0771-3689766</w:t>
            </w:r>
          </w:p>
        </w:tc>
      </w:tr>
      <w:tr w14:paraId="651DFC5E">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6BC982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25561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E25BE6">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0771-3623887</w:t>
            </w:r>
          </w:p>
        </w:tc>
      </w:tr>
      <w:tr w14:paraId="2C9E8853">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955A2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A83CB5">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26656A9">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0771-3621996</w:t>
            </w:r>
          </w:p>
        </w:tc>
      </w:tr>
      <w:tr w14:paraId="5697F2E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DDE8808">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F4986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B6A6A1">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szCs w:val="21"/>
                <w:highlight w:val="none"/>
              </w:rPr>
              <w:t>0771-3628366</w:t>
            </w:r>
          </w:p>
        </w:tc>
      </w:tr>
      <w:tr w14:paraId="7D39663B">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393007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118A12D">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BDFD7E">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0771-3698002</w:t>
            </w:r>
          </w:p>
        </w:tc>
      </w:tr>
      <w:tr w14:paraId="62921C1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B8F912">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FA752A">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37CB2B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0771-3626199</w:t>
            </w:r>
          </w:p>
        </w:tc>
      </w:tr>
      <w:tr w14:paraId="398DF8DA">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C54FDB9">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4E39A0">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46A6D6">
            <w:pPr>
              <w:widowControl/>
              <w:jc w:val="center"/>
              <w:textAlignment w:val="center"/>
              <w:rPr>
                <w:rFonts w:hint="eastAsia" w:ascii="宋体" w:hAnsi="宋体" w:cs="宋体"/>
                <w:color w:val="auto"/>
                <w:szCs w:val="21"/>
                <w:highlight w:val="none"/>
              </w:rPr>
            </w:pPr>
          </w:p>
        </w:tc>
      </w:tr>
      <w:tr w14:paraId="77760F57">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9E5FCC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65235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21D0DE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0771-8868619</w:t>
            </w:r>
          </w:p>
        </w:tc>
      </w:tr>
      <w:tr w14:paraId="4CB0DBEE">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C95B8E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974262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5E43E8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0771-8812504</w:t>
            </w:r>
          </w:p>
        </w:tc>
      </w:tr>
      <w:tr w14:paraId="1D023F5A">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EADD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FF69E4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B3E87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0771-8820525</w:t>
            </w:r>
          </w:p>
        </w:tc>
      </w:tr>
      <w:tr w14:paraId="5CC16EEB">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67550C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龙州农商行公司机构金融</w:t>
            </w:r>
            <w:r>
              <w:rPr>
                <w:rFonts w:hint="eastAsia"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D38E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D4DC97">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0771-8813013</w:t>
            </w:r>
          </w:p>
        </w:tc>
      </w:tr>
      <w:tr w14:paraId="63C3EC6E">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999DC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AF380D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9633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0771-8871021</w:t>
            </w:r>
          </w:p>
        </w:tc>
      </w:tr>
      <w:tr w14:paraId="005B657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9C844C">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1F6468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8AE6E4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0771-8811533</w:t>
            </w:r>
          </w:p>
        </w:tc>
      </w:tr>
      <w:tr w14:paraId="63BC2969">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CAE882">
            <w:pPr>
              <w:widowControl/>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AA3C53D">
            <w:pPr>
              <w:widowControl/>
              <w:jc w:val="left"/>
              <w:textAlignment w:val="center"/>
              <w:rPr>
                <w:rFonts w:hint="eastAsia" w:ascii="宋体" w:hAnsi="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16C1E2">
            <w:pPr>
              <w:widowControl/>
              <w:jc w:val="center"/>
              <w:textAlignment w:val="center"/>
              <w:rPr>
                <w:rFonts w:hint="eastAsia" w:ascii="宋体" w:hAnsi="宋体" w:cs="宋体"/>
                <w:color w:val="auto"/>
                <w:szCs w:val="21"/>
                <w:highlight w:val="none"/>
              </w:rPr>
            </w:pPr>
          </w:p>
        </w:tc>
      </w:tr>
      <w:tr w14:paraId="55008B46">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F70BF2">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55CEA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F287DFB">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0771-3532211</w:t>
            </w:r>
          </w:p>
        </w:tc>
      </w:tr>
      <w:tr w14:paraId="561289FA">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6E4245D">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6D347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125A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0771-7917046</w:t>
            </w:r>
          </w:p>
        </w:tc>
      </w:tr>
      <w:tr w14:paraId="5C71757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1532B6">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631898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E8281A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0771-3521361</w:t>
            </w:r>
          </w:p>
        </w:tc>
      </w:tr>
      <w:tr w14:paraId="2F820D81">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361BD00">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CE3A1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016435F">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0771-3522157</w:t>
            </w:r>
          </w:p>
        </w:tc>
      </w:tr>
      <w:tr w14:paraId="6CC00499">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9474AD9">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BF964F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0D91BE3">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0771-3528688</w:t>
            </w:r>
          </w:p>
        </w:tc>
      </w:tr>
      <w:tr w14:paraId="49B43529">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4E137699">
            <w:pPr>
              <w:widowControl/>
              <w:jc w:val="left"/>
              <w:textAlignment w:val="center"/>
              <w:rPr>
                <w:rFonts w:hint="eastAsia" w:ascii="宋体" w:hAnsi="宋体" w:cs="宋体"/>
                <w:color w:val="auto"/>
                <w:szCs w:val="21"/>
                <w:highlight w:val="none"/>
              </w:rPr>
            </w:pPr>
            <w:r>
              <w:rPr>
                <w:rFonts w:hint="eastAsia" w:ascii="宋体" w:hAnsi="宋体" w:cs="宋体"/>
                <w:b/>
                <w:bCs/>
                <w:color w:val="auto"/>
                <w:szCs w:val="21"/>
                <w:highlight w:val="none"/>
              </w:rPr>
              <w:t>凭祥市</w:t>
            </w:r>
          </w:p>
        </w:tc>
      </w:tr>
      <w:tr w14:paraId="6809F824">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836368">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8936A75">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4764D0">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0771-8529259</w:t>
            </w:r>
          </w:p>
        </w:tc>
      </w:tr>
      <w:tr w14:paraId="20F702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576B2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C33A22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59C59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0771-7917258</w:t>
            </w:r>
          </w:p>
        </w:tc>
      </w:tr>
      <w:tr w14:paraId="4FEB15A3">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74DF331">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4FA778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522B9">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0771-8525068</w:t>
            </w:r>
            <w:r>
              <w:rPr>
                <w:rFonts w:hint="eastAsia" w:cs="宋体"/>
                <w:color w:val="auto"/>
                <w:szCs w:val="21"/>
                <w:highlight w:val="none"/>
              </w:rPr>
              <w:t xml:space="preserve"> </w:t>
            </w:r>
            <w:r>
              <w:rPr>
                <w:rFonts w:hint="eastAsia" w:ascii="宋体" w:hAnsi="宋体" w:cs="宋体"/>
                <w:color w:val="auto"/>
                <w:szCs w:val="21"/>
                <w:highlight w:val="none"/>
              </w:rPr>
              <w:t>0771-8536852</w:t>
            </w:r>
          </w:p>
        </w:tc>
      </w:tr>
      <w:tr w14:paraId="7A040F0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4AD87F">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3E211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92398D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0771-8551161</w:t>
            </w:r>
          </w:p>
        </w:tc>
      </w:tr>
      <w:tr w14:paraId="07AB717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324584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87CD30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075D991">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0771-8561665</w:t>
            </w:r>
          </w:p>
        </w:tc>
      </w:tr>
      <w:tr w14:paraId="411E8A1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002E7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CA9042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C0A7266">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0771-8520356</w:t>
            </w:r>
          </w:p>
        </w:tc>
      </w:tr>
      <w:tr w14:paraId="7F35B36E">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5E6AB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08CFB5A">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97CAA8">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0771-8535667</w:t>
            </w:r>
          </w:p>
        </w:tc>
      </w:tr>
      <w:tr w14:paraId="41351876">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74E11B">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EAED853">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9B97A6E">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0771-8520550</w:t>
            </w:r>
          </w:p>
        </w:tc>
      </w:tr>
      <w:tr w14:paraId="177CFA49">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7EFFE">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2D7D97">
            <w:pPr>
              <w:widowControl/>
              <w:jc w:val="left"/>
              <w:textAlignment w:val="center"/>
              <w:rPr>
                <w:rFonts w:hint="eastAsia" w:ascii="宋体" w:hAnsi="宋体" w:cs="宋体"/>
                <w:color w:val="auto"/>
                <w:szCs w:val="21"/>
                <w:highlight w:val="none"/>
              </w:rPr>
            </w:pPr>
            <w:r>
              <w:rPr>
                <w:rFonts w:hint="eastAsia" w:ascii="宋体" w:hAnsi="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AC2375">
            <w:pPr>
              <w:widowControl/>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0771-8556667</w:t>
            </w:r>
          </w:p>
        </w:tc>
      </w:tr>
    </w:tbl>
    <w:p w14:paraId="3A30B300">
      <w:pPr>
        <w:pStyle w:val="32"/>
        <w:rPr>
          <w:color w:val="auto"/>
          <w:highlight w:val="none"/>
        </w:rPr>
      </w:pPr>
    </w:p>
    <w:p w14:paraId="21B57059">
      <w:pPr>
        <w:pStyle w:val="31"/>
        <w:rPr>
          <w:color w:val="auto"/>
          <w:highlight w:val="none"/>
        </w:rPr>
      </w:pPr>
    </w:p>
    <w:p w14:paraId="3731CDD8">
      <w:pPr>
        <w:pStyle w:val="32"/>
        <w:rPr>
          <w:color w:val="auto"/>
          <w:highlight w:val="none"/>
        </w:rPr>
        <w:sectPr>
          <w:pgSz w:w="11906" w:h="16838"/>
          <w:pgMar w:top="1134" w:right="1134" w:bottom="1134" w:left="1417" w:header="851" w:footer="851" w:gutter="0"/>
          <w:cols w:space="720" w:num="1"/>
          <w:formProt w:val="1"/>
          <w:docGrid w:linePitch="312" w:charSpace="43007"/>
        </w:sectPr>
      </w:pPr>
    </w:p>
    <w:p w14:paraId="1F8E3BD4">
      <w:pPr>
        <w:pStyle w:val="32"/>
        <w:rPr>
          <w:color w:val="auto"/>
          <w:highlight w:val="none"/>
        </w:rPr>
      </w:pPr>
    </w:p>
    <w:p w14:paraId="57ACC120">
      <w:pPr>
        <w:pStyle w:val="31"/>
        <w:spacing w:line="360" w:lineRule="auto"/>
        <w:rPr>
          <w:rFonts w:ascii="宋体" w:hAnsi="宋体"/>
          <w:color w:val="auto"/>
          <w:szCs w:val="21"/>
          <w:highlight w:val="none"/>
        </w:rPr>
      </w:pPr>
    </w:p>
    <w:p w14:paraId="756B7F79">
      <w:pPr>
        <w:pStyle w:val="31"/>
        <w:spacing w:line="360" w:lineRule="auto"/>
        <w:rPr>
          <w:rFonts w:ascii="宋体" w:hAnsi="宋体"/>
          <w:b/>
          <w:color w:val="auto"/>
          <w:sz w:val="32"/>
          <w:szCs w:val="32"/>
          <w:highlight w:val="none"/>
        </w:rPr>
      </w:pPr>
    </w:p>
    <w:p w14:paraId="120CB791">
      <w:pPr>
        <w:pStyle w:val="31"/>
        <w:spacing w:line="360" w:lineRule="auto"/>
        <w:jc w:val="center"/>
        <w:outlineLvl w:val="0"/>
        <w:rPr>
          <w:rFonts w:ascii="宋体" w:hAnsi="宋体"/>
          <w:b/>
          <w:color w:val="auto"/>
          <w:sz w:val="32"/>
          <w:szCs w:val="32"/>
          <w:highlight w:val="none"/>
        </w:rPr>
      </w:pPr>
      <w:bookmarkStart w:id="45" w:name="_Toc17060"/>
      <w:r>
        <w:rPr>
          <w:rFonts w:ascii="宋体" w:hAnsi="宋体"/>
          <w:b/>
          <w:color w:val="auto"/>
          <w:sz w:val="32"/>
          <w:szCs w:val="32"/>
          <w:highlight w:val="none"/>
        </w:rPr>
        <w:t>第三章   技术规范</w:t>
      </w:r>
      <w:bookmarkEnd w:id="45"/>
    </w:p>
    <w:p w14:paraId="43D00C17">
      <w:pPr>
        <w:pStyle w:val="31"/>
        <w:spacing w:line="360" w:lineRule="auto"/>
        <w:jc w:val="center"/>
        <w:rPr>
          <w:rFonts w:ascii="宋体" w:hAnsi="宋体"/>
          <w:b/>
          <w:color w:val="auto"/>
          <w:sz w:val="32"/>
          <w:szCs w:val="32"/>
          <w:highlight w:val="none"/>
        </w:rPr>
      </w:pPr>
    </w:p>
    <w:p w14:paraId="1CEA3973">
      <w:pPr>
        <w:pStyle w:val="13"/>
        <w:spacing w:line="360" w:lineRule="auto"/>
        <w:ind w:right="92" w:rightChars="46" w:firstLine="550" w:firstLineChars="250"/>
        <w:rPr>
          <w:b/>
          <w:color w:val="auto"/>
          <w:sz w:val="21"/>
          <w:szCs w:val="21"/>
          <w:highlight w:val="none"/>
        </w:rPr>
      </w:pPr>
      <w:r>
        <w:rPr>
          <w:rFonts w:hint="eastAsia" w:ascii="宋体" w:hAnsi="宋体" w:cs="宋体"/>
          <w:color w:val="auto"/>
          <w:kern w:val="0"/>
          <w:sz w:val="22"/>
          <w:highlight w:val="none"/>
        </w:rPr>
        <w:t>本工程执行国家现行的</w:t>
      </w:r>
      <w:r>
        <w:rPr>
          <w:rFonts w:hint="eastAsia" w:ascii="宋体" w:hAnsi="宋体" w:cs="宋体"/>
          <w:color w:val="auto"/>
          <w:sz w:val="22"/>
          <w:szCs w:val="21"/>
          <w:highlight w:val="none"/>
        </w:rPr>
        <w:t>有关的工程建设标准、技术规范</w:t>
      </w:r>
      <w:r>
        <w:rPr>
          <w:rFonts w:hint="eastAsia" w:ascii="宋体" w:hAnsi="宋体" w:cs="宋体"/>
          <w:color w:val="auto"/>
          <w:sz w:val="22"/>
          <w:highlight w:val="none"/>
        </w:rPr>
        <w:t>及强制性标准条文、以及施工图纸载明的其他有关规范标</w:t>
      </w:r>
      <w:r>
        <w:rPr>
          <w:rFonts w:hint="eastAsia" w:ascii="宋体" w:hAnsi="宋体" w:cs="宋体"/>
          <w:color w:val="auto"/>
          <w:kern w:val="0"/>
          <w:sz w:val="22"/>
          <w:highlight w:val="none"/>
        </w:rPr>
        <w:t>准</w:t>
      </w:r>
      <w:r>
        <w:rPr>
          <w:rFonts w:hint="eastAsia"/>
          <w:b/>
          <w:color w:val="auto"/>
          <w:sz w:val="21"/>
          <w:szCs w:val="21"/>
          <w:highlight w:val="none"/>
        </w:rPr>
        <w:t>。</w:t>
      </w:r>
    </w:p>
    <w:p w14:paraId="471CFE5F">
      <w:pPr>
        <w:pStyle w:val="13"/>
        <w:spacing w:line="360" w:lineRule="auto"/>
        <w:jc w:val="center"/>
        <w:rPr>
          <w:b/>
          <w:color w:val="auto"/>
          <w:sz w:val="32"/>
          <w:szCs w:val="32"/>
          <w:highlight w:val="none"/>
        </w:rPr>
      </w:pPr>
    </w:p>
    <w:p w14:paraId="29C90B14">
      <w:pPr>
        <w:pStyle w:val="13"/>
        <w:spacing w:line="360" w:lineRule="auto"/>
        <w:jc w:val="center"/>
        <w:rPr>
          <w:b/>
          <w:color w:val="auto"/>
          <w:sz w:val="32"/>
          <w:szCs w:val="32"/>
          <w:highlight w:val="none"/>
        </w:rPr>
      </w:pPr>
    </w:p>
    <w:p w14:paraId="5BA0893D">
      <w:pPr>
        <w:pStyle w:val="13"/>
        <w:spacing w:line="360" w:lineRule="auto"/>
        <w:jc w:val="center"/>
        <w:rPr>
          <w:b/>
          <w:color w:val="auto"/>
          <w:sz w:val="32"/>
          <w:szCs w:val="32"/>
          <w:highlight w:val="none"/>
        </w:rPr>
      </w:pPr>
    </w:p>
    <w:p w14:paraId="4FF2E39A">
      <w:pPr>
        <w:pStyle w:val="13"/>
        <w:spacing w:line="360" w:lineRule="auto"/>
        <w:jc w:val="center"/>
        <w:rPr>
          <w:b/>
          <w:color w:val="auto"/>
          <w:sz w:val="32"/>
          <w:szCs w:val="32"/>
          <w:highlight w:val="none"/>
        </w:rPr>
      </w:pPr>
    </w:p>
    <w:p w14:paraId="1F2486B5">
      <w:pPr>
        <w:pStyle w:val="13"/>
        <w:spacing w:line="360" w:lineRule="auto"/>
        <w:rPr>
          <w:b/>
          <w:color w:val="auto"/>
          <w:sz w:val="32"/>
          <w:szCs w:val="32"/>
          <w:highlight w:val="none"/>
        </w:rPr>
      </w:pPr>
    </w:p>
    <w:p w14:paraId="4974AA9B">
      <w:pPr>
        <w:pStyle w:val="13"/>
        <w:spacing w:line="360" w:lineRule="auto"/>
        <w:jc w:val="center"/>
        <w:rPr>
          <w:b/>
          <w:color w:val="auto"/>
          <w:sz w:val="32"/>
          <w:szCs w:val="32"/>
          <w:highlight w:val="none"/>
        </w:rPr>
      </w:pPr>
    </w:p>
    <w:p w14:paraId="641868F7">
      <w:pPr>
        <w:pStyle w:val="13"/>
        <w:spacing w:line="360" w:lineRule="auto"/>
        <w:jc w:val="center"/>
        <w:rPr>
          <w:b/>
          <w:color w:val="auto"/>
          <w:sz w:val="32"/>
          <w:szCs w:val="32"/>
          <w:highlight w:val="none"/>
        </w:rPr>
      </w:pPr>
    </w:p>
    <w:p w14:paraId="4BC8D09D">
      <w:pPr>
        <w:pStyle w:val="13"/>
        <w:spacing w:line="360" w:lineRule="auto"/>
        <w:jc w:val="center"/>
        <w:rPr>
          <w:b/>
          <w:color w:val="auto"/>
          <w:sz w:val="32"/>
          <w:szCs w:val="32"/>
          <w:highlight w:val="none"/>
        </w:rPr>
      </w:pPr>
    </w:p>
    <w:p w14:paraId="57F5D2E1">
      <w:pPr>
        <w:pStyle w:val="13"/>
        <w:spacing w:line="360" w:lineRule="auto"/>
        <w:jc w:val="center"/>
        <w:rPr>
          <w:b/>
          <w:color w:val="auto"/>
          <w:sz w:val="32"/>
          <w:szCs w:val="32"/>
          <w:highlight w:val="none"/>
        </w:rPr>
      </w:pPr>
    </w:p>
    <w:p w14:paraId="7389FBCF">
      <w:pPr>
        <w:pStyle w:val="13"/>
        <w:spacing w:line="360" w:lineRule="auto"/>
        <w:jc w:val="center"/>
        <w:rPr>
          <w:b/>
          <w:color w:val="auto"/>
          <w:sz w:val="32"/>
          <w:szCs w:val="32"/>
          <w:highlight w:val="none"/>
        </w:rPr>
      </w:pPr>
    </w:p>
    <w:p w14:paraId="07A22E34">
      <w:pPr>
        <w:pStyle w:val="13"/>
        <w:spacing w:line="360" w:lineRule="auto"/>
        <w:jc w:val="center"/>
        <w:rPr>
          <w:b/>
          <w:color w:val="auto"/>
          <w:sz w:val="32"/>
          <w:szCs w:val="32"/>
          <w:highlight w:val="none"/>
        </w:rPr>
      </w:pPr>
    </w:p>
    <w:p w14:paraId="64576E59">
      <w:pPr>
        <w:pStyle w:val="13"/>
        <w:spacing w:line="360" w:lineRule="auto"/>
        <w:jc w:val="center"/>
        <w:rPr>
          <w:b/>
          <w:color w:val="auto"/>
          <w:sz w:val="32"/>
          <w:szCs w:val="32"/>
          <w:highlight w:val="none"/>
        </w:rPr>
      </w:pPr>
    </w:p>
    <w:p w14:paraId="4EE79EEF">
      <w:pPr>
        <w:pStyle w:val="13"/>
        <w:spacing w:line="360" w:lineRule="auto"/>
        <w:rPr>
          <w:b/>
          <w:color w:val="auto"/>
          <w:sz w:val="32"/>
          <w:szCs w:val="32"/>
          <w:highlight w:val="none"/>
        </w:rPr>
      </w:pPr>
    </w:p>
    <w:p w14:paraId="7181FEB5">
      <w:pPr>
        <w:pStyle w:val="31"/>
        <w:rPr>
          <w:b/>
          <w:color w:val="auto"/>
          <w:sz w:val="32"/>
          <w:szCs w:val="32"/>
          <w:highlight w:val="none"/>
        </w:rPr>
      </w:pPr>
    </w:p>
    <w:p w14:paraId="7B372C02">
      <w:pPr>
        <w:pStyle w:val="32"/>
        <w:rPr>
          <w:color w:val="auto"/>
          <w:sz w:val="32"/>
          <w:szCs w:val="32"/>
          <w:highlight w:val="none"/>
        </w:rPr>
      </w:pPr>
    </w:p>
    <w:p w14:paraId="483A4F58">
      <w:pPr>
        <w:pStyle w:val="31"/>
        <w:rPr>
          <w:b/>
          <w:color w:val="auto"/>
          <w:sz w:val="32"/>
          <w:szCs w:val="32"/>
          <w:highlight w:val="none"/>
        </w:rPr>
      </w:pPr>
    </w:p>
    <w:p w14:paraId="18DB0365">
      <w:pPr>
        <w:pStyle w:val="31"/>
        <w:rPr>
          <w:b/>
          <w:color w:val="auto"/>
          <w:sz w:val="32"/>
          <w:szCs w:val="32"/>
          <w:highlight w:val="none"/>
        </w:rPr>
      </w:pPr>
    </w:p>
    <w:p w14:paraId="3A5A761F">
      <w:pPr>
        <w:pStyle w:val="32"/>
        <w:rPr>
          <w:color w:val="auto"/>
          <w:highlight w:val="none"/>
        </w:rPr>
      </w:pPr>
    </w:p>
    <w:p w14:paraId="14657B80">
      <w:pPr>
        <w:pStyle w:val="31"/>
        <w:rPr>
          <w:color w:val="auto"/>
          <w:highlight w:val="none"/>
        </w:rPr>
      </w:pPr>
    </w:p>
    <w:p w14:paraId="11FA16B9">
      <w:pPr>
        <w:pStyle w:val="13"/>
        <w:spacing w:line="360" w:lineRule="auto"/>
        <w:jc w:val="center"/>
        <w:rPr>
          <w:b/>
          <w:color w:val="auto"/>
          <w:sz w:val="32"/>
          <w:szCs w:val="32"/>
          <w:highlight w:val="none"/>
        </w:rPr>
      </w:pPr>
    </w:p>
    <w:p w14:paraId="290A8C66">
      <w:pPr>
        <w:pStyle w:val="13"/>
        <w:spacing w:line="360" w:lineRule="auto"/>
        <w:jc w:val="center"/>
        <w:outlineLvl w:val="0"/>
        <w:rPr>
          <w:b/>
          <w:color w:val="auto"/>
          <w:sz w:val="32"/>
          <w:szCs w:val="32"/>
          <w:highlight w:val="none"/>
        </w:rPr>
      </w:pPr>
      <w:bookmarkStart w:id="46" w:name="_Toc26040"/>
      <w:r>
        <w:rPr>
          <w:b/>
          <w:color w:val="auto"/>
          <w:sz w:val="32"/>
          <w:szCs w:val="32"/>
          <w:highlight w:val="none"/>
        </w:rPr>
        <w:t>第四章  响应文件格式</w:t>
      </w:r>
      <w:bookmarkEnd w:id="46"/>
    </w:p>
    <w:p w14:paraId="4D339E35">
      <w:pPr>
        <w:pStyle w:val="13"/>
        <w:spacing w:line="360" w:lineRule="auto"/>
        <w:jc w:val="center"/>
        <w:rPr>
          <w:b/>
          <w:color w:val="auto"/>
          <w:sz w:val="32"/>
          <w:szCs w:val="32"/>
          <w:highlight w:val="none"/>
        </w:rPr>
      </w:pPr>
    </w:p>
    <w:p w14:paraId="62E12758">
      <w:pPr>
        <w:pStyle w:val="13"/>
        <w:spacing w:line="360" w:lineRule="auto"/>
        <w:jc w:val="center"/>
        <w:rPr>
          <w:b/>
          <w:color w:val="auto"/>
          <w:sz w:val="32"/>
          <w:szCs w:val="32"/>
          <w:highlight w:val="none"/>
        </w:rPr>
      </w:pPr>
    </w:p>
    <w:p w14:paraId="41643F9A">
      <w:pPr>
        <w:pStyle w:val="31"/>
        <w:rPr>
          <w:b/>
          <w:color w:val="auto"/>
          <w:sz w:val="32"/>
          <w:szCs w:val="32"/>
          <w:highlight w:val="none"/>
        </w:rPr>
      </w:pPr>
    </w:p>
    <w:p w14:paraId="01D119AE">
      <w:pPr>
        <w:pStyle w:val="32"/>
        <w:rPr>
          <w:color w:val="auto"/>
          <w:highlight w:val="none"/>
        </w:rPr>
      </w:pPr>
    </w:p>
    <w:p w14:paraId="7B452931">
      <w:pPr>
        <w:pStyle w:val="31"/>
        <w:spacing w:line="360" w:lineRule="auto"/>
        <w:ind w:left="481"/>
        <w:jc w:val="center"/>
        <w:rPr>
          <w:rFonts w:ascii="宋体" w:hAnsi="宋体"/>
          <w:b/>
          <w:color w:val="auto"/>
          <w:sz w:val="48"/>
          <w:szCs w:val="48"/>
          <w:highlight w:val="none"/>
        </w:rPr>
      </w:pPr>
      <w:r>
        <w:rPr>
          <w:rFonts w:hint="eastAsia" w:ascii="宋体" w:hAnsi="宋体"/>
          <w:b/>
          <w:color w:val="auto"/>
          <w:sz w:val="48"/>
          <w:szCs w:val="48"/>
          <w:highlight w:val="none"/>
          <w:lang w:eastAsia="zh-CN"/>
        </w:rPr>
        <w:t>电子</w:t>
      </w:r>
      <w:r>
        <w:rPr>
          <w:rFonts w:ascii="宋体" w:hAnsi="宋体"/>
          <w:b/>
          <w:color w:val="auto"/>
          <w:sz w:val="48"/>
          <w:szCs w:val="48"/>
          <w:highlight w:val="none"/>
        </w:rPr>
        <w:t>响应文件</w:t>
      </w:r>
    </w:p>
    <w:p w14:paraId="030AAA35">
      <w:pPr>
        <w:pStyle w:val="31"/>
        <w:spacing w:line="360" w:lineRule="auto"/>
        <w:ind w:left="431"/>
        <w:jc w:val="center"/>
        <w:rPr>
          <w:rFonts w:ascii="宋体" w:hAnsi="宋体"/>
          <w:b/>
          <w:color w:val="auto"/>
          <w:sz w:val="28"/>
          <w:szCs w:val="28"/>
          <w:highlight w:val="none"/>
        </w:rPr>
      </w:pPr>
      <w:r>
        <w:rPr>
          <w:rFonts w:ascii="宋体" w:hAnsi="宋体"/>
          <w:b/>
          <w:color w:val="auto"/>
          <w:sz w:val="28"/>
          <w:szCs w:val="28"/>
          <w:highlight w:val="none"/>
        </w:rPr>
        <w:t>（外包装封面）</w:t>
      </w:r>
    </w:p>
    <w:p w14:paraId="49C62D88">
      <w:pPr>
        <w:pStyle w:val="31"/>
        <w:spacing w:line="360" w:lineRule="auto"/>
        <w:ind w:left="413"/>
        <w:jc w:val="left"/>
        <w:rPr>
          <w:rFonts w:ascii="宋体" w:hAnsi="宋体"/>
          <w:color w:val="auto"/>
          <w:szCs w:val="21"/>
          <w:highlight w:val="none"/>
        </w:rPr>
      </w:pPr>
    </w:p>
    <w:p w14:paraId="7BE3E4F5">
      <w:pPr>
        <w:pStyle w:val="13"/>
        <w:spacing w:line="360" w:lineRule="auto"/>
        <w:jc w:val="center"/>
        <w:rPr>
          <w:rFonts w:ascii="方正隶书简体" w:hAnsi="方正隶书简体" w:eastAsia="方正隶书简体"/>
          <w:b/>
          <w:color w:val="auto"/>
          <w:sz w:val="30"/>
          <w:szCs w:val="30"/>
          <w:highlight w:val="none"/>
        </w:rPr>
      </w:pPr>
    </w:p>
    <w:p w14:paraId="6BEB7992">
      <w:pPr>
        <w:pStyle w:val="13"/>
        <w:spacing w:line="360" w:lineRule="auto"/>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项目名称：</w:t>
      </w:r>
    </w:p>
    <w:p w14:paraId="5C870FD1">
      <w:pPr>
        <w:pStyle w:val="13"/>
        <w:spacing w:line="360" w:lineRule="auto"/>
        <w:rPr>
          <w:rFonts w:ascii="Times New Roman" w:hAnsi="Times New Roman" w:eastAsia="方正隶书简体"/>
          <w:b/>
          <w:color w:val="auto"/>
          <w:sz w:val="30"/>
          <w:szCs w:val="30"/>
          <w:highlight w:val="none"/>
        </w:rPr>
      </w:pPr>
    </w:p>
    <w:p w14:paraId="39C40B81">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项目编号：</w:t>
      </w:r>
    </w:p>
    <w:p w14:paraId="3D368ECA">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供应商名称：</w:t>
      </w:r>
    </w:p>
    <w:p w14:paraId="42BC8B18">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法定代表人或授权委托代理人：</w:t>
      </w:r>
    </w:p>
    <w:p w14:paraId="757650F3">
      <w:pPr>
        <w:pStyle w:val="13"/>
        <w:spacing w:line="360" w:lineRule="auto"/>
        <w:rPr>
          <w:rFonts w:ascii="Times New Roman" w:hAnsi="Times New Roman" w:eastAsia="方正隶书简体"/>
          <w:b/>
          <w:color w:val="auto"/>
          <w:sz w:val="30"/>
          <w:szCs w:val="30"/>
          <w:highlight w:val="none"/>
        </w:rPr>
      </w:pPr>
      <w:r>
        <w:rPr>
          <w:rFonts w:ascii="方正隶书简体" w:hAnsi="方正隶书简体" w:eastAsia="方正隶书简体"/>
          <w:b/>
          <w:color w:val="auto"/>
          <w:sz w:val="30"/>
          <w:szCs w:val="30"/>
          <w:highlight w:val="none"/>
        </w:rPr>
        <w:t>供应商地址：</w:t>
      </w:r>
    </w:p>
    <w:p w14:paraId="0F1E48E9">
      <w:pPr>
        <w:pStyle w:val="13"/>
        <w:spacing w:line="360" w:lineRule="auto"/>
        <w:jc w:val="left"/>
        <w:rPr>
          <w:rFonts w:ascii="方正隶书简体" w:hAnsi="方正隶书简体" w:eastAsia="方正隶书简体"/>
          <w:b/>
          <w:color w:val="auto"/>
          <w:sz w:val="30"/>
          <w:szCs w:val="30"/>
          <w:highlight w:val="none"/>
        </w:rPr>
      </w:pPr>
      <w:r>
        <w:rPr>
          <w:rFonts w:ascii="方正隶书简体" w:hAnsi="方正隶书简体" w:eastAsia="方正隶书简体"/>
          <w:b/>
          <w:color w:val="auto"/>
          <w:sz w:val="30"/>
          <w:szCs w:val="30"/>
          <w:highlight w:val="none"/>
        </w:rPr>
        <w:t>开标时间以前不得开封</w:t>
      </w:r>
    </w:p>
    <w:p w14:paraId="1E4D408B">
      <w:pPr>
        <w:pStyle w:val="13"/>
        <w:spacing w:line="360" w:lineRule="auto"/>
        <w:rPr>
          <w:color w:val="auto"/>
          <w:szCs w:val="21"/>
          <w:highlight w:val="none"/>
        </w:rPr>
      </w:pPr>
    </w:p>
    <w:p w14:paraId="5CC24707">
      <w:pPr>
        <w:pStyle w:val="13"/>
        <w:spacing w:line="360" w:lineRule="auto"/>
        <w:rPr>
          <w:color w:val="auto"/>
          <w:szCs w:val="21"/>
          <w:highlight w:val="none"/>
        </w:rPr>
      </w:pPr>
    </w:p>
    <w:p w14:paraId="4348F44F">
      <w:pPr>
        <w:pStyle w:val="13"/>
        <w:spacing w:line="360" w:lineRule="auto"/>
        <w:rPr>
          <w:color w:val="auto"/>
          <w:szCs w:val="21"/>
          <w:highlight w:val="none"/>
        </w:rPr>
      </w:pPr>
    </w:p>
    <w:p w14:paraId="2464B9C2">
      <w:pPr>
        <w:pStyle w:val="13"/>
        <w:spacing w:line="360" w:lineRule="auto"/>
        <w:rPr>
          <w:color w:val="auto"/>
          <w:szCs w:val="21"/>
          <w:highlight w:val="none"/>
        </w:rPr>
      </w:pPr>
    </w:p>
    <w:p w14:paraId="0F87953A">
      <w:pPr>
        <w:pStyle w:val="13"/>
        <w:spacing w:line="360" w:lineRule="auto"/>
        <w:rPr>
          <w:color w:val="auto"/>
          <w:szCs w:val="21"/>
          <w:highlight w:val="none"/>
        </w:rPr>
      </w:pPr>
    </w:p>
    <w:p w14:paraId="6D12418C">
      <w:pPr>
        <w:pStyle w:val="13"/>
        <w:spacing w:line="360" w:lineRule="auto"/>
        <w:rPr>
          <w:color w:val="auto"/>
          <w:szCs w:val="21"/>
          <w:highlight w:val="none"/>
        </w:rPr>
      </w:pPr>
    </w:p>
    <w:p w14:paraId="433952BD">
      <w:pPr>
        <w:pStyle w:val="13"/>
        <w:spacing w:line="360" w:lineRule="auto"/>
        <w:rPr>
          <w:color w:val="auto"/>
          <w:szCs w:val="21"/>
          <w:highlight w:val="none"/>
        </w:rPr>
      </w:pPr>
    </w:p>
    <w:p w14:paraId="48C0CAFD">
      <w:pPr>
        <w:pStyle w:val="31"/>
        <w:spacing w:line="360" w:lineRule="auto"/>
        <w:ind w:left="481"/>
        <w:jc w:val="center"/>
        <w:rPr>
          <w:rFonts w:ascii="宋体" w:hAnsi="宋体"/>
          <w:b/>
          <w:color w:val="auto"/>
          <w:sz w:val="48"/>
          <w:szCs w:val="48"/>
          <w:highlight w:val="none"/>
        </w:rPr>
      </w:pPr>
    </w:p>
    <w:p w14:paraId="40841C3C">
      <w:pPr>
        <w:pStyle w:val="31"/>
        <w:spacing w:line="360" w:lineRule="auto"/>
        <w:rPr>
          <w:rFonts w:ascii="宋体" w:hAnsi="宋体"/>
          <w:b/>
          <w:color w:val="auto"/>
          <w:sz w:val="48"/>
          <w:szCs w:val="48"/>
          <w:highlight w:val="none"/>
        </w:rPr>
      </w:pPr>
    </w:p>
    <w:p w14:paraId="07CE666C">
      <w:pPr>
        <w:pStyle w:val="2"/>
        <w:spacing w:line="360" w:lineRule="auto"/>
        <w:jc w:val="center"/>
        <w:rPr>
          <w:rFonts w:hint="eastAsia" w:ascii="宋体" w:eastAsia="宋体" w:cs="宋体"/>
          <w:color w:val="auto"/>
          <w:sz w:val="36"/>
          <w:highlight w:val="none"/>
          <w:lang w:eastAsia="zh-CN"/>
        </w:rPr>
      </w:pPr>
      <w:r>
        <w:rPr>
          <w:rFonts w:hint="eastAsia" w:ascii="宋体" w:hAnsi="宋体" w:cs="宋体"/>
          <w:color w:val="auto"/>
          <w:sz w:val="36"/>
          <w:highlight w:val="none"/>
          <w:lang w:eastAsia="zh-CN"/>
        </w:rPr>
        <w:t>响应文件资格审查部分</w:t>
      </w:r>
    </w:p>
    <w:p w14:paraId="5D96BF1A">
      <w:pPr>
        <w:pStyle w:val="3"/>
        <w:spacing w:line="360" w:lineRule="auto"/>
        <w:jc w:val="center"/>
        <w:rPr>
          <w:rFonts w:ascii="宋体" w:hAnsi="宋体" w:eastAsia="宋体" w:cs="宋体"/>
          <w:color w:val="auto"/>
          <w:kern w:val="0"/>
          <w:highlight w:val="none"/>
        </w:rPr>
      </w:pPr>
      <w:bookmarkStart w:id="47" w:name="_Toc24704"/>
      <w:bookmarkStart w:id="48" w:name="_Toc29414"/>
      <w:bookmarkStart w:id="49" w:name="_Toc247292436"/>
      <w:bookmarkStart w:id="50" w:name="_Toc243630952"/>
      <w:bookmarkStart w:id="51" w:name="_Toc247301829"/>
      <w:bookmarkStart w:id="52" w:name="_Toc255977433"/>
      <w:bookmarkStart w:id="53" w:name="_Toc28199"/>
      <w:bookmarkStart w:id="54" w:name="_Toc243584342"/>
      <w:bookmarkStart w:id="55" w:name="_Toc18079"/>
      <w:bookmarkStart w:id="56" w:name="_Toc193089296"/>
      <w:r>
        <w:rPr>
          <w:rFonts w:hint="eastAsia" w:ascii="宋体" w:hAnsi="宋体" w:eastAsia="宋体" w:cs="宋体"/>
          <w:color w:val="auto"/>
          <w:kern w:val="0"/>
          <w:highlight w:val="none"/>
        </w:rPr>
        <w:t>封面格式</w:t>
      </w:r>
      <w:bookmarkEnd w:id="47"/>
      <w:bookmarkEnd w:id="48"/>
      <w:bookmarkEnd w:id="49"/>
      <w:bookmarkEnd w:id="50"/>
      <w:bookmarkEnd w:id="51"/>
      <w:bookmarkEnd w:id="52"/>
      <w:bookmarkEnd w:id="53"/>
      <w:bookmarkEnd w:id="54"/>
      <w:bookmarkEnd w:id="55"/>
      <w:bookmarkEnd w:id="56"/>
    </w:p>
    <w:tbl>
      <w:tblPr>
        <w:tblStyle w:val="23"/>
        <w:tblW w:w="92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04"/>
      </w:tblGrid>
      <w:tr w14:paraId="57ED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85" w:hRule="atLeast"/>
        </w:trPr>
        <w:tc>
          <w:tcPr>
            <w:tcW w:w="9204" w:type="dxa"/>
          </w:tcPr>
          <w:p w14:paraId="0F39D384">
            <w:pPr>
              <w:autoSpaceDE w:val="0"/>
              <w:autoSpaceDN w:val="0"/>
              <w:adjustRightInd w:val="0"/>
              <w:spacing w:line="360" w:lineRule="auto"/>
              <w:jc w:val="center"/>
              <w:outlineLvl w:val="0"/>
              <w:rPr>
                <w:rFonts w:ascii="宋体" w:cs="宋体"/>
                <w:b/>
                <w:color w:val="auto"/>
                <w:kern w:val="0"/>
                <w:sz w:val="40"/>
                <w:szCs w:val="21"/>
                <w:highlight w:val="none"/>
              </w:rPr>
            </w:pPr>
          </w:p>
          <w:p w14:paraId="7BC7B6A1">
            <w:pPr>
              <w:autoSpaceDE w:val="0"/>
              <w:autoSpaceDN w:val="0"/>
              <w:adjustRightInd w:val="0"/>
              <w:spacing w:line="360" w:lineRule="auto"/>
              <w:jc w:val="center"/>
              <w:outlineLvl w:val="0"/>
              <w:rPr>
                <w:rFonts w:hint="eastAsia" w:ascii="宋体" w:eastAsia="宋体" w:cs="宋体"/>
                <w:b/>
                <w:color w:val="auto"/>
                <w:kern w:val="0"/>
                <w:sz w:val="32"/>
                <w:szCs w:val="21"/>
                <w:highlight w:val="none"/>
                <w:lang w:eastAsia="zh-CN"/>
              </w:rPr>
            </w:pPr>
            <w:r>
              <w:rPr>
                <w:rFonts w:hint="eastAsia" w:ascii="宋体" w:cs="宋体"/>
                <w:b/>
                <w:color w:val="auto"/>
                <w:kern w:val="0"/>
                <w:sz w:val="40"/>
                <w:szCs w:val="21"/>
                <w:highlight w:val="none"/>
                <w:lang w:eastAsia="zh-CN"/>
              </w:rPr>
              <w:t>（项目名称）</w:t>
            </w:r>
          </w:p>
          <w:p w14:paraId="5CBA1441">
            <w:pPr>
              <w:autoSpaceDE w:val="0"/>
              <w:autoSpaceDN w:val="0"/>
              <w:adjustRightInd w:val="0"/>
              <w:spacing w:line="360" w:lineRule="auto"/>
              <w:jc w:val="center"/>
              <w:outlineLvl w:val="0"/>
              <w:rPr>
                <w:rFonts w:ascii="宋体" w:cs="宋体"/>
                <w:b/>
                <w:color w:val="auto"/>
                <w:kern w:val="0"/>
                <w:sz w:val="22"/>
                <w:szCs w:val="21"/>
                <w:highlight w:val="none"/>
              </w:rPr>
            </w:pPr>
          </w:p>
          <w:p w14:paraId="0ECBC44B">
            <w:pPr>
              <w:autoSpaceDE w:val="0"/>
              <w:autoSpaceDN w:val="0"/>
              <w:adjustRightInd w:val="0"/>
              <w:spacing w:line="360" w:lineRule="auto"/>
              <w:jc w:val="center"/>
              <w:outlineLvl w:val="0"/>
              <w:rPr>
                <w:rFonts w:ascii="宋体" w:cs="宋体"/>
                <w:color w:val="auto"/>
                <w:kern w:val="0"/>
                <w:sz w:val="22"/>
                <w:szCs w:val="21"/>
                <w:highlight w:val="none"/>
              </w:rPr>
            </w:pPr>
          </w:p>
          <w:p w14:paraId="2073E16A">
            <w:pPr>
              <w:pStyle w:val="28"/>
              <w:rPr>
                <w:color w:val="auto"/>
                <w:highlight w:val="none"/>
              </w:rPr>
            </w:pPr>
          </w:p>
          <w:p w14:paraId="44CB94E4">
            <w:pPr>
              <w:autoSpaceDE w:val="0"/>
              <w:autoSpaceDN w:val="0"/>
              <w:adjustRightInd w:val="0"/>
              <w:spacing w:line="360" w:lineRule="auto"/>
              <w:jc w:val="center"/>
              <w:outlineLvl w:val="0"/>
              <w:rPr>
                <w:rFonts w:ascii="宋体" w:cs="宋体"/>
                <w:b/>
                <w:color w:val="auto"/>
                <w:kern w:val="0"/>
                <w:sz w:val="56"/>
                <w:szCs w:val="21"/>
                <w:highlight w:val="none"/>
              </w:rPr>
            </w:pPr>
            <w:bookmarkStart w:id="57" w:name="_Toc243584345"/>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57"/>
          </w:p>
          <w:p w14:paraId="40965052">
            <w:pPr>
              <w:autoSpaceDE w:val="0"/>
              <w:autoSpaceDN w:val="0"/>
              <w:adjustRightInd w:val="0"/>
              <w:spacing w:line="360" w:lineRule="auto"/>
              <w:jc w:val="left"/>
              <w:rPr>
                <w:rFonts w:hint="eastAsia" w:ascii="宋体" w:eastAsia="宋体" w:cs="宋体"/>
                <w:color w:val="auto"/>
                <w:kern w:val="0"/>
                <w:sz w:val="22"/>
                <w:szCs w:val="21"/>
                <w:highlight w:val="none"/>
                <w:lang w:eastAsia="zh-CN"/>
              </w:rPr>
            </w:pPr>
            <w:r>
              <w:rPr>
                <w:rFonts w:hint="eastAsia" w:ascii="宋体" w:hAnsi="宋体" w:cs="宋体"/>
                <w:b/>
                <w:color w:val="auto"/>
                <w:kern w:val="0"/>
                <w:sz w:val="32"/>
                <w:szCs w:val="32"/>
                <w:highlight w:val="none"/>
                <w:lang w:val="en-US" w:eastAsia="zh-CN"/>
              </w:rPr>
              <w:t xml:space="preserve"> </w:t>
            </w:r>
          </w:p>
          <w:p w14:paraId="0E0AAFA7">
            <w:pPr>
              <w:autoSpaceDE w:val="0"/>
              <w:autoSpaceDN w:val="0"/>
              <w:adjustRightInd w:val="0"/>
              <w:spacing w:line="360" w:lineRule="auto"/>
              <w:jc w:val="left"/>
              <w:rPr>
                <w:rFonts w:ascii="宋体" w:cs="宋体"/>
                <w:color w:val="auto"/>
                <w:kern w:val="0"/>
                <w:sz w:val="22"/>
                <w:szCs w:val="21"/>
                <w:highlight w:val="none"/>
              </w:rPr>
            </w:pPr>
          </w:p>
          <w:p w14:paraId="414DAA7D">
            <w:pPr>
              <w:autoSpaceDE w:val="0"/>
              <w:autoSpaceDN w:val="0"/>
              <w:adjustRightInd w:val="0"/>
              <w:spacing w:line="360" w:lineRule="auto"/>
              <w:jc w:val="left"/>
              <w:rPr>
                <w:rFonts w:ascii="宋体" w:cs="宋体"/>
                <w:color w:val="auto"/>
                <w:kern w:val="0"/>
                <w:sz w:val="22"/>
                <w:szCs w:val="21"/>
                <w:highlight w:val="none"/>
              </w:rPr>
            </w:pPr>
          </w:p>
          <w:p w14:paraId="3C10D71A">
            <w:pPr>
              <w:autoSpaceDE w:val="0"/>
              <w:autoSpaceDN w:val="0"/>
              <w:adjustRightInd w:val="0"/>
              <w:spacing w:line="360" w:lineRule="auto"/>
              <w:rPr>
                <w:rFonts w:ascii="宋体" w:cs="宋体"/>
                <w:color w:val="auto"/>
                <w:kern w:val="0"/>
                <w:sz w:val="22"/>
                <w:szCs w:val="21"/>
                <w:highlight w:val="none"/>
              </w:rPr>
            </w:pPr>
          </w:p>
          <w:p w14:paraId="544FA6AE">
            <w:pPr>
              <w:autoSpaceDE w:val="0"/>
              <w:autoSpaceDN w:val="0"/>
              <w:adjustRightInd w:val="0"/>
              <w:spacing w:line="360" w:lineRule="auto"/>
              <w:outlineLvl w:val="0"/>
              <w:rPr>
                <w:rFonts w:ascii="宋体" w:cs="宋体"/>
                <w:color w:val="auto"/>
                <w:kern w:val="0"/>
                <w:sz w:val="22"/>
                <w:szCs w:val="21"/>
                <w:highlight w:val="none"/>
              </w:rPr>
            </w:pPr>
          </w:p>
          <w:p w14:paraId="5DE5208F">
            <w:pPr>
              <w:autoSpaceDE w:val="0"/>
              <w:autoSpaceDN w:val="0"/>
              <w:adjustRightInd w:val="0"/>
              <w:spacing w:line="360" w:lineRule="auto"/>
              <w:jc w:val="center"/>
              <w:outlineLvl w:val="0"/>
              <w:rPr>
                <w:rFonts w:ascii="宋体" w:cs="宋体"/>
                <w:color w:val="auto"/>
                <w:kern w:val="0"/>
                <w:sz w:val="22"/>
                <w:szCs w:val="21"/>
                <w:highlight w:val="none"/>
              </w:rPr>
            </w:pPr>
          </w:p>
          <w:p w14:paraId="30EC39B9">
            <w:pPr>
              <w:autoSpaceDE w:val="0"/>
              <w:autoSpaceDN w:val="0"/>
              <w:adjustRightInd w:val="0"/>
              <w:spacing w:line="360" w:lineRule="auto"/>
              <w:jc w:val="center"/>
              <w:outlineLvl w:val="0"/>
              <w:rPr>
                <w:rFonts w:ascii="宋体" w:cs="宋体"/>
                <w:color w:val="auto"/>
                <w:kern w:val="0"/>
                <w:sz w:val="22"/>
                <w:szCs w:val="21"/>
                <w:highlight w:val="none"/>
              </w:rPr>
            </w:pPr>
          </w:p>
          <w:p w14:paraId="700F9F98">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8" w:name="_Toc243584346"/>
            <w:r>
              <w:rPr>
                <w:rFonts w:hint="eastAsia" w:ascii="宋体" w:hAnsi="宋体" w:cs="宋体"/>
                <w:color w:val="auto"/>
                <w:kern w:val="0"/>
                <w:sz w:val="24"/>
                <w:szCs w:val="21"/>
                <w:highlight w:val="none"/>
              </w:rPr>
              <w:t>项目名称：</w:t>
            </w:r>
            <w:bookmarkEnd w:id="58"/>
          </w:p>
          <w:p w14:paraId="23F13318">
            <w:pPr>
              <w:autoSpaceDE w:val="0"/>
              <w:autoSpaceDN w:val="0"/>
              <w:adjustRightInd w:val="0"/>
              <w:spacing w:line="360" w:lineRule="auto"/>
              <w:ind w:firstLine="480" w:firstLineChars="200"/>
              <w:rPr>
                <w:rFonts w:hint="eastAsia" w:ascii="宋体" w:eastAsia="宋体" w:cs="宋体"/>
                <w:color w:val="auto"/>
                <w:kern w:val="0"/>
                <w:sz w:val="24"/>
                <w:szCs w:val="21"/>
                <w:highlight w:val="none"/>
                <w:lang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资格审查部分</w:t>
            </w:r>
          </w:p>
          <w:p w14:paraId="1EDC1DEA">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59" w:name="_Toc243584347"/>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59"/>
          </w:p>
          <w:p w14:paraId="0329D98E">
            <w:pPr>
              <w:autoSpaceDE w:val="0"/>
              <w:autoSpaceDN w:val="0"/>
              <w:adjustRightInd w:val="0"/>
              <w:spacing w:line="360" w:lineRule="auto"/>
              <w:ind w:firstLine="480" w:firstLineChars="200"/>
              <w:outlineLvl w:val="0"/>
              <w:rPr>
                <w:rFonts w:ascii="宋体" w:cs="宋体"/>
                <w:color w:val="auto"/>
                <w:kern w:val="0"/>
                <w:sz w:val="24"/>
                <w:szCs w:val="21"/>
                <w:highlight w:val="none"/>
              </w:rPr>
            </w:pPr>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p>
          <w:p w14:paraId="51D15533">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7F8CF762">
      <w:pPr>
        <w:pStyle w:val="31"/>
        <w:spacing w:line="360" w:lineRule="auto"/>
        <w:jc w:val="center"/>
        <w:rPr>
          <w:rFonts w:ascii="宋体" w:hAnsi="宋体"/>
          <w:b/>
          <w:color w:val="auto"/>
          <w:sz w:val="28"/>
          <w:szCs w:val="28"/>
          <w:highlight w:val="none"/>
        </w:rPr>
      </w:pPr>
    </w:p>
    <w:p w14:paraId="45A37DD5">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20E810F5">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2B5F7E2D">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崇</w:t>
      </w:r>
      <w:r>
        <w:rPr>
          <w:rFonts w:hint="eastAsia" w:ascii="宋体" w:hAnsi="宋体" w:cs="Times New Roman"/>
          <w:color w:val="auto"/>
          <w:szCs w:val="21"/>
          <w:highlight w:val="none"/>
          <w:lang w:eastAsia="zh-CN"/>
        </w:rPr>
        <w:t>左市政府采购供应商信用承诺函</w:t>
      </w:r>
      <w:r>
        <w:rPr>
          <w:rFonts w:ascii="宋体" w:hAnsi="宋体" w:cs="Times New Roman"/>
          <w:color w:val="auto"/>
          <w:szCs w:val="21"/>
          <w:highlight w:val="none"/>
        </w:rPr>
        <w:t>；</w:t>
      </w:r>
      <w:r>
        <w:rPr>
          <w:rFonts w:hint="eastAsia" w:ascii="宋体" w:hAnsi="宋体" w:cs="Times New Roman"/>
          <w:b/>
          <w:bCs/>
          <w:color w:val="auto"/>
          <w:szCs w:val="21"/>
          <w:highlight w:val="none"/>
        </w:rPr>
        <w:t>（</w:t>
      </w:r>
      <w:r>
        <w:rPr>
          <w:rFonts w:hint="eastAsia" w:ascii="宋体" w:hAnsi="宋体" w:cs="Times New Roman"/>
          <w:b/>
          <w:bCs/>
          <w:color w:val="auto"/>
          <w:szCs w:val="21"/>
          <w:highlight w:val="none"/>
          <w:lang w:eastAsia="zh-CN"/>
        </w:rPr>
        <w:t>格式</w:t>
      </w:r>
      <w:r>
        <w:rPr>
          <w:rFonts w:hint="eastAsia" w:asciiTheme="majorEastAsia" w:hAnsiTheme="majorEastAsia" w:eastAsiaTheme="majorEastAsia" w:cstheme="majorEastAsia"/>
          <w:b/>
          <w:bCs/>
          <w:color w:val="auto"/>
          <w:sz w:val="21"/>
          <w:szCs w:val="21"/>
          <w:highlight w:val="none"/>
          <w:lang w:eastAsia="zh-CN"/>
        </w:rPr>
        <w:t>后附，</w:t>
      </w:r>
      <w:r>
        <w:rPr>
          <w:rFonts w:hint="eastAsia" w:asciiTheme="majorEastAsia" w:hAnsiTheme="majorEastAsia" w:eastAsiaTheme="majorEastAsia" w:cstheme="majorEastAsia"/>
          <w:b/>
          <w:bCs/>
          <w:color w:val="auto"/>
          <w:sz w:val="21"/>
          <w:szCs w:val="21"/>
          <w:highlight w:val="none"/>
        </w:rPr>
        <w:t>必须提供，否则响应文件按无效响应处理）</w:t>
      </w:r>
    </w:p>
    <w:p w14:paraId="3DAB118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szCs w:val="21"/>
          <w:highlight w:val="none"/>
          <w:lang w:eastAsia="zh-CN"/>
        </w:rPr>
        <w:t>有效的资质证书副本复印件和有效的安全生产许可证副本复印件</w:t>
      </w:r>
      <w:r>
        <w:rPr>
          <w:rFonts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62F227B">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拟派项目经理的身份证复印件、注册建造师证和安全生产考核合格证书（B类）复印件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5E6FFB07">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投标人直接控股、管理关系信息表;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856E1D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b/>
          <w:bCs/>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eastAsia="宋体" w:cs="Times New Roman"/>
          <w:color w:val="auto"/>
          <w:szCs w:val="21"/>
          <w:highlight w:val="none"/>
          <w:lang w:eastAsia="zh-CN"/>
        </w:rPr>
        <w:t>中小企业声明函或《政府采购促进中小企业发展管理办法 财库〔2020〕46号》要求提供的证明文件（</w:t>
      </w:r>
      <w:r>
        <w:rPr>
          <w:rFonts w:hint="eastAsia" w:ascii="宋体" w:hAnsi="宋体"/>
          <w:b/>
          <w:bCs/>
          <w:color w:val="auto"/>
          <w:szCs w:val="21"/>
          <w:highlight w:val="none"/>
          <w:lang w:eastAsia="zh-CN"/>
        </w:rPr>
        <w:t>必须提供，否则竞标无效）</w:t>
      </w:r>
    </w:p>
    <w:p w14:paraId="71089F86">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）供应商认为有必要提供的声明及其他证明材料（如有，请提供）</w:t>
      </w:r>
      <w:r>
        <w:rPr>
          <w:rFonts w:ascii="宋体" w:hAnsi="宋体"/>
          <w:color w:val="auto"/>
          <w:szCs w:val="21"/>
          <w:highlight w:val="none"/>
        </w:rPr>
        <w:t>。</w:t>
      </w:r>
    </w:p>
    <w:p w14:paraId="30203D12">
      <w:pPr>
        <w:pStyle w:val="31"/>
        <w:spacing w:line="360" w:lineRule="auto"/>
        <w:rPr>
          <w:rFonts w:ascii="宋体" w:hAnsi="宋体"/>
          <w:b/>
          <w:color w:val="auto"/>
          <w:sz w:val="28"/>
          <w:szCs w:val="28"/>
          <w:highlight w:val="none"/>
        </w:rPr>
      </w:pPr>
    </w:p>
    <w:p w14:paraId="12190F63">
      <w:pPr>
        <w:pStyle w:val="31"/>
        <w:spacing w:line="360" w:lineRule="auto"/>
        <w:rPr>
          <w:rFonts w:ascii="宋体" w:hAnsi="宋体"/>
          <w:b/>
          <w:color w:val="auto"/>
          <w:sz w:val="28"/>
          <w:szCs w:val="28"/>
          <w:highlight w:val="none"/>
        </w:rPr>
      </w:pPr>
    </w:p>
    <w:p w14:paraId="228A2899">
      <w:pPr>
        <w:pStyle w:val="32"/>
        <w:rPr>
          <w:rFonts w:ascii="宋体" w:hAnsi="宋体"/>
          <w:b/>
          <w:color w:val="auto"/>
          <w:sz w:val="28"/>
          <w:szCs w:val="28"/>
          <w:highlight w:val="none"/>
        </w:rPr>
      </w:pPr>
    </w:p>
    <w:p w14:paraId="08411074">
      <w:pPr>
        <w:pStyle w:val="31"/>
        <w:rPr>
          <w:rFonts w:ascii="宋体" w:hAnsi="宋体"/>
          <w:b/>
          <w:color w:val="auto"/>
          <w:sz w:val="28"/>
          <w:szCs w:val="28"/>
          <w:highlight w:val="none"/>
        </w:rPr>
      </w:pPr>
    </w:p>
    <w:p w14:paraId="1A76A6B0">
      <w:pPr>
        <w:pStyle w:val="32"/>
        <w:rPr>
          <w:rFonts w:ascii="宋体" w:hAnsi="宋体"/>
          <w:b/>
          <w:color w:val="auto"/>
          <w:sz w:val="28"/>
          <w:szCs w:val="28"/>
          <w:highlight w:val="none"/>
        </w:rPr>
      </w:pPr>
    </w:p>
    <w:p w14:paraId="3970CDEC">
      <w:pPr>
        <w:pStyle w:val="31"/>
        <w:rPr>
          <w:rFonts w:ascii="宋体" w:hAnsi="宋体"/>
          <w:b/>
          <w:color w:val="auto"/>
          <w:sz w:val="28"/>
          <w:szCs w:val="28"/>
          <w:highlight w:val="none"/>
        </w:rPr>
      </w:pPr>
    </w:p>
    <w:p w14:paraId="49931499">
      <w:pPr>
        <w:pStyle w:val="32"/>
        <w:rPr>
          <w:rFonts w:ascii="宋体" w:hAnsi="宋体"/>
          <w:b/>
          <w:color w:val="auto"/>
          <w:sz w:val="28"/>
          <w:szCs w:val="28"/>
          <w:highlight w:val="none"/>
        </w:rPr>
      </w:pPr>
    </w:p>
    <w:p w14:paraId="6C6DC003">
      <w:pPr>
        <w:pStyle w:val="31"/>
        <w:rPr>
          <w:rFonts w:ascii="宋体" w:hAnsi="宋体"/>
          <w:b/>
          <w:color w:val="auto"/>
          <w:sz w:val="28"/>
          <w:szCs w:val="28"/>
          <w:highlight w:val="none"/>
        </w:rPr>
      </w:pPr>
    </w:p>
    <w:p w14:paraId="1C954C27">
      <w:pPr>
        <w:pStyle w:val="32"/>
        <w:rPr>
          <w:rFonts w:ascii="宋体" w:hAnsi="宋体"/>
          <w:b/>
          <w:color w:val="auto"/>
          <w:sz w:val="28"/>
          <w:szCs w:val="28"/>
          <w:highlight w:val="none"/>
        </w:rPr>
      </w:pPr>
    </w:p>
    <w:p w14:paraId="05FA51A4">
      <w:pPr>
        <w:pStyle w:val="31"/>
        <w:rPr>
          <w:rFonts w:ascii="宋体" w:hAnsi="宋体"/>
          <w:b/>
          <w:color w:val="auto"/>
          <w:sz w:val="28"/>
          <w:szCs w:val="28"/>
          <w:highlight w:val="none"/>
        </w:rPr>
      </w:pPr>
    </w:p>
    <w:p w14:paraId="0A8110AA">
      <w:pPr>
        <w:pStyle w:val="32"/>
        <w:rPr>
          <w:rFonts w:ascii="宋体" w:hAnsi="宋体"/>
          <w:b/>
          <w:color w:val="auto"/>
          <w:sz w:val="28"/>
          <w:szCs w:val="28"/>
          <w:highlight w:val="none"/>
        </w:rPr>
      </w:pPr>
    </w:p>
    <w:p w14:paraId="03BE977E">
      <w:pPr>
        <w:pStyle w:val="31"/>
        <w:rPr>
          <w:rFonts w:ascii="宋体" w:hAnsi="宋体"/>
          <w:b/>
          <w:color w:val="auto"/>
          <w:sz w:val="28"/>
          <w:szCs w:val="28"/>
          <w:highlight w:val="none"/>
        </w:rPr>
      </w:pPr>
    </w:p>
    <w:p w14:paraId="3EF535FC">
      <w:pPr>
        <w:pStyle w:val="32"/>
        <w:rPr>
          <w:rFonts w:ascii="宋体" w:hAnsi="宋体"/>
          <w:b/>
          <w:color w:val="auto"/>
          <w:sz w:val="28"/>
          <w:szCs w:val="28"/>
          <w:highlight w:val="none"/>
        </w:rPr>
      </w:pPr>
    </w:p>
    <w:p w14:paraId="49932611">
      <w:pPr>
        <w:pStyle w:val="31"/>
        <w:rPr>
          <w:rFonts w:ascii="宋体" w:hAnsi="宋体"/>
          <w:b/>
          <w:color w:val="auto"/>
          <w:sz w:val="28"/>
          <w:szCs w:val="28"/>
          <w:highlight w:val="none"/>
        </w:rPr>
      </w:pPr>
    </w:p>
    <w:p w14:paraId="52AFADA7">
      <w:pPr>
        <w:pStyle w:val="32"/>
        <w:rPr>
          <w:rFonts w:ascii="宋体" w:hAnsi="宋体"/>
          <w:b/>
          <w:color w:val="auto"/>
          <w:sz w:val="28"/>
          <w:szCs w:val="28"/>
          <w:highlight w:val="none"/>
        </w:rPr>
      </w:pPr>
    </w:p>
    <w:p w14:paraId="7500054B">
      <w:pPr>
        <w:pStyle w:val="31"/>
        <w:rPr>
          <w:rFonts w:ascii="宋体" w:hAnsi="宋体"/>
          <w:b/>
          <w:color w:val="auto"/>
          <w:sz w:val="28"/>
          <w:szCs w:val="28"/>
          <w:highlight w:val="none"/>
        </w:rPr>
      </w:pPr>
    </w:p>
    <w:p w14:paraId="28AB56B3">
      <w:pPr>
        <w:pStyle w:val="32"/>
        <w:rPr>
          <w:rFonts w:ascii="宋体" w:hAnsi="宋体"/>
          <w:b/>
          <w:color w:val="auto"/>
          <w:sz w:val="28"/>
          <w:szCs w:val="28"/>
          <w:highlight w:val="none"/>
        </w:rPr>
      </w:pPr>
    </w:p>
    <w:p w14:paraId="62C41317">
      <w:pPr>
        <w:pStyle w:val="31"/>
        <w:rPr>
          <w:rFonts w:ascii="宋体" w:hAnsi="宋体"/>
          <w:b/>
          <w:color w:val="auto"/>
          <w:sz w:val="28"/>
          <w:szCs w:val="28"/>
          <w:highlight w:val="none"/>
        </w:rPr>
      </w:pPr>
    </w:p>
    <w:p w14:paraId="0DB544F2">
      <w:pPr>
        <w:pStyle w:val="32"/>
        <w:rPr>
          <w:rFonts w:ascii="宋体" w:hAnsi="宋体"/>
          <w:b/>
          <w:color w:val="auto"/>
          <w:sz w:val="28"/>
          <w:szCs w:val="28"/>
          <w:highlight w:val="none"/>
        </w:rPr>
      </w:pPr>
    </w:p>
    <w:p w14:paraId="08B5D4EB">
      <w:pPr>
        <w:pStyle w:val="31"/>
        <w:rPr>
          <w:rFonts w:ascii="宋体" w:hAnsi="宋体"/>
          <w:b/>
          <w:color w:val="auto"/>
          <w:sz w:val="28"/>
          <w:szCs w:val="28"/>
          <w:highlight w:val="none"/>
        </w:rPr>
      </w:pPr>
    </w:p>
    <w:p w14:paraId="1B50D6F0">
      <w:pPr>
        <w:pStyle w:val="32"/>
        <w:rPr>
          <w:color w:val="auto"/>
          <w:highlight w:val="none"/>
        </w:rPr>
      </w:pPr>
    </w:p>
    <w:p w14:paraId="36739A3B">
      <w:pPr>
        <w:pStyle w:val="32"/>
        <w:rPr>
          <w:rFonts w:ascii="宋体" w:hAnsi="宋体"/>
          <w:b/>
          <w:color w:val="auto"/>
          <w:sz w:val="28"/>
          <w:szCs w:val="28"/>
          <w:highlight w:val="none"/>
        </w:rPr>
      </w:pPr>
    </w:p>
    <w:p w14:paraId="14EB9256">
      <w:pPr>
        <w:pStyle w:val="31"/>
        <w:rPr>
          <w:rFonts w:ascii="宋体" w:hAnsi="宋体"/>
          <w:b/>
          <w:color w:val="auto"/>
          <w:sz w:val="28"/>
          <w:szCs w:val="28"/>
          <w:highlight w:val="none"/>
        </w:rPr>
      </w:pPr>
    </w:p>
    <w:p w14:paraId="4711FC4B">
      <w:pPr>
        <w:pStyle w:val="32"/>
        <w:rPr>
          <w:color w:val="auto"/>
          <w:highlight w:val="none"/>
        </w:rPr>
      </w:pPr>
    </w:p>
    <w:p w14:paraId="08CE5F34">
      <w:pPr>
        <w:pStyle w:val="31"/>
        <w:spacing w:line="360" w:lineRule="auto"/>
        <w:rPr>
          <w:rFonts w:hint="eastAsia" w:ascii="宋体" w:hAnsi="宋体" w:eastAsia="宋体" w:cs="Times New Roman"/>
          <w:b/>
          <w:color w:val="auto"/>
          <w:spacing w:val="0"/>
          <w:kern w:val="2"/>
          <w:sz w:val="24"/>
          <w:szCs w:val="24"/>
          <w:highlight w:val="none"/>
          <w:lang w:val="en-US" w:eastAsia="zh-CN" w:bidi="ar-SA"/>
        </w:rPr>
      </w:pPr>
      <w:r>
        <w:rPr>
          <w:rFonts w:hint="eastAsia" w:ascii="宋体" w:hAnsi="宋体" w:cs="Times New Roman"/>
          <w:b/>
          <w:color w:val="auto"/>
          <w:spacing w:val="0"/>
          <w:kern w:val="2"/>
          <w:sz w:val="24"/>
          <w:szCs w:val="24"/>
          <w:highlight w:val="none"/>
          <w:lang w:val="en-US" w:eastAsia="zh-CN" w:bidi="ar-SA"/>
        </w:rPr>
        <w:t>1</w:t>
      </w:r>
      <w:r>
        <w:rPr>
          <w:rFonts w:hint="eastAsia" w:ascii="宋体" w:hAnsi="宋体" w:eastAsia="宋体" w:cs="Times New Roman"/>
          <w:b/>
          <w:color w:val="auto"/>
          <w:spacing w:val="0"/>
          <w:kern w:val="2"/>
          <w:sz w:val="24"/>
          <w:szCs w:val="24"/>
          <w:highlight w:val="none"/>
          <w:lang w:val="en-US" w:eastAsia="zh-CN" w:bidi="ar-SA"/>
        </w:rPr>
        <w:t>、崇左市政府采购供应商信用承诺函；</w:t>
      </w:r>
    </w:p>
    <w:p w14:paraId="6214EA1C">
      <w:pPr>
        <w:keepNext w:val="0"/>
        <w:keepLines w:val="0"/>
        <w:pageBreakBefore w:val="0"/>
        <w:widowControl/>
        <w:suppressLineNumbers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auto"/>
          <w:sz w:val="22"/>
          <w:szCs w:val="22"/>
          <w:highlight w:val="none"/>
          <w:u w:val="single"/>
          <w:lang w:val="en-US" w:eastAsia="zh-CN"/>
        </w:rPr>
      </w:pPr>
      <w:r>
        <w:rPr>
          <w:rFonts w:hint="eastAsia" w:ascii="宋体" w:hAnsi="宋体" w:eastAsia="宋体" w:cs="宋体"/>
          <w:color w:val="auto"/>
          <w:kern w:val="0"/>
          <w:sz w:val="22"/>
          <w:szCs w:val="22"/>
          <w:highlight w:val="none"/>
          <w:lang w:val="en-US" w:eastAsia="zh-CN" w:bidi="ar"/>
        </w:rPr>
        <w:t>致</w:t>
      </w:r>
      <w:r>
        <w:rPr>
          <w:rFonts w:hint="eastAsia" w:ascii="宋体" w:hAnsi="宋体" w:eastAsia="宋体" w:cs="宋体"/>
          <w:color w:val="auto"/>
          <w:kern w:val="0"/>
          <w:sz w:val="22"/>
          <w:szCs w:val="22"/>
          <w:highlight w:val="none"/>
          <w:u w:val="single"/>
          <w:lang w:val="en-US" w:eastAsia="zh-CN" w:bidi="ar"/>
        </w:rPr>
        <w:t>（采购代理机构名称）</w:t>
      </w:r>
      <w:r>
        <w:rPr>
          <w:rFonts w:hint="eastAsia" w:ascii="宋体" w:hAnsi="宋体" w:eastAsia="宋体" w:cs="宋体"/>
          <w:color w:val="auto"/>
          <w:kern w:val="0"/>
          <w:sz w:val="22"/>
          <w:szCs w:val="22"/>
          <w:highlight w:val="none"/>
          <w:u w:val="none"/>
          <w:lang w:val="en-US" w:eastAsia="zh-CN" w:bidi="ar"/>
        </w:rPr>
        <w:t>:</w:t>
      </w:r>
    </w:p>
    <w:p w14:paraId="533BB9C4">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pacing w:val="-6"/>
          <w:sz w:val="22"/>
          <w:szCs w:val="22"/>
          <w:highlight w:val="none"/>
        </w:rPr>
      </w:pPr>
      <w:r>
        <w:rPr>
          <w:rFonts w:hint="eastAsia" w:ascii="宋体" w:hAnsi="宋体" w:eastAsia="宋体" w:cs="宋体"/>
          <w:color w:val="auto"/>
          <w:kern w:val="0"/>
          <w:sz w:val="22"/>
          <w:szCs w:val="22"/>
          <w:highlight w:val="none"/>
          <w:lang w:val="en-US" w:eastAsia="zh-CN" w:bidi="ar"/>
        </w:rPr>
        <w:t>我方自愿参加</w:t>
      </w:r>
      <w:r>
        <w:rPr>
          <w:rFonts w:hint="eastAsia" w:ascii="宋体" w:hAnsi="宋体" w:eastAsia="宋体" w:cs="宋体"/>
          <w:color w:val="auto"/>
          <w:kern w:val="0"/>
          <w:sz w:val="22"/>
          <w:szCs w:val="22"/>
          <w:highlight w:val="none"/>
          <w:u w:val="single"/>
          <w:lang w:val="en-US" w:eastAsia="zh-CN" w:bidi="ar"/>
        </w:rPr>
        <w:t xml:space="preserve"> （项目名称） 项目（项目编号：         ）</w:t>
      </w:r>
      <w:r>
        <w:rPr>
          <w:rFonts w:hint="eastAsia" w:ascii="宋体" w:hAnsi="宋体" w:eastAsia="宋体" w:cs="宋体"/>
          <w:color w:val="auto"/>
          <w:kern w:val="0"/>
          <w:sz w:val="22"/>
          <w:szCs w:val="22"/>
          <w:highlight w:val="none"/>
          <w:lang w:val="en-US" w:eastAsia="zh-CN" w:bidi="ar"/>
        </w:rPr>
        <w:t>的政府采购活动，严格遵守《中华人民共和国政府采购法》及相关法律法规，依法诚信经营，无条件遵守本次政府采购活动的各项规定，并郑重承诺</w:t>
      </w:r>
      <w:r>
        <w:rPr>
          <w:rFonts w:hint="eastAsia" w:ascii="宋体" w:hAnsi="宋体" w:eastAsia="宋体" w:cs="宋体"/>
          <w:color w:val="auto"/>
          <w:spacing w:val="-6"/>
          <w:kern w:val="0"/>
          <w:sz w:val="22"/>
          <w:szCs w:val="22"/>
          <w:highlight w:val="none"/>
          <w:lang w:val="en-US" w:eastAsia="zh-CN" w:bidi="ar"/>
        </w:rPr>
        <w:t xml:space="preserve">： </w:t>
      </w:r>
    </w:p>
    <w:p w14:paraId="44FE9AA0">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1.我方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w:t>
      </w:r>
    </w:p>
    <w:p w14:paraId="0D24B66E">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2.我方具有符合采购文件资格要求的财务状况报告。 </w:t>
      </w:r>
    </w:p>
    <w:p w14:paraId="5D4F0758">
      <w:pPr>
        <w:keepNext w:val="0"/>
        <w:keepLines w:val="0"/>
        <w:pageBreakBefore w:val="0"/>
        <w:widowControl/>
        <w:suppressLineNumbers w:val="0"/>
        <w:kinsoku/>
        <w:wordWrap/>
        <w:overflowPunct/>
        <w:topLinePunct w:val="0"/>
        <w:autoSpaceDE/>
        <w:autoSpaceDN/>
        <w:bidi w:val="0"/>
        <w:adjustRightInd/>
        <w:snapToGrid/>
        <w:spacing w:line="440" w:lineRule="exact"/>
        <w:ind w:firstLine="416" w:firstLineChars="200"/>
        <w:jc w:val="both"/>
        <w:textAlignment w:val="auto"/>
        <w:rPr>
          <w:rFonts w:hint="eastAsia" w:ascii="宋体" w:hAnsi="宋体" w:eastAsia="宋体" w:cs="宋体"/>
          <w:color w:val="auto"/>
          <w:spacing w:val="-17"/>
          <w:sz w:val="22"/>
          <w:szCs w:val="22"/>
          <w:highlight w:val="none"/>
        </w:rPr>
      </w:pPr>
      <w:r>
        <w:rPr>
          <w:rFonts w:hint="eastAsia" w:ascii="宋体" w:hAnsi="宋体" w:eastAsia="宋体" w:cs="宋体"/>
          <w:color w:val="auto"/>
          <w:spacing w:val="-6"/>
          <w:kern w:val="0"/>
          <w:sz w:val="22"/>
          <w:szCs w:val="22"/>
          <w:highlight w:val="none"/>
          <w:lang w:val="en-US" w:eastAsia="zh-CN" w:bidi="ar"/>
        </w:rPr>
        <w:t>3.我方具有符合采购文件资格要求的依法缴纳税收和社会保障资金的良好记录。</w:t>
      </w:r>
      <w:r>
        <w:rPr>
          <w:rFonts w:hint="eastAsia" w:ascii="宋体" w:hAnsi="宋体" w:eastAsia="宋体" w:cs="宋体"/>
          <w:color w:val="auto"/>
          <w:spacing w:val="-17"/>
          <w:kern w:val="0"/>
          <w:sz w:val="22"/>
          <w:szCs w:val="22"/>
          <w:highlight w:val="none"/>
          <w:lang w:val="en-US" w:eastAsia="zh-CN" w:bidi="ar"/>
        </w:rPr>
        <w:t xml:space="preserve"> </w:t>
      </w:r>
    </w:p>
    <w:p w14:paraId="549EEFB6">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4.我方具有符合采购文件资格要求履行合同所必需的设备和专业技术能力。 </w:t>
      </w:r>
    </w:p>
    <w:p w14:paraId="69BD650D">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5.我方参加政府采购活动前3年内在经营活动中没有重大违法记录。 </w:t>
      </w:r>
    </w:p>
    <w:p w14:paraId="6D3F027B">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我方对以上承诺内容的真实性负责。如有虚假，将依法承担相应责任。</w:t>
      </w:r>
    </w:p>
    <w:p w14:paraId="08165EFA">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466DFAC2">
      <w:pPr>
        <w:keepNext w:val="0"/>
        <w:keepLines w:val="0"/>
        <w:pageBreakBefore w:val="0"/>
        <w:widowControl/>
        <w:suppressLineNumbers w:val="0"/>
        <w:kinsoku/>
        <w:wordWrap/>
        <w:overflowPunct/>
        <w:topLinePunct w:val="0"/>
        <w:autoSpaceDE/>
        <w:autoSpaceDN/>
        <w:bidi w:val="0"/>
        <w:adjustRightInd/>
        <w:snapToGrid/>
        <w:spacing w:line="440" w:lineRule="exact"/>
        <w:ind w:firstLine="440" w:firstLineChars="200"/>
        <w:jc w:val="both"/>
        <w:textAlignment w:val="auto"/>
        <w:rPr>
          <w:rFonts w:hint="eastAsia" w:ascii="宋体" w:hAnsi="宋体" w:eastAsia="宋体" w:cs="宋体"/>
          <w:color w:val="auto"/>
          <w:kern w:val="0"/>
          <w:sz w:val="22"/>
          <w:szCs w:val="22"/>
          <w:highlight w:val="none"/>
          <w:lang w:val="en-US" w:eastAsia="zh-CN" w:bidi="ar"/>
        </w:rPr>
      </w:pPr>
    </w:p>
    <w:p w14:paraId="24383CDC">
      <w:pPr>
        <w:keepNext w:val="0"/>
        <w:keepLines w:val="0"/>
        <w:pageBreakBefore w:val="0"/>
        <w:widowControl/>
        <w:suppressLineNumbers w:val="0"/>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
        </w:rPr>
        <w:t xml:space="preserve">供应商名称（盖章）： </w:t>
      </w:r>
    </w:p>
    <w:p w14:paraId="38FB4F57">
      <w:pPr>
        <w:keepNext w:val="0"/>
        <w:keepLines w:val="0"/>
        <w:pageBreakBefore w:val="0"/>
        <w:tabs>
          <w:tab w:val="left" w:pos="7560"/>
        </w:tabs>
        <w:kinsoku/>
        <w:wordWrap/>
        <w:overflowPunct/>
        <w:topLinePunct w:val="0"/>
        <w:autoSpaceDE/>
        <w:autoSpaceDN/>
        <w:bidi w:val="0"/>
        <w:adjustRightInd/>
        <w:snapToGrid/>
        <w:spacing w:line="440" w:lineRule="exact"/>
        <w:ind w:firstLine="3300" w:firstLineChars="1500"/>
        <w:jc w:val="left"/>
        <w:textAlignment w:val="auto"/>
        <w:rPr>
          <w:rFonts w:hint="eastAsia" w:ascii="宋体" w:hAnsi="宋体" w:eastAsia="宋体" w:cs="宋体"/>
          <w:color w:val="auto"/>
          <w:kern w:val="0"/>
          <w:sz w:val="22"/>
          <w:szCs w:val="22"/>
          <w:highlight w:val="none"/>
          <w:lang w:val="en-US" w:eastAsia="zh-CN" w:bidi="ar"/>
        </w:rPr>
      </w:pPr>
      <w:r>
        <w:rPr>
          <w:rFonts w:hint="eastAsia" w:ascii="宋体" w:hAnsi="宋体" w:eastAsia="宋体" w:cs="宋体"/>
          <w:color w:val="auto"/>
          <w:kern w:val="0"/>
          <w:sz w:val="22"/>
          <w:szCs w:val="22"/>
          <w:highlight w:val="none"/>
          <w:lang w:val="en-US" w:eastAsia="zh-CN" w:bidi="ar"/>
        </w:rPr>
        <w:t>日期：</w:t>
      </w:r>
    </w:p>
    <w:p w14:paraId="7E12767F">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color w:val="auto"/>
          <w:kern w:val="0"/>
          <w:sz w:val="22"/>
          <w:szCs w:val="22"/>
          <w:highlight w:val="none"/>
          <w:lang w:val="en-US" w:eastAsia="zh-CN" w:bidi="ar"/>
        </w:rPr>
      </w:pPr>
    </w:p>
    <w:p w14:paraId="52DCD92E">
      <w:pPr>
        <w:pStyle w:val="19"/>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400" w:lineRule="exact"/>
        <w:ind w:right="0" w:rightChars="0"/>
        <w:jc w:val="both"/>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
        </w:rPr>
        <w:t>注：1.</w:t>
      </w:r>
      <w:r>
        <w:rPr>
          <w:rFonts w:hint="eastAsia" w:ascii="宋体" w:hAnsi="宋体" w:eastAsia="宋体" w:cs="宋体"/>
          <w:i w:val="0"/>
          <w:iCs w:val="0"/>
          <w:caps w:val="0"/>
          <w:color w:val="auto"/>
          <w:spacing w:val="0"/>
          <w:sz w:val="22"/>
          <w:szCs w:val="22"/>
          <w:highlight w:val="none"/>
          <w:lang w:val="en-US" w:eastAsia="zh-CN"/>
        </w:rPr>
        <w:t>参与政府采购活动的供应商可按第1点的内容：“</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eastAsia="宋体" w:cs="宋体"/>
          <w:color w:val="auto"/>
          <w:kern w:val="0"/>
          <w:sz w:val="22"/>
          <w:szCs w:val="22"/>
          <w:highlight w:val="none"/>
          <w:lang w:val="en-US" w:eastAsia="zh-CN" w:bidi="ar"/>
        </w:rPr>
        <w:t>我方</w:t>
      </w:r>
      <w:r>
        <w:rPr>
          <w:rFonts w:hint="eastAsia" w:ascii="宋体" w:hAnsi="宋体" w:eastAsia="宋体" w:cs="宋体"/>
          <w:color w:val="auto"/>
          <w:spacing w:val="6"/>
          <w:sz w:val="22"/>
          <w:szCs w:val="22"/>
          <w:highlight w:val="none"/>
          <w:lang w:val="en-US" w:eastAsia="zh-CN"/>
        </w:rPr>
        <w:t>具有独立承担民事责任的能力”进行承诺；二是“我方属于银行、保险、石油石化、电力、电信等有行业特殊情况的法人的分支机构在参加本次政府采购活动前已取得总公司的授权”进行承诺。参加政府采购活动的供应商</w:t>
      </w:r>
      <w:r>
        <w:rPr>
          <w:rFonts w:hint="eastAsia" w:ascii="宋体" w:hAnsi="宋体" w:eastAsia="宋体" w:cs="宋体"/>
          <w:b w:val="0"/>
          <w:bCs w:val="0"/>
          <w:color w:val="auto"/>
          <w:spacing w:val="6"/>
          <w:sz w:val="22"/>
          <w:szCs w:val="22"/>
          <w:highlight w:val="none"/>
          <w:u w:val="none"/>
          <w:lang w:val="en-US" w:eastAsia="zh-CN"/>
        </w:rPr>
        <w:t>只要第1点承诺的内容包含有：具有独立承担民事责任的能力、在参加本次政府采购活动前已取得总公司的授权等内容的即为有效的承诺。</w:t>
      </w:r>
      <w:r>
        <w:rPr>
          <w:rFonts w:hint="eastAsia" w:ascii="宋体" w:hAnsi="宋体" w:eastAsia="宋体" w:cs="宋体"/>
          <w:color w:val="auto"/>
          <w:spacing w:val="6"/>
          <w:sz w:val="22"/>
          <w:szCs w:val="22"/>
          <w:highlight w:val="none"/>
          <w:lang w:val="en-US" w:eastAsia="zh-CN"/>
        </w:rPr>
        <w:t>2.第1点所指的行业特殊情况使用了“等”字表示列举未尽，即行业特殊情况包含但不限于银行、保险、石油石化、电力、电信。</w:t>
      </w:r>
    </w:p>
    <w:p w14:paraId="63435AFA">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738A8EAB">
      <w:pPr>
        <w:pStyle w:val="10"/>
        <w:rPr>
          <w:rFonts w:hint="eastAsia"/>
          <w:color w:val="auto"/>
          <w:highlight w:val="none"/>
        </w:rPr>
      </w:pPr>
    </w:p>
    <w:p w14:paraId="2B202F03">
      <w:pPr>
        <w:numPr>
          <w:ilvl w:val="0"/>
          <w:numId w:val="0"/>
        </w:numPr>
        <w:snapToGrid w:val="0"/>
        <w:spacing w:beforeLines="50" w:after="50"/>
        <w:ind w:leftChars="0"/>
        <w:jc w:val="left"/>
        <w:rPr>
          <w:rFonts w:hint="eastAsia" w:ascii="宋体" w:hAnsi="宋体" w:eastAsia="宋体" w:cs="宋体"/>
          <w:b/>
          <w:color w:val="auto"/>
          <w:sz w:val="22"/>
          <w:szCs w:val="22"/>
          <w:highlight w:val="none"/>
        </w:rPr>
      </w:pPr>
    </w:p>
    <w:p w14:paraId="42DAE626">
      <w:pPr>
        <w:pStyle w:val="31"/>
        <w:spacing w:line="360" w:lineRule="auto"/>
        <w:rPr>
          <w:rFonts w:ascii="宋体" w:hAnsi="宋体"/>
          <w:b/>
          <w:color w:val="auto"/>
          <w:sz w:val="28"/>
          <w:szCs w:val="28"/>
          <w:highlight w:val="none"/>
        </w:rPr>
      </w:pPr>
    </w:p>
    <w:p w14:paraId="3D7E132F">
      <w:pPr>
        <w:pStyle w:val="32"/>
        <w:rPr>
          <w:rFonts w:ascii="宋体" w:hAnsi="宋体"/>
          <w:b/>
          <w:color w:val="auto"/>
          <w:sz w:val="28"/>
          <w:szCs w:val="28"/>
          <w:highlight w:val="none"/>
        </w:rPr>
      </w:pPr>
    </w:p>
    <w:p w14:paraId="4D1A6812">
      <w:pPr>
        <w:pStyle w:val="31"/>
        <w:rPr>
          <w:rFonts w:ascii="宋体" w:hAnsi="宋体"/>
          <w:b/>
          <w:color w:val="auto"/>
          <w:sz w:val="28"/>
          <w:szCs w:val="28"/>
          <w:highlight w:val="none"/>
        </w:rPr>
      </w:pPr>
    </w:p>
    <w:p w14:paraId="0E2B71E4">
      <w:pPr>
        <w:pStyle w:val="32"/>
        <w:rPr>
          <w:rFonts w:ascii="宋体" w:hAnsi="宋体"/>
          <w:b/>
          <w:color w:val="auto"/>
          <w:sz w:val="28"/>
          <w:szCs w:val="28"/>
          <w:highlight w:val="none"/>
        </w:rPr>
      </w:pPr>
    </w:p>
    <w:p w14:paraId="1232BD06">
      <w:pPr>
        <w:pStyle w:val="31"/>
        <w:rPr>
          <w:rFonts w:ascii="宋体" w:hAnsi="宋体"/>
          <w:b/>
          <w:color w:val="auto"/>
          <w:sz w:val="28"/>
          <w:szCs w:val="28"/>
          <w:highlight w:val="none"/>
        </w:rPr>
      </w:pPr>
    </w:p>
    <w:p w14:paraId="50FA1674">
      <w:pPr>
        <w:pStyle w:val="32"/>
        <w:rPr>
          <w:color w:val="auto"/>
          <w:highlight w:val="none"/>
        </w:rPr>
      </w:pPr>
    </w:p>
    <w:p w14:paraId="56378403">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w:t>
      </w:r>
      <w:r>
        <w:rPr>
          <w:rFonts w:hint="eastAsia" w:ascii="宋体" w:hAnsi="宋体"/>
          <w:b/>
          <w:color w:val="auto"/>
          <w:sz w:val="24"/>
          <w:highlight w:val="none"/>
          <w:lang w:eastAsia="zh-CN"/>
        </w:rPr>
        <w:t>有效的资质证书副本复印件和有效的安全生产许可证副本复印件</w:t>
      </w:r>
      <w:r>
        <w:rPr>
          <w:rFonts w:hint="eastAsia" w:ascii="宋体" w:hAnsi="宋体"/>
          <w:b/>
          <w:color w:val="auto"/>
          <w:sz w:val="24"/>
          <w:highlight w:val="none"/>
        </w:rPr>
        <w:t>；</w:t>
      </w:r>
    </w:p>
    <w:p w14:paraId="14BF2780">
      <w:pPr>
        <w:pStyle w:val="32"/>
        <w:rPr>
          <w:color w:val="auto"/>
          <w:highlight w:val="none"/>
        </w:rPr>
      </w:pPr>
    </w:p>
    <w:p w14:paraId="0A34838D">
      <w:pPr>
        <w:pStyle w:val="31"/>
        <w:numPr>
          <w:ilvl w:val="0"/>
          <w:numId w:val="0"/>
        </w:numPr>
        <w:spacing w:line="360" w:lineRule="auto"/>
        <w:jc w:val="left"/>
        <w:rPr>
          <w:rFonts w:hint="eastAsia" w:ascii="宋体" w:hAnsi="宋体"/>
          <w:b/>
          <w:color w:val="auto"/>
          <w:sz w:val="24"/>
          <w:highlight w:val="none"/>
        </w:rPr>
      </w:pPr>
      <w:r>
        <w:rPr>
          <w:rFonts w:hint="eastAsia" w:ascii="宋体" w:hAnsi="宋体"/>
          <w:b/>
          <w:color w:val="auto"/>
          <w:sz w:val="24"/>
          <w:highlight w:val="none"/>
          <w:lang w:val="en-US" w:eastAsia="zh-CN"/>
        </w:rPr>
        <w:t>3、</w:t>
      </w:r>
      <w:r>
        <w:rPr>
          <w:rFonts w:hint="eastAsia" w:ascii="宋体" w:hAnsi="宋体"/>
          <w:b/>
          <w:color w:val="auto"/>
          <w:sz w:val="24"/>
          <w:highlight w:val="none"/>
        </w:rPr>
        <w:t>拟派项目经理的身份证复印件、注册建造师证和安全生产考核合格证书（B类）复印件</w:t>
      </w:r>
    </w:p>
    <w:p w14:paraId="0E78AFE9">
      <w:pPr>
        <w:pStyle w:val="31"/>
        <w:rPr>
          <w:rFonts w:hint="eastAsia" w:ascii="宋体" w:hAnsi="宋体"/>
          <w:b/>
          <w:color w:val="auto"/>
          <w:sz w:val="24"/>
          <w:highlight w:val="none"/>
          <w:lang w:eastAsia="zh-CN"/>
        </w:rPr>
      </w:pPr>
    </w:p>
    <w:p w14:paraId="1B7C739F">
      <w:pPr>
        <w:pStyle w:val="32"/>
        <w:rPr>
          <w:rFonts w:hint="eastAsia" w:ascii="宋体" w:hAnsi="宋体"/>
          <w:b/>
          <w:color w:val="auto"/>
          <w:sz w:val="24"/>
          <w:highlight w:val="none"/>
          <w:lang w:eastAsia="zh-CN"/>
        </w:rPr>
      </w:pPr>
    </w:p>
    <w:p w14:paraId="16412E8B">
      <w:pPr>
        <w:pStyle w:val="31"/>
        <w:numPr>
          <w:ilvl w:val="0"/>
          <w:numId w:val="0"/>
        </w:numPr>
        <w:spacing w:line="360" w:lineRule="auto"/>
        <w:jc w:val="left"/>
        <w:rPr>
          <w:rFonts w:hint="default" w:ascii="宋体" w:hAnsi="宋体"/>
          <w:b/>
          <w:color w:val="auto"/>
          <w:sz w:val="24"/>
          <w:highlight w:val="none"/>
          <w:lang w:val="en-US" w:eastAsia="zh-CN"/>
        </w:rPr>
      </w:pPr>
      <w:r>
        <w:rPr>
          <w:rFonts w:hint="eastAsia" w:ascii="宋体" w:hAnsi="宋体"/>
          <w:b/>
          <w:color w:val="auto"/>
          <w:sz w:val="24"/>
          <w:highlight w:val="none"/>
          <w:lang w:val="en-US" w:eastAsia="zh-CN"/>
        </w:rPr>
        <w:t>4、</w:t>
      </w:r>
      <w:r>
        <w:rPr>
          <w:rFonts w:hint="eastAsia" w:ascii="宋体" w:hAnsi="宋体"/>
          <w:b/>
          <w:color w:val="auto"/>
          <w:sz w:val="24"/>
          <w:highlight w:val="none"/>
          <w:lang w:eastAsia="zh-CN"/>
        </w:rPr>
        <w:t>投标人直接控股、管理关系信息表</w:t>
      </w:r>
    </w:p>
    <w:p w14:paraId="651014AB">
      <w:pPr>
        <w:snapToGrid w:val="0"/>
        <w:spacing w:before="50" w:after="120" w:afterLines="50"/>
        <w:jc w:val="center"/>
        <w:rPr>
          <w:rFonts w:ascii="宋体" w:hAnsi="宋体"/>
          <w:b/>
          <w:color w:val="auto"/>
          <w:sz w:val="28"/>
          <w:szCs w:val="28"/>
          <w:highlight w:val="none"/>
        </w:rPr>
      </w:pPr>
      <w:r>
        <w:rPr>
          <w:rFonts w:hint="eastAsia" w:ascii="宋体" w:hAnsi="宋体"/>
          <w:b/>
          <w:color w:val="auto"/>
          <w:sz w:val="28"/>
          <w:szCs w:val="28"/>
          <w:highlight w:val="none"/>
        </w:rPr>
        <w:t>投标人直接控股股东信息表</w:t>
      </w:r>
    </w:p>
    <w:tbl>
      <w:tblPr>
        <w:tblStyle w:val="23"/>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37FE029C">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BCFE085">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04C118C">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2B88C81">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34CE76">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身份证号码或统一社会信用代码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7D08D38">
            <w:pPr>
              <w:widowControl/>
              <w:jc w:val="center"/>
              <w:rPr>
                <w:rFonts w:ascii="宋体" w:hAnsi="宋体" w:cs="宋体"/>
                <w:b/>
                <w:bCs/>
                <w:color w:val="auto"/>
                <w:sz w:val="21"/>
                <w:szCs w:val="16"/>
                <w:highlight w:val="none"/>
              </w:rPr>
            </w:pPr>
            <w:r>
              <w:rPr>
                <w:rFonts w:hint="eastAsia" w:ascii="宋体" w:hAnsi="宋体" w:cs="宋体"/>
                <w:b/>
                <w:bCs/>
                <w:color w:val="auto"/>
                <w:sz w:val="21"/>
                <w:szCs w:val="16"/>
                <w:highlight w:val="none"/>
              </w:rPr>
              <w:t>备注</w:t>
            </w:r>
          </w:p>
        </w:tc>
      </w:tr>
      <w:tr w14:paraId="518D720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1FCBF">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AA2999">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9CF80F">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74D0651">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3F54AE3">
            <w:pPr>
              <w:widowControl/>
              <w:wordWrap w:val="0"/>
              <w:spacing w:line="200" w:lineRule="atLeast"/>
              <w:jc w:val="center"/>
              <w:rPr>
                <w:rFonts w:ascii="宋体" w:hAnsi="宋体" w:cs="宋体"/>
                <w:color w:val="auto"/>
                <w:sz w:val="21"/>
                <w:szCs w:val="16"/>
                <w:highlight w:val="none"/>
              </w:rPr>
            </w:pPr>
          </w:p>
        </w:tc>
      </w:tr>
      <w:tr w14:paraId="444482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6A7DB2">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F46455">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3F0840">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D52C03">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F85C15">
            <w:pPr>
              <w:widowControl/>
              <w:wordWrap w:val="0"/>
              <w:spacing w:line="200" w:lineRule="atLeast"/>
              <w:jc w:val="center"/>
              <w:rPr>
                <w:rFonts w:ascii="宋体" w:hAnsi="宋体" w:cs="宋体"/>
                <w:color w:val="auto"/>
                <w:sz w:val="21"/>
                <w:szCs w:val="16"/>
                <w:highlight w:val="none"/>
              </w:rPr>
            </w:pPr>
          </w:p>
        </w:tc>
      </w:tr>
      <w:tr w14:paraId="67118B2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E57546">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6C939D">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4F2BAB">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1C48B9">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78D717">
            <w:pPr>
              <w:widowControl/>
              <w:wordWrap w:val="0"/>
              <w:spacing w:line="200" w:lineRule="atLeast"/>
              <w:jc w:val="center"/>
              <w:rPr>
                <w:rFonts w:ascii="宋体" w:hAnsi="宋体" w:cs="宋体"/>
                <w:color w:val="auto"/>
                <w:sz w:val="21"/>
                <w:szCs w:val="16"/>
                <w:highlight w:val="none"/>
              </w:rPr>
            </w:pPr>
          </w:p>
        </w:tc>
      </w:tr>
      <w:tr w14:paraId="5330E11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018E8A">
            <w:pPr>
              <w:widowControl/>
              <w:wordWrap w:val="0"/>
              <w:spacing w:line="200" w:lineRule="atLeast"/>
              <w:jc w:val="center"/>
              <w:rPr>
                <w:rFonts w:ascii="宋体" w:hAnsi="宋体" w:cs="宋体"/>
                <w:color w:val="auto"/>
                <w:sz w:val="21"/>
                <w:szCs w:val="16"/>
                <w:highlight w:val="none"/>
              </w:rPr>
            </w:pPr>
            <w:r>
              <w:rPr>
                <w:rFonts w:hint="eastAsia" w:ascii="宋体" w:hAnsi="宋体" w:cs="宋体"/>
                <w:color w:val="auto"/>
                <w:sz w:val="21"/>
                <w:szCs w:val="16"/>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15287D">
            <w:pPr>
              <w:widowControl/>
              <w:wordWrap w:val="0"/>
              <w:spacing w:line="200" w:lineRule="atLeast"/>
              <w:jc w:val="center"/>
              <w:rPr>
                <w:rFonts w:ascii="宋体" w:hAnsi="宋体" w:cs="宋体"/>
                <w:color w:val="auto"/>
                <w:sz w:val="21"/>
                <w:szCs w:val="16"/>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3D2699">
            <w:pPr>
              <w:widowControl/>
              <w:wordWrap w:val="0"/>
              <w:spacing w:line="200" w:lineRule="atLeast"/>
              <w:jc w:val="center"/>
              <w:rPr>
                <w:rFonts w:ascii="宋体" w:hAnsi="宋体" w:cs="宋体"/>
                <w:color w:val="auto"/>
                <w:sz w:val="21"/>
                <w:szCs w:val="16"/>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6C76E6A">
            <w:pPr>
              <w:widowControl/>
              <w:wordWrap w:val="0"/>
              <w:spacing w:line="200" w:lineRule="atLeast"/>
              <w:jc w:val="center"/>
              <w:rPr>
                <w:rFonts w:ascii="宋体" w:hAnsi="宋体" w:cs="宋体"/>
                <w:color w:val="auto"/>
                <w:sz w:val="21"/>
                <w:szCs w:val="16"/>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1B3B840">
            <w:pPr>
              <w:widowControl/>
              <w:wordWrap w:val="0"/>
              <w:spacing w:line="200" w:lineRule="atLeast"/>
              <w:jc w:val="center"/>
              <w:rPr>
                <w:rFonts w:ascii="宋体" w:hAnsi="宋体" w:cs="宋体"/>
                <w:color w:val="auto"/>
                <w:sz w:val="21"/>
                <w:szCs w:val="16"/>
                <w:highlight w:val="none"/>
              </w:rPr>
            </w:pPr>
          </w:p>
        </w:tc>
      </w:tr>
    </w:tbl>
    <w:p w14:paraId="35178886">
      <w:pPr>
        <w:snapToGrid w:val="0"/>
        <w:jc w:val="left"/>
        <w:rPr>
          <w:rFonts w:ascii="宋体" w:hAnsi="宋体"/>
          <w:color w:val="auto"/>
          <w:sz w:val="21"/>
          <w:szCs w:val="16"/>
          <w:highlight w:val="none"/>
        </w:rPr>
      </w:pPr>
      <w:r>
        <w:rPr>
          <w:rFonts w:hint="eastAsia" w:ascii="宋体" w:hAnsi="宋体"/>
          <w:color w:val="auto"/>
          <w:sz w:val="21"/>
          <w:szCs w:val="16"/>
          <w:highlight w:val="none"/>
        </w:rPr>
        <w:t>注：</w:t>
      </w:r>
    </w:p>
    <w:p w14:paraId="0ACD0FBE">
      <w:pPr>
        <w:snapToGrid w:val="0"/>
        <w:jc w:val="left"/>
        <w:rPr>
          <w:rFonts w:ascii="宋体" w:hAnsi="宋体"/>
          <w:color w:val="auto"/>
          <w:sz w:val="21"/>
          <w:szCs w:val="16"/>
          <w:highlight w:val="none"/>
        </w:rPr>
      </w:pPr>
      <w:r>
        <w:rPr>
          <w:rFonts w:hint="eastAsia" w:ascii="宋体" w:hAnsi="宋体"/>
          <w:color w:val="auto"/>
          <w:sz w:val="21"/>
          <w:szCs w:val="16"/>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BB656DE">
      <w:pPr>
        <w:snapToGrid w:val="0"/>
        <w:jc w:val="left"/>
        <w:rPr>
          <w:rFonts w:ascii="宋体" w:hAnsi="宋体"/>
          <w:color w:val="auto"/>
          <w:sz w:val="21"/>
          <w:szCs w:val="16"/>
          <w:highlight w:val="none"/>
        </w:rPr>
      </w:pPr>
      <w:r>
        <w:rPr>
          <w:rFonts w:hint="eastAsia" w:ascii="宋体" w:hAnsi="宋体"/>
          <w:color w:val="auto"/>
          <w:sz w:val="21"/>
          <w:szCs w:val="16"/>
          <w:highlight w:val="none"/>
        </w:rPr>
        <w:t>2.本表所指的控股关系仅限于直接控股关系，不包括间接的控股关系。公司实际控制人与公司之间的关系不属于本表所指的直接控股关系。</w:t>
      </w:r>
    </w:p>
    <w:p w14:paraId="1BBB81E5">
      <w:pPr>
        <w:snapToGrid w:val="0"/>
        <w:jc w:val="left"/>
        <w:rPr>
          <w:rFonts w:ascii="宋体" w:hAnsi="宋体"/>
          <w:color w:val="auto"/>
          <w:sz w:val="21"/>
          <w:szCs w:val="16"/>
          <w:highlight w:val="none"/>
        </w:rPr>
      </w:pPr>
      <w:r>
        <w:rPr>
          <w:rFonts w:hint="eastAsia" w:ascii="宋体" w:hAnsi="宋体"/>
          <w:color w:val="auto"/>
          <w:sz w:val="21"/>
          <w:szCs w:val="16"/>
          <w:highlight w:val="none"/>
        </w:rPr>
        <w:t>3.投标人无直接控股股东的填写：无</w:t>
      </w:r>
    </w:p>
    <w:p w14:paraId="150C22CD">
      <w:pPr>
        <w:snapToGrid w:val="0"/>
        <w:jc w:val="left"/>
        <w:rPr>
          <w:rFonts w:ascii="宋体" w:hAnsi="宋体"/>
          <w:color w:val="auto"/>
          <w:sz w:val="21"/>
          <w:szCs w:val="16"/>
          <w:highlight w:val="none"/>
        </w:rPr>
      </w:pPr>
    </w:p>
    <w:p w14:paraId="31C5EAE9">
      <w:pPr>
        <w:snapToGrid w:val="0"/>
        <w:jc w:val="left"/>
        <w:rPr>
          <w:rFonts w:ascii="宋体" w:hAnsi="宋体"/>
          <w:color w:val="auto"/>
          <w:sz w:val="21"/>
          <w:szCs w:val="16"/>
          <w:highlight w:val="none"/>
        </w:rPr>
      </w:pPr>
    </w:p>
    <w:p w14:paraId="4E2A1C77">
      <w:pPr>
        <w:snapToGrid w:val="0"/>
        <w:jc w:val="left"/>
        <w:rPr>
          <w:rFonts w:ascii="宋体" w:hAnsi="宋体"/>
          <w:color w:val="auto"/>
          <w:sz w:val="21"/>
          <w:szCs w:val="16"/>
          <w:highlight w:val="none"/>
        </w:rPr>
      </w:pPr>
    </w:p>
    <w:p w14:paraId="76123992">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6E463618">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14ECD8A7">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2EC6884E">
      <w:pPr>
        <w:snapToGrid w:val="0"/>
        <w:jc w:val="center"/>
        <w:rPr>
          <w:rFonts w:ascii="宋体" w:hAnsi="宋体"/>
          <w:b/>
          <w:color w:val="auto"/>
          <w:sz w:val="28"/>
          <w:szCs w:val="28"/>
          <w:highlight w:val="none"/>
        </w:rPr>
      </w:pPr>
      <w:r>
        <w:rPr>
          <w:rFonts w:ascii="宋体" w:hAnsi="宋体"/>
          <w:b/>
          <w:color w:val="auto"/>
          <w:sz w:val="22"/>
          <w:szCs w:val="22"/>
          <w:highlight w:val="none"/>
        </w:rPr>
        <w:br w:type="page"/>
      </w:r>
    </w:p>
    <w:p w14:paraId="03A3B6F9">
      <w:pPr>
        <w:snapToGrid w:val="0"/>
        <w:jc w:val="center"/>
        <w:rPr>
          <w:rFonts w:ascii="宋体" w:hAnsi="宋体"/>
          <w:color w:val="auto"/>
          <w:highlight w:val="none"/>
        </w:rPr>
      </w:pPr>
      <w:r>
        <w:rPr>
          <w:rFonts w:hint="eastAsia" w:ascii="宋体" w:hAnsi="宋体"/>
          <w:b/>
          <w:color w:val="auto"/>
          <w:sz w:val="28"/>
          <w:szCs w:val="28"/>
          <w:highlight w:val="none"/>
        </w:rPr>
        <w:t>投标人直接管理关系信息表</w:t>
      </w:r>
    </w:p>
    <w:tbl>
      <w:tblPr>
        <w:tblStyle w:val="23"/>
        <w:tblW w:w="9652" w:type="dxa"/>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30CC9F8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4379E4B">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C4C3128">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4225D2D">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C0D9E16">
            <w:pPr>
              <w:widowControl/>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14:paraId="5794B0C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FCF28C">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9BC444">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9E73C7">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1D85A8">
            <w:pPr>
              <w:widowControl/>
              <w:wordWrap w:val="0"/>
              <w:spacing w:line="200" w:lineRule="atLeast"/>
              <w:jc w:val="center"/>
              <w:rPr>
                <w:rFonts w:ascii="宋体" w:hAnsi="宋体" w:cs="宋体"/>
                <w:color w:val="auto"/>
                <w:sz w:val="21"/>
                <w:szCs w:val="21"/>
                <w:highlight w:val="none"/>
              </w:rPr>
            </w:pPr>
          </w:p>
        </w:tc>
      </w:tr>
      <w:tr w14:paraId="0414452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5F8841">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2CFC2BE">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69D649">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44AE8E">
            <w:pPr>
              <w:widowControl/>
              <w:wordWrap w:val="0"/>
              <w:spacing w:line="200" w:lineRule="atLeast"/>
              <w:jc w:val="center"/>
              <w:rPr>
                <w:rFonts w:ascii="宋体" w:hAnsi="宋体" w:cs="宋体"/>
                <w:color w:val="auto"/>
                <w:sz w:val="21"/>
                <w:szCs w:val="21"/>
                <w:highlight w:val="none"/>
              </w:rPr>
            </w:pPr>
          </w:p>
        </w:tc>
      </w:tr>
      <w:tr w14:paraId="0287796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B4A242">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074297">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72F66C">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46EF24">
            <w:pPr>
              <w:widowControl/>
              <w:wordWrap w:val="0"/>
              <w:spacing w:line="200" w:lineRule="atLeast"/>
              <w:jc w:val="center"/>
              <w:rPr>
                <w:rFonts w:ascii="宋体" w:hAnsi="宋体" w:cs="宋体"/>
                <w:color w:val="auto"/>
                <w:sz w:val="21"/>
                <w:szCs w:val="21"/>
                <w:highlight w:val="none"/>
              </w:rPr>
            </w:pPr>
          </w:p>
        </w:tc>
      </w:tr>
      <w:tr w14:paraId="0B15F4D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21C9D9">
            <w:pPr>
              <w:widowControl/>
              <w:wordWrap w:val="0"/>
              <w:spacing w:line="20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7BA0E9">
            <w:pPr>
              <w:widowControl/>
              <w:wordWrap w:val="0"/>
              <w:spacing w:line="200" w:lineRule="atLeast"/>
              <w:jc w:val="center"/>
              <w:rPr>
                <w:rFonts w:ascii="宋体" w:hAnsi="宋体" w:cs="宋体"/>
                <w:color w:val="auto"/>
                <w:sz w:val="21"/>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53737">
            <w:pPr>
              <w:widowControl/>
              <w:wordWrap w:val="0"/>
              <w:spacing w:line="200" w:lineRule="atLeast"/>
              <w:jc w:val="center"/>
              <w:rPr>
                <w:rFonts w:ascii="宋体" w:hAnsi="宋体" w:cs="宋体"/>
                <w:color w:val="auto"/>
                <w:sz w:val="21"/>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95025CC">
            <w:pPr>
              <w:widowControl/>
              <w:wordWrap w:val="0"/>
              <w:spacing w:line="200" w:lineRule="atLeast"/>
              <w:jc w:val="center"/>
              <w:rPr>
                <w:rFonts w:ascii="宋体" w:hAnsi="宋体" w:cs="宋体"/>
                <w:color w:val="auto"/>
                <w:sz w:val="21"/>
                <w:szCs w:val="21"/>
                <w:highlight w:val="none"/>
              </w:rPr>
            </w:pPr>
          </w:p>
        </w:tc>
      </w:tr>
    </w:tbl>
    <w:p w14:paraId="11A35E62">
      <w:pPr>
        <w:snapToGrid w:val="0"/>
        <w:jc w:val="left"/>
        <w:rPr>
          <w:rFonts w:ascii="宋体" w:hAnsi="宋体"/>
          <w:color w:val="auto"/>
          <w:sz w:val="21"/>
          <w:szCs w:val="21"/>
          <w:highlight w:val="none"/>
        </w:rPr>
      </w:pPr>
      <w:r>
        <w:rPr>
          <w:rFonts w:hint="eastAsia" w:ascii="宋体" w:hAnsi="宋体"/>
          <w:color w:val="auto"/>
          <w:sz w:val="21"/>
          <w:szCs w:val="21"/>
          <w:highlight w:val="none"/>
        </w:rPr>
        <w:t>注：</w:t>
      </w:r>
    </w:p>
    <w:p w14:paraId="32AA207A">
      <w:pPr>
        <w:snapToGrid w:val="0"/>
        <w:jc w:val="left"/>
        <w:rPr>
          <w:rFonts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169BE28D">
      <w:pPr>
        <w:snapToGrid w:val="0"/>
        <w:jc w:val="left"/>
        <w:rPr>
          <w:rFonts w:ascii="宋体" w:hAnsi="宋体"/>
          <w:color w:val="auto"/>
          <w:sz w:val="21"/>
          <w:szCs w:val="21"/>
          <w:highlight w:val="none"/>
        </w:rPr>
      </w:pPr>
      <w:r>
        <w:rPr>
          <w:rFonts w:hint="eastAsia" w:ascii="宋体" w:hAnsi="宋体"/>
          <w:color w:val="auto"/>
          <w:sz w:val="21"/>
          <w:szCs w:val="21"/>
          <w:highlight w:val="none"/>
        </w:rPr>
        <w:t>2.本表所指的管理关系仅限于直接管理关系，不包括间接的管理关系。</w:t>
      </w:r>
    </w:p>
    <w:p w14:paraId="586D0516">
      <w:pPr>
        <w:snapToGrid w:val="0"/>
        <w:jc w:val="left"/>
        <w:rPr>
          <w:rFonts w:ascii="宋体" w:hAnsi="宋体"/>
          <w:color w:val="auto"/>
          <w:sz w:val="21"/>
          <w:szCs w:val="21"/>
          <w:highlight w:val="none"/>
        </w:rPr>
      </w:pPr>
      <w:r>
        <w:rPr>
          <w:rFonts w:hint="eastAsia" w:ascii="宋体" w:hAnsi="宋体"/>
          <w:color w:val="auto"/>
          <w:sz w:val="21"/>
          <w:szCs w:val="21"/>
          <w:highlight w:val="none"/>
        </w:rPr>
        <w:t>3.投标人无直接管理关系的填写：无</w:t>
      </w:r>
    </w:p>
    <w:p w14:paraId="5056C4DF">
      <w:pPr>
        <w:snapToGrid w:val="0"/>
        <w:jc w:val="left"/>
        <w:rPr>
          <w:rFonts w:ascii="宋体" w:hAnsi="宋体"/>
          <w:color w:val="auto"/>
          <w:highlight w:val="none"/>
        </w:rPr>
      </w:pPr>
    </w:p>
    <w:p w14:paraId="6A548C3F">
      <w:pPr>
        <w:snapToGrid w:val="0"/>
        <w:jc w:val="left"/>
        <w:rPr>
          <w:rFonts w:ascii="宋体" w:hAnsi="宋体"/>
          <w:color w:val="auto"/>
          <w:highlight w:val="none"/>
        </w:rPr>
      </w:pPr>
    </w:p>
    <w:p w14:paraId="27E362B9">
      <w:pPr>
        <w:snapToGrid w:val="0"/>
        <w:jc w:val="left"/>
        <w:rPr>
          <w:rFonts w:ascii="宋体" w:hAnsi="宋体"/>
          <w:color w:val="auto"/>
          <w:highlight w:val="none"/>
        </w:rPr>
      </w:pPr>
    </w:p>
    <w:p w14:paraId="39779509">
      <w:pPr>
        <w:snapToGrid w:val="0"/>
        <w:jc w:val="left"/>
        <w:rPr>
          <w:color w:val="auto"/>
          <w:highlight w:val="none"/>
        </w:rPr>
      </w:pPr>
    </w:p>
    <w:p w14:paraId="711A7D90">
      <w:pPr>
        <w:snapToGrid w:val="0"/>
        <w:jc w:val="left"/>
        <w:rPr>
          <w:color w:val="auto"/>
          <w:highlight w:val="none"/>
        </w:rPr>
      </w:pPr>
    </w:p>
    <w:p w14:paraId="7785DA3B">
      <w:pPr>
        <w:snapToGrid w:val="0"/>
        <w:jc w:val="left"/>
        <w:rPr>
          <w:color w:val="auto"/>
          <w:highlight w:val="none"/>
        </w:rPr>
      </w:pPr>
    </w:p>
    <w:p w14:paraId="64D279B0">
      <w:pPr>
        <w:snapToGrid w:val="0"/>
        <w:jc w:val="left"/>
        <w:rPr>
          <w:rFonts w:ascii="宋体" w:hAnsi="宋体"/>
          <w:color w:val="auto"/>
          <w:szCs w:val="21"/>
          <w:highlight w:val="none"/>
        </w:rPr>
      </w:pPr>
    </w:p>
    <w:p w14:paraId="32792799">
      <w:pPr>
        <w:pStyle w:val="31"/>
        <w:spacing w:line="360" w:lineRule="auto"/>
        <w:rPr>
          <w:rFonts w:ascii="宋体" w:hAnsi="宋体"/>
          <w:color w:val="auto"/>
          <w:sz w:val="21"/>
          <w:szCs w:val="21"/>
          <w:highlight w:val="none"/>
        </w:rPr>
      </w:pPr>
      <w:r>
        <w:rPr>
          <w:rFonts w:hint="eastAsia" w:ascii="宋体" w:hAnsi="宋体" w:cs="宋体"/>
          <w:color w:val="auto"/>
          <w:kern w:val="0"/>
          <w:sz w:val="24"/>
          <w:szCs w:val="21"/>
          <w:highlight w:val="none"/>
        </w:rPr>
        <w:t>磋商单位</w:t>
      </w:r>
      <w:r>
        <w:rPr>
          <w:rFonts w:hint="eastAsia" w:ascii="宋体" w:hAnsi="宋体"/>
          <w:color w:val="auto"/>
          <w:sz w:val="21"/>
          <w:szCs w:val="21"/>
          <w:highlight w:val="none"/>
        </w:rPr>
        <w:t>（</w:t>
      </w:r>
      <w:r>
        <w:rPr>
          <w:rFonts w:hint="eastAsia" w:ascii="宋体" w:hAnsi="宋体"/>
          <w:color w:val="auto"/>
          <w:sz w:val="21"/>
          <w:szCs w:val="21"/>
          <w:highlight w:val="none"/>
          <w:lang w:eastAsia="zh-CN"/>
        </w:rPr>
        <w:t>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3CD06465">
      <w:pPr>
        <w:pStyle w:val="31"/>
        <w:spacing w:line="360" w:lineRule="auto"/>
        <w:rPr>
          <w:rFonts w:ascii="宋体" w:hAnsi="宋体"/>
          <w:color w:val="auto"/>
          <w:sz w:val="21"/>
          <w:szCs w:val="21"/>
          <w:highlight w:val="none"/>
        </w:rPr>
      </w:pPr>
      <w:r>
        <w:rPr>
          <w:rFonts w:hint="eastAsia" w:ascii="宋体" w:hAnsi="宋体"/>
          <w:color w:val="auto"/>
          <w:sz w:val="21"/>
          <w:szCs w:val="21"/>
          <w:highlight w:val="none"/>
        </w:rPr>
        <w:t>法定代表人(负责人、自然人)或相应的委托代理人签字（</w:t>
      </w:r>
      <w:r>
        <w:rPr>
          <w:rFonts w:hint="eastAsia" w:ascii="宋体" w:hAnsi="宋体"/>
          <w:color w:val="auto"/>
          <w:sz w:val="21"/>
          <w:szCs w:val="21"/>
          <w:highlight w:val="none"/>
          <w:lang w:eastAsia="zh-CN"/>
        </w:rPr>
        <w:t>签字或盖</w:t>
      </w:r>
      <w:r>
        <w:rPr>
          <w:rFonts w:hint="eastAsia" w:ascii="宋体" w:hAnsi="宋体"/>
          <w:color w:val="auto"/>
          <w:sz w:val="21"/>
          <w:szCs w:val="21"/>
          <w:highlight w:val="none"/>
        </w:rPr>
        <w:t>章）</w:t>
      </w:r>
      <w:r>
        <w:rPr>
          <w:rFonts w:ascii="宋体" w:hAnsi="宋体"/>
          <w:color w:val="auto"/>
          <w:sz w:val="21"/>
          <w:szCs w:val="21"/>
          <w:highlight w:val="none"/>
        </w:rPr>
        <w:t xml:space="preserve">：   </w:t>
      </w:r>
    </w:p>
    <w:p w14:paraId="31A6DEA8">
      <w:pPr>
        <w:snapToGrid w:val="0"/>
        <w:spacing w:before="120" w:beforeLines="50" w:after="50"/>
        <w:ind w:right="480"/>
        <w:rPr>
          <w:rFonts w:ascii="宋体" w:hAnsi="宋体"/>
          <w:color w:val="auto"/>
          <w:sz w:val="16"/>
          <w:szCs w:val="18"/>
          <w:highlight w:val="none"/>
        </w:rPr>
      </w:pPr>
      <w:r>
        <w:rPr>
          <w:rFonts w:ascii="宋体" w:hAnsi="宋体"/>
          <w:color w:val="auto"/>
          <w:sz w:val="21"/>
          <w:szCs w:val="16"/>
          <w:highlight w:val="none"/>
        </w:rPr>
        <w:t>日期：     年     月     日</w:t>
      </w:r>
    </w:p>
    <w:p w14:paraId="73ABF0CC">
      <w:pPr>
        <w:pStyle w:val="13"/>
        <w:spacing w:line="460" w:lineRule="exact"/>
        <w:ind w:firstLine="420"/>
        <w:rPr>
          <w:rFonts w:hint="eastAsia"/>
          <w:color w:val="auto"/>
          <w:szCs w:val="21"/>
          <w:highlight w:val="none"/>
          <w:u w:val="single"/>
        </w:rPr>
      </w:pPr>
    </w:p>
    <w:p w14:paraId="2C0F006B">
      <w:pPr>
        <w:pStyle w:val="32"/>
        <w:rPr>
          <w:rFonts w:hint="eastAsia"/>
          <w:color w:val="auto"/>
          <w:highlight w:val="none"/>
        </w:rPr>
      </w:pPr>
    </w:p>
    <w:p w14:paraId="5D1D8B6C">
      <w:pPr>
        <w:pStyle w:val="31"/>
        <w:rPr>
          <w:rFonts w:hint="eastAsia"/>
          <w:color w:val="auto"/>
          <w:highlight w:val="none"/>
        </w:rPr>
      </w:pPr>
    </w:p>
    <w:p w14:paraId="2DE3BFB5">
      <w:pPr>
        <w:pStyle w:val="32"/>
        <w:rPr>
          <w:rFonts w:hint="eastAsia"/>
          <w:color w:val="auto"/>
          <w:highlight w:val="none"/>
        </w:rPr>
      </w:pPr>
    </w:p>
    <w:p w14:paraId="0AA59D1C">
      <w:pPr>
        <w:pStyle w:val="31"/>
        <w:rPr>
          <w:rFonts w:hint="eastAsia"/>
          <w:color w:val="auto"/>
          <w:highlight w:val="none"/>
        </w:rPr>
      </w:pPr>
    </w:p>
    <w:p w14:paraId="2784BF91">
      <w:pPr>
        <w:pStyle w:val="32"/>
        <w:rPr>
          <w:rFonts w:hint="eastAsia"/>
          <w:color w:val="auto"/>
          <w:highlight w:val="none"/>
        </w:rPr>
      </w:pPr>
    </w:p>
    <w:p w14:paraId="6EEF6DC7">
      <w:pPr>
        <w:pStyle w:val="31"/>
        <w:rPr>
          <w:rFonts w:hint="eastAsia"/>
          <w:color w:val="auto"/>
          <w:highlight w:val="none"/>
        </w:rPr>
      </w:pPr>
    </w:p>
    <w:p w14:paraId="1F308777">
      <w:pPr>
        <w:pStyle w:val="32"/>
        <w:rPr>
          <w:rFonts w:hint="eastAsia"/>
          <w:color w:val="auto"/>
          <w:highlight w:val="none"/>
        </w:rPr>
      </w:pPr>
    </w:p>
    <w:p w14:paraId="59AED1A6">
      <w:pPr>
        <w:pStyle w:val="31"/>
        <w:rPr>
          <w:rFonts w:hint="eastAsia"/>
          <w:color w:val="auto"/>
          <w:highlight w:val="none"/>
        </w:rPr>
      </w:pPr>
    </w:p>
    <w:p w14:paraId="48DDFCBB">
      <w:pPr>
        <w:pStyle w:val="32"/>
        <w:rPr>
          <w:rFonts w:hint="eastAsia"/>
          <w:color w:val="auto"/>
          <w:highlight w:val="none"/>
        </w:rPr>
      </w:pPr>
    </w:p>
    <w:p w14:paraId="5A9832AC">
      <w:pPr>
        <w:pStyle w:val="31"/>
        <w:rPr>
          <w:rFonts w:hint="eastAsia"/>
          <w:color w:val="auto"/>
          <w:highlight w:val="none"/>
        </w:rPr>
      </w:pPr>
    </w:p>
    <w:p w14:paraId="501263AF">
      <w:pPr>
        <w:pStyle w:val="32"/>
        <w:rPr>
          <w:rFonts w:hint="eastAsia"/>
          <w:color w:val="auto"/>
          <w:highlight w:val="none"/>
        </w:rPr>
      </w:pPr>
    </w:p>
    <w:p w14:paraId="077B8001">
      <w:pPr>
        <w:pStyle w:val="31"/>
        <w:rPr>
          <w:rFonts w:hint="eastAsia"/>
          <w:color w:val="auto"/>
          <w:highlight w:val="none"/>
        </w:rPr>
      </w:pPr>
    </w:p>
    <w:p w14:paraId="7B159AEE">
      <w:pPr>
        <w:pStyle w:val="32"/>
        <w:rPr>
          <w:rFonts w:hint="eastAsia"/>
          <w:color w:val="auto"/>
          <w:highlight w:val="none"/>
        </w:rPr>
      </w:pPr>
    </w:p>
    <w:p w14:paraId="30F8C8BA">
      <w:pPr>
        <w:pStyle w:val="31"/>
        <w:rPr>
          <w:rFonts w:hint="eastAsia"/>
          <w:color w:val="auto"/>
          <w:highlight w:val="none"/>
        </w:rPr>
      </w:pPr>
    </w:p>
    <w:p w14:paraId="430BBA68">
      <w:pPr>
        <w:pStyle w:val="32"/>
        <w:rPr>
          <w:rFonts w:hint="eastAsia"/>
          <w:color w:val="auto"/>
          <w:highlight w:val="none"/>
        </w:rPr>
      </w:pPr>
    </w:p>
    <w:p w14:paraId="2801B46D">
      <w:pPr>
        <w:pStyle w:val="31"/>
        <w:rPr>
          <w:rFonts w:hint="eastAsia"/>
          <w:color w:val="auto"/>
          <w:highlight w:val="none"/>
        </w:rPr>
      </w:pPr>
    </w:p>
    <w:p w14:paraId="0D700F59">
      <w:pPr>
        <w:pStyle w:val="31"/>
        <w:numPr>
          <w:ilvl w:val="0"/>
          <w:numId w:val="3"/>
        </w:numPr>
        <w:spacing w:line="360" w:lineRule="auto"/>
        <w:ind w:left="0" w:leftChars="0" w:firstLine="0" w:firstLineChars="0"/>
        <w:rPr>
          <w:rFonts w:hint="eastAsia" w:ascii="宋体" w:hAnsi="宋体" w:cs="Times New Roman"/>
          <w:b/>
          <w:color w:val="auto"/>
          <w:sz w:val="24"/>
          <w:highlight w:val="none"/>
          <w:lang w:val="en-US" w:eastAsia="zh-CN"/>
        </w:rPr>
      </w:pPr>
      <w:r>
        <w:rPr>
          <w:rFonts w:hint="eastAsia" w:ascii="宋体" w:hAnsi="宋体" w:cs="Times New Roman"/>
          <w:b/>
          <w:color w:val="auto"/>
          <w:sz w:val="24"/>
          <w:highlight w:val="none"/>
          <w:lang w:val="en-US" w:eastAsia="zh-CN"/>
        </w:rPr>
        <w:t>中小企业声明函（必须提供中小企业声明函或《政府采购促进中小企业发展管理办法 财库〔2020〕46号》要求提供的证明文件，否则响应文件按无效响应处理）。</w:t>
      </w:r>
    </w:p>
    <w:p w14:paraId="4169277A">
      <w:pPr>
        <w:pStyle w:val="32"/>
        <w:widowControl w:val="0"/>
        <w:numPr>
          <w:ilvl w:val="0"/>
          <w:numId w:val="0"/>
        </w:numPr>
        <w:jc w:val="both"/>
        <w:rPr>
          <w:color w:val="auto"/>
          <w:highlight w:val="none"/>
        </w:rPr>
      </w:pPr>
    </w:p>
    <w:p w14:paraId="6747639E">
      <w:pPr>
        <w:jc w:val="center"/>
        <w:rPr>
          <w:rFonts w:hint="eastAsia"/>
          <w:color w:val="auto"/>
          <w:highlight w:val="none"/>
        </w:rPr>
      </w:pPr>
    </w:p>
    <w:p w14:paraId="0C9D9943">
      <w:pPr>
        <w:spacing w:line="300" w:lineRule="exact"/>
        <w:ind w:left="422" w:hanging="422" w:hangingChars="150"/>
        <w:jc w:val="center"/>
        <w:rPr>
          <w:rFonts w:hint="eastAsia"/>
          <w:b/>
          <w:color w:val="auto"/>
          <w:sz w:val="28"/>
          <w:szCs w:val="28"/>
          <w:highlight w:val="none"/>
        </w:rPr>
      </w:pPr>
      <w:r>
        <w:rPr>
          <w:rFonts w:hint="eastAsia"/>
          <w:b/>
          <w:color w:val="auto"/>
          <w:sz w:val="28"/>
          <w:szCs w:val="28"/>
          <w:highlight w:val="none"/>
        </w:rPr>
        <w:t>中小企业声明函（工程）</w:t>
      </w:r>
    </w:p>
    <w:p w14:paraId="1FF55680">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p>
    <w:p w14:paraId="589B503A">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本公司（联合体）郑重声明，根据《政府采购促进中小企业发展管理办法》（财库﹝2020﹞46 号）的规定，本公司（联合体）参加 （单位名称） 的 （项目名称） 采购活动，工程的施工单位全部为符合政策要求的中小企业（或者：服务全部由符合政策要求的中小企业承接）。相关企业（含联合体中的中小企业、签订分包意向协议的中小企业）的具体情况如下：</w:t>
      </w:r>
    </w:p>
    <w:p w14:paraId="5130DB1D">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（标的名称） </w:t>
      </w:r>
      <w:r>
        <w:rPr>
          <w:rFonts w:hint="eastAsia"/>
          <w:color w:val="auto"/>
          <w:sz w:val="21"/>
          <w:szCs w:val="21"/>
          <w:highlight w:val="none"/>
        </w:rPr>
        <w:t xml:space="preserve">，属于 </w:t>
      </w:r>
      <w:r>
        <w:rPr>
          <w:rFonts w:hint="eastAsia"/>
          <w:color w:val="auto"/>
          <w:sz w:val="21"/>
          <w:szCs w:val="21"/>
          <w:highlight w:val="none"/>
          <w:u w:val="single"/>
        </w:rPr>
        <w:t xml:space="preserve">（采购文件中明确的所属行业） </w:t>
      </w:r>
      <w:r>
        <w:rPr>
          <w:rFonts w:hint="eastAsia"/>
          <w:color w:val="auto"/>
          <w:sz w:val="21"/>
          <w:szCs w:val="21"/>
          <w:highlight w:val="none"/>
        </w:rPr>
        <w:t>；承建（承接）企业为</w:t>
      </w:r>
      <w:r>
        <w:rPr>
          <w:rFonts w:hint="eastAsia"/>
          <w:color w:val="auto"/>
          <w:sz w:val="21"/>
          <w:szCs w:val="21"/>
          <w:highlight w:val="none"/>
          <w:u w:val="single"/>
        </w:rPr>
        <w:t xml:space="preserve"> （企业名称）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5E04BBC8">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 xml:space="preserve">2. </w:t>
      </w:r>
      <w:r>
        <w:rPr>
          <w:rFonts w:hint="eastAsia"/>
          <w:color w:val="auto"/>
          <w:sz w:val="21"/>
          <w:szCs w:val="21"/>
          <w:highlight w:val="none"/>
          <w:u w:val="single"/>
        </w:rPr>
        <w:t xml:space="preserve">（标的名称） </w:t>
      </w:r>
      <w:r>
        <w:rPr>
          <w:rFonts w:hint="eastAsia"/>
          <w:color w:val="auto"/>
          <w:sz w:val="21"/>
          <w:szCs w:val="21"/>
          <w:highlight w:val="none"/>
        </w:rPr>
        <w:t>，属于</w:t>
      </w:r>
      <w:r>
        <w:rPr>
          <w:rFonts w:hint="eastAsia"/>
          <w:color w:val="auto"/>
          <w:sz w:val="21"/>
          <w:szCs w:val="21"/>
          <w:highlight w:val="none"/>
          <w:u w:val="single"/>
        </w:rPr>
        <w:t xml:space="preserve"> （采购文件中明确的所属行业） </w:t>
      </w:r>
      <w:r>
        <w:rPr>
          <w:rFonts w:hint="eastAsia"/>
          <w:color w:val="auto"/>
          <w:sz w:val="21"/>
          <w:szCs w:val="21"/>
          <w:highlight w:val="none"/>
        </w:rPr>
        <w:t xml:space="preserve">；承建（承接）企业为 </w:t>
      </w:r>
      <w:r>
        <w:rPr>
          <w:rFonts w:hint="eastAsia"/>
          <w:color w:val="auto"/>
          <w:sz w:val="21"/>
          <w:szCs w:val="21"/>
          <w:highlight w:val="none"/>
          <w:u w:val="single"/>
        </w:rPr>
        <w:t xml:space="preserve">（企业名称） </w:t>
      </w:r>
      <w:r>
        <w:rPr>
          <w:rFonts w:hint="eastAsia"/>
          <w:color w:val="auto"/>
          <w:sz w:val="21"/>
          <w:szCs w:val="21"/>
          <w:highlight w:val="none"/>
        </w:rPr>
        <w:t>，从业人员</w:t>
      </w:r>
      <w:r>
        <w:rPr>
          <w:rFonts w:hint="eastAsia"/>
          <w:color w:val="auto"/>
          <w:sz w:val="21"/>
          <w:szCs w:val="21"/>
          <w:highlight w:val="none"/>
          <w:u w:val="single"/>
        </w:rPr>
        <w:t xml:space="preserve">     </w:t>
      </w:r>
      <w:r>
        <w:rPr>
          <w:rFonts w:hint="eastAsia"/>
          <w:color w:val="auto"/>
          <w:sz w:val="21"/>
          <w:szCs w:val="21"/>
          <w:highlight w:val="none"/>
        </w:rPr>
        <w:t>人，营业收入为</w:t>
      </w:r>
      <w:r>
        <w:rPr>
          <w:rFonts w:hint="eastAsia"/>
          <w:color w:val="auto"/>
          <w:sz w:val="21"/>
          <w:szCs w:val="21"/>
          <w:highlight w:val="none"/>
          <w:u w:val="single"/>
        </w:rPr>
        <w:t xml:space="preserve">      </w:t>
      </w:r>
      <w:r>
        <w:rPr>
          <w:rFonts w:hint="eastAsia"/>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rPr>
        <w:t>万元，属于</w:t>
      </w:r>
      <w:r>
        <w:rPr>
          <w:rFonts w:hint="eastAsia"/>
          <w:color w:val="auto"/>
          <w:sz w:val="21"/>
          <w:szCs w:val="21"/>
          <w:highlight w:val="none"/>
          <w:u w:val="single"/>
        </w:rPr>
        <w:t xml:space="preserve"> （中型企业、小型企业、微型企业）</w:t>
      </w:r>
      <w:r>
        <w:rPr>
          <w:rFonts w:hint="eastAsia"/>
          <w:color w:val="auto"/>
          <w:sz w:val="21"/>
          <w:szCs w:val="21"/>
          <w:highlight w:val="none"/>
        </w:rPr>
        <w:t>；</w:t>
      </w:r>
    </w:p>
    <w:p w14:paraId="46612B7A">
      <w:pPr>
        <w:pStyle w:val="19"/>
        <w:shd w:val="clear" w:color="auto" w:fill="FFFFFF"/>
        <w:spacing w:before="0" w:beforeAutospacing="0" w:after="0" w:afterAutospacing="0" w:line="460" w:lineRule="exact"/>
        <w:ind w:firstLine="539"/>
        <w:rPr>
          <w:rFonts w:hint="eastAsia"/>
          <w:color w:val="auto"/>
          <w:sz w:val="21"/>
          <w:szCs w:val="21"/>
          <w:highlight w:val="none"/>
        </w:rPr>
      </w:pPr>
      <w:r>
        <w:rPr>
          <w:rFonts w:hint="eastAsia"/>
          <w:color w:val="auto"/>
          <w:sz w:val="21"/>
          <w:szCs w:val="21"/>
          <w:highlight w:val="none"/>
        </w:rPr>
        <w:t>……</w:t>
      </w:r>
    </w:p>
    <w:p w14:paraId="08D3F639">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14:paraId="4CCF92B7">
      <w:pPr>
        <w:pStyle w:val="19"/>
        <w:shd w:val="clear" w:color="auto" w:fill="FFFFFF"/>
        <w:spacing w:before="0" w:beforeAutospacing="0" w:after="0" w:afterAutospacing="0" w:line="460" w:lineRule="exact"/>
        <w:ind w:firstLine="420" w:firstLineChars="200"/>
        <w:rPr>
          <w:rFonts w:hint="eastAsia"/>
          <w:color w:val="auto"/>
          <w:sz w:val="21"/>
          <w:szCs w:val="21"/>
          <w:highlight w:val="none"/>
        </w:rPr>
      </w:pPr>
      <w:r>
        <w:rPr>
          <w:rFonts w:hint="eastAsia"/>
          <w:color w:val="auto"/>
          <w:sz w:val="21"/>
          <w:szCs w:val="21"/>
          <w:highlight w:val="none"/>
        </w:rPr>
        <w:t>本企业对上述声明内容的真实性负责。如有虚假，将依法承担相应责任。</w:t>
      </w:r>
    </w:p>
    <w:p w14:paraId="192C2000">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5141F73D">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p>
    <w:p w14:paraId="60661E24">
      <w:pPr>
        <w:pStyle w:val="19"/>
        <w:shd w:val="clear" w:color="auto" w:fill="FFFFFF"/>
        <w:spacing w:before="0" w:beforeAutospacing="0" w:after="0" w:afterAutospacing="0" w:line="460" w:lineRule="exact"/>
        <w:ind w:firstLine="4560" w:firstLineChars="1900"/>
        <w:jc w:val="both"/>
        <w:rPr>
          <w:rFonts w:hint="eastAsia"/>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盖章</w:t>
      </w:r>
      <w:r>
        <w:rPr>
          <w:rFonts w:hint="eastAsia"/>
          <w:color w:val="auto"/>
          <w:sz w:val="21"/>
          <w:szCs w:val="21"/>
          <w:highlight w:val="none"/>
        </w:rPr>
        <w:t>）：</w:t>
      </w:r>
    </w:p>
    <w:p w14:paraId="5488D0F7">
      <w:pPr>
        <w:pStyle w:val="19"/>
        <w:shd w:val="clear" w:color="auto" w:fill="FFFFFF"/>
        <w:spacing w:before="0" w:beforeAutospacing="0" w:after="0" w:afterAutospacing="0" w:line="460" w:lineRule="exact"/>
        <w:ind w:firstLine="5153" w:firstLineChars="2454"/>
        <w:jc w:val="both"/>
        <w:rPr>
          <w:rFonts w:hint="eastAsia"/>
          <w:color w:val="auto"/>
          <w:sz w:val="21"/>
          <w:szCs w:val="21"/>
          <w:highlight w:val="none"/>
        </w:rPr>
      </w:pPr>
      <w:r>
        <w:rPr>
          <w:rFonts w:hint="eastAsia"/>
          <w:color w:val="auto"/>
          <w:sz w:val="21"/>
          <w:szCs w:val="21"/>
          <w:highlight w:val="none"/>
        </w:rPr>
        <w:t>日 期：</w:t>
      </w:r>
    </w:p>
    <w:p w14:paraId="2A76B647">
      <w:pPr>
        <w:pStyle w:val="19"/>
        <w:shd w:val="clear" w:color="auto" w:fill="FFFFFF"/>
        <w:spacing w:before="0" w:beforeAutospacing="0" w:after="0" w:afterAutospacing="0" w:line="460" w:lineRule="exact"/>
        <w:ind w:firstLine="539"/>
        <w:rPr>
          <w:rFonts w:hint="eastAsia"/>
          <w:color w:val="auto"/>
          <w:sz w:val="21"/>
          <w:szCs w:val="21"/>
          <w:highlight w:val="none"/>
        </w:rPr>
      </w:pPr>
    </w:p>
    <w:p w14:paraId="4D1F6C44">
      <w:pPr>
        <w:pStyle w:val="19"/>
        <w:shd w:val="clear" w:color="auto" w:fill="FFFFFF"/>
        <w:spacing w:before="0" w:beforeAutospacing="0" w:after="0" w:afterAutospacing="0" w:line="460" w:lineRule="exact"/>
        <w:ind w:firstLine="539"/>
        <w:rPr>
          <w:rFonts w:hint="eastAsia"/>
          <w:color w:val="auto"/>
          <w:sz w:val="21"/>
          <w:szCs w:val="21"/>
          <w:highlight w:val="none"/>
        </w:rPr>
      </w:pPr>
    </w:p>
    <w:p w14:paraId="47EAC858">
      <w:pPr>
        <w:pStyle w:val="19"/>
        <w:shd w:val="clear" w:color="auto" w:fill="FFFFFF"/>
        <w:spacing w:before="0" w:beforeAutospacing="0" w:after="0" w:afterAutospacing="0" w:line="460" w:lineRule="exact"/>
        <w:ind w:firstLine="539"/>
        <w:rPr>
          <w:rFonts w:hint="eastAsia"/>
          <w:color w:val="auto"/>
          <w:sz w:val="21"/>
          <w:szCs w:val="21"/>
          <w:highlight w:val="none"/>
        </w:rPr>
      </w:pPr>
    </w:p>
    <w:p w14:paraId="712489F5">
      <w:pPr>
        <w:pStyle w:val="19"/>
        <w:shd w:val="clear" w:color="auto" w:fill="FFFFFF"/>
        <w:spacing w:before="0" w:beforeAutospacing="0" w:after="0" w:afterAutospacing="0" w:line="460" w:lineRule="exact"/>
        <w:ind w:firstLine="539"/>
        <w:rPr>
          <w:rFonts w:hint="eastAsia"/>
          <w:bCs/>
          <w:color w:val="auto"/>
          <w:sz w:val="28"/>
          <w:szCs w:val="28"/>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170815</wp:posOffset>
                </wp:positionH>
                <wp:positionV relativeFrom="paragraph">
                  <wp:posOffset>57785</wp:posOffset>
                </wp:positionV>
                <wp:extent cx="2174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217424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3.45pt;margin-top:4.55pt;height:0.05pt;width:171.2pt;z-index:251661312;mso-width-relative:page;mso-height-relative:page;" filled="f" stroked="t" coordsize="21600,21600" o:gfxdata="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bkNi0wAAAAYBAAAPAAAAAAAAAAEAIAAAACIAAABkcnMvZG93bnJldi54bWxQSwECFAAU&#10;AAAACACHTuJAy8HhSfYBAADmAwAADgAAAAAAAAABACAAAAAiAQAAZHJzL2Uyb0RvYy54bWxQSwUG&#10;AAAAAAYABgBZAQAAigUAAAAA&#10;">
                <v:fill on="f" focussize="0,0"/>
                <v:stroke color="#000000" joinstyle="round"/>
                <v:imagedata o:title=""/>
                <o:lock v:ext="edit" aspectratio="f"/>
              </v:line>
            </w:pict>
          </mc:Fallback>
        </mc:AlternateContent>
      </w:r>
      <w:r>
        <w:rPr>
          <w:rFonts w:hint="eastAsia"/>
          <w:color w:val="auto"/>
          <w:sz w:val="21"/>
          <w:szCs w:val="21"/>
          <w:highlight w:val="none"/>
        </w:rPr>
        <w:t>从业人员、营业收入、资产总额填报上一年度数据，无上一年度数据的新成立企业可不填报。</w:t>
      </w:r>
    </w:p>
    <w:p w14:paraId="410C54E9">
      <w:pPr>
        <w:pStyle w:val="32"/>
        <w:rPr>
          <w:rFonts w:hint="eastAsia"/>
          <w:color w:val="auto"/>
          <w:highlight w:val="none"/>
        </w:rPr>
        <w:sectPr>
          <w:pgSz w:w="11906" w:h="16838"/>
          <w:pgMar w:top="1134" w:right="1134" w:bottom="1134" w:left="1417" w:header="851" w:footer="851" w:gutter="0"/>
          <w:pgNumType w:fmt="decimal"/>
          <w:cols w:space="720" w:num="1"/>
          <w:formProt w:val="1"/>
          <w:docGrid w:linePitch="312" w:charSpace="43007"/>
        </w:sectPr>
      </w:pPr>
    </w:p>
    <w:p w14:paraId="7D3D6A10">
      <w:pPr>
        <w:rPr>
          <w:rFonts w:hint="eastAsia"/>
          <w:color w:val="auto"/>
          <w:highlight w:val="none"/>
        </w:rPr>
      </w:pPr>
    </w:p>
    <w:p w14:paraId="52B911C8">
      <w:pPr>
        <w:pStyle w:val="36"/>
        <w:shd w:val="clear" w:color="auto" w:fill="FFFFFF"/>
        <w:spacing w:before="0" w:beforeAutospacing="0" w:after="0" w:afterAutospacing="0"/>
        <w:ind w:left="1836" w:hanging="1424"/>
        <w:jc w:val="center"/>
        <w:rPr>
          <w:rFonts w:hint="eastAsia"/>
          <w:b/>
          <w:color w:val="auto"/>
          <w:sz w:val="32"/>
          <w:szCs w:val="32"/>
          <w:highlight w:val="none"/>
        </w:rPr>
      </w:pPr>
      <w:r>
        <w:rPr>
          <w:rFonts w:hint="eastAsia"/>
          <w:b/>
          <w:color w:val="auto"/>
          <w:sz w:val="32"/>
          <w:szCs w:val="32"/>
          <w:highlight w:val="none"/>
        </w:rPr>
        <w:t>残疾人福利性单位声明函</w:t>
      </w:r>
    </w:p>
    <w:p w14:paraId="24CC6CBD">
      <w:pPr>
        <w:pStyle w:val="19"/>
        <w:shd w:val="clear" w:color="auto" w:fill="FFFFFF"/>
        <w:spacing w:before="0" w:beforeAutospacing="0" w:after="0" w:afterAutospacing="0" w:line="460" w:lineRule="exact"/>
        <w:ind w:firstLine="539"/>
        <w:rPr>
          <w:rFonts w:hint="eastAsia"/>
          <w:color w:val="auto"/>
          <w:highlight w:val="none"/>
        </w:rPr>
      </w:pPr>
    </w:p>
    <w:p w14:paraId="11D5E345">
      <w:pPr>
        <w:pStyle w:val="19"/>
        <w:shd w:val="clear" w:color="auto" w:fill="FFFFFF"/>
        <w:spacing w:before="0" w:beforeAutospacing="0" w:after="0" w:afterAutospacing="0" w:line="460" w:lineRule="exact"/>
        <w:ind w:firstLine="539"/>
        <w:rPr>
          <w:color w:val="auto"/>
          <w:sz w:val="21"/>
          <w:szCs w:val="21"/>
          <w:highlight w:val="none"/>
        </w:rPr>
      </w:pPr>
      <w:r>
        <w:rPr>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rPr>
        <w:t>单位的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项目采购活动提供本单位制造的货物（由本单位承担工程/提供服务），或者提供其他残疾人福利性单位制造的货物（不包括使用非残疾人福利性单位注册商标的货物）。</w:t>
      </w:r>
    </w:p>
    <w:p w14:paraId="62BF7B71">
      <w:pPr>
        <w:pStyle w:val="19"/>
        <w:shd w:val="clear" w:color="auto" w:fill="FFFFFF"/>
        <w:spacing w:before="0" w:beforeAutospacing="0" w:after="0" w:afterAutospacing="0" w:line="460" w:lineRule="exact"/>
        <w:ind w:firstLine="539"/>
        <w:rPr>
          <w:rFonts w:hint="eastAsia"/>
          <w:color w:val="auto"/>
          <w:sz w:val="21"/>
          <w:szCs w:val="21"/>
          <w:highlight w:val="none"/>
        </w:rPr>
      </w:pPr>
      <w:r>
        <w:rPr>
          <w:color w:val="auto"/>
          <w:sz w:val="21"/>
          <w:szCs w:val="21"/>
          <w:highlight w:val="none"/>
        </w:rPr>
        <w:t>本单位对上述声明的真实性负责。如有虚假，将依法承担相应责任。</w:t>
      </w:r>
    </w:p>
    <w:p w14:paraId="52AA2335">
      <w:pPr>
        <w:pStyle w:val="19"/>
        <w:shd w:val="clear" w:color="auto" w:fill="FFFFFF"/>
        <w:spacing w:before="0" w:beforeAutospacing="0" w:after="0" w:afterAutospacing="0" w:line="460" w:lineRule="exact"/>
        <w:ind w:firstLine="539"/>
        <w:rPr>
          <w:rFonts w:hint="eastAsia"/>
          <w:color w:val="auto"/>
          <w:sz w:val="21"/>
          <w:szCs w:val="21"/>
          <w:highlight w:val="none"/>
        </w:rPr>
      </w:pPr>
    </w:p>
    <w:p w14:paraId="727845D9">
      <w:pPr>
        <w:pStyle w:val="19"/>
        <w:shd w:val="clear" w:color="auto" w:fill="FFFFFF"/>
        <w:spacing w:before="0" w:beforeAutospacing="0" w:after="0" w:afterAutospacing="0" w:line="460" w:lineRule="exact"/>
        <w:ind w:firstLine="539"/>
        <w:rPr>
          <w:rFonts w:hint="eastAsia"/>
          <w:color w:val="auto"/>
          <w:sz w:val="21"/>
          <w:szCs w:val="21"/>
          <w:highlight w:val="none"/>
        </w:rPr>
      </w:pPr>
    </w:p>
    <w:p w14:paraId="04AB18F2">
      <w:pPr>
        <w:pStyle w:val="19"/>
        <w:shd w:val="clear" w:color="auto" w:fill="FFFFFF"/>
        <w:spacing w:before="0" w:beforeAutospacing="0" w:after="0" w:afterAutospacing="0" w:line="460" w:lineRule="exact"/>
        <w:ind w:firstLine="4320" w:firstLineChars="1800"/>
        <w:rPr>
          <w:color w:val="auto"/>
          <w:sz w:val="21"/>
          <w:szCs w:val="21"/>
          <w:highlight w:val="none"/>
        </w:rPr>
      </w:pPr>
      <w:r>
        <w:rPr>
          <w:rFonts w:hint="eastAsia" w:ascii="宋体" w:hAnsi="宋体" w:cs="宋体"/>
          <w:color w:val="auto"/>
          <w:kern w:val="0"/>
          <w:sz w:val="24"/>
          <w:szCs w:val="21"/>
          <w:highlight w:val="none"/>
        </w:rPr>
        <w:t>磋商单位</w:t>
      </w:r>
      <w:r>
        <w:rPr>
          <w:rFonts w:hint="eastAsia"/>
          <w:color w:val="auto"/>
          <w:sz w:val="21"/>
          <w:szCs w:val="21"/>
          <w:highlight w:val="none"/>
        </w:rPr>
        <w:t>（</w:t>
      </w:r>
      <w:r>
        <w:rPr>
          <w:rFonts w:hint="eastAsia"/>
          <w:color w:val="auto"/>
          <w:sz w:val="21"/>
          <w:szCs w:val="21"/>
          <w:highlight w:val="none"/>
          <w:lang w:eastAsia="zh-CN"/>
        </w:rPr>
        <w:t>盖</w:t>
      </w:r>
      <w:r>
        <w:rPr>
          <w:rFonts w:hint="eastAsia"/>
          <w:color w:val="auto"/>
          <w:sz w:val="21"/>
          <w:szCs w:val="21"/>
          <w:highlight w:val="none"/>
        </w:rPr>
        <w:t>章）</w:t>
      </w:r>
      <w:r>
        <w:rPr>
          <w:color w:val="auto"/>
          <w:sz w:val="21"/>
          <w:szCs w:val="21"/>
          <w:highlight w:val="none"/>
        </w:rPr>
        <w:t>：</w:t>
      </w:r>
    </w:p>
    <w:p w14:paraId="4BDE2AD2">
      <w:pPr>
        <w:pStyle w:val="19"/>
        <w:shd w:val="clear" w:color="auto" w:fill="FFFFFF"/>
        <w:spacing w:before="0" w:beforeAutospacing="0" w:after="0" w:afterAutospacing="0" w:line="460" w:lineRule="exact"/>
        <w:ind w:firstLine="4454" w:firstLineChars="2121"/>
        <w:rPr>
          <w:color w:val="auto"/>
          <w:sz w:val="21"/>
          <w:szCs w:val="21"/>
          <w:highlight w:val="none"/>
        </w:rPr>
      </w:pPr>
      <w:r>
        <w:rPr>
          <w:color w:val="auto"/>
          <w:sz w:val="21"/>
          <w:szCs w:val="21"/>
          <w:highlight w:val="none"/>
        </w:rPr>
        <w:t>日  期：</w:t>
      </w:r>
    </w:p>
    <w:p w14:paraId="2878B59D">
      <w:pPr>
        <w:pStyle w:val="31"/>
        <w:spacing w:line="360" w:lineRule="auto"/>
        <w:rPr>
          <w:rFonts w:ascii="宋体" w:hAnsi="宋体"/>
          <w:b/>
          <w:color w:val="auto"/>
          <w:sz w:val="48"/>
          <w:szCs w:val="48"/>
          <w:highlight w:val="none"/>
        </w:rPr>
      </w:pPr>
    </w:p>
    <w:p w14:paraId="5530C5FD">
      <w:pPr>
        <w:pStyle w:val="32"/>
        <w:rPr>
          <w:rFonts w:ascii="宋体" w:hAnsi="宋体"/>
          <w:b/>
          <w:color w:val="auto"/>
          <w:sz w:val="48"/>
          <w:szCs w:val="48"/>
          <w:highlight w:val="none"/>
        </w:rPr>
      </w:pPr>
    </w:p>
    <w:p w14:paraId="1DB2DAAC">
      <w:pPr>
        <w:pStyle w:val="31"/>
        <w:rPr>
          <w:rFonts w:ascii="宋体" w:hAnsi="宋体"/>
          <w:b/>
          <w:color w:val="auto"/>
          <w:sz w:val="48"/>
          <w:szCs w:val="48"/>
          <w:highlight w:val="none"/>
        </w:rPr>
      </w:pPr>
    </w:p>
    <w:p w14:paraId="31A5C08A">
      <w:pPr>
        <w:pStyle w:val="32"/>
        <w:rPr>
          <w:rFonts w:ascii="宋体" w:hAnsi="宋体"/>
          <w:b/>
          <w:color w:val="auto"/>
          <w:sz w:val="48"/>
          <w:szCs w:val="48"/>
          <w:highlight w:val="none"/>
        </w:rPr>
      </w:pPr>
    </w:p>
    <w:p w14:paraId="0320AC68">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Theme="majorEastAsia"/>
          <w:color w:val="auto"/>
          <w:szCs w:val="21"/>
          <w:highlight w:val="none"/>
          <w:lang w:eastAsia="zh-CN"/>
        </w:rPr>
      </w:pPr>
      <w:r>
        <w:rPr>
          <w:rFonts w:hint="eastAsia" w:ascii="宋体" w:hAnsi="宋体"/>
          <w:color w:val="auto"/>
          <w:szCs w:val="21"/>
          <w:highlight w:val="none"/>
          <w:lang w:eastAsia="zh-CN"/>
        </w:rPr>
        <w:t>注：按照《财政部、司法部关于政府采购支持监狱企业发展有关问题的通知》（财库〔2014〕68号）之规定，监狱企业视同小型、微型企业，监狱企业参加政府采购活动时，应当提供由省级以上监狱管理局、戒毒管理局(含新疆生产建设兵团)出具的属于监狱企业的证明文件。按照《关于促进残疾人就业政府采购政策的通知》（财库〔2017〕141号）的规定，残疾人福利性单位视同小型、微型企业。</w:t>
      </w:r>
    </w:p>
    <w:p w14:paraId="489A1A40">
      <w:pPr>
        <w:pStyle w:val="31"/>
        <w:rPr>
          <w:rFonts w:ascii="宋体" w:hAnsi="宋体"/>
          <w:b/>
          <w:color w:val="auto"/>
          <w:sz w:val="48"/>
          <w:szCs w:val="48"/>
          <w:highlight w:val="none"/>
        </w:rPr>
      </w:pPr>
    </w:p>
    <w:p w14:paraId="243D8E22">
      <w:pPr>
        <w:pStyle w:val="32"/>
        <w:rPr>
          <w:rFonts w:ascii="宋体" w:hAnsi="宋体"/>
          <w:b/>
          <w:color w:val="auto"/>
          <w:sz w:val="48"/>
          <w:szCs w:val="48"/>
          <w:highlight w:val="none"/>
        </w:rPr>
      </w:pPr>
    </w:p>
    <w:p w14:paraId="70E026B1">
      <w:pPr>
        <w:pStyle w:val="31"/>
        <w:rPr>
          <w:rFonts w:ascii="宋体" w:hAnsi="宋体"/>
          <w:b/>
          <w:color w:val="auto"/>
          <w:sz w:val="48"/>
          <w:szCs w:val="48"/>
          <w:highlight w:val="none"/>
        </w:rPr>
      </w:pPr>
    </w:p>
    <w:p w14:paraId="0156641C">
      <w:pPr>
        <w:pStyle w:val="32"/>
        <w:rPr>
          <w:rFonts w:ascii="宋体" w:hAnsi="宋体"/>
          <w:b/>
          <w:color w:val="auto"/>
          <w:sz w:val="48"/>
          <w:szCs w:val="48"/>
          <w:highlight w:val="none"/>
        </w:rPr>
      </w:pPr>
    </w:p>
    <w:p w14:paraId="344DBE8A">
      <w:pPr>
        <w:pStyle w:val="31"/>
        <w:rPr>
          <w:rFonts w:ascii="宋体" w:hAnsi="宋体"/>
          <w:b/>
          <w:color w:val="auto"/>
          <w:sz w:val="48"/>
          <w:szCs w:val="48"/>
          <w:highlight w:val="none"/>
        </w:rPr>
      </w:pPr>
    </w:p>
    <w:p w14:paraId="1632385D">
      <w:pPr>
        <w:pStyle w:val="32"/>
        <w:rPr>
          <w:color w:val="auto"/>
          <w:highlight w:val="none"/>
        </w:rPr>
      </w:pPr>
    </w:p>
    <w:p w14:paraId="70479C2A">
      <w:pPr>
        <w:pStyle w:val="32"/>
        <w:rPr>
          <w:rFonts w:ascii="宋体" w:hAnsi="宋体"/>
          <w:b/>
          <w:color w:val="auto"/>
          <w:sz w:val="48"/>
          <w:szCs w:val="48"/>
          <w:highlight w:val="none"/>
        </w:rPr>
      </w:pPr>
    </w:p>
    <w:p w14:paraId="4F2362F7">
      <w:pPr>
        <w:pStyle w:val="31"/>
        <w:rPr>
          <w:color w:val="auto"/>
          <w:highlight w:val="none"/>
        </w:rPr>
      </w:pPr>
    </w:p>
    <w:p w14:paraId="60C91714">
      <w:pPr>
        <w:pStyle w:val="32"/>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eastAsia="zh-CN"/>
        </w:rPr>
        <w:t>附件：</w:t>
      </w:r>
    </w:p>
    <w:p w14:paraId="1A6C4B26">
      <w:pPr>
        <w:pStyle w:val="31"/>
        <w:jc w:val="center"/>
        <w:rPr>
          <w:rFonts w:hint="eastAsia"/>
          <w:b/>
          <w:bCs/>
          <w:color w:val="auto"/>
          <w:sz w:val="24"/>
          <w:szCs w:val="32"/>
          <w:highlight w:val="none"/>
          <w:lang w:eastAsia="zh-CN"/>
        </w:rPr>
      </w:pPr>
      <w:r>
        <w:rPr>
          <w:rFonts w:hint="eastAsia"/>
          <w:b/>
          <w:bCs/>
          <w:color w:val="auto"/>
          <w:sz w:val="24"/>
          <w:szCs w:val="32"/>
          <w:highlight w:val="none"/>
          <w:lang w:eastAsia="zh-CN"/>
        </w:rPr>
        <w:t>关于印发中小企业划型标准规定的通知(工信部联企业〔2011〕300号)</w:t>
      </w:r>
    </w:p>
    <w:p w14:paraId="38720EBA">
      <w:pPr>
        <w:pStyle w:val="32"/>
        <w:rPr>
          <w:rFonts w:hint="eastAsia"/>
          <w:color w:val="auto"/>
          <w:highlight w:val="none"/>
          <w:lang w:eastAsia="zh-CN"/>
        </w:rPr>
      </w:pPr>
    </w:p>
    <w:p w14:paraId="643208D4">
      <w:pPr>
        <w:pStyle w:val="31"/>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关于印发中小企业划型标准规定的通知</w:t>
      </w:r>
    </w:p>
    <w:p w14:paraId="4528B50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工信部联企业〔2011〕300号各省、自治区、直辖市人民政府，国务院各部委、各直属机构及有关单位：</w:t>
      </w:r>
    </w:p>
    <w:p w14:paraId="5350964D">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307D82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工业和信息化部　国家统计局</w:t>
      </w:r>
    </w:p>
    <w:p w14:paraId="18CC53F8">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国家发展和改革委员会　财政部</w:t>
      </w:r>
    </w:p>
    <w:p w14:paraId="7418614B">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二○一一年六月十八日中小企业划型标准规定　　一、根据《中华人民共和国中小企业促进法》和《国务院关于进一步促进中小企业发展的若干意见》(国发〔2009〕36号)，制定本规定。</w:t>
      </w:r>
    </w:p>
    <w:p w14:paraId="4E5D9EA0">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二、中小企业划分为中型、小型、微型三种类型，具体标准根据企业从业人员、营业收入、资产总额等指标，结合行业特点制定。</w:t>
      </w:r>
    </w:p>
    <w:p w14:paraId="3685533C">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B9151C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四、各行业划型标准为：</w:t>
      </w:r>
    </w:p>
    <w:p w14:paraId="1DD2F79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（一）农、林、牧、渔业。营业收入20000万元以下的为中小微型企业。其中，营业收入500万元及以上的为中型企业，营业收入50万元及以上的为小型企业，营业收入50万元以下的为微型企业。</w:t>
      </w:r>
    </w:p>
    <w:p w14:paraId="7032B3A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E34CBDB">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65279F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C10D3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36F5E2">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88107E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E46931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658EE4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4830CF7">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8E88F3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AC6293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ED10D3E">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86F08EB">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D781E44">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（十六）其他未列明行业。从业人员300人以下的为中小微型企业。其中，从业人员100人及以上的为中型企业；从业人员10人及以上的为小型企业；从业人员10人以下的为微型企业。</w:t>
      </w:r>
    </w:p>
    <w:p w14:paraId="307AA2E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五、企业类型的划分以统计部门的统计数据为依据。</w:t>
      </w:r>
    </w:p>
    <w:p w14:paraId="147119F1">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六、本规定适用于在中华人民共和国境内依法设立的各类所有制和各种组织形式的企业。个体工商户和本规定以外的行业，参照本规定进行划型。</w:t>
      </w:r>
    </w:p>
    <w:p w14:paraId="768465C8">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七、本规定的中型企业标准上限即为大型企业标准的下限，国家统计部门据此制定大中小微型企业的统计分类。国务院有关部门据此进行相关数据分析，不得制定与本规定不一致的企业划型标准。</w:t>
      </w:r>
    </w:p>
    <w:p w14:paraId="1A00AED6">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八、本规定由工业和信息化部、国家统计局会同有关部门根据《国民经济行业分类》修订情况和企业发展变化情况适时修订。</w:t>
      </w:r>
    </w:p>
    <w:p w14:paraId="4BE83085">
      <w:pPr>
        <w:pStyle w:val="31"/>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九、本规定由工业和信息化部、国家统计局会同有关部门负责解释。</w:t>
      </w:r>
    </w:p>
    <w:p w14:paraId="44305BE7">
      <w:pPr>
        <w:pStyle w:val="31"/>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十、本规定自发布之日起执行，原国家经贸委、原国家计委、财政部和国家统计局2003年颁布的《中小企业标准暂行规定》同时废止。</w:t>
      </w:r>
    </w:p>
    <w:p w14:paraId="20612743">
      <w:pPr>
        <w:pStyle w:val="31"/>
        <w:spacing w:line="360" w:lineRule="auto"/>
        <w:rPr>
          <w:rFonts w:hint="eastAsia" w:ascii="宋体" w:hAnsi="宋体" w:eastAsia="宋体" w:cs="宋体"/>
          <w:color w:val="auto"/>
          <w:sz w:val="21"/>
          <w:szCs w:val="21"/>
          <w:highlight w:val="none"/>
          <w:lang w:eastAsia="zh-CN"/>
        </w:rPr>
      </w:pPr>
    </w:p>
    <w:p w14:paraId="128E516C">
      <w:pPr>
        <w:pStyle w:val="44"/>
        <w:rPr>
          <w:color w:val="auto"/>
          <w:highlight w:val="none"/>
        </w:rPr>
      </w:pPr>
    </w:p>
    <w:p w14:paraId="287687B4">
      <w:pPr>
        <w:pStyle w:val="31"/>
        <w:rPr>
          <w:color w:val="auto"/>
          <w:highlight w:val="none"/>
        </w:rPr>
      </w:pPr>
    </w:p>
    <w:p w14:paraId="28FCB5BD">
      <w:pPr>
        <w:pStyle w:val="32"/>
        <w:rPr>
          <w:color w:val="auto"/>
          <w:highlight w:val="none"/>
        </w:rPr>
      </w:pPr>
    </w:p>
    <w:p w14:paraId="08879E1F">
      <w:pPr>
        <w:pStyle w:val="31"/>
        <w:rPr>
          <w:color w:val="auto"/>
          <w:highlight w:val="none"/>
        </w:rPr>
      </w:pPr>
    </w:p>
    <w:p w14:paraId="61B12DDB">
      <w:pPr>
        <w:pStyle w:val="32"/>
        <w:rPr>
          <w:color w:val="auto"/>
          <w:highlight w:val="none"/>
        </w:rPr>
      </w:pPr>
    </w:p>
    <w:p w14:paraId="1D38358F">
      <w:pPr>
        <w:pStyle w:val="31"/>
        <w:rPr>
          <w:color w:val="auto"/>
          <w:highlight w:val="none"/>
        </w:rPr>
      </w:pPr>
    </w:p>
    <w:p w14:paraId="67440CDC">
      <w:pPr>
        <w:pStyle w:val="32"/>
        <w:rPr>
          <w:color w:val="auto"/>
          <w:highlight w:val="none"/>
        </w:rPr>
      </w:pPr>
    </w:p>
    <w:p w14:paraId="123B4C37">
      <w:pPr>
        <w:pStyle w:val="31"/>
        <w:rPr>
          <w:color w:val="auto"/>
          <w:highlight w:val="none"/>
        </w:rPr>
      </w:pPr>
    </w:p>
    <w:p w14:paraId="3F33082A">
      <w:pPr>
        <w:pStyle w:val="32"/>
        <w:rPr>
          <w:color w:val="auto"/>
          <w:highlight w:val="none"/>
        </w:rPr>
      </w:pPr>
    </w:p>
    <w:p w14:paraId="291ED934">
      <w:pPr>
        <w:pStyle w:val="31"/>
        <w:rPr>
          <w:color w:val="auto"/>
          <w:highlight w:val="none"/>
        </w:rPr>
      </w:pPr>
    </w:p>
    <w:p w14:paraId="4630BBFE">
      <w:pPr>
        <w:pStyle w:val="32"/>
        <w:rPr>
          <w:color w:val="auto"/>
          <w:highlight w:val="none"/>
        </w:rPr>
      </w:pPr>
    </w:p>
    <w:p w14:paraId="355E20EF">
      <w:pPr>
        <w:pStyle w:val="31"/>
        <w:rPr>
          <w:color w:val="auto"/>
          <w:highlight w:val="none"/>
        </w:rPr>
      </w:pPr>
    </w:p>
    <w:p w14:paraId="6BA7BC1B">
      <w:pPr>
        <w:pStyle w:val="32"/>
        <w:rPr>
          <w:color w:val="auto"/>
          <w:highlight w:val="none"/>
        </w:rPr>
      </w:pPr>
    </w:p>
    <w:p w14:paraId="2883FEDF">
      <w:pPr>
        <w:pStyle w:val="31"/>
        <w:rPr>
          <w:color w:val="auto"/>
          <w:highlight w:val="none"/>
        </w:rPr>
      </w:pPr>
    </w:p>
    <w:p w14:paraId="59FEA454">
      <w:pPr>
        <w:pStyle w:val="32"/>
        <w:rPr>
          <w:color w:val="auto"/>
          <w:highlight w:val="none"/>
        </w:rPr>
      </w:pPr>
    </w:p>
    <w:p w14:paraId="4249A405">
      <w:pPr>
        <w:pStyle w:val="31"/>
        <w:rPr>
          <w:color w:val="auto"/>
          <w:highlight w:val="none"/>
        </w:rPr>
      </w:pPr>
    </w:p>
    <w:p w14:paraId="1FE82085">
      <w:pPr>
        <w:pStyle w:val="32"/>
        <w:rPr>
          <w:color w:val="auto"/>
          <w:highlight w:val="none"/>
        </w:rPr>
      </w:pPr>
    </w:p>
    <w:p w14:paraId="6726098F">
      <w:pPr>
        <w:pStyle w:val="31"/>
        <w:rPr>
          <w:color w:val="auto"/>
          <w:highlight w:val="none"/>
        </w:rPr>
      </w:pPr>
    </w:p>
    <w:p w14:paraId="4F714D3B">
      <w:pPr>
        <w:pStyle w:val="32"/>
        <w:rPr>
          <w:color w:val="auto"/>
          <w:highlight w:val="none"/>
        </w:rPr>
      </w:pPr>
    </w:p>
    <w:p w14:paraId="02F5BC1D">
      <w:pPr>
        <w:pStyle w:val="31"/>
        <w:rPr>
          <w:color w:val="auto"/>
          <w:highlight w:val="none"/>
        </w:rPr>
      </w:pPr>
    </w:p>
    <w:p w14:paraId="098B13EE">
      <w:pPr>
        <w:pStyle w:val="32"/>
        <w:rPr>
          <w:color w:val="auto"/>
          <w:highlight w:val="none"/>
        </w:rPr>
      </w:pPr>
    </w:p>
    <w:p w14:paraId="65267A07">
      <w:pPr>
        <w:pStyle w:val="31"/>
        <w:rPr>
          <w:color w:val="auto"/>
          <w:highlight w:val="none"/>
        </w:rPr>
      </w:pPr>
    </w:p>
    <w:p w14:paraId="5A8CBF7D">
      <w:pPr>
        <w:pStyle w:val="32"/>
        <w:rPr>
          <w:color w:val="auto"/>
          <w:highlight w:val="none"/>
        </w:rPr>
      </w:pPr>
    </w:p>
    <w:p w14:paraId="3AACD76C">
      <w:pPr>
        <w:pStyle w:val="31"/>
        <w:rPr>
          <w:color w:val="auto"/>
          <w:highlight w:val="none"/>
        </w:rPr>
      </w:pPr>
    </w:p>
    <w:p w14:paraId="3E1F2C90">
      <w:pPr>
        <w:pStyle w:val="32"/>
        <w:rPr>
          <w:color w:val="auto"/>
          <w:highlight w:val="none"/>
        </w:rPr>
      </w:pPr>
    </w:p>
    <w:p w14:paraId="79DB799C">
      <w:pPr>
        <w:pStyle w:val="31"/>
        <w:rPr>
          <w:color w:val="auto"/>
          <w:highlight w:val="none"/>
        </w:rPr>
      </w:pPr>
    </w:p>
    <w:p w14:paraId="6CA61109">
      <w:pPr>
        <w:pStyle w:val="32"/>
        <w:rPr>
          <w:rFonts w:ascii="宋体" w:hAnsi="宋体"/>
          <w:b/>
          <w:color w:val="auto"/>
          <w:sz w:val="48"/>
          <w:szCs w:val="48"/>
          <w:highlight w:val="none"/>
        </w:rPr>
      </w:pPr>
    </w:p>
    <w:p w14:paraId="60DB420B">
      <w:pPr>
        <w:pStyle w:val="2"/>
        <w:spacing w:line="360" w:lineRule="auto"/>
        <w:jc w:val="center"/>
        <w:rPr>
          <w:rFonts w:ascii="宋体" w:cs="宋体"/>
          <w:color w:val="auto"/>
          <w:sz w:val="36"/>
          <w:highlight w:val="none"/>
        </w:rPr>
      </w:pPr>
      <w:bookmarkStart w:id="60" w:name="_Toc24872"/>
      <w:bookmarkStart w:id="61" w:name="_Toc24800"/>
      <w:bookmarkStart w:id="62" w:name="_Toc243584363"/>
      <w:bookmarkStart w:id="63" w:name="_Toc16635"/>
      <w:bookmarkStart w:id="64" w:name="_Toc243630963"/>
      <w:bookmarkStart w:id="65" w:name="_Toc255977446"/>
      <w:bookmarkStart w:id="66" w:name="_Toc247301841"/>
      <w:bookmarkStart w:id="67" w:name="_Toc247292448"/>
      <w:r>
        <w:rPr>
          <w:rFonts w:hint="eastAsia" w:ascii="宋体" w:hAnsi="宋体" w:cs="宋体"/>
          <w:color w:val="auto"/>
          <w:sz w:val="36"/>
          <w:highlight w:val="none"/>
        </w:rPr>
        <w:t>响应文件</w:t>
      </w:r>
      <w:r>
        <w:rPr>
          <w:rFonts w:hint="eastAsia" w:ascii="宋体" w:hAnsi="宋体" w:cs="宋体"/>
          <w:color w:val="auto"/>
          <w:sz w:val="36"/>
          <w:highlight w:val="none"/>
          <w:lang w:eastAsia="zh-CN"/>
        </w:rPr>
        <w:t>商务报价文件</w:t>
      </w:r>
      <w:r>
        <w:rPr>
          <w:rFonts w:hint="eastAsia" w:ascii="宋体" w:hAnsi="宋体" w:cs="宋体"/>
          <w:color w:val="auto"/>
          <w:sz w:val="36"/>
          <w:highlight w:val="none"/>
        </w:rPr>
        <w:t>部分</w:t>
      </w:r>
      <w:bookmarkEnd w:id="60"/>
      <w:bookmarkEnd w:id="61"/>
      <w:bookmarkEnd w:id="62"/>
      <w:bookmarkEnd w:id="63"/>
      <w:bookmarkEnd w:id="64"/>
      <w:bookmarkEnd w:id="65"/>
      <w:bookmarkEnd w:id="66"/>
      <w:bookmarkEnd w:id="67"/>
    </w:p>
    <w:p w14:paraId="01A2A581">
      <w:pPr>
        <w:pStyle w:val="3"/>
        <w:spacing w:line="360" w:lineRule="auto"/>
        <w:jc w:val="center"/>
        <w:rPr>
          <w:rFonts w:ascii="宋体" w:hAnsi="宋体" w:eastAsia="宋体" w:cs="宋体"/>
          <w:color w:val="auto"/>
          <w:kern w:val="0"/>
          <w:highlight w:val="none"/>
        </w:rPr>
      </w:pPr>
      <w:bookmarkStart w:id="68" w:name="_Toc247301842"/>
      <w:bookmarkStart w:id="69" w:name="_Toc11962"/>
      <w:bookmarkStart w:id="70" w:name="_Toc27920"/>
      <w:bookmarkStart w:id="71" w:name="_Toc2585"/>
      <w:bookmarkStart w:id="72" w:name="_Toc27322"/>
      <w:bookmarkStart w:id="73" w:name="_Toc32493"/>
      <w:bookmarkStart w:id="74" w:name="_Toc247292449"/>
      <w:bookmarkStart w:id="75" w:name="_Toc255977447"/>
      <w:r>
        <w:rPr>
          <w:rFonts w:hint="eastAsia" w:ascii="宋体" w:hAnsi="宋体" w:eastAsia="宋体" w:cs="宋体"/>
          <w:color w:val="auto"/>
          <w:kern w:val="0"/>
          <w:highlight w:val="none"/>
        </w:rPr>
        <w:t>封面格式</w:t>
      </w:r>
      <w:bookmarkEnd w:id="68"/>
      <w:bookmarkEnd w:id="69"/>
      <w:bookmarkEnd w:id="70"/>
      <w:bookmarkEnd w:id="71"/>
      <w:bookmarkEnd w:id="72"/>
      <w:bookmarkEnd w:id="73"/>
      <w:bookmarkEnd w:id="74"/>
      <w:bookmarkEnd w:id="75"/>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3F3B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17F509D6">
            <w:pPr>
              <w:autoSpaceDE w:val="0"/>
              <w:autoSpaceDN w:val="0"/>
              <w:adjustRightInd w:val="0"/>
              <w:spacing w:line="360" w:lineRule="auto"/>
              <w:jc w:val="center"/>
              <w:outlineLvl w:val="0"/>
              <w:rPr>
                <w:rFonts w:ascii="宋体" w:cs="宋体"/>
                <w:b/>
                <w:color w:val="auto"/>
                <w:kern w:val="0"/>
                <w:sz w:val="40"/>
                <w:szCs w:val="21"/>
                <w:highlight w:val="none"/>
              </w:rPr>
            </w:pPr>
          </w:p>
          <w:p w14:paraId="0F923A64">
            <w:pPr>
              <w:autoSpaceDE w:val="0"/>
              <w:autoSpaceDN w:val="0"/>
              <w:adjustRightInd w:val="0"/>
              <w:spacing w:line="360" w:lineRule="auto"/>
              <w:jc w:val="center"/>
              <w:outlineLvl w:val="0"/>
              <w:rPr>
                <w:rFonts w:ascii="宋体" w:cs="宋体"/>
                <w:b/>
                <w:color w:val="auto"/>
                <w:kern w:val="0"/>
                <w:sz w:val="40"/>
                <w:szCs w:val="21"/>
                <w:highlight w:val="none"/>
              </w:rPr>
            </w:pPr>
          </w:p>
          <w:p w14:paraId="353336F7">
            <w:pPr>
              <w:autoSpaceDE w:val="0"/>
              <w:autoSpaceDN w:val="0"/>
              <w:adjustRightInd w:val="0"/>
              <w:spacing w:line="360" w:lineRule="auto"/>
              <w:jc w:val="center"/>
              <w:outlineLvl w:val="0"/>
              <w:rPr>
                <w:rFonts w:ascii="宋体" w:cs="宋体"/>
                <w:b/>
                <w:color w:val="auto"/>
                <w:kern w:val="0"/>
                <w:sz w:val="22"/>
                <w:szCs w:val="21"/>
                <w:highlight w:val="none"/>
              </w:rPr>
            </w:pPr>
            <w:bookmarkStart w:id="76" w:name="_Toc32370"/>
            <w:r>
              <w:rPr>
                <w:rFonts w:hint="eastAsia" w:ascii="宋体" w:hAnsi="宋体" w:cs="宋体"/>
                <w:b/>
                <w:color w:val="auto"/>
                <w:kern w:val="0"/>
                <w:sz w:val="32"/>
                <w:szCs w:val="21"/>
                <w:highlight w:val="none"/>
                <w:lang w:val="en-US" w:eastAsia="zh-CN"/>
              </w:rPr>
              <w:t>（项目名称）</w:t>
            </w:r>
            <w:bookmarkEnd w:id="76"/>
          </w:p>
          <w:p w14:paraId="27C558C6">
            <w:pPr>
              <w:autoSpaceDE w:val="0"/>
              <w:autoSpaceDN w:val="0"/>
              <w:adjustRightInd w:val="0"/>
              <w:spacing w:line="360" w:lineRule="auto"/>
              <w:jc w:val="center"/>
              <w:outlineLvl w:val="0"/>
              <w:rPr>
                <w:rFonts w:ascii="宋体" w:cs="宋体"/>
                <w:color w:val="auto"/>
                <w:kern w:val="0"/>
                <w:sz w:val="22"/>
                <w:szCs w:val="21"/>
                <w:highlight w:val="none"/>
              </w:rPr>
            </w:pPr>
          </w:p>
          <w:p w14:paraId="51A8660C">
            <w:pPr>
              <w:autoSpaceDE w:val="0"/>
              <w:autoSpaceDN w:val="0"/>
              <w:adjustRightInd w:val="0"/>
              <w:spacing w:line="360" w:lineRule="auto"/>
              <w:jc w:val="center"/>
              <w:outlineLvl w:val="0"/>
              <w:rPr>
                <w:rFonts w:ascii="宋体" w:cs="宋体"/>
                <w:color w:val="auto"/>
                <w:kern w:val="0"/>
                <w:sz w:val="22"/>
                <w:szCs w:val="21"/>
                <w:highlight w:val="none"/>
              </w:rPr>
            </w:pPr>
          </w:p>
          <w:p w14:paraId="4A922CDC">
            <w:pPr>
              <w:autoSpaceDE w:val="0"/>
              <w:autoSpaceDN w:val="0"/>
              <w:adjustRightInd w:val="0"/>
              <w:spacing w:line="360" w:lineRule="auto"/>
              <w:jc w:val="center"/>
              <w:outlineLvl w:val="0"/>
              <w:rPr>
                <w:rFonts w:ascii="宋体" w:cs="宋体"/>
                <w:b/>
                <w:color w:val="auto"/>
                <w:kern w:val="0"/>
                <w:sz w:val="56"/>
                <w:szCs w:val="21"/>
                <w:highlight w:val="none"/>
              </w:rPr>
            </w:pPr>
            <w:bookmarkStart w:id="77" w:name="_Toc6427"/>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77"/>
          </w:p>
          <w:p w14:paraId="6D76ECAF">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68F7CD27">
            <w:pPr>
              <w:autoSpaceDE w:val="0"/>
              <w:autoSpaceDN w:val="0"/>
              <w:adjustRightInd w:val="0"/>
              <w:spacing w:line="360" w:lineRule="auto"/>
              <w:jc w:val="center"/>
              <w:outlineLvl w:val="0"/>
              <w:rPr>
                <w:rFonts w:ascii="宋体" w:cs="宋体"/>
                <w:color w:val="auto"/>
                <w:kern w:val="0"/>
                <w:sz w:val="22"/>
                <w:szCs w:val="21"/>
                <w:highlight w:val="none"/>
              </w:rPr>
            </w:pPr>
          </w:p>
          <w:p w14:paraId="2B8E2DD7">
            <w:pPr>
              <w:autoSpaceDE w:val="0"/>
              <w:autoSpaceDN w:val="0"/>
              <w:adjustRightInd w:val="0"/>
              <w:spacing w:line="360" w:lineRule="auto"/>
              <w:jc w:val="center"/>
              <w:outlineLvl w:val="0"/>
              <w:rPr>
                <w:rFonts w:ascii="宋体" w:cs="宋体"/>
                <w:color w:val="auto"/>
                <w:kern w:val="0"/>
                <w:sz w:val="22"/>
                <w:szCs w:val="21"/>
                <w:highlight w:val="none"/>
              </w:rPr>
            </w:pPr>
          </w:p>
          <w:p w14:paraId="37D7A52F">
            <w:pPr>
              <w:autoSpaceDE w:val="0"/>
              <w:autoSpaceDN w:val="0"/>
              <w:adjustRightInd w:val="0"/>
              <w:spacing w:line="360" w:lineRule="auto"/>
              <w:jc w:val="center"/>
              <w:outlineLvl w:val="0"/>
              <w:rPr>
                <w:rFonts w:ascii="宋体" w:cs="宋体"/>
                <w:color w:val="auto"/>
                <w:kern w:val="0"/>
                <w:sz w:val="22"/>
                <w:szCs w:val="21"/>
                <w:highlight w:val="none"/>
              </w:rPr>
            </w:pPr>
          </w:p>
          <w:p w14:paraId="311DD49A">
            <w:pPr>
              <w:autoSpaceDE w:val="0"/>
              <w:autoSpaceDN w:val="0"/>
              <w:adjustRightInd w:val="0"/>
              <w:spacing w:line="360" w:lineRule="auto"/>
              <w:jc w:val="center"/>
              <w:outlineLvl w:val="0"/>
              <w:rPr>
                <w:rFonts w:ascii="宋体" w:cs="宋体"/>
                <w:color w:val="auto"/>
                <w:kern w:val="0"/>
                <w:sz w:val="22"/>
                <w:szCs w:val="21"/>
                <w:highlight w:val="none"/>
              </w:rPr>
            </w:pPr>
          </w:p>
          <w:p w14:paraId="6443D6A2">
            <w:pPr>
              <w:autoSpaceDE w:val="0"/>
              <w:autoSpaceDN w:val="0"/>
              <w:adjustRightInd w:val="0"/>
              <w:spacing w:line="360" w:lineRule="auto"/>
              <w:jc w:val="center"/>
              <w:outlineLvl w:val="0"/>
              <w:rPr>
                <w:rFonts w:ascii="宋体" w:cs="宋体"/>
                <w:color w:val="auto"/>
                <w:kern w:val="0"/>
                <w:sz w:val="22"/>
                <w:szCs w:val="21"/>
                <w:highlight w:val="none"/>
              </w:rPr>
            </w:pPr>
          </w:p>
          <w:p w14:paraId="394A1DD9">
            <w:pPr>
              <w:autoSpaceDE w:val="0"/>
              <w:autoSpaceDN w:val="0"/>
              <w:adjustRightInd w:val="0"/>
              <w:spacing w:line="360" w:lineRule="auto"/>
              <w:jc w:val="center"/>
              <w:outlineLvl w:val="0"/>
              <w:rPr>
                <w:rFonts w:ascii="宋体" w:hAnsi="宋体" w:cs="宋体"/>
                <w:color w:val="auto"/>
                <w:kern w:val="0"/>
                <w:sz w:val="22"/>
                <w:szCs w:val="21"/>
                <w:highlight w:val="none"/>
              </w:rPr>
            </w:pPr>
          </w:p>
          <w:p w14:paraId="3A43AB15">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78" w:name="_Toc28065"/>
            <w:bookmarkStart w:id="79" w:name="_Toc243584368"/>
            <w:r>
              <w:rPr>
                <w:rFonts w:hint="eastAsia" w:ascii="宋体" w:hAnsi="宋体" w:cs="宋体"/>
                <w:color w:val="auto"/>
                <w:kern w:val="0"/>
                <w:sz w:val="24"/>
                <w:szCs w:val="21"/>
                <w:highlight w:val="none"/>
              </w:rPr>
              <w:t>项目名称：</w:t>
            </w:r>
            <w:bookmarkEnd w:id="78"/>
            <w:bookmarkEnd w:id="79"/>
          </w:p>
          <w:p w14:paraId="01A81F58">
            <w:pPr>
              <w:autoSpaceDE w:val="0"/>
              <w:autoSpaceDN w:val="0"/>
              <w:adjustRightInd w:val="0"/>
              <w:spacing w:line="360" w:lineRule="auto"/>
              <w:ind w:firstLine="480" w:firstLineChars="200"/>
              <w:rPr>
                <w:rFonts w:hint="default" w:ascii="宋体" w:eastAsia="宋体" w:cs="宋体"/>
                <w:color w:val="auto"/>
                <w:kern w:val="0"/>
                <w:sz w:val="24"/>
                <w:szCs w:val="21"/>
                <w:highlight w:val="none"/>
                <w:lang w:val="en-US" w:eastAsia="zh-CN"/>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lang w:eastAsia="zh-CN"/>
              </w:rPr>
              <w:t>商务</w:t>
            </w:r>
            <w:r>
              <w:rPr>
                <w:rFonts w:hint="eastAsia" w:ascii="宋体" w:hAnsi="宋体" w:cs="宋体"/>
                <w:color w:val="auto"/>
                <w:kern w:val="0"/>
                <w:sz w:val="24"/>
                <w:szCs w:val="21"/>
                <w:highlight w:val="none"/>
                <w:u w:val="single"/>
                <w:lang w:eastAsia="zh-CN"/>
              </w:rPr>
              <w:t>报价文件部分</w:t>
            </w:r>
          </w:p>
          <w:p w14:paraId="061FBBB6">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80" w:name="_Toc4027"/>
            <w:bookmarkStart w:id="81" w:name="_Toc243584369"/>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w:t>
            </w:r>
            <w:r>
              <w:rPr>
                <w:rFonts w:hint="eastAsia" w:ascii="宋体" w:hAnsi="宋体" w:cs="宋体"/>
                <w:color w:val="auto"/>
                <w:kern w:val="0"/>
                <w:sz w:val="24"/>
                <w:szCs w:val="21"/>
                <w:highlight w:val="none"/>
                <w:u w:val="single"/>
                <w:lang w:val="en-US" w:eastAsia="zh-CN"/>
              </w:rPr>
              <w:t xml:space="preserve">           </w:t>
            </w:r>
            <w:r>
              <w:rPr>
                <w:rFonts w:hint="eastAsia" w:ascii="宋体" w:hAnsi="宋体" w:cs="宋体"/>
                <w:color w:val="auto"/>
                <w:kern w:val="0"/>
                <w:sz w:val="24"/>
                <w:szCs w:val="21"/>
                <w:highlight w:val="none"/>
                <w:u w:val="single"/>
              </w:rPr>
              <w:t>（盖章）</w:t>
            </w:r>
            <w:bookmarkEnd w:id="80"/>
            <w:bookmarkEnd w:id="81"/>
          </w:p>
          <w:p w14:paraId="50190CE1">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82" w:name="_Toc25307"/>
            <w:bookmarkStart w:id="83" w:name="_Toc243584370"/>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82"/>
            <w:bookmarkEnd w:id="83"/>
          </w:p>
          <w:p w14:paraId="2D01A0A5">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日期：年月日</w:t>
            </w:r>
          </w:p>
        </w:tc>
      </w:tr>
    </w:tbl>
    <w:p w14:paraId="00EB20DD">
      <w:pPr>
        <w:pStyle w:val="31"/>
        <w:spacing w:line="360" w:lineRule="auto"/>
        <w:rPr>
          <w:rFonts w:ascii="宋体" w:hAnsi="宋体"/>
          <w:b/>
          <w:color w:val="auto"/>
          <w:sz w:val="28"/>
          <w:szCs w:val="28"/>
          <w:highlight w:val="none"/>
        </w:rPr>
      </w:pPr>
    </w:p>
    <w:p w14:paraId="45D6537B">
      <w:pPr>
        <w:pStyle w:val="31"/>
        <w:spacing w:line="360" w:lineRule="auto"/>
        <w:rPr>
          <w:rFonts w:ascii="宋体" w:hAnsi="宋体"/>
          <w:b/>
          <w:color w:val="auto"/>
          <w:sz w:val="28"/>
          <w:szCs w:val="28"/>
          <w:highlight w:val="none"/>
        </w:rPr>
      </w:pPr>
    </w:p>
    <w:p w14:paraId="54551760">
      <w:pPr>
        <w:pStyle w:val="31"/>
        <w:spacing w:line="360" w:lineRule="auto"/>
        <w:rPr>
          <w:rFonts w:ascii="宋体" w:hAnsi="宋体"/>
          <w:b/>
          <w:color w:val="auto"/>
          <w:sz w:val="28"/>
          <w:szCs w:val="28"/>
          <w:highlight w:val="none"/>
        </w:rPr>
      </w:pPr>
    </w:p>
    <w:p w14:paraId="0A20A466">
      <w:pPr>
        <w:pStyle w:val="31"/>
        <w:spacing w:line="360" w:lineRule="auto"/>
        <w:rPr>
          <w:rFonts w:ascii="宋体" w:hAnsi="宋体"/>
          <w:b/>
          <w:color w:val="auto"/>
          <w:sz w:val="28"/>
          <w:szCs w:val="28"/>
          <w:highlight w:val="none"/>
        </w:rPr>
      </w:pPr>
    </w:p>
    <w:p w14:paraId="5C39462D">
      <w:pPr>
        <w:pStyle w:val="31"/>
        <w:spacing w:line="360" w:lineRule="auto"/>
        <w:rPr>
          <w:rFonts w:ascii="宋体" w:hAnsi="宋体"/>
          <w:b/>
          <w:color w:val="auto"/>
          <w:sz w:val="28"/>
          <w:szCs w:val="28"/>
          <w:highlight w:val="none"/>
        </w:rPr>
      </w:pPr>
    </w:p>
    <w:p w14:paraId="654A5387">
      <w:pPr>
        <w:pStyle w:val="31"/>
        <w:spacing w:line="360" w:lineRule="auto"/>
        <w:rPr>
          <w:rFonts w:ascii="宋体" w:hAnsi="宋体"/>
          <w:b/>
          <w:color w:val="auto"/>
          <w:sz w:val="28"/>
          <w:szCs w:val="28"/>
          <w:highlight w:val="none"/>
        </w:rPr>
      </w:pPr>
    </w:p>
    <w:p w14:paraId="74141E86">
      <w:pPr>
        <w:pStyle w:val="31"/>
        <w:spacing w:line="360" w:lineRule="auto"/>
        <w:rPr>
          <w:rFonts w:ascii="宋体" w:hAnsi="宋体"/>
          <w:b/>
          <w:color w:val="auto"/>
          <w:sz w:val="28"/>
          <w:szCs w:val="28"/>
          <w:highlight w:val="none"/>
        </w:rPr>
      </w:pPr>
    </w:p>
    <w:p w14:paraId="6BD93939">
      <w:pPr>
        <w:pStyle w:val="31"/>
        <w:spacing w:line="360" w:lineRule="auto"/>
        <w:rPr>
          <w:rFonts w:ascii="宋体" w:hAnsi="宋体"/>
          <w:b/>
          <w:color w:val="auto"/>
          <w:sz w:val="28"/>
          <w:szCs w:val="28"/>
          <w:highlight w:val="none"/>
        </w:rPr>
      </w:pPr>
    </w:p>
    <w:p w14:paraId="202883DB">
      <w:pPr>
        <w:pStyle w:val="31"/>
        <w:spacing w:line="360" w:lineRule="auto"/>
        <w:rPr>
          <w:rFonts w:ascii="宋体" w:hAnsi="宋体"/>
          <w:b/>
          <w:color w:val="auto"/>
          <w:sz w:val="28"/>
          <w:szCs w:val="28"/>
          <w:highlight w:val="none"/>
        </w:rPr>
      </w:pPr>
    </w:p>
    <w:p w14:paraId="638CE0F9">
      <w:pPr>
        <w:pStyle w:val="31"/>
        <w:spacing w:line="360" w:lineRule="auto"/>
        <w:rPr>
          <w:rFonts w:ascii="宋体" w:hAnsi="宋体"/>
          <w:b/>
          <w:color w:val="auto"/>
          <w:sz w:val="28"/>
          <w:szCs w:val="28"/>
          <w:highlight w:val="none"/>
        </w:rPr>
      </w:pPr>
    </w:p>
    <w:p w14:paraId="3680F01A">
      <w:pPr>
        <w:pStyle w:val="31"/>
        <w:spacing w:line="360" w:lineRule="auto"/>
        <w:rPr>
          <w:rFonts w:ascii="宋体" w:hAnsi="宋体"/>
          <w:b/>
          <w:color w:val="auto"/>
          <w:sz w:val="28"/>
          <w:szCs w:val="28"/>
          <w:highlight w:val="none"/>
        </w:rPr>
      </w:pPr>
    </w:p>
    <w:p w14:paraId="761912EF">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3FA5500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16AE06B4">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（1）法定代表人身份证明书，须附上法定代表人身份证复印件；</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D11F69E">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法定代表人授权委托书</w:t>
      </w:r>
      <w:r>
        <w:rPr>
          <w:rFonts w:ascii="宋体" w:hAnsi="宋体"/>
          <w:color w:val="auto"/>
          <w:szCs w:val="21"/>
          <w:highlight w:val="none"/>
        </w:rPr>
        <w:t>，须附上委托代理人的身份证复印件；（</w:t>
      </w:r>
      <w:r>
        <w:rPr>
          <w:rFonts w:ascii="宋体" w:hAnsi="宋体"/>
          <w:b/>
          <w:bCs/>
          <w:color w:val="auto"/>
          <w:szCs w:val="21"/>
          <w:highlight w:val="none"/>
        </w:rPr>
        <w:t>委托代理时必须提供</w:t>
      </w:r>
      <w:r>
        <w:rPr>
          <w:rFonts w:hint="eastAsia" w:ascii="宋体" w:hAnsi="宋体"/>
          <w:b/>
          <w:bCs/>
          <w:color w:val="auto"/>
          <w:szCs w:val="21"/>
          <w:highlight w:val="none"/>
          <w:lang w:eastAsia="zh-CN"/>
        </w:rPr>
        <w:t>，否则竞标无效</w:t>
      </w:r>
      <w:r>
        <w:rPr>
          <w:rFonts w:ascii="宋体" w:hAnsi="宋体"/>
          <w:color w:val="auto"/>
          <w:szCs w:val="21"/>
          <w:highlight w:val="none"/>
        </w:rPr>
        <w:t>）</w:t>
      </w:r>
    </w:p>
    <w:p w14:paraId="0811B70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无虚假应标、串通竞标行为的承诺函</w:t>
      </w:r>
      <w:r>
        <w:rPr>
          <w:rFonts w:hint="eastAsia" w:ascii="宋体" w:hAnsi="宋体"/>
          <w:color w:val="auto"/>
          <w:szCs w:val="21"/>
          <w:highlight w:val="none"/>
        </w:rPr>
        <w:t>;</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409EDA10">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4</w:t>
      </w:r>
      <w:r>
        <w:rPr>
          <w:rFonts w:hint="eastAsia" w:ascii="宋体" w:hAnsi="宋体"/>
          <w:color w:val="auto"/>
          <w:szCs w:val="21"/>
          <w:highlight w:val="none"/>
          <w:lang w:eastAsia="zh-CN"/>
        </w:rPr>
        <w:t>）</w:t>
      </w:r>
      <w:r>
        <w:rPr>
          <w:rFonts w:ascii="宋体" w:hAnsi="宋体"/>
          <w:color w:val="auto"/>
          <w:szCs w:val="21"/>
          <w:highlight w:val="none"/>
        </w:rPr>
        <w:t>磋商函；</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7DCE9311">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）磋商函附录；</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0403DCE9">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6</w:t>
      </w:r>
      <w:r>
        <w:rPr>
          <w:rFonts w:ascii="宋体" w:hAnsi="宋体"/>
          <w:color w:val="auto"/>
          <w:szCs w:val="21"/>
          <w:highlight w:val="none"/>
        </w:rPr>
        <w:t>）磋商报价表；</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36A1BFFC">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lang w:eastAsia="zh-CN"/>
        </w:rPr>
        <w:t>已标价工程量清单</w:t>
      </w:r>
      <w:r>
        <w:rPr>
          <w:rFonts w:ascii="宋体" w:hAnsi="宋体"/>
          <w:color w:val="auto"/>
          <w:szCs w:val="21"/>
          <w:highlight w:val="none"/>
        </w:rPr>
        <w:t>（格式后附）；</w:t>
      </w:r>
      <w:r>
        <w:rPr>
          <w:rFonts w:ascii="宋体" w:hAnsi="宋体"/>
          <w:b/>
          <w:bCs/>
          <w:color w:val="auto"/>
          <w:szCs w:val="21"/>
          <w:highlight w:val="none"/>
        </w:rPr>
        <w:t>（必须提供</w:t>
      </w:r>
      <w:r>
        <w:rPr>
          <w:rFonts w:hint="eastAsia" w:ascii="宋体" w:hAnsi="宋体"/>
          <w:b/>
          <w:bCs/>
          <w:color w:val="auto"/>
          <w:szCs w:val="21"/>
          <w:highlight w:val="none"/>
          <w:lang w:eastAsia="zh-CN"/>
        </w:rPr>
        <w:t>，否则竞标无效</w:t>
      </w:r>
      <w:r>
        <w:rPr>
          <w:rFonts w:ascii="宋体" w:hAnsi="宋体"/>
          <w:b/>
          <w:bCs/>
          <w:color w:val="auto"/>
          <w:szCs w:val="21"/>
          <w:highlight w:val="none"/>
        </w:rPr>
        <w:t>）</w:t>
      </w:r>
    </w:p>
    <w:p w14:paraId="213A6F22">
      <w:pPr>
        <w:pStyle w:val="31"/>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8</w:t>
      </w:r>
      <w:r>
        <w:rPr>
          <w:rFonts w:ascii="宋体" w:hAnsi="宋体"/>
          <w:color w:val="auto"/>
          <w:szCs w:val="21"/>
          <w:highlight w:val="none"/>
        </w:rPr>
        <w:t>）</w:t>
      </w:r>
      <w:r>
        <w:rPr>
          <w:rFonts w:hint="eastAsia" w:ascii="宋体" w:hAnsi="宋体"/>
          <w:color w:val="auto"/>
          <w:szCs w:val="21"/>
          <w:highlight w:val="none"/>
          <w:lang w:eastAsia="zh-CN"/>
        </w:rPr>
        <w:t>供应商认为有必要提供的声明及其他证明材料</w:t>
      </w:r>
      <w:r>
        <w:rPr>
          <w:rFonts w:hint="eastAsia" w:ascii="宋体" w:hAnsi="宋体"/>
          <w:color w:val="auto"/>
          <w:szCs w:val="21"/>
          <w:highlight w:val="none"/>
        </w:rPr>
        <w:t>（如有，</w:t>
      </w:r>
      <w:r>
        <w:rPr>
          <w:rFonts w:hint="eastAsia" w:ascii="宋体" w:hAnsi="宋体"/>
          <w:color w:val="auto"/>
          <w:szCs w:val="21"/>
          <w:highlight w:val="none"/>
          <w:lang w:eastAsia="zh-CN"/>
        </w:rPr>
        <w:t>请提供</w:t>
      </w:r>
      <w:r>
        <w:rPr>
          <w:rFonts w:hint="eastAsia" w:ascii="宋体" w:hAnsi="宋体"/>
          <w:color w:val="auto"/>
          <w:szCs w:val="21"/>
          <w:highlight w:val="none"/>
        </w:rPr>
        <w:t>）</w:t>
      </w:r>
    </w:p>
    <w:p w14:paraId="5D5AF2FE">
      <w:pPr>
        <w:pStyle w:val="32"/>
        <w:rPr>
          <w:color w:val="auto"/>
          <w:highlight w:val="none"/>
        </w:rPr>
      </w:pPr>
    </w:p>
    <w:p w14:paraId="5EE90174">
      <w:pPr>
        <w:pStyle w:val="31"/>
        <w:spacing w:line="360" w:lineRule="auto"/>
        <w:rPr>
          <w:rFonts w:hint="eastAsia" w:ascii="宋体" w:hAnsi="宋体"/>
          <w:color w:val="auto"/>
          <w:szCs w:val="21"/>
          <w:highlight w:val="none"/>
        </w:rPr>
      </w:pPr>
    </w:p>
    <w:p w14:paraId="31A92B9F">
      <w:pPr>
        <w:pStyle w:val="32"/>
        <w:rPr>
          <w:color w:val="auto"/>
          <w:highlight w:val="none"/>
        </w:rPr>
      </w:pPr>
    </w:p>
    <w:p w14:paraId="1585EC3B">
      <w:pPr>
        <w:pStyle w:val="31"/>
        <w:spacing w:line="360" w:lineRule="auto"/>
        <w:rPr>
          <w:rFonts w:ascii="宋体" w:hAnsi="宋体"/>
          <w:b/>
          <w:color w:val="auto"/>
          <w:sz w:val="28"/>
          <w:szCs w:val="28"/>
          <w:highlight w:val="none"/>
        </w:rPr>
      </w:pPr>
    </w:p>
    <w:p w14:paraId="677C71CC">
      <w:pPr>
        <w:pStyle w:val="31"/>
        <w:spacing w:line="360" w:lineRule="auto"/>
        <w:jc w:val="left"/>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0C7AAD52">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1、</w:t>
      </w:r>
      <w:r>
        <w:rPr>
          <w:rFonts w:ascii="宋体" w:hAnsi="宋体"/>
          <w:b/>
          <w:color w:val="auto"/>
          <w:sz w:val="24"/>
          <w:highlight w:val="none"/>
        </w:rPr>
        <w:t>法定代表人身份证明书，须附上法定代表人身份证复印件</w:t>
      </w:r>
    </w:p>
    <w:p w14:paraId="53D2E87F">
      <w:pPr>
        <w:pStyle w:val="31"/>
        <w:snapToGrid w:val="0"/>
        <w:spacing w:line="360" w:lineRule="auto"/>
        <w:jc w:val="center"/>
        <w:rPr>
          <w:rFonts w:ascii="宋体" w:hAnsi="宋体"/>
          <w:b/>
          <w:color w:val="auto"/>
          <w:sz w:val="24"/>
          <w:highlight w:val="none"/>
        </w:rPr>
      </w:pPr>
    </w:p>
    <w:p w14:paraId="05D16FB8">
      <w:pPr>
        <w:pStyle w:val="31"/>
        <w:snapToGrid w:val="0"/>
        <w:spacing w:line="360" w:lineRule="auto"/>
        <w:jc w:val="center"/>
        <w:rPr>
          <w:rFonts w:ascii="宋体" w:hAnsi="宋体"/>
          <w:b/>
          <w:color w:val="auto"/>
          <w:sz w:val="24"/>
          <w:highlight w:val="none"/>
        </w:rPr>
      </w:pPr>
      <w:r>
        <w:rPr>
          <w:rFonts w:ascii="宋体" w:hAnsi="宋体"/>
          <w:b/>
          <w:color w:val="auto"/>
          <w:sz w:val="24"/>
          <w:highlight w:val="none"/>
        </w:rPr>
        <w:t>法定代表人身份证明书</w:t>
      </w:r>
    </w:p>
    <w:p w14:paraId="7B9E2196">
      <w:pPr>
        <w:autoSpaceDE w:val="0"/>
        <w:autoSpaceDN w:val="0"/>
        <w:adjustRightInd w:val="0"/>
        <w:spacing w:line="480" w:lineRule="auto"/>
        <w:jc w:val="left"/>
        <w:rPr>
          <w:rFonts w:hint="default" w:asci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rPr>
        <w:t>单位名称：</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u w:val="single"/>
          <w:lang w:val="en-US" w:eastAsia="zh-CN"/>
        </w:rPr>
        <w:t xml:space="preserve">                         </w:t>
      </w:r>
    </w:p>
    <w:p w14:paraId="1DBD18F6">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单位性质：</w:t>
      </w:r>
      <w:r>
        <w:rPr>
          <w:rFonts w:hint="eastAsia" w:ascii="宋体" w:hAnsi="宋体" w:cs="宋体"/>
          <w:color w:val="auto"/>
          <w:kern w:val="0"/>
          <w:sz w:val="21"/>
          <w:szCs w:val="21"/>
          <w:highlight w:val="none"/>
          <w:u w:val="single"/>
          <w:lang w:val="en-US" w:eastAsia="zh-CN"/>
        </w:rPr>
        <w:t xml:space="preserve">                         </w:t>
      </w:r>
    </w:p>
    <w:p w14:paraId="2324317F">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地址：</w:t>
      </w:r>
      <w:r>
        <w:rPr>
          <w:rFonts w:hint="eastAsia" w:ascii="宋体" w:hAnsi="宋体" w:cs="宋体"/>
          <w:color w:val="auto"/>
          <w:kern w:val="0"/>
          <w:sz w:val="21"/>
          <w:szCs w:val="21"/>
          <w:highlight w:val="none"/>
          <w:u w:val="single"/>
          <w:lang w:val="en-US" w:eastAsia="zh-CN"/>
        </w:rPr>
        <w:t xml:space="preserve">                         </w:t>
      </w:r>
    </w:p>
    <w:p w14:paraId="56BE9246">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成立时间：</w:t>
      </w:r>
      <w:r>
        <w:rPr>
          <w:rFonts w:hint="eastAsia" w:ascii="宋体" w:hAnsi="宋体" w:cs="宋体"/>
          <w:color w:val="auto"/>
          <w:kern w:val="0"/>
          <w:sz w:val="21"/>
          <w:szCs w:val="21"/>
          <w:highlight w:val="none"/>
          <w:u w:val="single"/>
          <w:lang w:val="en-US" w:eastAsia="zh-CN"/>
        </w:rPr>
        <w:t xml:space="preserve">                         </w:t>
      </w:r>
    </w:p>
    <w:p w14:paraId="2E459FED">
      <w:pPr>
        <w:autoSpaceDE w:val="0"/>
        <w:autoSpaceDN w:val="0"/>
        <w:adjustRightInd w:val="0"/>
        <w:spacing w:line="480" w:lineRule="auto"/>
        <w:jc w:val="left"/>
        <w:rPr>
          <w:rFonts w:ascii="宋体" w:cs="宋体"/>
          <w:color w:val="auto"/>
          <w:kern w:val="0"/>
          <w:sz w:val="21"/>
          <w:szCs w:val="21"/>
          <w:highlight w:val="none"/>
          <w:u w:val="single"/>
        </w:rPr>
      </w:pPr>
      <w:r>
        <w:rPr>
          <w:rFonts w:hint="eastAsia" w:ascii="宋体" w:hAnsi="宋体" w:cs="宋体"/>
          <w:color w:val="auto"/>
          <w:kern w:val="0"/>
          <w:sz w:val="21"/>
          <w:szCs w:val="21"/>
          <w:highlight w:val="none"/>
        </w:rPr>
        <w:t>经营期限：</w:t>
      </w:r>
      <w:r>
        <w:rPr>
          <w:rFonts w:hint="eastAsia" w:ascii="宋体" w:hAnsi="宋体" w:cs="宋体"/>
          <w:color w:val="auto"/>
          <w:kern w:val="0"/>
          <w:sz w:val="21"/>
          <w:szCs w:val="21"/>
          <w:highlight w:val="none"/>
          <w:u w:val="single"/>
          <w:lang w:val="en-US" w:eastAsia="zh-CN"/>
        </w:rPr>
        <w:t xml:space="preserve">                         </w:t>
      </w:r>
    </w:p>
    <w:p w14:paraId="238B9915">
      <w:pPr>
        <w:autoSpaceDE w:val="0"/>
        <w:autoSpaceDN w:val="0"/>
        <w:adjustRightInd w:val="0"/>
        <w:spacing w:line="48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性别：</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年龄：</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rPr>
        <w:t>职务：</w:t>
      </w:r>
      <w:r>
        <w:rPr>
          <w:rFonts w:hint="eastAsia" w:ascii="宋体" w:hAnsi="宋体" w:cs="宋体"/>
          <w:color w:val="auto"/>
          <w:kern w:val="0"/>
          <w:sz w:val="21"/>
          <w:szCs w:val="21"/>
          <w:highlight w:val="none"/>
          <w:u w:val="single"/>
          <w:lang w:val="en-US" w:eastAsia="zh-CN"/>
        </w:rPr>
        <w:t xml:space="preserve">            </w:t>
      </w:r>
    </w:p>
    <w:p w14:paraId="2C6CE301">
      <w:pPr>
        <w:autoSpaceDE w:val="0"/>
        <w:autoSpaceDN w:val="0"/>
        <w:adjustRightInd w:val="0"/>
        <w:spacing w:line="480" w:lineRule="auto"/>
        <w:rPr>
          <w:rFonts w:ascii="宋体" w:cs="宋体"/>
          <w:color w:val="auto"/>
          <w:kern w:val="0"/>
          <w:sz w:val="21"/>
          <w:szCs w:val="21"/>
          <w:highlight w:val="none"/>
        </w:rPr>
      </w:pPr>
      <w:r>
        <w:rPr>
          <w:rFonts w:hint="eastAsia" w:ascii="宋体" w:hAnsi="宋体" w:cs="宋体"/>
          <w:color w:val="auto"/>
          <w:kern w:val="0"/>
          <w:sz w:val="21"/>
          <w:szCs w:val="21"/>
          <w:highlight w:val="none"/>
        </w:rPr>
        <w:t>系</w:t>
      </w:r>
      <w:r>
        <w:rPr>
          <w:rFonts w:hint="eastAsia" w:ascii="宋体" w:hAnsi="宋体" w:cs="宋体"/>
          <w:color w:val="auto"/>
          <w:kern w:val="0"/>
          <w:sz w:val="21"/>
          <w:szCs w:val="21"/>
          <w:highlight w:val="none"/>
          <w:u w:val="single"/>
        </w:rPr>
        <w:t>（磋商单位名称）</w:t>
      </w:r>
      <w:r>
        <w:rPr>
          <w:rFonts w:hint="eastAsia" w:ascii="宋体" w:hAnsi="宋体" w:cs="宋体"/>
          <w:color w:val="auto"/>
          <w:kern w:val="0"/>
          <w:sz w:val="21"/>
          <w:szCs w:val="21"/>
          <w:highlight w:val="none"/>
        </w:rPr>
        <w:t>的法定代表人。</w:t>
      </w:r>
    </w:p>
    <w:p w14:paraId="04501F4A">
      <w:pPr>
        <w:autoSpaceDE w:val="0"/>
        <w:autoSpaceDN w:val="0"/>
        <w:adjustRightInd w:val="0"/>
        <w:spacing w:line="480" w:lineRule="auto"/>
        <w:rPr>
          <w:rFonts w:ascii="宋体" w:cs="宋体"/>
          <w:color w:val="auto"/>
          <w:kern w:val="0"/>
          <w:sz w:val="21"/>
          <w:szCs w:val="21"/>
          <w:highlight w:val="none"/>
        </w:rPr>
      </w:pPr>
    </w:p>
    <w:p w14:paraId="780788BD">
      <w:pPr>
        <w:autoSpaceDE w:val="0"/>
        <w:autoSpaceDN w:val="0"/>
        <w:adjustRightInd w:val="0"/>
        <w:spacing w:line="480" w:lineRule="auto"/>
        <w:ind w:firstLine="420" w:firstLineChars="200"/>
        <w:rPr>
          <w:rFonts w:ascii="宋体" w:cs="宋体"/>
          <w:color w:val="auto"/>
          <w:kern w:val="0"/>
          <w:sz w:val="21"/>
          <w:szCs w:val="21"/>
          <w:highlight w:val="none"/>
        </w:rPr>
      </w:pPr>
      <w:r>
        <w:rPr>
          <w:rFonts w:hint="eastAsia" w:ascii="宋体" w:hAnsi="宋体" w:cs="宋体"/>
          <w:color w:val="auto"/>
          <w:kern w:val="0"/>
          <w:sz w:val="21"/>
          <w:szCs w:val="21"/>
          <w:highlight w:val="none"/>
        </w:rPr>
        <w:t>特此证明。</w:t>
      </w:r>
    </w:p>
    <w:p w14:paraId="086D6E40">
      <w:pPr>
        <w:autoSpaceDE w:val="0"/>
        <w:autoSpaceDN w:val="0"/>
        <w:adjustRightInd w:val="0"/>
        <w:spacing w:line="360" w:lineRule="auto"/>
        <w:jc w:val="left"/>
        <w:outlineLvl w:val="0"/>
        <w:rPr>
          <w:rFonts w:ascii="宋体" w:cs="宋体"/>
          <w:color w:val="auto"/>
          <w:kern w:val="0"/>
          <w:sz w:val="21"/>
          <w:szCs w:val="21"/>
          <w:highlight w:val="none"/>
          <w:u w:val="single"/>
        </w:rPr>
      </w:pPr>
      <w:r>
        <w:rPr>
          <w:rFonts w:hint="eastAsia" w:ascii="宋体" w:hAnsi="宋体" w:cs="宋体"/>
          <w:color w:val="auto"/>
          <w:kern w:val="0"/>
          <w:sz w:val="21"/>
          <w:szCs w:val="21"/>
          <w:highlight w:val="none"/>
        </w:rPr>
        <w:t>磋商单位</w:t>
      </w:r>
      <w:r>
        <w:rPr>
          <w:rFonts w:hint="eastAsia" w:ascii="宋体" w:hAnsi="宋体" w:cs="宋体"/>
          <w:color w:val="auto"/>
          <w:kern w:val="0"/>
          <w:sz w:val="21"/>
          <w:szCs w:val="21"/>
          <w:highlight w:val="none"/>
          <w:u w:val="single"/>
        </w:rPr>
        <w:t>：</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（盖章）</w:t>
      </w:r>
    </w:p>
    <w:p w14:paraId="7791688E">
      <w:pPr>
        <w:autoSpaceDE w:val="0"/>
        <w:autoSpaceDN w:val="0"/>
        <w:adjustRightInd w:val="0"/>
        <w:spacing w:line="360" w:lineRule="auto"/>
        <w:jc w:val="left"/>
        <w:rPr>
          <w:rFonts w:ascii="宋体" w:cs="宋体"/>
          <w:color w:val="auto"/>
          <w:kern w:val="0"/>
          <w:sz w:val="21"/>
          <w:szCs w:val="21"/>
          <w:highlight w:val="none"/>
        </w:rPr>
      </w:pPr>
    </w:p>
    <w:p w14:paraId="31986F20">
      <w:pPr>
        <w:autoSpaceDE w:val="0"/>
        <w:autoSpaceDN w:val="0"/>
        <w:adjustRightInd w:val="0"/>
        <w:spacing w:line="360" w:lineRule="auto"/>
        <w:jc w:val="left"/>
        <w:rPr>
          <w:rFonts w:ascii="宋体" w:cs="宋体"/>
          <w:color w:val="auto"/>
          <w:kern w:val="0"/>
          <w:sz w:val="21"/>
          <w:szCs w:val="21"/>
          <w:highlight w:val="none"/>
        </w:rPr>
      </w:pPr>
      <w:r>
        <w:rPr>
          <w:rFonts w:hint="eastAsia" w:ascii="宋体" w:hAnsi="宋体" w:cs="宋体"/>
          <w:color w:val="auto"/>
          <w:kern w:val="0"/>
          <w:sz w:val="21"/>
          <w:szCs w:val="21"/>
          <w:highlight w:val="none"/>
        </w:rPr>
        <w:t>日期：</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年</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月</w:t>
      </w:r>
      <w:r>
        <w:rPr>
          <w:rFonts w:hint="eastAsia" w:ascii="宋体" w:hAnsi="宋体" w:cs="宋体"/>
          <w:color w:val="auto"/>
          <w:kern w:val="0"/>
          <w:sz w:val="21"/>
          <w:szCs w:val="21"/>
          <w:highlight w:val="none"/>
          <w:lang w:val="en-US" w:eastAsia="zh-CN"/>
        </w:rPr>
        <w:t xml:space="preserve">   </w:t>
      </w:r>
      <w:r>
        <w:rPr>
          <w:rFonts w:hint="eastAsia" w:ascii="宋体" w:hAnsi="宋体" w:cs="宋体"/>
          <w:color w:val="auto"/>
          <w:kern w:val="0"/>
          <w:sz w:val="21"/>
          <w:szCs w:val="21"/>
          <w:highlight w:val="none"/>
        </w:rPr>
        <w:t>日</w:t>
      </w:r>
    </w:p>
    <w:p w14:paraId="3EC2C46A">
      <w:pPr>
        <w:autoSpaceDE w:val="0"/>
        <w:autoSpaceDN w:val="0"/>
        <w:adjustRightInd w:val="0"/>
        <w:spacing w:line="360" w:lineRule="auto"/>
        <w:jc w:val="left"/>
        <w:rPr>
          <w:rFonts w:ascii="宋体" w:cs="宋体"/>
          <w:color w:val="auto"/>
          <w:kern w:val="0"/>
          <w:sz w:val="21"/>
          <w:szCs w:val="21"/>
          <w:highlight w:val="none"/>
        </w:rPr>
      </w:pPr>
    </w:p>
    <w:p w14:paraId="6133830B">
      <w:pPr>
        <w:autoSpaceDE w:val="0"/>
        <w:autoSpaceDN w:val="0"/>
        <w:adjustRightInd w:val="0"/>
        <w:spacing w:line="360" w:lineRule="auto"/>
        <w:jc w:val="left"/>
        <w:rPr>
          <w:rFonts w:ascii="宋体" w:cs="宋体"/>
          <w:color w:val="auto"/>
          <w:kern w:val="0"/>
          <w:sz w:val="21"/>
          <w:szCs w:val="21"/>
          <w:highlight w:val="none"/>
        </w:rPr>
      </w:pPr>
    </w:p>
    <w:p w14:paraId="250E7194">
      <w:pPr>
        <w:autoSpaceDE w:val="0"/>
        <w:autoSpaceDN w:val="0"/>
        <w:adjustRightInd w:val="0"/>
        <w:spacing w:line="360" w:lineRule="auto"/>
        <w:jc w:val="left"/>
        <w:rPr>
          <w:rFonts w:ascii="宋体" w:cs="宋体"/>
          <w:color w:val="auto"/>
          <w:kern w:val="0"/>
          <w:sz w:val="21"/>
          <w:szCs w:val="21"/>
          <w:highlight w:val="none"/>
          <w:u w:val="dash"/>
        </w:rPr>
      </w:pPr>
      <w:r>
        <w:rPr>
          <w:rFonts w:hint="eastAsia" w:ascii="宋体" w:hAnsi="宋体" w:cs="宋体"/>
          <w:color w:val="auto"/>
          <w:kern w:val="0"/>
          <w:sz w:val="21"/>
          <w:szCs w:val="21"/>
          <w:highlight w:val="none"/>
          <w:u w:val="dash"/>
        </w:rPr>
        <w:t>附：法定代表人身份证正反面复印件及营业执照复印件</w:t>
      </w:r>
    </w:p>
    <w:p w14:paraId="1CA1FB40">
      <w:pPr>
        <w:pStyle w:val="31"/>
        <w:spacing w:line="360" w:lineRule="auto"/>
        <w:ind w:right="97"/>
        <w:rPr>
          <w:rFonts w:ascii="宋体" w:hAnsi="宋体" w:cs="宋体"/>
          <w:color w:val="auto"/>
          <w:sz w:val="21"/>
          <w:szCs w:val="21"/>
          <w:highlight w:val="none"/>
        </w:rPr>
      </w:pPr>
    </w:p>
    <w:p w14:paraId="6F8FCDCA">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备注：</w:t>
      </w:r>
    </w:p>
    <w:p w14:paraId="05271F8A">
      <w:pPr>
        <w:pStyle w:val="31"/>
        <w:spacing w:line="360" w:lineRule="auto"/>
        <w:ind w:right="97"/>
        <w:rPr>
          <w:rFonts w:ascii="宋体" w:hAnsi="宋体" w:cs="宋体"/>
          <w:color w:val="auto"/>
          <w:sz w:val="21"/>
          <w:szCs w:val="21"/>
          <w:highlight w:val="none"/>
        </w:rPr>
      </w:pPr>
      <w:r>
        <w:rPr>
          <w:rFonts w:ascii="宋体" w:hAnsi="宋体" w:cs="宋体"/>
          <w:color w:val="auto"/>
          <w:sz w:val="21"/>
          <w:szCs w:val="21"/>
          <w:highlight w:val="none"/>
        </w:rPr>
        <w:t>(1)法定代表人亲自参加开标会议的，须附上“法定代表人身份证明书”，附法定代表人身份证复印件。</w:t>
      </w:r>
    </w:p>
    <w:p w14:paraId="6038E45B">
      <w:pPr>
        <w:pStyle w:val="31"/>
        <w:spacing w:line="360" w:lineRule="auto"/>
        <w:rPr>
          <w:rFonts w:ascii="宋体" w:hAnsi="宋体"/>
          <w:b/>
          <w:color w:val="auto"/>
          <w:sz w:val="28"/>
          <w:szCs w:val="28"/>
          <w:highlight w:val="none"/>
        </w:rPr>
      </w:pPr>
    </w:p>
    <w:p w14:paraId="7D6BB183">
      <w:pPr>
        <w:pStyle w:val="28"/>
        <w:rPr>
          <w:rFonts w:ascii="宋体" w:hAnsi="宋体" w:cs="宋体"/>
          <w:color w:val="auto"/>
          <w:sz w:val="36"/>
          <w:highlight w:val="none"/>
        </w:rPr>
      </w:pPr>
    </w:p>
    <w:p w14:paraId="2588A79C">
      <w:pPr>
        <w:rPr>
          <w:rFonts w:ascii="宋体" w:hAnsi="宋体" w:cs="宋体"/>
          <w:color w:val="auto"/>
          <w:sz w:val="36"/>
          <w:highlight w:val="none"/>
        </w:rPr>
      </w:pPr>
    </w:p>
    <w:p w14:paraId="225C4FC1">
      <w:pPr>
        <w:rPr>
          <w:rFonts w:ascii="宋体" w:hAnsi="宋体" w:cs="宋体"/>
          <w:color w:val="auto"/>
          <w:sz w:val="36"/>
          <w:highlight w:val="none"/>
        </w:rPr>
      </w:pPr>
    </w:p>
    <w:p w14:paraId="07CAFA64">
      <w:pPr>
        <w:rPr>
          <w:rFonts w:ascii="宋体" w:hAnsi="宋体" w:cs="宋体"/>
          <w:color w:val="auto"/>
          <w:sz w:val="36"/>
          <w:highlight w:val="none"/>
        </w:rPr>
      </w:pPr>
    </w:p>
    <w:p w14:paraId="59F6EA1E">
      <w:pPr>
        <w:rPr>
          <w:rFonts w:ascii="宋体" w:hAnsi="宋体" w:cs="宋体"/>
          <w:color w:val="auto"/>
          <w:sz w:val="36"/>
          <w:highlight w:val="none"/>
        </w:rPr>
      </w:pPr>
    </w:p>
    <w:p w14:paraId="14376176">
      <w:pPr>
        <w:pStyle w:val="10"/>
        <w:rPr>
          <w:rFonts w:ascii="宋体" w:hAnsi="宋体" w:cs="宋体"/>
          <w:color w:val="auto"/>
          <w:sz w:val="36"/>
          <w:highlight w:val="none"/>
        </w:rPr>
      </w:pPr>
    </w:p>
    <w:p w14:paraId="53CF69FA">
      <w:pPr>
        <w:rPr>
          <w:rFonts w:ascii="宋体" w:hAnsi="宋体" w:cs="宋体"/>
          <w:color w:val="auto"/>
          <w:sz w:val="36"/>
          <w:highlight w:val="none"/>
        </w:rPr>
      </w:pPr>
    </w:p>
    <w:p w14:paraId="38ED8450">
      <w:pPr>
        <w:pStyle w:val="10"/>
        <w:rPr>
          <w:color w:val="auto"/>
          <w:highlight w:val="none"/>
        </w:rPr>
      </w:pPr>
    </w:p>
    <w:p w14:paraId="31CF4542">
      <w:pPr>
        <w:rPr>
          <w:rFonts w:ascii="宋体" w:hAnsi="宋体" w:cs="宋体"/>
          <w:color w:val="auto"/>
          <w:sz w:val="36"/>
          <w:highlight w:val="none"/>
        </w:rPr>
      </w:pPr>
    </w:p>
    <w:p w14:paraId="4978CD62">
      <w:pPr>
        <w:pStyle w:val="31"/>
        <w:spacing w:line="360" w:lineRule="auto"/>
        <w:rPr>
          <w:rFonts w:ascii="宋体" w:hAnsi="宋体"/>
          <w:b/>
          <w:color w:val="auto"/>
          <w:sz w:val="24"/>
          <w:highlight w:val="none"/>
        </w:rPr>
      </w:pPr>
      <w:r>
        <w:rPr>
          <w:rFonts w:hint="eastAsia" w:ascii="宋体" w:hAnsi="宋体"/>
          <w:b/>
          <w:color w:val="auto"/>
          <w:sz w:val="24"/>
          <w:highlight w:val="none"/>
          <w:lang w:val="en-US" w:eastAsia="zh-CN"/>
        </w:rPr>
        <w:t>2、</w:t>
      </w:r>
      <w:r>
        <w:rPr>
          <w:rFonts w:ascii="宋体" w:hAnsi="宋体"/>
          <w:b/>
          <w:color w:val="auto"/>
          <w:sz w:val="24"/>
          <w:highlight w:val="none"/>
        </w:rPr>
        <w:t>授权委托书及代理人身份证复印件</w:t>
      </w:r>
    </w:p>
    <w:p w14:paraId="64FC2C9D">
      <w:pPr>
        <w:pStyle w:val="31"/>
        <w:snapToGrid w:val="0"/>
        <w:spacing w:line="360" w:lineRule="auto"/>
        <w:jc w:val="center"/>
        <w:rPr>
          <w:rFonts w:ascii="宋体" w:hAnsi="宋体"/>
          <w:b/>
          <w:color w:val="auto"/>
          <w:sz w:val="24"/>
          <w:highlight w:val="none"/>
        </w:rPr>
      </w:pPr>
    </w:p>
    <w:p w14:paraId="6071D87D">
      <w:pPr>
        <w:pStyle w:val="32"/>
        <w:rPr>
          <w:color w:val="auto"/>
          <w:highlight w:val="none"/>
        </w:rPr>
      </w:pPr>
    </w:p>
    <w:p w14:paraId="542E4EF2">
      <w:pPr>
        <w:pStyle w:val="31"/>
        <w:snapToGrid w:val="0"/>
        <w:spacing w:line="360" w:lineRule="auto"/>
        <w:jc w:val="center"/>
        <w:rPr>
          <w:rFonts w:ascii="宋体" w:hAnsi="宋体"/>
          <w:b/>
          <w:color w:val="auto"/>
          <w:sz w:val="24"/>
          <w:highlight w:val="none"/>
        </w:rPr>
      </w:pPr>
      <w:r>
        <w:rPr>
          <w:rFonts w:hint="eastAsia" w:ascii="宋体" w:hAnsi="宋体"/>
          <w:b/>
          <w:color w:val="auto"/>
          <w:sz w:val="24"/>
          <w:highlight w:val="none"/>
          <w:lang w:val="en-US" w:eastAsia="zh-CN"/>
        </w:rPr>
        <w:t>法定代表人</w:t>
      </w:r>
      <w:r>
        <w:rPr>
          <w:rFonts w:ascii="宋体" w:hAnsi="宋体"/>
          <w:b/>
          <w:color w:val="auto"/>
          <w:sz w:val="24"/>
          <w:highlight w:val="none"/>
        </w:rPr>
        <w:t>授权委托书</w:t>
      </w:r>
    </w:p>
    <w:p w14:paraId="0BF68E0E">
      <w:pPr>
        <w:pStyle w:val="31"/>
        <w:snapToGrid w:val="0"/>
        <w:spacing w:line="360" w:lineRule="auto"/>
        <w:rPr>
          <w:rFonts w:ascii="宋体" w:hAnsi="宋体"/>
          <w:color w:val="auto"/>
          <w:sz w:val="28"/>
          <w:szCs w:val="28"/>
          <w:highlight w:val="none"/>
        </w:rPr>
      </w:pPr>
    </w:p>
    <w:p w14:paraId="7A4DCBA7">
      <w:pPr>
        <w:autoSpaceDE w:val="0"/>
        <w:autoSpaceDN w:val="0"/>
        <w:adjustRightInd w:val="0"/>
        <w:spacing w:line="600" w:lineRule="auto"/>
        <w:ind w:firstLine="420" w:firstLineChars="200"/>
        <w:rPr>
          <w:rFonts w:ascii="宋体" w:cs="宋体"/>
          <w:color w:val="auto"/>
          <w:kern w:val="0"/>
          <w:sz w:val="21"/>
          <w:szCs w:val="22"/>
          <w:highlight w:val="none"/>
        </w:rPr>
      </w:pPr>
      <w:r>
        <w:rPr>
          <w:rFonts w:hint="eastAsia" w:ascii="宋体" w:hAnsi="宋体" w:cs="宋体"/>
          <w:color w:val="auto"/>
          <w:kern w:val="0"/>
          <w:sz w:val="21"/>
          <w:szCs w:val="22"/>
          <w:highlight w:val="none"/>
        </w:rPr>
        <w:t>本授权书声明：我</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系</w:t>
      </w:r>
      <w:r>
        <w:rPr>
          <w:rFonts w:hint="eastAsia" w:ascii="宋体" w:hAnsi="宋体" w:cs="宋体"/>
          <w:color w:val="auto"/>
          <w:kern w:val="0"/>
          <w:sz w:val="21"/>
          <w:szCs w:val="22"/>
          <w:highlight w:val="none"/>
          <w:u w:val="single"/>
        </w:rPr>
        <w:t>（磋商单位名称）</w:t>
      </w:r>
      <w:r>
        <w:rPr>
          <w:rFonts w:hint="eastAsia" w:ascii="宋体" w:hAnsi="宋体" w:cs="宋体"/>
          <w:color w:val="auto"/>
          <w:kern w:val="0"/>
          <w:sz w:val="21"/>
          <w:szCs w:val="22"/>
          <w:highlight w:val="none"/>
        </w:rPr>
        <w:t>的法定代表人，现授权</w:t>
      </w:r>
      <w:r>
        <w:rPr>
          <w:rFonts w:hint="eastAsia" w:ascii="宋体" w:hAnsi="宋体" w:cs="宋体"/>
          <w:color w:val="auto"/>
          <w:kern w:val="0"/>
          <w:sz w:val="21"/>
          <w:szCs w:val="22"/>
          <w:highlight w:val="none"/>
          <w:u w:val="single"/>
        </w:rPr>
        <w:t>（姓名）</w:t>
      </w:r>
      <w:r>
        <w:rPr>
          <w:rFonts w:hint="eastAsia" w:ascii="宋体" w:hAnsi="宋体" w:cs="宋体"/>
          <w:color w:val="auto"/>
          <w:kern w:val="0"/>
          <w:sz w:val="21"/>
          <w:szCs w:val="22"/>
          <w:highlight w:val="none"/>
        </w:rPr>
        <w:t>为我公司代理人，以本公司名义参加</w:t>
      </w:r>
      <w:r>
        <w:rPr>
          <w:rFonts w:hint="eastAsia" w:ascii="宋体" w:hAnsi="宋体" w:cs="宋体"/>
          <w:color w:val="auto"/>
          <w:kern w:val="0"/>
          <w:sz w:val="21"/>
          <w:szCs w:val="22"/>
          <w:highlight w:val="none"/>
          <w:u w:val="single"/>
        </w:rPr>
        <w:t>（采购人名称）</w:t>
      </w:r>
      <w:r>
        <w:rPr>
          <w:rFonts w:hint="eastAsia" w:ascii="宋体" w:hAnsi="宋体" w:cs="宋体"/>
          <w:color w:val="auto"/>
          <w:kern w:val="0"/>
          <w:sz w:val="21"/>
          <w:szCs w:val="22"/>
          <w:highlight w:val="none"/>
        </w:rPr>
        <w:t>的</w:t>
      </w:r>
      <w:r>
        <w:rPr>
          <w:rFonts w:hint="eastAsia" w:ascii="宋体" w:hAnsi="宋体" w:cs="宋体"/>
          <w:color w:val="auto"/>
          <w:kern w:val="0"/>
          <w:sz w:val="21"/>
          <w:szCs w:val="22"/>
          <w:highlight w:val="none"/>
          <w:u w:val="single"/>
        </w:rPr>
        <w:t>（工程名称）</w:t>
      </w:r>
      <w:r>
        <w:rPr>
          <w:rFonts w:hint="eastAsia" w:ascii="宋体" w:hAnsi="宋体" w:cs="宋体"/>
          <w:color w:val="auto"/>
          <w:kern w:val="0"/>
          <w:sz w:val="21"/>
          <w:szCs w:val="22"/>
          <w:highlight w:val="none"/>
        </w:rPr>
        <w:t>的竞标活动。代理人在竞标和合同谈判过程中所签署的一切文件和处理与之有关的一切事务，我均予以承认。</w:t>
      </w:r>
    </w:p>
    <w:p w14:paraId="35444302">
      <w:pPr>
        <w:autoSpaceDE w:val="0"/>
        <w:autoSpaceDN w:val="0"/>
        <w:adjustRightInd w:val="0"/>
        <w:spacing w:line="600" w:lineRule="auto"/>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本授权书有效期为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日至</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年</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月</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w:t>
      </w:r>
    </w:p>
    <w:p w14:paraId="117E881C">
      <w:pPr>
        <w:autoSpaceDE w:val="0"/>
        <w:autoSpaceDN w:val="0"/>
        <w:adjustRightInd w:val="0"/>
        <w:spacing w:line="600" w:lineRule="auto"/>
        <w:ind w:firstLine="105" w:firstLineChars="5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代理人无转委权。特此授权。</w:t>
      </w:r>
    </w:p>
    <w:p w14:paraId="6BFF3FEE">
      <w:pPr>
        <w:autoSpaceDE w:val="0"/>
        <w:autoSpaceDN w:val="0"/>
        <w:adjustRightInd w:val="0"/>
        <w:spacing w:line="600" w:lineRule="auto"/>
        <w:ind w:firstLine="420" w:firstLineChars="2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代理人（签字）：</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性别：</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年龄：</w:t>
      </w:r>
      <w:r>
        <w:rPr>
          <w:rFonts w:hint="eastAsia" w:ascii="宋体" w:hAnsi="宋体" w:cs="宋体"/>
          <w:color w:val="auto"/>
          <w:kern w:val="0"/>
          <w:sz w:val="21"/>
          <w:szCs w:val="22"/>
          <w:highlight w:val="none"/>
          <w:u w:val="single"/>
          <w:lang w:val="en-US" w:eastAsia="zh-CN"/>
        </w:rPr>
        <w:t xml:space="preserve">            </w:t>
      </w:r>
    </w:p>
    <w:p w14:paraId="73C9A0DF">
      <w:pPr>
        <w:autoSpaceDE w:val="0"/>
        <w:autoSpaceDN w:val="0"/>
        <w:adjustRightInd w:val="0"/>
        <w:spacing w:line="600" w:lineRule="auto"/>
        <w:ind w:firstLine="420" w:firstLineChars="200"/>
        <w:jc w:val="left"/>
        <w:rPr>
          <w:rFonts w:hint="default" w:ascii="宋体" w:eastAsia="宋体" w:cs="宋体"/>
          <w:color w:val="auto"/>
          <w:kern w:val="0"/>
          <w:sz w:val="21"/>
          <w:szCs w:val="22"/>
          <w:highlight w:val="none"/>
          <w:u w:val="single"/>
          <w:lang w:val="en-US" w:eastAsia="zh-CN"/>
        </w:rPr>
      </w:pPr>
      <w:r>
        <w:rPr>
          <w:rFonts w:hint="eastAsia" w:ascii="宋体" w:hAnsi="宋体" w:cs="宋体"/>
          <w:color w:val="auto"/>
          <w:kern w:val="0"/>
          <w:sz w:val="21"/>
          <w:szCs w:val="22"/>
          <w:highlight w:val="none"/>
        </w:rPr>
        <w:t>身份证号码：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联系电话：</w:t>
      </w:r>
      <w:r>
        <w:rPr>
          <w:rFonts w:hint="eastAsia" w:ascii="宋体" w:hAnsi="宋体" w:cs="宋体"/>
          <w:color w:val="auto"/>
          <w:kern w:val="0"/>
          <w:sz w:val="21"/>
          <w:szCs w:val="22"/>
          <w:highlight w:val="none"/>
          <w:u w:val="single"/>
          <w:lang w:val="en-US" w:eastAsia="zh-CN"/>
        </w:rPr>
        <w:t xml:space="preserve">             </w:t>
      </w:r>
    </w:p>
    <w:p w14:paraId="5C75A33E">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磋商单位</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7B3CE5AE">
      <w:pPr>
        <w:autoSpaceDE w:val="0"/>
        <w:autoSpaceDN w:val="0"/>
        <w:adjustRightInd w:val="0"/>
        <w:spacing w:line="600" w:lineRule="auto"/>
        <w:ind w:firstLine="420" w:firstLineChars="200"/>
        <w:jc w:val="left"/>
        <w:outlineLvl w:val="0"/>
        <w:rPr>
          <w:rFonts w:ascii="宋体" w:cs="宋体"/>
          <w:color w:val="auto"/>
          <w:kern w:val="0"/>
          <w:sz w:val="21"/>
          <w:szCs w:val="22"/>
          <w:highlight w:val="none"/>
        </w:rPr>
      </w:pPr>
      <w:r>
        <w:rPr>
          <w:rFonts w:hint="eastAsia" w:ascii="宋体" w:hAnsi="宋体" w:cs="宋体"/>
          <w:color w:val="auto"/>
          <w:kern w:val="0"/>
          <w:sz w:val="21"/>
          <w:szCs w:val="22"/>
          <w:highlight w:val="none"/>
        </w:rPr>
        <w:t>法定代表人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5A48ACB0">
      <w:pPr>
        <w:autoSpaceDE w:val="0"/>
        <w:autoSpaceDN w:val="0"/>
        <w:adjustRightInd w:val="0"/>
        <w:spacing w:line="600" w:lineRule="auto"/>
        <w:ind w:firstLine="420" w:firstLineChars="2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12E40CA2">
      <w:pPr>
        <w:pStyle w:val="31"/>
        <w:autoSpaceDE w:val="0"/>
        <w:autoSpaceDN w:val="0"/>
        <w:spacing w:line="360" w:lineRule="auto"/>
        <w:ind w:left="480" w:hanging="480"/>
        <w:rPr>
          <w:rFonts w:ascii="宋体" w:hAnsi="宋体"/>
          <w:color w:val="auto"/>
          <w:szCs w:val="21"/>
          <w:highlight w:val="none"/>
        </w:rPr>
      </w:pPr>
    </w:p>
    <w:p w14:paraId="5EEF7461">
      <w:pPr>
        <w:pStyle w:val="31"/>
        <w:spacing w:line="360" w:lineRule="auto"/>
        <w:rPr>
          <w:rFonts w:ascii="宋体" w:hAnsi="宋体"/>
          <w:b/>
          <w:color w:val="auto"/>
          <w:sz w:val="24"/>
          <w:highlight w:val="none"/>
        </w:rPr>
      </w:pPr>
      <w:r>
        <w:rPr>
          <w:rFonts w:ascii="宋体" w:hAnsi="宋体"/>
          <w:b/>
          <w:color w:val="auto"/>
          <w:sz w:val="24"/>
          <w:highlight w:val="none"/>
        </w:rPr>
        <w:t>附：代理人身份证复印件</w:t>
      </w:r>
    </w:p>
    <w:p w14:paraId="38739793">
      <w:pPr>
        <w:rPr>
          <w:rFonts w:ascii="宋体" w:hAnsi="宋体" w:cs="宋体"/>
          <w:color w:val="auto"/>
          <w:sz w:val="36"/>
          <w:highlight w:val="none"/>
        </w:rPr>
      </w:pPr>
    </w:p>
    <w:p w14:paraId="133941A7">
      <w:pPr>
        <w:rPr>
          <w:rFonts w:ascii="宋体" w:hAnsi="宋体" w:cs="宋体"/>
          <w:color w:val="auto"/>
          <w:sz w:val="36"/>
          <w:highlight w:val="none"/>
        </w:rPr>
      </w:pPr>
    </w:p>
    <w:p w14:paraId="6C4963E9">
      <w:pPr>
        <w:rPr>
          <w:rFonts w:ascii="宋体" w:hAnsi="宋体" w:cs="宋体"/>
          <w:color w:val="auto"/>
          <w:sz w:val="36"/>
          <w:highlight w:val="none"/>
        </w:rPr>
      </w:pPr>
    </w:p>
    <w:p w14:paraId="22359C05">
      <w:pPr>
        <w:rPr>
          <w:rFonts w:ascii="宋体" w:hAnsi="宋体" w:cs="宋体"/>
          <w:color w:val="auto"/>
          <w:sz w:val="36"/>
          <w:highlight w:val="none"/>
        </w:rPr>
      </w:pPr>
    </w:p>
    <w:p w14:paraId="3981F49D">
      <w:pPr>
        <w:rPr>
          <w:rFonts w:ascii="宋体" w:hAnsi="宋体" w:cs="宋体"/>
          <w:color w:val="auto"/>
          <w:sz w:val="36"/>
          <w:highlight w:val="none"/>
        </w:rPr>
      </w:pPr>
    </w:p>
    <w:p w14:paraId="392C8CC1">
      <w:pPr>
        <w:rPr>
          <w:rFonts w:ascii="宋体" w:hAnsi="宋体" w:cs="宋体"/>
          <w:color w:val="auto"/>
          <w:sz w:val="36"/>
          <w:highlight w:val="none"/>
        </w:rPr>
      </w:pPr>
    </w:p>
    <w:p w14:paraId="00054049">
      <w:pPr>
        <w:rPr>
          <w:rFonts w:ascii="宋体" w:hAnsi="宋体" w:cs="宋体"/>
          <w:color w:val="auto"/>
          <w:sz w:val="36"/>
          <w:highlight w:val="none"/>
        </w:rPr>
      </w:pPr>
    </w:p>
    <w:p w14:paraId="01E0F012">
      <w:pPr>
        <w:pStyle w:val="10"/>
        <w:rPr>
          <w:color w:val="auto"/>
          <w:highlight w:val="none"/>
        </w:rPr>
      </w:pPr>
    </w:p>
    <w:p w14:paraId="5958FEC6">
      <w:pPr>
        <w:rPr>
          <w:rFonts w:ascii="宋体" w:hAnsi="宋体" w:cs="宋体"/>
          <w:color w:val="auto"/>
          <w:sz w:val="36"/>
          <w:highlight w:val="none"/>
        </w:rPr>
      </w:pPr>
    </w:p>
    <w:p w14:paraId="76BB8004">
      <w:pPr>
        <w:pStyle w:val="31"/>
        <w:numPr>
          <w:ilvl w:val="0"/>
          <w:numId w:val="0"/>
        </w:numPr>
        <w:spacing w:line="360" w:lineRule="auto"/>
        <w:ind w:leftChars="0"/>
        <w:rPr>
          <w:rFonts w:hint="eastAsia" w:ascii="宋体" w:hAnsi="宋体"/>
          <w:b/>
          <w:color w:val="auto"/>
          <w:sz w:val="24"/>
          <w:highlight w:val="none"/>
          <w:lang w:val="en-US" w:eastAsia="zh-CN"/>
        </w:rPr>
      </w:pPr>
      <w:r>
        <w:rPr>
          <w:rFonts w:hint="eastAsia" w:ascii="宋体" w:hAnsi="宋体"/>
          <w:b/>
          <w:color w:val="auto"/>
          <w:sz w:val="24"/>
          <w:highlight w:val="none"/>
          <w:lang w:val="en-US" w:eastAsia="zh-CN"/>
        </w:rPr>
        <w:t>3、无虚假应标、串通竞标行为的承诺函;（必须提供）</w:t>
      </w:r>
    </w:p>
    <w:p w14:paraId="6A5B9A00">
      <w:pPr>
        <w:pStyle w:val="32"/>
        <w:numPr>
          <w:ilvl w:val="0"/>
          <w:numId w:val="0"/>
        </w:numPr>
        <w:ind w:leftChars="0"/>
        <w:rPr>
          <w:rFonts w:hint="eastAsia"/>
          <w:color w:val="auto"/>
          <w:highlight w:val="none"/>
          <w:lang w:val="en-US" w:eastAsia="zh-CN"/>
        </w:rPr>
      </w:pPr>
    </w:p>
    <w:p w14:paraId="17A8F99A">
      <w:pPr>
        <w:pStyle w:val="31"/>
        <w:spacing w:line="360" w:lineRule="auto"/>
        <w:rPr>
          <w:rFonts w:ascii="宋体" w:hAnsi="宋体" w:cs="仿宋_GB2312"/>
          <w:b/>
          <w:bCs/>
          <w:color w:val="auto"/>
          <w:sz w:val="21"/>
          <w:szCs w:val="21"/>
          <w:highlight w:val="none"/>
        </w:rPr>
      </w:pPr>
      <w:r>
        <w:rPr>
          <w:rFonts w:ascii="宋体" w:hAnsi="宋体" w:cs="宋体"/>
          <w:b/>
          <w:bCs/>
          <w:color w:val="auto"/>
          <w:sz w:val="21"/>
          <w:szCs w:val="21"/>
          <w:highlight w:val="none"/>
        </w:rPr>
        <w:t>一、我公司承诺如有虚假应标行为的，我方愿意承担一切后果，并不再寻求任何旨在减轻或者免除法律责任的辩解。</w:t>
      </w:r>
    </w:p>
    <w:p w14:paraId="0831F044">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二、我公司承诺无下列相互串通竞标的情形：</w:t>
      </w:r>
    </w:p>
    <w:p w14:paraId="25E346E8">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1.不同供应商的响应文件由同一单位或者个人编制；或者不同供应商报名的IP地址一致的；</w:t>
      </w:r>
    </w:p>
    <w:p w14:paraId="74BB062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2.不同供应商委托同一单位或者个人办理竞标事宜；</w:t>
      </w:r>
    </w:p>
    <w:p w14:paraId="36A5F29E">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3.不同的供应商的响应文件载明的项目管理员或者联系人员为同一个人；</w:t>
      </w:r>
    </w:p>
    <w:p w14:paraId="78B1A66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4.不</w:t>
      </w:r>
      <w:r>
        <w:rPr>
          <w:rFonts w:ascii="宋体" w:hAnsi="宋体" w:cs="仿宋_GB2312"/>
          <w:color w:val="auto"/>
          <w:spacing w:val="-6"/>
          <w:sz w:val="21"/>
          <w:szCs w:val="21"/>
          <w:highlight w:val="none"/>
        </w:rPr>
        <w:t>同供应商的响应文件异常一致或者竞标报价呈规律性差异；</w:t>
      </w:r>
    </w:p>
    <w:p w14:paraId="7620C8CB">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5.不同供应商的响应文件相互混装。</w:t>
      </w:r>
    </w:p>
    <w:p w14:paraId="24BF5BC9">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三、我公司承诺无下列恶意串通的情形：</w:t>
      </w:r>
    </w:p>
    <w:p w14:paraId="327A9DAD">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1.供应商直接或者间接从采购人或者采购代理机构处获得其他供应商的相关信息并修改其响应文件；</w:t>
      </w:r>
    </w:p>
    <w:p w14:paraId="767C6B72">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2.供应商按照采购人或者采购代理机构的授意撤换、修改响应文件；</w:t>
      </w:r>
    </w:p>
    <w:p w14:paraId="65C73214">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3.供</w:t>
      </w:r>
      <w:r>
        <w:rPr>
          <w:rFonts w:ascii="宋体" w:hAnsi="宋体" w:cs="仿宋_GB2312"/>
          <w:color w:val="auto"/>
          <w:spacing w:val="-6"/>
          <w:sz w:val="21"/>
          <w:szCs w:val="21"/>
          <w:highlight w:val="none"/>
        </w:rPr>
        <w:t>应商之间协商报价、技术方案等响应文件的实质性内容；</w:t>
      </w:r>
    </w:p>
    <w:p w14:paraId="61B3739F">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4.属于同一集团、协会、商会等组织成员的供应商按照该组织要求协同参加采购活动；</w:t>
      </w:r>
    </w:p>
    <w:p w14:paraId="74EF1E40">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5.供应商之间事先约定一致抬高或者压低竞标报价,或者在竞争性谈判项目中事先约定轮流以高价位或者低价位成交,或者事先约定由某一特定供应商成交,然后再参加竞标；</w:t>
      </w:r>
    </w:p>
    <w:p w14:paraId="0666082F">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6.供应商之间商定部分供应商放弃参加采购活动或者放弃成交；</w:t>
      </w:r>
    </w:p>
    <w:p w14:paraId="14A4911C">
      <w:pPr>
        <w:pStyle w:val="31"/>
        <w:spacing w:line="360" w:lineRule="auto"/>
        <w:rPr>
          <w:rFonts w:ascii="宋体" w:hAnsi="宋体" w:cs="仿宋_GB2312"/>
          <w:color w:val="auto"/>
          <w:sz w:val="21"/>
          <w:szCs w:val="21"/>
          <w:highlight w:val="none"/>
        </w:rPr>
      </w:pPr>
      <w:r>
        <w:rPr>
          <w:rFonts w:ascii="宋体" w:hAnsi="宋体" w:cs="仿宋_GB2312"/>
          <w:color w:val="auto"/>
          <w:sz w:val="21"/>
          <w:szCs w:val="21"/>
          <w:highlight w:val="none"/>
        </w:rPr>
        <w:t>7.供应商与采购人或者采购代理机构之间、供应商相互之间，为</w:t>
      </w:r>
      <w:r>
        <w:rPr>
          <w:rFonts w:ascii="宋体" w:hAnsi="宋体" w:cs="仿宋_GB2312"/>
          <w:color w:val="auto"/>
          <w:spacing w:val="-6"/>
          <w:sz w:val="21"/>
          <w:szCs w:val="21"/>
          <w:highlight w:val="none"/>
        </w:rPr>
        <w:t>谋求特定供应商成交或者排斥其他供应商的其他串通行为。</w:t>
      </w:r>
    </w:p>
    <w:p w14:paraId="71AC6EB9">
      <w:pPr>
        <w:pStyle w:val="31"/>
        <w:spacing w:line="360" w:lineRule="auto"/>
        <w:rPr>
          <w:rFonts w:ascii="宋体" w:hAnsi="宋体" w:cs="仿宋_GB2312"/>
          <w:color w:val="auto"/>
          <w:sz w:val="21"/>
          <w:szCs w:val="21"/>
          <w:highlight w:val="none"/>
        </w:rPr>
      </w:pPr>
    </w:p>
    <w:p w14:paraId="1039F0B7">
      <w:pPr>
        <w:pStyle w:val="31"/>
        <w:spacing w:line="360" w:lineRule="auto"/>
        <w:rPr>
          <w:rFonts w:ascii="宋体" w:hAnsi="宋体" w:cs="仿宋_GB2312"/>
          <w:b/>
          <w:bCs/>
          <w:color w:val="auto"/>
          <w:sz w:val="21"/>
          <w:szCs w:val="21"/>
          <w:highlight w:val="none"/>
        </w:rPr>
      </w:pPr>
      <w:r>
        <w:rPr>
          <w:rFonts w:ascii="宋体" w:hAnsi="宋体" w:cs="仿宋_GB2312"/>
          <w:b/>
          <w:bCs/>
          <w:color w:val="auto"/>
          <w:sz w:val="21"/>
          <w:szCs w:val="21"/>
          <w:highlight w:val="none"/>
        </w:rPr>
        <w:t>以上情形一经核查属实，我方愿意承担一切后果，并不再寻求任何旨在减轻或者免除法律责任的辩解。</w:t>
      </w:r>
    </w:p>
    <w:p w14:paraId="3C3EBFDC">
      <w:pPr>
        <w:pStyle w:val="31"/>
        <w:spacing w:line="360" w:lineRule="auto"/>
        <w:rPr>
          <w:rFonts w:ascii="宋体" w:hAnsi="宋体" w:cs="仿宋_GB2312"/>
          <w:color w:val="auto"/>
          <w:sz w:val="21"/>
          <w:szCs w:val="21"/>
          <w:highlight w:val="none"/>
        </w:rPr>
      </w:pPr>
    </w:p>
    <w:p w14:paraId="415EE473">
      <w:pPr>
        <w:pStyle w:val="31"/>
        <w:spacing w:line="360" w:lineRule="auto"/>
        <w:rPr>
          <w:rFonts w:ascii="宋体" w:hAnsi="宋体" w:cs="仿宋_GB2312"/>
          <w:color w:val="auto"/>
          <w:sz w:val="21"/>
          <w:szCs w:val="21"/>
          <w:highlight w:val="none"/>
        </w:rPr>
      </w:pPr>
    </w:p>
    <w:p w14:paraId="66D56D20">
      <w:pPr>
        <w:pStyle w:val="31"/>
        <w:spacing w:line="360" w:lineRule="auto"/>
        <w:rPr>
          <w:rFonts w:ascii="宋体" w:hAnsi="宋体" w:cs="仿宋_GB2312"/>
          <w:color w:val="auto"/>
          <w:sz w:val="21"/>
          <w:szCs w:val="21"/>
          <w:highlight w:val="none"/>
        </w:rPr>
      </w:pPr>
      <w:r>
        <w:rPr>
          <w:rFonts w:hint="eastAsia" w:ascii="宋体" w:hAnsi="宋体" w:cs="宋体"/>
          <w:color w:val="auto"/>
          <w:kern w:val="0"/>
          <w:sz w:val="24"/>
          <w:szCs w:val="21"/>
          <w:highlight w:val="none"/>
        </w:rPr>
        <w:t>磋商单位</w:t>
      </w:r>
      <w:r>
        <w:rPr>
          <w:rFonts w:ascii="宋体" w:hAnsi="宋体" w:cs="仿宋_GB2312"/>
          <w:color w:val="auto"/>
          <w:sz w:val="21"/>
          <w:szCs w:val="21"/>
          <w:highlight w:val="none"/>
        </w:rPr>
        <w:t>（盖公章 ）：</w:t>
      </w:r>
    </w:p>
    <w:p w14:paraId="65C479C6">
      <w:pPr>
        <w:pStyle w:val="31"/>
        <w:spacing w:line="360" w:lineRule="auto"/>
        <w:ind w:firstLine="840" w:firstLineChars="400"/>
        <w:jc w:val="both"/>
        <w:rPr>
          <w:rFonts w:ascii="宋体" w:hAnsi="宋体" w:cs="仿宋_GB2312"/>
          <w:color w:val="auto"/>
          <w:sz w:val="21"/>
          <w:szCs w:val="21"/>
          <w:highlight w:val="none"/>
        </w:rPr>
      </w:pPr>
      <w:r>
        <w:rPr>
          <w:rFonts w:ascii="宋体" w:hAnsi="宋体" w:cs="仿宋_GB2312"/>
          <w:color w:val="auto"/>
          <w:sz w:val="21"/>
          <w:szCs w:val="21"/>
          <w:highlight w:val="none"/>
        </w:rPr>
        <w:t>年   月   日</w:t>
      </w:r>
    </w:p>
    <w:p w14:paraId="4E772DBC">
      <w:pPr>
        <w:pStyle w:val="31"/>
        <w:spacing w:line="360" w:lineRule="auto"/>
        <w:jc w:val="left"/>
        <w:rPr>
          <w:rFonts w:hint="eastAsia" w:ascii="宋体" w:hAnsi="宋体"/>
          <w:b/>
          <w:color w:val="auto"/>
          <w:sz w:val="28"/>
          <w:szCs w:val="28"/>
          <w:highlight w:val="none"/>
          <w:lang w:val="en-US" w:eastAsia="zh-CN"/>
        </w:rPr>
      </w:pPr>
    </w:p>
    <w:p w14:paraId="7C3B1CA3">
      <w:pPr>
        <w:pStyle w:val="31"/>
        <w:spacing w:line="360" w:lineRule="auto"/>
        <w:jc w:val="left"/>
        <w:rPr>
          <w:rFonts w:hint="eastAsia" w:ascii="宋体" w:hAnsi="宋体"/>
          <w:b/>
          <w:color w:val="auto"/>
          <w:sz w:val="28"/>
          <w:szCs w:val="28"/>
          <w:highlight w:val="none"/>
          <w:lang w:val="en-US" w:eastAsia="zh-CN"/>
        </w:rPr>
      </w:pPr>
    </w:p>
    <w:p w14:paraId="114DA653">
      <w:pPr>
        <w:pStyle w:val="31"/>
        <w:spacing w:line="360" w:lineRule="auto"/>
        <w:jc w:val="left"/>
        <w:rPr>
          <w:rFonts w:hint="eastAsia" w:ascii="宋体" w:hAnsi="宋体"/>
          <w:b/>
          <w:color w:val="auto"/>
          <w:sz w:val="28"/>
          <w:szCs w:val="28"/>
          <w:highlight w:val="none"/>
          <w:lang w:val="en-US" w:eastAsia="zh-CN"/>
        </w:rPr>
      </w:pPr>
    </w:p>
    <w:p w14:paraId="3D38B08A">
      <w:pPr>
        <w:pStyle w:val="31"/>
        <w:spacing w:line="360" w:lineRule="auto"/>
        <w:jc w:val="left"/>
        <w:rPr>
          <w:rFonts w:hint="eastAsia" w:ascii="宋体" w:hAnsi="宋体"/>
          <w:b/>
          <w:color w:val="auto"/>
          <w:sz w:val="28"/>
          <w:szCs w:val="28"/>
          <w:highlight w:val="none"/>
          <w:lang w:val="en-US" w:eastAsia="zh-CN"/>
        </w:rPr>
      </w:pPr>
    </w:p>
    <w:p w14:paraId="0632611A">
      <w:pPr>
        <w:pStyle w:val="31"/>
        <w:spacing w:line="360" w:lineRule="auto"/>
        <w:jc w:val="left"/>
        <w:rPr>
          <w:rFonts w:hint="eastAsia" w:ascii="宋体" w:hAnsi="宋体"/>
          <w:b/>
          <w:color w:val="auto"/>
          <w:sz w:val="28"/>
          <w:szCs w:val="28"/>
          <w:highlight w:val="none"/>
          <w:lang w:val="en-US" w:eastAsia="zh-CN"/>
        </w:rPr>
      </w:pPr>
    </w:p>
    <w:p w14:paraId="72DC9871">
      <w:pPr>
        <w:pStyle w:val="31"/>
        <w:spacing w:line="360" w:lineRule="auto"/>
        <w:jc w:val="left"/>
        <w:rPr>
          <w:rFonts w:hint="eastAsia" w:ascii="宋体" w:hAnsi="宋体"/>
          <w:b/>
          <w:color w:val="auto"/>
          <w:sz w:val="28"/>
          <w:szCs w:val="28"/>
          <w:highlight w:val="none"/>
          <w:lang w:val="en-US" w:eastAsia="zh-CN"/>
        </w:rPr>
      </w:pPr>
    </w:p>
    <w:p w14:paraId="0109A07B">
      <w:pPr>
        <w:pStyle w:val="31"/>
        <w:spacing w:line="360" w:lineRule="auto"/>
        <w:jc w:val="left"/>
        <w:rPr>
          <w:rFonts w:hint="eastAsia" w:ascii="宋体" w:hAnsi="宋体"/>
          <w:b/>
          <w:color w:val="auto"/>
          <w:sz w:val="28"/>
          <w:szCs w:val="28"/>
          <w:highlight w:val="none"/>
          <w:lang w:val="en-US" w:eastAsia="zh-CN"/>
        </w:rPr>
      </w:pPr>
    </w:p>
    <w:p w14:paraId="3FE96BF8">
      <w:pPr>
        <w:pStyle w:val="31"/>
        <w:spacing w:line="360" w:lineRule="auto"/>
        <w:jc w:val="left"/>
        <w:rPr>
          <w:rFonts w:ascii="宋体" w:hAnsi="宋体"/>
          <w:b/>
          <w:color w:val="auto"/>
          <w:sz w:val="28"/>
          <w:szCs w:val="28"/>
          <w:highlight w:val="none"/>
        </w:rPr>
      </w:pPr>
      <w:r>
        <w:rPr>
          <w:rFonts w:hint="eastAsia" w:ascii="宋体" w:hAnsi="宋体"/>
          <w:b/>
          <w:color w:val="auto"/>
          <w:sz w:val="28"/>
          <w:szCs w:val="28"/>
          <w:highlight w:val="none"/>
          <w:lang w:val="en-US" w:eastAsia="zh-CN"/>
        </w:rPr>
        <w:t>4、</w:t>
      </w:r>
      <w:r>
        <w:rPr>
          <w:rFonts w:ascii="宋体" w:hAnsi="宋体"/>
          <w:b/>
          <w:color w:val="auto"/>
          <w:sz w:val="28"/>
          <w:szCs w:val="28"/>
          <w:highlight w:val="none"/>
        </w:rPr>
        <w:t>磋商函</w:t>
      </w:r>
    </w:p>
    <w:p w14:paraId="5AE7160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磋  商  函</w:t>
      </w:r>
    </w:p>
    <w:p w14:paraId="22F4F4D5">
      <w:pPr>
        <w:pStyle w:val="31"/>
        <w:spacing w:line="360" w:lineRule="auto"/>
        <w:ind w:left="141"/>
        <w:rPr>
          <w:rFonts w:ascii="宋体" w:hAnsi="宋体"/>
          <w:color w:val="auto"/>
          <w:szCs w:val="21"/>
          <w:highlight w:val="none"/>
          <w:u w:val="single"/>
        </w:rPr>
      </w:pPr>
    </w:p>
    <w:p w14:paraId="792BFE19">
      <w:pPr>
        <w:spacing w:line="360" w:lineRule="auto"/>
        <w:rPr>
          <w:rFonts w:ascii="宋体" w:cs="宋体"/>
          <w:color w:val="auto"/>
          <w:kern w:val="0"/>
          <w:sz w:val="21"/>
          <w:szCs w:val="22"/>
          <w:highlight w:val="none"/>
          <w:u w:val="single"/>
        </w:rPr>
      </w:pPr>
      <w:r>
        <w:rPr>
          <w:rFonts w:hint="eastAsia" w:ascii="宋体" w:hAnsi="宋体" w:cs="宋体"/>
          <w:color w:val="auto"/>
          <w:kern w:val="0"/>
          <w:sz w:val="21"/>
          <w:szCs w:val="22"/>
          <w:highlight w:val="none"/>
          <w:u w:val="single"/>
        </w:rPr>
        <w:t>致：（采购人名称）</w:t>
      </w:r>
    </w:p>
    <w:p w14:paraId="33BE7356">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1.</w:t>
      </w:r>
      <w:r>
        <w:rPr>
          <w:rFonts w:hint="eastAsia" w:ascii="宋体" w:hAnsi="宋体" w:cs="宋体"/>
          <w:color w:val="auto"/>
          <w:kern w:val="0"/>
          <w:sz w:val="21"/>
          <w:szCs w:val="22"/>
          <w:highlight w:val="none"/>
        </w:rPr>
        <w:t>根据你方</w:t>
      </w:r>
      <w:r>
        <w:rPr>
          <w:rFonts w:hint="eastAsia" w:ascii="宋体" w:hAnsi="宋体" w:cs="宋体"/>
          <w:color w:val="auto"/>
          <w:kern w:val="0"/>
          <w:sz w:val="21"/>
          <w:szCs w:val="22"/>
          <w:highlight w:val="none"/>
          <w:u w:val="single"/>
        </w:rPr>
        <w:t>（项目名称和编号）</w:t>
      </w:r>
      <w:r>
        <w:rPr>
          <w:rFonts w:hint="eastAsia" w:ascii="宋体" w:hAnsi="宋体" w:cs="宋体"/>
          <w:color w:val="auto"/>
          <w:kern w:val="0"/>
          <w:sz w:val="21"/>
          <w:szCs w:val="22"/>
          <w:highlight w:val="none"/>
        </w:rPr>
        <w:t>工程的采购文件，遵照采购投标有关法律、法规和规章的规定，经我公司研究上述采购文件的竞标须知、合同条款、图纸、工程质量标准及其他有关文件后，我方愿以人民币</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r>
        <w:rPr>
          <w:rFonts w:ascii="宋体" w:cs="宋体"/>
          <w:color w:val="auto"/>
          <w:kern w:val="0"/>
          <w:sz w:val="21"/>
          <w:szCs w:val="22"/>
          <w:highlight w:val="none"/>
          <w:u w:val="single"/>
        </w:rPr>
        <w:t>¥</w:t>
      </w:r>
      <w:r>
        <w:rPr>
          <w:rFonts w:hint="eastAsia" w:asci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元）</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rPr>
        <w:t>的竞标总价，并按上述图纸、合同条款、工程建设标准的条件要求承包上述工程的施工、竣工，并承担任何质量缺陷保修责任。</w:t>
      </w:r>
    </w:p>
    <w:p w14:paraId="1C509444">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2. </w:t>
      </w:r>
      <w:r>
        <w:rPr>
          <w:rFonts w:hint="eastAsia" w:ascii="宋体" w:hAnsi="宋体" w:cs="宋体"/>
          <w:color w:val="auto"/>
          <w:kern w:val="0"/>
          <w:sz w:val="21"/>
          <w:szCs w:val="22"/>
          <w:highlight w:val="none"/>
        </w:rPr>
        <w:t>我方已详细审核全部采购文件，包括采购补遗文件及有关附件。</w:t>
      </w:r>
    </w:p>
    <w:p w14:paraId="47484204">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3. </w:t>
      </w:r>
      <w:r>
        <w:rPr>
          <w:rFonts w:hint="eastAsia" w:ascii="宋体" w:hAnsi="宋体" w:cs="宋体"/>
          <w:color w:val="auto"/>
          <w:kern w:val="0"/>
          <w:sz w:val="21"/>
          <w:szCs w:val="22"/>
          <w:highlight w:val="none"/>
        </w:rPr>
        <w:t>我方承认</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附录是我方</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的组成部分。</w:t>
      </w:r>
    </w:p>
    <w:p w14:paraId="03BAC08E">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4. </w:t>
      </w:r>
      <w:r>
        <w:rPr>
          <w:rFonts w:hint="eastAsia" w:ascii="宋体" w:hAnsi="宋体" w:cs="宋体"/>
          <w:color w:val="auto"/>
          <w:kern w:val="0"/>
          <w:sz w:val="21"/>
          <w:szCs w:val="22"/>
          <w:highlight w:val="none"/>
        </w:rPr>
        <w:t>一旦我方成交，我方保证按合同协议书中约定的工期</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日历日</w:t>
      </w:r>
      <w:r>
        <w:rPr>
          <w:rFonts w:hint="eastAsia" w:ascii="宋体" w:hAnsi="宋体" w:cs="宋体"/>
          <w:color w:val="auto"/>
          <w:kern w:val="0"/>
          <w:sz w:val="21"/>
          <w:szCs w:val="22"/>
          <w:highlight w:val="none"/>
        </w:rPr>
        <w:t>内完成并移交全部工程，并保证工程质量</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w:t>
      </w:r>
    </w:p>
    <w:p w14:paraId="1F297606">
      <w:pPr>
        <w:autoSpaceDE w:val="0"/>
        <w:autoSpaceDN w:val="0"/>
        <w:adjustRightInd w:val="0"/>
        <w:spacing w:line="360" w:lineRule="auto"/>
        <w:ind w:firstLine="417" w:firstLineChars="199"/>
        <w:rPr>
          <w:rFonts w:ascii="宋体" w:cs="宋体"/>
          <w:color w:val="auto"/>
          <w:kern w:val="0"/>
          <w:sz w:val="21"/>
          <w:szCs w:val="22"/>
          <w:highlight w:val="none"/>
        </w:rPr>
      </w:pPr>
      <w:r>
        <w:rPr>
          <w:rFonts w:ascii="宋体" w:hAnsi="宋体" w:cs="宋体"/>
          <w:color w:val="auto"/>
          <w:kern w:val="0"/>
          <w:sz w:val="21"/>
          <w:szCs w:val="22"/>
          <w:highlight w:val="none"/>
        </w:rPr>
        <w:t xml:space="preserve">5. </w:t>
      </w:r>
      <w:r>
        <w:rPr>
          <w:rFonts w:hint="eastAsia" w:ascii="宋体" w:hAnsi="宋体" w:cs="宋体"/>
          <w:color w:val="auto"/>
          <w:kern w:val="0"/>
          <w:sz w:val="21"/>
          <w:szCs w:val="22"/>
          <w:highlight w:val="none"/>
        </w:rPr>
        <w:t>我方同意所提交的响应文件在“竞标须知”规定的竞标有效期内有效，在此期间内如果成交，我方将受此约束。</w:t>
      </w:r>
    </w:p>
    <w:p w14:paraId="03F8C0AD">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6. </w:t>
      </w:r>
      <w:r>
        <w:rPr>
          <w:rFonts w:hint="eastAsia" w:ascii="宋体" w:hAnsi="宋体" w:cs="宋体"/>
          <w:color w:val="auto"/>
          <w:kern w:val="0"/>
          <w:sz w:val="21"/>
          <w:szCs w:val="22"/>
          <w:highlight w:val="none"/>
        </w:rPr>
        <w:t>除非另外达成协议并生效，你方的成交通知书和本响应文件将成为约束双方的合同文件的组成部分。</w:t>
      </w:r>
    </w:p>
    <w:p w14:paraId="119CE8DF">
      <w:pPr>
        <w:autoSpaceDE w:val="0"/>
        <w:autoSpaceDN w:val="0"/>
        <w:adjustRightInd w:val="0"/>
        <w:spacing w:line="360" w:lineRule="auto"/>
        <w:ind w:firstLine="420" w:firstLineChars="200"/>
        <w:rPr>
          <w:rFonts w:ascii="宋体" w:cs="宋体"/>
          <w:color w:val="auto"/>
          <w:kern w:val="0"/>
          <w:sz w:val="21"/>
          <w:szCs w:val="22"/>
          <w:highlight w:val="none"/>
        </w:rPr>
      </w:pPr>
      <w:r>
        <w:rPr>
          <w:rFonts w:ascii="宋体" w:hAnsi="宋体" w:cs="宋体"/>
          <w:color w:val="auto"/>
          <w:kern w:val="0"/>
          <w:sz w:val="21"/>
          <w:szCs w:val="22"/>
          <w:highlight w:val="none"/>
        </w:rPr>
        <w:t xml:space="preserve">7. </w:t>
      </w:r>
      <w:r>
        <w:rPr>
          <w:rFonts w:hint="eastAsia" w:ascii="宋体" w:hAnsi="宋体" w:cs="宋体"/>
          <w:color w:val="auto"/>
          <w:kern w:val="0"/>
          <w:sz w:val="21"/>
          <w:szCs w:val="22"/>
          <w:highlight w:val="none"/>
        </w:rPr>
        <w:t>我方将与本</w:t>
      </w:r>
      <w:r>
        <w:rPr>
          <w:rFonts w:hint="eastAsia" w:ascii="宋体" w:hAnsi="宋体" w:cs="宋体"/>
          <w:color w:val="auto"/>
          <w:kern w:val="0"/>
          <w:sz w:val="21"/>
          <w:szCs w:val="22"/>
          <w:highlight w:val="none"/>
          <w:lang w:eastAsia="zh-CN"/>
        </w:rPr>
        <w:t>磋商函</w:t>
      </w:r>
      <w:r>
        <w:rPr>
          <w:rFonts w:hint="eastAsia" w:ascii="宋体" w:hAnsi="宋体" w:cs="宋体"/>
          <w:color w:val="auto"/>
          <w:kern w:val="0"/>
          <w:sz w:val="21"/>
          <w:szCs w:val="22"/>
          <w:highlight w:val="none"/>
        </w:rPr>
        <w:t>一起，提交人民币</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bCs/>
          <w:color w:val="auto"/>
          <w:kern w:val="0"/>
          <w:sz w:val="21"/>
          <w:szCs w:val="22"/>
          <w:highlight w:val="none"/>
          <w:u w:val="none"/>
        </w:rPr>
        <w:t>元</w:t>
      </w:r>
      <w:r>
        <w:rPr>
          <w:rFonts w:hint="eastAsia" w:ascii="宋体" w:hAnsi="宋体" w:cs="宋体"/>
          <w:color w:val="auto"/>
          <w:kern w:val="0"/>
          <w:sz w:val="21"/>
          <w:szCs w:val="22"/>
          <w:highlight w:val="none"/>
        </w:rPr>
        <w:t>的磋商保证金。</w:t>
      </w:r>
    </w:p>
    <w:p w14:paraId="38E075BA">
      <w:pPr>
        <w:autoSpaceDE w:val="0"/>
        <w:autoSpaceDN w:val="0"/>
        <w:adjustRightInd w:val="0"/>
        <w:spacing w:line="360" w:lineRule="auto"/>
        <w:ind w:firstLine="555"/>
        <w:rPr>
          <w:rFonts w:ascii="宋体" w:cs="宋体"/>
          <w:color w:val="auto"/>
          <w:kern w:val="0"/>
          <w:sz w:val="21"/>
          <w:szCs w:val="22"/>
          <w:highlight w:val="none"/>
        </w:rPr>
      </w:pPr>
    </w:p>
    <w:p w14:paraId="08CF9AFF">
      <w:pPr>
        <w:autoSpaceDE w:val="0"/>
        <w:autoSpaceDN w:val="0"/>
        <w:adjustRightInd w:val="0"/>
        <w:spacing w:line="360" w:lineRule="auto"/>
        <w:ind w:firstLine="840" w:firstLineChars="400"/>
        <w:rPr>
          <w:rFonts w:ascii="宋体" w:cs="宋体"/>
          <w:color w:val="auto"/>
          <w:kern w:val="0"/>
          <w:sz w:val="21"/>
          <w:szCs w:val="22"/>
          <w:highlight w:val="none"/>
        </w:rPr>
      </w:pPr>
      <w:r>
        <w:rPr>
          <w:rFonts w:hint="eastAsia" w:ascii="宋体" w:hAnsi="宋体" w:cs="宋体"/>
          <w:color w:val="auto"/>
          <w:kern w:val="0"/>
          <w:sz w:val="21"/>
          <w:szCs w:val="22"/>
          <w:highlight w:val="none"/>
        </w:rPr>
        <w:t>竞标人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（盖章）</w:t>
      </w:r>
    </w:p>
    <w:p w14:paraId="5EA14D6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单位地址：</w:t>
      </w:r>
    </w:p>
    <w:p w14:paraId="0D54DFE1">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法定代表人或其授权代理人</w:t>
      </w:r>
      <w:r>
        <w:rPr>
          <w:rFonts w:hint="eastAsia" w:ascii="宋体" w:hAnsi="宋体" w:cs="宋体"/>
          <w:color w:val="auto"/>
          <w:kern w:val="0"/>
          <w:sz w:val="21"/>
          <w:szCs w:val="22"/>
          <w:highlight w:val="none"/>
          <w:u w:val="single"/>
        </w:rPr>
        <w:t>：</w:t>
      </w:r>
      <w:r>
        <w:rPr>
          <w:rFonts w:hint="eastAsia" w:ascii="宋体" w:hAnsi="宋体" w:cs="宋体"/>
          <w:color w:val="auto"/>
          <w:kern w:val="0"/>
          <w:sz w:val="21"/>
          <w:szCs w:val="22"/>
          <w:highlight w:val="none"/>
          <w:u w:val="single"/>
          <w:lang w:val="en-US" w:eastAsia="zh-CN"/>
        </w:rPr>
        <w:t xml:space="preserve">            </w:t>
      </w:r>
      <w:r>
        <w:rPr>
          <w:rFonts w:hint="eastAsia" w:ascii="宋体" w:hAnsi="宋体" w:cs="宋体"/>
          <w:color w:val="auto"/>
          <w:kern w:val="0"/>
          <w:sz w:val="21"/>
          <w:szCs w:val="22"/>
          <w:highlight w:val="none"/>
          <w:u w:val="single"/>
        </w:rPr>
        <w:t>（签字或盖章）</w:t>
      </w:r>
    </w:p>
    <w:p w14:paraId="71F53DB9">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邮政编码：</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电话：</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传真：</w:t>
      </w:r>
    </w:p>
    <w:p w14:paraId="192B1EFB">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开户银行名称：</w:t>
      </w:r>
    </w:p>
    <w:p w14:paraId="62A07E4C">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开户银行帐号：</w:t>
      </w:r>
    </w:p>
    <w:p w14:paraId="0D179B90">
      <w:pPr>
        <w:autoSpaceDE w:val="0"/>
        <w:autoSpaceDN w:val="0"/>
        <w:adjustRightInd w:val="0"/>
        <w:spacing w:line="360" w:lineRule="auto"/>
        <w:ind w:firstLine="840" w:firstLineChars="400"/>
        <w:jc w:val="left"/>
        <w:rPr>
          <w:rFonts w:ascii="宋体" w:cs="宋体"/>
          <w:color w:val="auto"/>
          <w:kern w:val="0"/>
          <w:sz w:val="21"/>
          <w:szCs w:val="22"/>
          <w:highlight w:val="none"/>
          <w:u w:val="single"/>
        </w:rPr>
      </w:pPr>
      <w:r>
        <w:rPr>
          <w:rFonts w:hint="eastAsia" w:ascii="宋体" w:hAnsi="宋体" w:cs="宋体"/>
          <w:color w:val="auto"/>
          <w:kern w:val="0"/>
          <w:sz w:val="21"/>
          <w:szCs w:val="22"/>
          <w:highlight w:val="none"/>
        </w:rPr>
        <w:t>开户银行地址：</w:t>
      </w:r>
    </w:p>
    <w:p w14:paraId="484B889B">
      <w:pPr>
        <w:autoSpaceDE w:val="0"/>
        <w:autoSpaceDN w:val="0"/>
        <w:adjustRightInd w:val="0"/>
        <w:spacing w:line="360" w:lineRule="auto"/>
        <w:ind w:firstLine="840" w:firstLineChars="400"/>
        <w:jc w:val="left"/>
        <w:rPr>
          <w:rFonts w:ascii="宋体" w:cs="宋体"/>
          <w:color w:val="auto"/>
          <w:kern w:val="0"/>
          <w:sz w:val="21"/>
          <w:szCs w:val="22"/>
          <w:highlight w:val="none"/>
        </w:rPr>
      </w:pPr>
      <w:r>
        <w:rPr>
          <w:rFonts w:hint="eastAsia" w:ascii="宋体" w:hAnsi="宋体" w:cs="宋体"/>
          <w:color w:val="auto"/>
          <w:kern w:val="0"/>
          <w:sz w:val="21"/>
          <w:szCs w:val="22"/>
          <w:highlight w:val="none"/>
        </w:rPr>
        <w:t>日期：</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年</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月</w:t>
      </w:r>
      <w:r>
        <w:rPr>
          <w:rFonts w:hint="eastAsia" w:ascii="宋体" w:hAnsi="宋体" w:cs="宋体"/>
          <w:color w:val="auto"/>
          <w:kern w:val="0"/>
          <w:sz w:val="21"/>
          <w:szCs w:val="22"/>
          <w:highlight w:val="none"/>
          <w:lang w:val="en-US" w:eastAsia="zh-CN"/>
        </w:rPr>
        <w:t xml:space="preserve">    </w:t>
      </w:r>
      <w:r>
        <w:rPr>
          <w:rFonts w:hint="eastAsia" w:ascii="宋体" w:hAnsi="宋体" w:cs="宋体"/>
          <w:color w:val="auto"/>
          <w:kern w:val="0"/>
          <w:sz w:val="21"/>
          <w:szCs w:val="22"/>
          <w:highlight w:val="none"/>
        </w:rPr>
        <w:t>日</w:t>
      </w:r>
    </w:p>
    <w:p w14:paraId="2F203E75">
      <w:pPr>
        <w:pStyle w:val="31"/>
        <w:spacing w:line="360" w:lineRule="auto"/>
        <w:ind w:right="97"/>
        <w:rPr>
          <w:rFonts w:ascii="宋体" w:hAnsi="宋体" w:cs="宋体"/>
          <w:color w:val="auto"/>
          <w:szCs w:val="21"/>
          <w:highlight w:val="none"/>
        </w:rPr>
      </w:pPr>
    </w:p>
    <w:p w14:paraId="62B821EC">
      <w:pPr>
        <w:pStyle w:val="31"/>
        <w:spacing w:line="360" w:lineRule="auto"/>
        <w:rPr>
          <w:rFonts w:ascii="宋体" w:hAnsi="宋体"/>
          <w:b/>
          <w:color w:val="auto"/>
          <w:sz w:val="28"/>
          <w:szCs w:val="28"/>
          <w:highlight w:val="none"/>
        </w:rPr>
      </w:pPr>
    </w:p>
    <w:p w14:paraId="7FC86B3B">
      <w:pPr>
        <w:pStyle w:val="32"/>
        <w:rPr>
          <w:color w:val="auto"/>
          <w:highlight w:val="none"/>
        </w:rPr>
      </w:pPr>
    </w:p>
    <w:p w14:paraId="23227084">
      <w:pPr>
        <w:pStyle w:val="31"/>
        <w:spacing w:line="360" w:lineRule="auto"/>
        <w:rPr>
          <w:rFonts w:ascii="宋体" w:hAnsi="宋体"/>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12656D01">
      <w:pPr>
        <w:pStyle w:val="31"/>
        <w:spacing w:line="360" w:lineRule="auto"/>
        <w:rPr>
          <w:rFonts w:ascii="宋体" w:hAnsi="宋体"/>
          <w:b/>
          <w:color w:val="auto"/>
          <w:sz w:val="28"/>
          <w:szCs w:val="28"/>
          <w:highlight w:val="none"/>
        </w:rPr>
      </w:pPr>
      <w:r>
        <w:rPr>
          <w:rFonts w:hint="eastAsia" w:ascii="宋体" w:hAnsi="宋体"/>
          <w:b/>
          <w:color w:val="auto"/>
          <w:sz w:val="28"/>
          <w:szCs w:val="28"/>
          <w:highlight w:val="none"/>
          <w:lang w:val="en-US" w:eastAsia="zh-CN"/>
        </w:rPr>
        <w:t>5、</w:t>
      </w:r>
      <w:r>
        <w:rPr>
          <w:rFonts w:ascii="宋体" w:hAnsi="宋体"/>
          <w:b/>
          <w:color w:val="auto"/>
          <w:sz w:val="28"/>
          <w:szCs w:val="28"/>
          <w:highlight w:val="none"/>
        </w:rPr>
        <w:t xml:space="preserve">磋商函附录       </w:t>
      </w:r>
    </w:p>
    <w:p w14:paraId="64C28CA6">
      <w:pPr>
        <w:pStyle w:val="37"/>
        <w:spacing w:line="360" w:lineRule="auto"/>
        <w:jc w:val="center"/>
        <w:rPr>
          <w:color w:val="auto"/>
          <w:sz w:val="32"/>
          <w:szCs w:val="32"/>
          <w:highlight w:val="none"/>
        </w:rPr>
      </w:pPr>
      <w:bookmarkStart w:id="84" w:name="_Toc31318"/>
      <w:bookmarkStart w:id="85" w:name="_Toc1106"/>
      <w:bookmarkStart w:id="86" w:name="_Toc514606977"/>
      <w:bookmarkStart w:id="87" w:name="_Toc514605322"/>
      <w:bookmarkStart w:id="88" w:name="_Toc514607588"/>
      <w:bookmarkStart w:id="89" w:name="_Toc514605589"/>
      <w:r>
        <w:rPr>
          <w:color w:val="auto"/>
          <w:sz w:val="30"/>
          <w:szCs w:val="30"/>
          <w:highlight w:val="none"/>
        </w:rPr>
        <w:t>磋商函附录</w:t>
      </w:r>
      <w:bookmarkEnd w:id="84"/>
      <w:bookmarkEnd w:id="85"/>
      <w:bookmarkEnd w:id="86"/>
      <w:bookmarkEnd w:id="87"/>
      <w:bookmarkEnd w:id="88"/>
      <w:bookmarkEnd w:id="89"/>
    </w:p>
    <w:tbl>
      <w:tblPr>
        <w:tblStyle w:val="23"/>
        <w:tblW w:w="8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3"/>
        <w:gridCol w:w="2145"/>
        <w:gridCol w:w="1854"/>
        <w:gridCol w:w="2633"/>
        <w:gridCol w:w="900"/>
      </w:tblGrid>
      <w:tr w14:paraId="7ED2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27E96CD">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序号</w:t>
            </w:r>
          </w:p>
        </w:tc>
        <w:tc>
          <w:tcPr>
            <w:tcW w:w="2145" w:type="dxa"/>
            <w:vAlign w:val="center"/>
          </w:tcPr>
          <w:p w14:paraId="30EB290D">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项目内容</w:t>
            </w:r>
          </w:p>
        </w:tc>
        <w:tc>
          <w:tcPr>
            <w:tcW w:w="1854" w:type="dxa"/>
            <w:vAlign w:val="center"/>
          </w:tcPr>
          <w:p w14:paraId="7AF2C82C">
            <w:pPr>
              <w:autoSpaceDE w:val="0"/>
              <w:autoSpaceDN w:val="0"/>
              <w:adjustRightInd w:val="0"/>
              <w:spacing w:line="360" w:lineRule="auto"/>
              <w:jc w:val="center"/>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合同要求内容</w:t>
            </w:r>
          </w:p>
        </w:tc>
        <w:tc>
          <w:tcPr>
            <w:tcW w:w="2633" w:type="dxa"/>
            <w:vAlign w:val="center"/>
          </w:tcPr>
          <w:p w14:paraId="7AF3194A">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lang w:val="en-US" w:eastAsia="zh-CN"/>
              </w:rPr>
              <w:t>响应</w:t>
            </w:r>
            <w:r>
              <w:rPr>
                <w:rFonts w:hint="eastAsia" w:ascii="宋体" w:hAnsi="宋体" w:cs="宋体"/>
                <w:color w:val="auto"/>
                <w:kern w:val="0"/>
                <w:sz w:val="21"/>
                <w:szCs w:val="22"/>
                <w:highlight w:val="none"/>
              </w:rPr>
              <w:t>内容</w:t>
            </w:r>
          </w:p>
        </w:tc>
        <w:tc>
          <w:tcPr>
            <w:tcW w:w="900" w:type="dxa"/>
            <w:vAlign w:val="center"/>
          </w:tcPr>
          <w:p w14:paraId="4CD72B6E">
            <w:pPr>
              <w:autoSpaceDE w:val="0"/>
              <w:autoSpaceDN w:val="0"/>
              <w:adjustRightInd w:val="0"/>
              <w:spacing w:line="360" w:lineRule="auto"/>
              <w:jc w:val="center"/>
              <w:rPr>
                <w:rFonts w:ascii="宋体" w:cs="宋体"/>
                <w:color w:val="auto"/>
                <w:kern w:val="0"/>
                <w:sz w:val="21"/>
                <w:szCs w:val="22"/>
                <w:highlight w:val="none"/>
              </w:rPr>
            </w:pPr>
            <w:r>
              <w:rPr>
                <w:rFonts w:hint="eastAsia" w:ascii="宋体" w:hAnsi="宋体" w:cs="宋体"/>
                <w:color w:val="auto"/>
                <w:kern w:val="0"/>
                <w:sz w:val="21"/>
                <w:szCs w:val="22"/>
                <w:highlight w:val="none"/>
              </w:rPr>
              <w:t>备注</w:t>
            </w:r>
          </w:p>
        </w:tc>
      </w:tr>
      <w:tr w14:paraId="511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843" w:type="dxa"/>
            <w:vAlign w:val="center"/>
          </w:tcPr>
          <w:p w14:paraId="01C28DC0">
            <w:pPr>
              <w:autoSpaceDE w:val="0"/>
              <w:autoSpaceDN w:val="0"/>
              <w:adjustRightInd w:val="0"/>
              <w:spacing w:line="360" w:lineRule="auto"/>
              <w:jc w:val="center"/>
              <w:rPr>
                <w:rFonts w:ascii="宋体" w:hAnsi="宋体" w:cs="宋体"/>
                <w:color w:val="auto"/>
                <w:kern w:val="0"/>
                <w:sz w:val="21"/>
                <w:szCs w:val="22"/>
                <w:highlight w:val="none"/>
              </w:rPr>
            </w:pPr>
            <w:r>
              <w:rPr>
                <w:rFonts w:ascii="宋体" w:hAnsi="宋体" w:cs="宋体"/>
                <w:color w:val="auto"/>
                <w:kern w:val="0"/>
                <w:sz w:val="21"/>
                <w:szCs w:val="22"/>
                <w:highlight w:val="none"/>
              </w:rPr>
              <w:t>1</w:t>
            </w:r>
          </w:p>
        </w:tc>
        <w:tc>
          <w:tcPr>
            <w:tcW w:w="2145" w:type="dxa"/>
            <w:vAlign w:val="center"/>
          </w:tcPr>
          <w:p w14:paraId="62C4D743">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预付款支付</w:t>
            </w:r>
          </w:p>
        </w:tc>
        <w:tc>
          <w:tcPr>
            <w:tcW w:w="1854" w:type="dxa"/>
            <w:vAlign w:val="center"/>
          </w:tcPr>
          <w:p w14:paraId="209AC60A">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22DF95D1">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4018854F">
            <w:pPr>
              <w:autoSpaceDE w:val="0"/>
              <w:autoSpaceDN w:val="0"/>
              <w:adjustRightInd w:val="0"/>
              <w:spacing w:line="360" w:lineRule="auto"/>
              <w:jc w:val="center"/>
              <w:rPr>
                <w:rFonts w:ascii="宋体" w:cs="宋体"/>
                <w:color w:val="auto"/>
                <w:kern w:val="0"/>
                <w:sz w:val="21"/>
                <w:szCs w:val="22"/>
                <w:highlight w:val="none"/>
              </w:rPr>
            </w:pPr>
          </w:p>
        </w:tc>
      </w:tr>
      <w:tr w14:paraId="575C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41654490">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2</w:t>
            </w:r>
          </w:p>
        </w:tc>
        <w:tc>
          <w:tcPr>
            <w:tcW w:w="2145" w:type="dxa"/>
            <w:vAlign w:val="center"/>
          </w:tcPr>
          <w:p w14:paraId="363D4494">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工程</w:t>
            </w:r>
            <w:r>
              <w:rPr>
                <w:rFonts w:hint="eastAsia" w:ascii="宋体" w:hAnsi="宋体" w:cs="宋体"/>
                <w:color w:val="auto"/>
                <w:kern w:val="0"/>
                <w:sz w:val="21"/>
                <w:szCs w:val="22"/>
                <w:highlight w:val="none"/>
                <w:lang w:eastAsia="zh-CN"/>
              </w:rPr>
              <w:t>款支付</w:t>
            </w:r>
          </w:p>
        </w:tc>
        <w:tc>
          <w:tcPr>
            <w:tcW w:w="1854" w:type="dxa"/>
            <w:vAlign w:val="center"/>
          </w:tcPr>
          <w:p w14:paraId="13014254">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2A8B01CD">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4B08A608">
            <w:pPr>
              <w:autoSpaceDE w:val="0"/>
              <w:autoSpaceDN w:val="0"/>
              <w:adjustRightInd w:val="0"/>
              <w:spacing w:line="360" w:lineRule="auto"/>
              <w:jc w:val="center"/>
              <w:rPr>
                <w:rFonts w:ascii="宋体" w:cs="宋体"/>
                <w:color w:val="auto"/>
                <w:kern w:val="0"/>
                <w:sz w:val="21"/>
                <w:szCs w:val="22"/>
                <w:highlight w:val="none"/>
              </w:rPr>
            </w:pPr>
          </w:p>
        </w:tc>
      </w:tr>
      <w:tr w14:paraId="2EC9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D221175">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3</w:t>
            </w:r>
          </w:p>
        </w:tc>
        <w:tc>
          <w:tcPr>
            <w:tcW w:w="2145" w:type="dxa"/>
            <w:vAlign w:val="center"/>
          </w:tcPr>
          <w:p w14:paraId="41E1381B">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质量保修期</w:t>
            </w:r>
          </w:p>
        </w:tc>
        <w:tc>
          <w:tcPr>
            <w:tcW w:w="1854" w:type="dxa"/>
            <w:vAlign w:val="center"/>
          </w:tcPr>
          <w:p w14:paraId="0CA78DD6">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7457DA89">
            <w:pPr>
              <w:autoSpaceDE w:val="0"/>
              <w:autoSpaceDN w:val="0"/>
              <w:adjustRightInd w:val="0"/>
              <w:spacing w:line="360" w:lineRule="auto"/>
              <w:jc w:val="center"/>
              <w:rPr>
                <w:rFonts w:ascii="宋体" w:hAnsi="宋体" w:cs="宋体"/>
                <w:color w:val="auto"/>
                <w:kern w:val="0"/>
                <w:sz w:val="21"/>
                <w:szCs w:val="22"/>
                <w:highlight w:val="none"/>
              </w:rPr>
            </w:pPr>
          </w:p>
        </w:tc>
        <w:tc>
          <w:tcPr>
            <w:tcW w:w="900" w:type="dxa"/>
            <w:vAlign w:val="center"/>
          </w:tcPr>
          <w:p w14:paraId="3794030B">
            <w:pPr>
              <w:autoSpaceDE w:val="0"/>
              <w:autoSpaceDN w:val="0"/>
              <w:adjustRightInd w:val="0"/>
              <w:spacing w:line="360" w:lineRule="auto"/>
              <w:jc w:val="center"/>
              <w:rPr>
                <w:rFonts w:ascii="宋体" w:cs="宋体"/>
                <w:color w:val="auto"/>
                <w:kern w:val="0"/>
                <w:sz w:val="21"/>
                <w:szCs w:val="22"/>
                <w:highlight w:val="none"/>
              </w:rPr>
            </w:pPr>
          </w:p>
        </w:tc>
      </w:tr>
      <w:tr w14:paraId="5D313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78180ED">
            <w:pPr>
              <w:autoSpaceDE w:val="0"/>
              <w:autoSpaceDN w:val="0"/>
              <w:adjustRightInd w:val="0"/>
              <w:spacing w:line="360" w:lineRule="auto"/>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4</w:t>
            </w:r>
          </w:p>
        </w:tc>
        <w:tc>
          <w:tcPr>
            <w:tcW w:w="2145" w:type="dxa"/>
            <w:vAlign w:val="center"/>
          </w:tcPr>
          <w:p w14:paraId="41258423">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质量保证金</w:t>
            </w:r>
          </w:p>
        </w:tc>
        <w:tc>
          <w:tcPr>
            <w:tcW w:w="1854" w:type="dxa"/>
            <w:vAlign w:val="center"/>
          </w:tcPr>
          <w:p w14:paraId="488AAA1D">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11763F2D">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34C718A3">
            <w:pPr>
              <w:autoSpaceDE w:val="0"/>
              <w:autoSpaceDN w:val="0"/>
              <w:adjustRightInd w:val="0"/>
              <w:spacing w:line="360" w:lineRule="auto"/>
              <w:jc w:val="center"/>
              <w:rPr>
                <w:rFonts w:ascii="宋体" w:cs="宋体"/>
                <w:color w:val="auto"/>
                <w:kern w:val="0"/>
                <w:sz w:val="21"/>
                <w:szCs w:val="22"/>
                <w:highlight w:val="none"/>
              </w:rPr>
            </w:pPr>
          </w:p>
        </w:tc>
      </w:tr>
      <w:tr w14:paraId="6D7D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052908B6">
            <w:pPr>
              <w:autoSpaceDE w:val="0"/>
              <w:autoSpaceDN w:val="0"/>
              <w:adjustRightInd w:val="0"/>
              <w:spacing w:line="360" w:lineRule="auto"/>
              <w:ind w:left="-540" w:leftChars="-270" w:firstLine="504" w:firstLineChars="240"/>
              <w:jc w:val="center"/>
              <w:rPr>
                <w:rFonts w:ascii="宋体" w:hAnsi="宋体" w:cs="宋体"/>
                <w:color w:val="auto"/>
                <w:kern w:val="0"/>
                <w:sz w:val="21"/>
                <w:szCs w:val="22"/>
                <w:highlight w:val="none"/>
              </w:rPr>
            </w:pPr>
            <w:r>
              <w:rPr>
                <w:rFonts w:hint="eastAsia" w:ascii="宋体" w:hAnsi="宋体" w:cs="宋体"/>
                <w:color w:val="auto"/>
                <w:kern w:val="0"/>
                <w:sz w:val="21"/>
                <w:szCs w:val="22"/>
                <w:highlight w:val="none"/>
                <w:lang w:val="en-US" w:eastAsia="zh-CN"/>
              </w:rPr>
              <w:t>5</w:t>
            </w:r>
          </w:p>
        </w:tc>
        <w:tc>
          <w:tcPr>
            <w:tcW w:w="2145" w:type="dxa"/>
            <w:vAlign w:val="center"/>
          </w:tcPr>
          <w:p w14:paraId="075A3BED">
            <w:pPr>
              <w:autoSpaceDE w:val="0"/>
              <w:autoSpaceDN w:val="0"/>
              <w:adjustRightInd w:val="0"/>
              <w:spacing w:line="360" w:lineRule="auto"/>
              <w:rPr>
                <w:rFonts w:ascii="宋体" w:cs="宋体"/>
                <w:color w:val="auto"/>
                <w:kern w:val="0"/>
                <w:sz w:val="21"/>
                <w:szCs w:val="22"/>
                <w:highlight w:val="none"/>
              </w:rPr>
            </w:pPr>
            <w:r>
              <w:rPr>
                <w:rFonts w:hint="eastAsia" w:ascii="宋体" w:hAnsi="宋体" w:cs="宋体"/>
                <w:color w:val="auto"/>
                <w:kern w:val="0"/>
                <w:sz w:val="21"/>
                <w:szCs w:val="22"/>
                <w:highlight w:val="none"/>
              </w:rPr>
              <w:t>竞标工期</w:t>
            </w:r>
          </w:p>
        </w:tc>
        <w:tc>
          <w:tcPr>
            <w:tcW w:w="1854" w:type="dxa"/>
            <w:vAlign w:val="center"/>
          </w:tcPr>
          <w:p w14:paraId="2AB483BB">
            <w:pPr>
              <w:autoSpaceDE w:val="0"/>
              <w:autoSpaceDN w:val="0"/>
              <w:adjustRightInd w:val="0"/>
              <w:spacing w:line="360" w:lineRule="auto"/>
              <w:jc w:val="center"/>
              <w:rPr>
                <w:rFonts w:ascii="宋体" w:cs="宋体"/>
                <w:color w:val="auto"/>
                <w:kern w:val="0"/>
                <w:sz w:val="21"/>
                <w:szCs w:val="22"/>
                <w:highlight w:val="none"/>
              </w:rPr>
            </w:pPr>
          </w:p>
        </w:tc>
        <w:tc>
          <w:tcPr>
            <w:tcW w:w="2633" w:type="dxa"/>
            <w:vAlign w:val="center"/>
          </w:tcPr>
          <w:p w14:paraId="58AA394D">
            <w:pPr>
              <w:autoSpaceDE w:val="0"/>
              <w:autoSpaceDN w:val="0"/>
              <w:adjustRightInd w:val="0"/>
              <w:spacing w:line="360" w:lineRule="auto"/>
              <w:jc w:val="center"/>
              <w:rPr>
                <w:rFonts w:ascii="宋体" w:cs="宋体"/>
                <w:color w:val="auto"/>
                <w:kern w:val="0"/>
                <w:sz w:val="21"/>
                <w:szCs w:val="22"/>
                <w:highlight w:val="none"/>
                <w:u w:val="single"/>
              </w:rPr>
            </w:pPr>
          </w:p>
        </w:tc>
        <w:tc>
          <w:tcPr>
            <w:tcW w:w="900" w:type="dxa"/>
            <w:vAlign w:val="center"/>
          </w:tcPr>
          <w:p w14:paraId="29017A0A">
            <w:pPr>
              <w:autoSpaceDE w:val="0"/>
              <w:autoSpaceDN w:val="0"/>
              <w:adjustRightInd w:val="0"/>
              <w:spacing w:line="360" w:lineRule="auto"/>
              <w:jc w:val="center"/>
              <w:rPr>
                <w:rFonts w:ascii="宋体" w:cs="宋体"/>
                <w:color w:val="auto"/>
                <w:kern w:val="0"/>
                <w:sz w:val="21"/>
                <w:szCs w:val="22"/>
                <w:highlight w:val="none"/>
              </w:rPr>
            </w:pPr>
          </w:p>
        </w:tc>
      </w:tr>
      <w:tr w14:paraId="701C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43" w:type="dxa"/>
            <w:vAlign w:val="center"/>
          </w:tcPr>
          <w:p w14:paraId="6E5BEB3A">
            <w:pPr>
              <w:autoSpaceDE w:val="0"/>
              <w:autoSpaceDN w:val="0"/>
              <w:adjustRightInd w:val="0"/>
              <w:spacing w:line="360" w:lineRule="auto"/>
              <w:ind w:left="-540" w:leftChars="-270" w:firstLine="504" w:firstLineChars="240"/>
              <w:jc w:val="center"/>
              <w:rPr>
                <w:rFonts w:hint="default" w:ascii="宋体" w:hAnsi="宋体" w:eastAsia="宋体" w:cs="宋体"/>
                <w:color w:val="auto"/>
                <w:kern w:val="0"/>
                <w:sz w:val="21"/>
                <w:szCs w:val="22"/>
                <w:highlight w:val="none"/>
                <w:lang w:val="en-US" w:eastAsia="zh-CN"/>
              </w:rPr>
            </w:pPr>
            <w:r>
              <w:rPr>
                <w:rFonts w:hint="eastAsia" w:ascii="宋体" w:hAnsi="宋体" w:cs="宋体"/>
                <w:color w:val="auto"/>
                <w:kern w:val="0"/>
                <w:sz w:val="21"/>
                <w:szCs w:val="22"/>
                <w:highlight w:val="none"/>
                <w:lang w:val="en-US" w:eastAsia="zh-CN"/>
              </w:rPr>
              <w:t>..</w:t>
            </w:r>
          </w:p>
        </w:tc>
        <w:tc>
          <w:tcPr>
            <w:tcW w:w="2145" w:type="dxa"/>
            <w:vAlign w:val="center"/>
          </w:tcPr>
          <w:p w14:paraId="6A44474E">
            <w:pPr>
              <w:autoSpaceDE w:val="0"/>
              <w:autoSpaceDN w:val="0"/>
              <w:adjustRightInd w:val="0"/>
              <w:spacing w:line="360" w:lineRule="auto"/>
              <w:rPr>
                <w:rFonts w:hint="default" w:ascii="宋体" w:eastAsia="宋体" w:cs="宋体"/>
                <w:color w:val="auto"/>
                <w:kern w:val="0"/>
                <w:sz w:val="21"/>
                <w:szCs w:val="22"/>
                <w:highlight w:val="none"/>
                <w:lang w:val="en-US" w:eastAsia="zh-CN"/>
              </w:rPr>
            </w:pPr>
            <w:r>
              <w:rPr>
                <w:rFonts w:hint="eastAsia" w:ascii="宋体" w:cs="宋体"/>
                <w:color w:val="auto"/>
                <w:kern w:val="0"/>
                <w:sz w:val="21"/>
                <w:szCs w:val="22"/>
                <w:highlight w:val="none"/>
                <w:lang w:val="en-US" w:eastAsia="zh-CN"/>
              </w:rPr>
              <w:t>......</w:t>
            </w:r>
          </w:p>
        </w:tc>
        <w:tc>
          <w:tcPr>
            <w:tcW w:w="1854" w:type="dxa"/>
            <w:vAlign w:val="center"/>
          </w:tcPr>
          <w:p w14:paraId="61D679E5">
            <w:pPr>
              <w:autoSpaceDE w:val="0"/>
              <w:autoSpaceDN w:val="0"/>
              <w:adjustRightInd w:val="0"/>
              <w:spacing w:line="360" w:lineRule="auto"/>
              <w:jc w:val="center"/>
              <w:rPr>
                <w:rFonts w:ascii="宋体" w:hAnsi="宋体" w:cs="宋体"/>
                <w:color w:val="auto"/>
                <w:kern w:val="0"/>
                <w:sz w:val="21"/>
                <w:szCs w:val="22"/>
                <w:highlight w:val="none"/>
              </w:rPr>
            </w:pPr>
          </w:p>
        </w:tc>
        <w:tc>
          <w:tcPr>
            <w:tcW w:w="2633" w:type="dxa"/>
            <w:vAlign w:val="center"/>
          </w:tcPr>
          <w:p w14:paraId="5B92E3C8">
            <w:pPr>
              <w:autoSpaceDE w:val="0"/>
              <w:autoSpaceDN w:val="0"/>
              <w:adjustRightInd w:val="0"/>
              <w:spacing w:line="360" w:lineRule="auto"/>
              <w:jc w:val="center"/>
              <w:rPr>
                <w:rFonts w:ascii="宋体" w:cs="宋体"/>
                <w:color w:val="auto"/>
                <w:kern w:val="0"/>
                <w:sz w:val="21"/>
                <w:szCs w:val="22"/>
                <w:highlight w:val="none"/>
              </w:rPr>
            </w:pPr>
          </w:p>
        </w:tc>
        <w:tc>
          <w:tcPr>
            <w:tcW w:w="900" w:type="dxa"/>
            <w:vAlign w:val="center"/>
          </w:tcPr>
          <w:p w14:paraId="3AA4E7A5">
            <w:pPr>
              <w:autoSpaceDE w:val="0"/>
              <w:autoSpaceDN w:val="0"/>
              <w:adjustRightInd w:val="0"/>
              <w:spacing w:line="360" w:lineRule="auto"/>
              <w:jc w:val="center"/>
              <w:rPr>
                <w:rFonts w:ascii="宋体" w:cs="宋体"/>
                <w:color w:val="auto"/>
                <w:kern w:val="0"/>
                <w:sz w:val="21"/>
                <w:szCs w:val="22"/>
                <w:highlight w:val="none"/>
                <w:u w:val="single"/>
              </w:rPr>
            </w:pPr>
          </w:p>
        </w:tc>
      </w:tr>
    </w:tbl>
    <w:p w14:paraId="1D86C2CB">
      <w:pPr>
        <w:pStyle w:val="31"/>
        <w:snapToGrid w:val="0"/>
        <w:spacing w:line="360" w:lineRule="auto"/>
        <w:rPr>
          <w:rFonts w:hint="eastAsia" w:ascii="宋体" w:hAnsi="宋体" w:eastAsia="宋体"/>
          <w:color w:val="auto"/>
          <w:sz w:val="22"/>
          <w:szCs w:val="22"/>
          <w:highlight w:val="none"/>
          <w:lang w:eastAsia="zh-CN"/>
        </w:rPr>
      </w:pPr>
    </w:p>
    <w:p w14:paraId="6D537BD7">
      <w:pPr>
        <w:pStyle w:val="13"/>
        <w:spacing w:line="360" w:lineRule="auto"/>
        <w:rPr>
          <w:color w:val="auto"/>
          <w:sz w:val="21"/>
          <w:szCs w:val="22"/>
          <w:highlight w:val="none"/>
        </w:rPr>
      </w:pPr>
      <w:r>
        <w:rPr>
          <w:rFonts w:hint="eastAsia"/>
          <w:color w:val="auto"/>
          <w:sz w:val="21"/>
          <w:szCs w:val="22"/>
          <w:highlight w:val="none"/>
        </w:rPr>
        <w:t>法定代表人(负责人、自然人)或相应的委托代理人签字（</w:t>
      </w:r>
      <w:r>
        <w:rPr>
          <w:rFonts w:hint="eastAsia"/>
          <w:color w:val="auto"/>
          <w:sz w:val="21"/>
          <w:szCs w:val="22"/>
          <w:highlight w:val="none"/>
          <w:lang w:eastAsia="zh-CN"/>
        </w:rPr>
        <w:t>签字或盖</w:t>
      </w:r>
      <w:r>
        <w:rPr>
          <w:rFonts w:hint="eastAsia"/>
          <w:color w:val="auto"/>
          <w:sz w:val="21"/>
          <w:szCs w:val="22"/>
          <w:highlight w:val="none"/>
        </w:rPr>
        <w:t>章）</w:t>
      </w:r>
      <w:r>
        <w:rPr>
          <w:color w:val="auto"/>
          <w:sz w:val="21"/>
          <w:szCs w:val="22"/>
          <w:highlight w:val="none"/>
        </w:rPr>
        <w:t xml:space="preserve">: </w:t>
      </w:r>
    </w:p>
    <w:p w14:paraId="13B9542D">
      <w:pPr>
        <w:pStyle w:val="13"/>
        <w:spacing w:line="360" w:lineRule="auto"/>
        <w:rPr>
          <w:color w:val="auto"/>
          <w:sz w:val="21"/>
          <w:szCs w:val="22"/>
          <w:highlight w:val="none"/>
        </w:rPr>
      </w:pPr>
      <w:r>
        <w:rPr>
          <w:rFonts w:hint="eastAsia" w:ascii="宋体" w:hAnsi="宋体" w:cs="宋体"/>
          <w:color w:val="auto"/>
          <w:kern w:val="0"/>
          <w:sz w:val="24"/>
          <w:szCs w:val="21"/>
          <w:highlight w:val="none"/>
        </w:rPr>
        <w:t>磋商单位</w:t>
      </w:r>
      <w:r>
        <w:rPr>
          <w:rFonts w:hint="eastAsia"/>
          <w:color w:val="auto"/>
          <w:sz w:val="21"/>
          <w:szCs w:val="22"/>
          <w:highlight w:val="none"/>
        </w:rPr>
        <w:t>（</w:t>
      </w:r>
      <w:r>
        <w:rPr>
          <w:rFonts w:hint="eastAsia"/>
          <w:color w:val="auto"/>
          <w:sz w:val="21"/>
          <w:szCs w:val="22"/>
          <w:highlight w:val="none"/>
          <w:lang w:eastAsia="zh-CN"/>
        </w:rPr>
        <w:t>盖</w:t>
      </w:r>
      <w:r>
        <w:rPr>
          <w:rFonts w:hint="eastAsia"/>
          <w:color w:val="auto"/>
          <w:sz w:val="21"/>
          <w:szCs w:val="22"/>
          <w:highlight w:val="none"/>
        </w:rPr>
        <w:t>章）</w:t>
      </w:r>
      <w:r>
        <w:rPr>
          <w:color w:val="auto"/>
          <w:sz w:val="21"/>
          <w:szCs w:val="22"/>
          <w:highlight w:val="none"/>
        </w:rPr>
        <w:t>：</w:t>
      </w:r>
    </w:p>
    <w:p w14:paraId="2A8F2080">
      <w:pPr>
        <w:pStyle w:val="13"/>
        <w:spacing w:line="360" w:lineRule="auto"/>
        <w:rPr>
          <w:color w:val="auto"/>
          <w:sz w:val="21"/>
          <w:szCs w:val="22"/>
          <w:highlight w:val="none"/>
        </w:rPr>
      </w:pPr>
      <w:r>
        <w:rPr>
          <w:color w:val="auto"/>
          <w:sz w:val="21"/>
          <w:szCs w:val="22"/>
          <w:highlight w:val="none"/>
        </w:rPr>
        <w:t xml:space="preserve">时间：   年  月  日 </w:t>
      </w:r>
    </w:p>
    <w:p w14:paraId="3EAA26E4">
      <w:pPr>
        <w:pStyle w:val="13"/>
        <w:spacing w:line="360" w:lineRule="auto"/>
        <w:rPr>
          <w:b/>
          <w:color w:val="auto"/>
          <w:sz w:val="32"/>
          <w:szCs w:val="32"/>
          <w:highlight w:val="none"/>
        </w:rPr>
      </w:pPr>
    </w:p>
    <w:p w14:paraId="0C67B13B">
      <w:pPr>
        <w:pStyle w:val="31"/>
        <w:rPr>
          <w:b/>
          <w:color w:val="auto"/>
          <w:sz w:val="28"/>
          <w:szCs w:val="28"/>
          <w:highlight w:val="none"/>
        </w:rPr>
      </w:pPr>
    </w:p>
    <w:p w14:paraId="5DCA5A5E">
      <w:pPr>
        <w:pStyle w:val="13"/>
        <w:spacing w:line="360" w:lineRule="auto"/>
        <w:rPr>
          <w:b/>
          <w:color w:val="auto"/>
          <w:sz w:val="28"/>
          <w:szCs w:val="28"/>
          <w:highlight w:val="none"/>
        </w:rPr>
        <w:sectPr>
          <w:pgSz w:w="11906" w:h="16838"/>
          <w:pgMar w:top="1134" w:right="1134" w:bottom="1134" w:left="1417" w:header="851" w:footer="851" w:gutter="0"/>
          <w:pgNumType w:fmt="decimal"/>
          <w:cols w:space="720" w:num="1"/>
          <w:formProt w:val="1"/>
          <w:docGrid w:linePitch="312" w:charSpace="43007"/>
        </w:sectPr>
      </w:pPr>
    </w:p>
    <w:p w14:paraId="78078C9B">
      <w:pPr>
        <w:pStyle w:val="13"/>
        <w:spacing w:line="360" w:lineRule="auto"/>
        <w:rPr>
          <w:b/>
          <w:color w:val="auto"/>
          <w:sz w:val="28"/>
          <w:szCs w:val="28"/>
          <w:highlight w:val="none"/>
        </w:rPr>
      </w:pPr>
      <w:r>
        <w:rPr>
          <w:rFonts w:hint="eastAsia"/>
          <w:b/>
          <w:color w:val="auto"/>
          <w:sz w:val="28"/>
          <w:szCs w:val="28"/>
          <w:highlight w:val="none"/>
          <w:lang w:val="en-US" w:eastAsia="zh-CN"/>
        </w:rPr>
        <w:t>6、</w:t>
      </w:r>
      <w:r>
        <w:rPr>
          <w:b/>
          <w:color w:val="auto"/>
          <w:sz w:val="28"/>
          <w:szCs w:val="28"/>
          <w:highlight w:val="none"/>
        </w:rPr>
        <w:t>磋商报价表</w:t>
      </w:r>
    </w:p>
    <w:p w14:paraId="55B71BE3">
      <w:pPr>
        <w:pStyle w:val="37"/>
        <w:spacing w:line="360" w:lineRule="auto"/>
        <w:jc w:val="center"/>
        <w:rPr>
          <w:rFonts w:ascii="宋体" w:hAnsi="宋体"/>
          <w:color w:val="auto"/>
          <w:sz w:val="36"/>
          <w:szCs w:val="22"/>
          <w:highlight w:val="none"/>
        </w:rPr>
      </w:pPr>
      <w:bookmarkStart w:id="90" w:name="_Toc32185"/>
      <w:bookmarkStart w:id="91" w:name="_Toc514606978"/>
      <w:bookmarkStart w:id="92" w:name="_Toc514605323"/>
      <w:bookmarkStart w:id="93" w:name="_Toc514607589"/>
      <w:bookmarkStart w:id="94" w:name="_Toc514605590"/>
      <w:bookmarkStart w:id="95" w:name="_Toc435"/>
      <w:r>
        <w:rPr>
          <w:rFonts w:ascii="宋体" w:hAnsi="宋体"/>
          <w:color w:val="auto"/>
          <w:szCs w:val="21"/>
          <w:highlight w:val="none"/>
        </w:rPr>
        <w:t>磋商报价表</w:t>
      </w:r>
      <w:bookmarkEnd w:id="90"/>
      <w:bookmarkEnd w:id="91"/>
      <w:bookmarkEnd w:id="92"/>
      <w:bookmarkEnd w:id="93"/>
      <w:bookmarkEnd w:id="94"/>
      <w:bookmarkEnd w:id="95"/>
    </w:p>
    <w:p w14:paraId="3800934C">
      <w:pPr>
        <w:spacing w:line="360" w:lineRule="auto"/>
        <w:rPr>
          <w:rFonts w:ascii="宋体" w:cs="宋体"/>
          <w:color w:val="auto"/>
          <w:kern w:val="0"/>
          <w:sz w:val="21"/>
          <w:szCs w:val="22"/>
          <w:highlight w:val="none"/>
        </w:rPr>
      </w:pPr>
      <w:r>
        <w:rPr>
          <w:rFonts w:hint="eastAsia" w:ascii="宋体" w:hAnsi="宋体" w:cs="宋体"/>
          <w:color w:val="auto"/>
          <w:sz w:val="21"/>
          <w:szCs w:val="22"/>
          <w:highlight w:val="none"/>
          <w:u w:val="single"/>
        </w:rPr>
        <w:t>（工程项目名称）</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rPr>
        <w:t>工程</w:t>
      </w:r>
      <w:r>
        <w:rPr>
          <w:rFonts w:hint="eastAsia" w:ascii="宋体" w:hAnsi="宋体" w:cs="宋体"/>
          <w:color w:val="auto"/>
          <w:kern w:val="0"/>
          <w:sz w:val="21"/>
          <w:szCs w:val="22"/>
          <w:highlight w:val="none"/>
        </w:rPr>
        <w:t>币种：人民币</w:t>
      </w:r>
    </w:p>
    <w:tbl>
      <w:tblPr>
        <w:tblStyle w:val="23"/>
        <w:tblW w:w="96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8"/>
        <w:gridCol w:w="3176"/>
        <w:gridCol w:w="2400"/>
      </w:tblGrid>
      <w:tr w14:paraId="5248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48314D9B">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项目内容</w:t>
            </w:r>
          </w:p>
        </w:tc>
        <w:tc>
          <w:tcPr>
            <w:tcW w:w="3176" w:type="dxa"/>
            <w:vAlign w:val="center"/>
          </w:tcPr>
          <w:p w14:paraId="6F8CA25F">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金额</w:t>
            </w:r>
          </w:p>
        </w:tc>
        <w:tc>
          <w:tcPr>
            <w:tcW w:w="2400" w:type="dxa"/>
            <w:vAlign w:val="center"/>
          </w:tcPr>
          <w:p w14:paraId="63893A5A">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备注</w:t>
            </w:r>
          </w:p>
        </w:tc>
      </w:tr>
      <w:tr w14:paraId="51DA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E37CCA7">
            <w:pPr>
              <w:spacing w:line="360" w:lineRule="auto"/>
              <w:jc w:val="center"/>
              <w:rPr>
                <w:rFonts w:ascii="宋体" w:cs="宋体"/>
                <w:color w:val="auto"/>
                <w:sz w:val="21"/>
                <w:szCs w:val="22"/>
                <w:highlight w:val="none"/>
              </w:rPr>
            </w:pPr>
          </w:p>
        </w:tc>
        <w:tc>
          <w:tcPr>
            <w:tcW w:w="3176" w:type="dxa"/>
            <w:vAlign w:val="center"/>
          </w:tcPr>
          <w:p w14:paraId="6F7FDFC3">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608FC6C0">
            <w:pPr>
              <w:spacing w:line="360" w:lineRule="auto"/>
              <w:jc w:val="center"/>
              <w:rPr>
                <w:rFonts w:ascii="宋体" w:cs="宋体"/>
                <w:color w:val="auto"/>
                <w:sz w:val="21"/>
                <w:szCs w:val="22"/>
                <w:highlight w:val="none"/>
              </w:rPr>
            </w:pPr>
          </w:p>
        </w:tc>
      </w:tr>
      <w:tr w14:paraId="31DE3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72A83DF8">
            <w:pPr>
              <w:spacing w:line="360" w:lineRule="auto"/>
              <w:jc w:val="center"/>
              <w:rPr>
                <w:rFonts w:ascii="宋体" w:cs="宋体"/>
                <w:color w:val="auto"/>
                <w:sz w:val="21"/>
                <w:szCs w:val="22"/>
                <w:highlight w:val="none"/>
              </w:rPr>
            </w:pPr>
          </w:p>
        </w:tc>
        <w:tc>
          <w:tcPr>
            <w:tcW w:w="3176" w:type="dxa"/>
            <w:vAlign w:val="center"/>
          </w:tcPr>
          <w:p w14:paraId="02461031">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0CAD1F76">
            <w:pPr>
              <w:spacing w:line="360" w:lineRule="auto"/>
              <w:jc w:val="center"/>
              <w:rPr>
                <w:rFonts w:ascii="宋体" w:cs="宋体"/>
                <w:color w:val="auto"/>
                <w:sz w:val="21"/>
                <w:szCs w:val="22"/>
                <w:highlight w:val="none"/>
              </w:rPr>
            </w:pPr>
          </w:p>
        </w:tc>
      </w:tr>
      <w:tr w14:paraId="404B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5904E4A1">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合计</w:t>
            </w:r>
          </w:p>
        </w:tc>
        <w:tc>
          <w:tcPr>
            <w:tcW w:w="3176" w:type="dxa"/>
            <w:vAlign w:val="center"/>
          </w:tcPr>
          <w:p w14:paraId="216E9459">
            <w:pPr>
              <w:spacing w:line="360" w:lineRule="auto"/>
              <w:ind w:right="140"/>
              <w:jc w:val="center"/>
              <w:rPr>
                <w:rFonts w:ascii="宋体" w:cs="宋体"/>
                <w:color w:val="auto"/>
                <w:sz w:val="21"/>
                <w:szCs w:val="22"/>
                <w:highlight w:val="none"/>
              </w:rPr>
            </w:pPr>
            <w:r>
              <w:rPr>
                <w:rFonts w:hint="eastAsia" w:ascii="宋体" w:hAnsi="宋体" w:cs="宋体"/>
                <w:color w:val="auto"/>
                <w:sz w:val="21"/>
                <w:szCs w:val="22"/>
                <w:highlight w:val="none"/>
              </w:rPr>
              <w:t>元</w:t>
            </w:r>
          </w:p>
        </w:tc>
        <w:tc>
          <w:tcPr>
            <w:tcW w:w="2400" w:type="dxa"/>
            <w:vAlign w:val="center"/>
          </w:tcPr>
          <w:p w14:paraId="73E33A40">
            <w:pPr>
              <w:spacing w:line="360" w:lineRule="auto"/>
              <w:jc w:val="center"/>
              <w:rPr>
                <w:rFonts w:ascii="宋体" w:cs="宋体"/>
                <w:color w:val="auto"/>
                <w:sz w:val="21"/>
                <w:szCs w:val="22"/>
                <w:highlight w:val="none"/>
              </w:rPr>
            </w:pPr>
          </w:p>
        </w:tc>
      </w:tr>
      <w:tr w14:paraId="7A4BE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trPr>
        <w:tc>
          <w:tcPr>
            <w:tcW w:w="9674" w:type="dxa"/>
            <w:gridSpan w:val="3"/>
            <w:vAlign w:val="center"/>
          </w:tcPr>
          <w:p w14:paraId="01AC8C6A">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竞标总报价：</w:t>
            </w:r>
            <w:r>
              <w:rPr>
                <w:rFonts w:hint="eastAsia" w:ascii="宋体" w:hAnsi="宋体" w:cs="宋体"/>
                <w:color w:val="auto"/>
                <w:sz w:val="21"/>
                <w:szCs w:val="22"/>
                <w:highlight w:val="none"/>
                <w:u w:val="single"/>
                <w:lang w:val="en-US" w:eastAsia="zh-CN"/>
              </w:rPr>
              <w:t xml:space="preserve"> 人民币                        </w:t>
            </w:r>
            <w:r>
              <w:rPr>
                <w:rFonts w:hint="eastAsia" w:ascii="宋体" w:hAnsi="宋体" w:cs="宋体"/>
                <w:color w:val="auto"/>
                <w:sz w:val="21"/>
                <w:szCs w:val="22"/>
                <w:highlight w:val="none"/>
                <w:u w:val="single"/>
              </w:rPr>
              <w:t>（</w:t>
            </w:r>
            <w:r>
              <w:rPr>
                <w:rFonts w:hint="eastAsia" w:ascii="宋体" w:cs="宋体"/>
                <w:color w:val="auto"/>
                <w:sz w:val="21"/>
                <w:szCs w:val="22"/>
                <w:highlight w:val="none"/>
                <w:u w:val="single"/>
              </w:rPr>
              <w:t>¥</w:t>
            </w:r>
            <w:r>
              <w:rPr>
                <w:rFonts w:hint="eastAsia" w:ascii="宋体" w:hAnsi="宋体" w:cs="宋体"/>
                <w:color w:val="auto"/>
                <w:sz w:val="21"/>
                <w:szCs w:val="22"/>
                <w:highlight w:val="none"/>
                <w:u w:val="single"/>
              </w:rPr>
              <w:t>）</w:t>
            </w:r>
          </w:p>
        </w:tc>
      </w:tr>
      <w:tr w14:paraId="5315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74" w:type="dxa"/>
            <w:gridSpan w:val="3"/>
          </w:tcPr>
          <w:p w14:paraId="3E65CDA2">
            <w:pPr>
              <w:spacing w:line="360" w:lineRule="auto"/>
              <w:ind w:right="700"/>
              <w:rPr>
                <w:rFonts w:ascii="宋体" w:cs="宋体"/>
                <w:color w:val="auto"/>
                <w:sz w:val="21"/>
                <w:szCs w:val="22"/>
                <w:highlight w:val="none"/>
              </w:rPr>
            </w:pPr>
            <w:r>
              <w:rPr>
                <w:rFonts w:hint="eastAsia" w:ascii="宋体" w:hAnsi="宋体" w:cs="宋体"/>
                <w:color w:val="auto"/>
                <w:sz w:val="21"/>
                <w:szCs w:val="22"/>
                <w:highlight w:val="none"/>
              </w:rPr>
              <w:t>说明：</w:t>
            </w:r>
          </w:p>
        </w:tc>
      </w:tr>
      <w:tr w14:paraId="2F2E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18BD85E0">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工期（日历日）</w:t>
            </w:r>
          </w:p>
        </w:tc>
        <w:tc>
          <w:tcPr>
            <w:tcW w:w="5576" w:type="dxa"/>
            <w:gridSpan w:val="2"/>
            <w:vAlign w:val="center"/>
          </w:tcPr>
          <w:p w14:paraId="6BD4F740">
            <w:pPr>
              <w:spacing w:line="360" w:lineRule="auto"/>
              <w:ind w:right="700"/>
              <w:jc w:val="center"/>
              <w:rPr>
                <w:rFonts w:ascii="宋体" w:cs="宋体"/>
                <w:color w:val="auto"/>
                <w:sz w:val="21"/>
                <w:szCs w:val="22"/>
                <w:highlight w:val="none"/>
              </w:rPr>
            </w:pPr>
          </w:p>
        </w:tc>
      </w:tr>
      <w:tr w14:paraId="7C98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trPr>
        <w:tc>
          <w:tcPr>
            <w:tcW w:w="4098" w:type="dxa"/>
            <w:vAlign w:val="center"/>
          </w:tcPr>
          <w:p w14:paraId="38DB3CED">
            <w:pPr>
              <w:spacing w:line="360" w:lineRule="auto"/>
              <w:jc w:val="center"/>
              <w:rPr>
                <w:rFonts w:ascii="宋体" w:cs="宋体"/>
                <w:color w:val="auto"/>
                <w:sz w:val="21"/>
                <w:szCs w:val="22"/>
                <w:highlight w:val="none"/>
              </w:rPr>
            </w:pPr>
            <w:r>
              <w:rPr>
                <w:rFonts w:hint="eastAsia" w:ascii="宋体" w:hAnsi="宋体" w:cs="宋体"/>
                <w:color w:val="auto"/>
                <w:sz w:val="21"/>
                <w:szCs w:val="22"/>
                <w:highlight w:val="none"/>
              </w:rPr>
              <w:t>承诺工程质量</w:t>
            </w:r>
          </w:p>
        </w:tc>
        <w:tc>
          <w:tcPr>
            <w:tcW w:w="5576" w:type="dxa"/>
            <w:gridSpan w:val="2"/>
            <w:vAlign w:val="center"/>
          </w:tcPr>
          <w:p w14:paraId="438DCD87">
            <w:pPr>
              <w:spacing w:line="360" w:lineRule="auto"/>
              <w:ind w:right="700"/>
              <w:jc w:val="center"/>
              <w:rPr>
                <w:rFonts w:ascii="宋体" w:cs="宋体"/>
                <w:color w:val="auto"/>
                <w:sz w:val="21"/>
                <w:szCs w:val="22"/>
                <w:highlight w:val="none"/>
              </w:rPr>
            </w:pPr>
          </w:p>
        </w:tc>
      </w:tr>
    </w:tbl>
    <w:p w14:paraId="725BB6D9">
      <w:pPr>
        <w:spacing w:line="360" w:lineRule="auto"/>
        <w:ind w:right="700" w:firstLine="315" w:firstLineChars="150"/>
        <w:rPr>
          <w:rFonts w:ascii="宋体" w:cs="宋体"/>
          <w:color w:val="auto"/>
          <w:sz w:val="21"/>
          <w:szCs w:val="22"/>
          <w:highlight w:val="none"/>
        </w:rPr>
      </w:pPr>
    </w:p>
    <w:p w14:paraId="685772AF">
      <w:pPr>
        <w:spacing w:line="360" w:lineRule="auto"/>
        <w:ind w:firstLine="840" w:firstLineChars="400"/>
        <w:rPr>
          <w:rFonts w:ascii="宋体" w:cs="宋体"/>
          <w:color w:val="auto"/>
          <w:sz w:val="21"/>
          <w:szCs w:val="22"/>
          <w:highlight w:val="none"/>
        </w:rPr>
      </w:pPr>
    </w:p>
    <w:p w14:paraId="6C168661">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磋商单位</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（盖章）</w:t>
      </w:r>
    </w:p>
    <w:p w14:paraId="0CC6A728">
      <w:pPr>
        <w:spacing w:line="360" w:lineRule="auto"/>
        <w:ind w:firstLine="840" w:firstLineChars="400"/>
        <w:rPr>
          <w:rFonts w:ascii="宋体" w:cs="宋体"/>
          <w:color w:val="auto"/>
          <w:sz w:val="21"/>
          <w:szCs w:val="22"/>
          <w:highlight w:val="none"/>
          <w:u w:val="single"/>
        </w:rPr>
      </w:pPr>
      <w:r>
        <w:rPr>
          <w:rFonts w:hint="eastAsia" w:ascii="宋体" w:hAnsi="宋体" w:cs="宋体"/>
          <w:color w:val="auto"/>
          <w:sz w:val="21"/>
          <w:szCs w:val="22"/>
          <w:highlight w:val="none"/>
        </w:rPr>
        <w:t>法定代表人或其授权代理人</w:t>
      </w:r>
      <w:r>
        <w:rPr>
          <w:rFonts w:hint="eastAsia" w:ascii="宋体" w:hAnsi="宋体" w:cs="宋体"/>
          <w:color w:val="auto"/>
          <w:sz w:val="21"/>
          <w:szCs w:val="22"/>
          <w:highlight w:val="none"/>
          <w:u w:val="single"/>
        </w:rPr>
        <w:t>：</w:t>
      </w:r>
      <w:r>
        <w:rPr>
          <w:rFonts w:hint="eastAsia" w:ascii="宋体" w:hAnsi="宋体" w:cs="宋体"/>
          <w:color w:val="auto"/>
          <w:sz w:val="21"/>
          <w:szCs w:val="22"/>
          <w:highlight w:val="none"/>
          <w:u w:val="single"/>
          <w:lang w:val="en-US" w:eastAsia="zh-CN"/>
        </w:rPr>
        <w:t xml:space="preserve">            </w:t>
      </w:r>
      <w:r>
        <w:rPr>
          <w:rFonts w:hint="eastAsia" w:ascii="宋体" w:hAnsi="宋体" w:cs="宋体"/>
          <w:color w:val="auto"/>
          <w:sz w:val="21"/>
          <w:szCs w:val="22"/>
          <w:highlight w:val="none"/>
          <w:u w:val="single"/>
        </w:rPr>
        <w:t>（签字或盖章）</w:t>
      </w:r>
    </w:p>
    <w:p w14:paraId="578787FC">
      <w:pPr>
        <w:pStyle w:val="20"/>
        <w:spacing w:line="360" w:lineRule="auto"/>
        <w:ind w:firstLine="840" w:firstLineChars="400"/>
        <w:rPr>
          <w:rFonts w:hint="eastAsia" w:ascii="宋体" w:hAnsi="宋体" w:cs="宋体"/>
          <w:color w:val="auto"/>
          <w:sz w:val="21"/>
          <w:szCs w:val="22"/>
          <w:highlight w:val="none"/>
        </w:rPr>
      </w:pPr>
      <w:r>
        <w:rPr>
          <w:rFonts w:hint="eastAsia" w:ascii="宋体" w:hAnsi="宋体" w:cs="宋体"/>
          <w:color w:val="auto"/>
          <w:sz w:val="21"/>
          <w:szCs w:val="22"/>
          <w:highlight w:val="none"/>
        </w:rPr>
        <w:t>日期：</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年</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月</w:t>
      </w:r>
      <w:r>
        <w:rPr>
          <w:rFonts w:hint="eastAsia" w:ascii="宋体" w:hAnsi="宋体" w:cs="宋体"/>
          <w:color w:val="auto"/>
          <w:sz w:val="21"/>
          <w:szCs w:val="22"/>
          <w:highlight w:val="none"/>
          <w:lang w:val="en-US" w:eastAsia="zh-CN"/>
        </w:rPr>
        <w:t xml:space="preserve">  </w:t>
      </w:r>
      <w:r>
        <w:rPr>
          <w:rFonts w:hint="eastAsia" w:ascii="宋体" w:hAnsi="宋体" w:cs="宋体"/>
          <w:color w:val="auto"/>
          <w:sz w:val="21"/>
          <w:szCs w:val="22"/>
          <w:highlight w:val="none"/>
        </w:rPr>
        <w:t>日</w:t>
      </w:r>
    </w:p>
    <w:p w14:paraId="398E7687">
      <w:pPr>
        <w:rPr>
          <w:rFonts w:hint="eastAsia" w:ascii="宋体" w:hAnsi="宋体" w:cs="宋体"/>
          <w:color w:val="auto"/>
          <w:szCs w:val="21"/>
          <w:highlight w:val="none"/>
        </w:rPr>
      </w:pPr>
    </w:p>
    <w:p w14:paraId="6C823FAA">
      <w:pPr>
        <w:pStyle w:val="10"/>
        <w:rPr>
          <w:rFonts w:hint="eastAsia" w:ascii="宋体" w:hAnsi="宋体" w:cs="宋体"/>
          <w:color w:val="auto"/>
          <w:szCs w:val="21"/>
          <w:highlight w:val="none"/>
        </w:rPr>
      </w:pPr>
    </w:p>
    <w:p w14:paraId="4D3143FF">
      <w:pPr>
        <w:rPr>
          <w:rFonts w:hint="eastAsia" w:ascii="宋体" w:hAnsi="宋体" w:cs="宋体"/>
          <w:color w:val="auto"/>
          <w:szCs w:val="21"/>
          <w:highlight w:val="none"/>
        </w:rPr>
      </w:pPr>
    </w:p>
    <w:p w14:paraId="78392CD8">
      <w:pPr>
        <w:pStyle w:val="10"/>
        <w:rPr>
          <w:rFonts w:hint="eastAsia" w:ascii="宋体" w:hAnsi="宋体" w:cs="宋体"/>
          <w:color w:val="auto"/>
          <w:szCs w:val="21"/>
          <w:highlight w:val="none"/>
        </w:rPr>
      </w:pPr>
    </w:p>
    <w:p w14:paraId="0532367E">
      <w:pPr>
        <w:rPr>
          <w:rFonts w:hint="eastAsia" w:ascii="宋体" w:hAnsi="宋体" w:cs="宋体"/>
          <w:color w:val="auto"/>
          <w:szCs w:val="21"/>
          <w:highlight w:val="none"/>
        </w:rPr>
      </w:pPr>
    </w:p>
    <w:p w14:paraId="5948910B">
      <w:pPr>
        <w:pStyle w:val="10"/>
        <w:rPr>
          <w:rFonts w:hint="eastAsia" w:ascii="宋体" w:hAnsi="宋体" w:cs="宋体"/>
          <w:color w:val="auto"/>
          <w:szCs w:val="21"/>
          <w:highlight w:val="none"/>
        </w:rPr>
      </w:pPr>
    </w:p>
    <w:p w14:paraId="3FF99A95">
      <w:pPr>
        <w:rPr>
          <w:rFonts w:hint="eastAsia" w:ascii="宋体" w:hAnsi="宋体" w:cs="宋体"/>
          <w:color w:val="auto"/>
          <w:szCs w:val="21"/>
          <w:highlight w:val="none"/>
        </w:rPr>
      </w:pPr>
    </w:p>
    <w:p w14:paraId="6A53C312">
      <w:pPr>
        <w:pStyle w:val="10"/>
        <w:rPr>
          <w:rFonts w:hint="eastAsia" w:ascii="宋体" w:hAnsi="宋体" w:cs="宋体"/>
          <w:color w:val="auto"/>
          <w:szCs w:val="21"/>
          <w:highlight w:val="none"/>
        </w:rPr>
      </w:pPr>
    </w:p>
    <w:p w14:paraId="2941EB3A">
      <w:pPr>
        <w:rPr>
          <w:rFonts w:hint="eastAsia" w:ascii="宋体" w:hAnsi="宋体" w:cs="宋体"/>
          <w:color w:val="auto"/>
          <w:szCs w:val="21"/>
          <w:highlight w:val="none"/>
        </w:rPr>
      </w:pPr>
    </w:p>
    <w:p w14:paraId="41069637">
      <w:pPr>
        <w:pStyle w:val="10"/>
        <w:rPr>
          <w:rFonts w:hint="eastAsia" w:ascii="宋体" w:hAnsi="宋体" w:cs="宋体"/>
          <w:color w:val="auto"/>
          <w:szCs w:val="21"/>
          <w:highlight w:val="none"/>
        </w:rPr>
      </w:pPr>
    </w:p>
    <w:p w14:paraId="7F154D08">
      <w:pPr>
        <w:rPr>
          <w:rFonts w:hint="eastAsia" w:ascii="宋体" w:hAnsi="宋体" w:cs="宋体"/>
          <w:color w:val="auto"/>
          <w:szCs w:val="21"/>
          <w:highlight w:val="none"/>
        </w:rPr>
      </w:pPr>
    </w:p>
    <w:p w14:paraId="7FE42A67">
      <w:pPr>
        <w:pStyle w:val="10"/>
        <w:rPr>
          <w:rFonts w:hint="eastAsia" w:ascii="宋体" w:hAnsi="宋体" w:cs="宋体"/>
          <w:color w:val="auto"/>
          <w:szCs w:val="21"/>
          <w:highlight w:val="none"/>
        </w:rPr>
      </w:pPr>
    </w:p>
    <w:p w14:paraId="6628DEB6">
      <w:pPr>
        <w:rPr>
          <w:rFonts w:hint="eastAsia" w:ascii="宋体" w:hAnsi="宋体" w:cs="宋体"/>
          <w:color w:val="auto"/>
          <w:szCs w:val="21"/>
          <w:highlight w:val="none"/>
        </w:rPr>
      </w:pPr>
    </w:p>
    <w:p w14:paraId="0502E072">
      <w:pPr>
        <w:pStyle w:val="10"/>
        <w:rPr>
          <w:rFonts w:hint="eastAsia" w:ascii="宋体" w:hAnsi="宋体" w:cs="宋体"/>
          <w:color w:val="auto"/>
          <w:szCs w:val="21"/>
          <w:highlight w:val="none"/>
        </w:rPr>
      </w:pPr>
    </w:p>
    <w:p w14:paraId="69D58D8B">
      <w:pPr>
        <w:rPr>
          <w:rFonts w:hint="eastAsia"/>
          <w:color w:val="auto"/>
          <w:highlight w:val="none"/>
        </w:rPr>
      </w:pPr>
    </w:p>
    <w:p w14:paraId="2701F028">
      <w:pPr>
        <w:pStyle w:val="28"/>
        <w:rPr>
          <w:rFonts w:hint="eastAsia" w:ascii="宋体" w:hAnsi="宋体" w:cs="宋体"/>
          <w:color w:val="auto"/>
          <w:szCs w:val="21"/>
          <w:highlight w:val="none"/>
        </w:rPr>
      </w:pPr>
    </w:p>
    <w:p w14:paraId="6E962D3F">
      <w:pPr>
        <w:numPr>
          <w:ilvl w:val="0"/>
          <w:numId w:val="0"/>
        </w:numPr>
        <w:spacing w:line="360" w:lineRule="auto"/>
        <w:rPr>
          <w:rFonts w:hint="eastAsia"/>
          <w:b/>
          <w:color w:val="auto"/>
          <w:sz w:val="28"/>
          <w:szCs w:val="28"/>
          <w:highlight w:val="none"/>
          <w:lang w:eastAsia="zh-CN"/>
        </w:rPr>
      </w:pPr>
      <w:bookmarkStart w:id="96" w:name="_Toc502737803"/>
      <w:bookmarkEnd w:id="96"/>
      <w:bookmarkStart w:id="97" w:name="_Toc458689680"/>
      <w:bookmarkEnd w:id="97"/>
      <w:bookmarkStart w:id="98" w:name="_Toc392941016"/>
      <w:bookmarkEnd w:id="98"/>
      <w:r>
        <w:rPr>
          <w:rFonts w:hint="eastAsia"/>
          <w:b/>
          <w:color w:val="auto"/>
          <w:sz w:val="28"/>
          <w:szCs w:val="28"/>
          <w:highlight w:val="none"/>
          <w:lang w:val="en-US" w:eastAsia="zh-CN"/>
        </w:rPr>
        <w:t>7、</w:t>
      </w:r>
      <w:r>
        <w:rPr>
          <w:rFonts w:hint="eastAsia"/>
          <w:b/>
          <w:color w:val="auto"/>
          <w:sz w:val="28"/>
          <w:szCs w:val="28"/>
          <w:highlight w:val="none"/>
          <w:lang w:eastAsia="zh-CN"/>
        </w:rPr>
        <w:t>已标价工程量清单</w:t>
      </w:r>
    </w:p>
    <w:p w14:paraId="13F3F4B2">
      <w:pPr>
        <w:spacing w:line="400" w:lineRule="exact"/>
        <w:ind w:firstLine="400" w:firstLineChars="200"/>
        <w:rPr>
          <w:rFonts w:hint="eastAsia" w:ascii="宋体" w:hAnsi="宋体" w:cs="宋体"/>
          <w:color w:val="auto"/>
          <w:sz w:val="21"/>
          <w:szCs w:val="21"/>
          <w:highlight w:val="none"/>
        </w:rPr>
      </w:pPr>
      <w:r>
        <w:rPr>
          <w:rFonts w:hint="eastAsia" w:ascii="宋体" w:hAnsi="宋体" w:cs="宋体"/>
          <w:color w:val="auto"/>
          <w:szCs w:val="21"/>
          <w:highlight w:val="none"/>
        </w:rPr>
        <w:t>注：</w:t>
      </w:r>
      <w:r>
        <w:rPr>
          <w:rFonts w:hint="eastAsia" w:ascii="宋体" w:hAnsi="宋体" w:cs="宋体"/>
          <w:color w:val="auto"/>
          <w:sz w:val="21"/>
          <w:szCs w:val="21"/>
          <w:highlight w:val="none"/>
        </w:rPr>
        <w:t>投标人在编制投标文件时,应编写报价说明。</w:t>
      </w:r>
      <w:r>
        <w:rPr>
          <w:rFonts w:hint="eastAsia" w:ascii="宋体" w:hAnsi="宋体" w:cs="宋体"/>
          <w:bCs/>
          <w:color w:val="auto"/>
          <w:sz w:val="21"/>
          <w:szCs w:val="21"/>
          <w:highlight w:val="none"/>
        </w:rPr>
        <w:t>投标人编制报价时，其定额和费用标准不作限制。投标人可充分发挥自身优势，结合建筑市场的供求关系，自行选用定额和费用标准。</w:t>
      </w:r>
    </w:p>
    <w:p w14:paraId="35097F49">
      <w:pPr>
        <w:spacing w:line="400" w:lineRule="exact"/>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投标人编制投标报价应附有编制说明，报价编制依据、选用定额，费率取值（其他直接费、现场经费、间接费、利润、税金等费用的费率取值）等。</w:t>
      </w:r>
    </w:p>
    <w:p w14:paraId="6B86654D">
      <w:pPr>
        <w:pStyle w:val="2"/>
        <w:numPr>
          <w:ilvl w:val="0"/>
          <w:numId w:val="0"/>
        </w:numPr>
        <w:spacing w:line="360" w:lineRule="auto"/>
        <w:ind w:firstLine="2168" w:firstLineChars="600"/>
        <w:jc w:val="both"/>
        <w:rPr>
          <w:rFonts w:hint="eastAsia" w:ascii="宋体" w:hAnsi="宋体" w:cs="宋体"/>
          <w:color w:val="auto"/>
          <w:sz w:val="36"/>
          <w:highlight w:val="none"/>
        </w:rPr>
      </w:pPr>
    </w:p>
    <w:p w14:paraId="15BE3B40">
      <w:pPr>
        <w:rPr>
          <w:rFonts w:hint="eastAsia" w:ascii="宋体" w:hAnsi="宋体" w:cs="宋体"/>
          <w:color w:val="auto"/>
          <w:sz w:val="36"/>
          <w:highlight w:val="none"/>
        </w:rPr>
      </w:pPr>
    </w:p>
    <w:p w14:paraId="43A4110C">
      <w:pPr>
        <w:pStyle w:val="10"/>
        <w:rPr>
          <w:rFonts w:hint="eastAsia" w:ascii="宋体" w:hAnsi="宋体" w:cs="宋体"/>
          <w:color w:val="auto"/>
          <w:sz w:val="36"/>
          <w:highlight w:val="none"/>
        </w:rPr>
      </w:pPr>
    </w:p>
    <w:p w14:paraId="7C39605E">
      <w:pPr>
        <w:pStyle w:val="2"/>
        <w:numPr>
          <w:ilvl w:val="0"/>
          <w:numId w:val="4"/>
        </w:numPr>
        <w:spacing w:line="360" w:lineRule="auto"/>
        <w:jc w:val="left"/>
        <w:rPr>
          <w:rFonts w:hint="eastAsia" w:ascii="Times New Roman" w:hAnsi="Times New Roman" w:eastAsia="宋体" w:cs="Times New Roman"/>
          <w:b/>
          <w:color w:val="auto"/>
          <w:kern w:val="0"/>
          <w:sz w:val="28"/>
          <w:szCs w:val="28"/>
          <w:highlight w:val="none"/>
          <w:lang w:val="en-US" w:eastAsia="zh-CN" w:bidi="hi-IN"/>
        </w:rPr>
      </w:pPr>
      <w:r>
        <w:rPr>
          <w:rFonts w:hint="eastAsia" w:ascii="Times New Roman" w:hAnsi="Times New Roman" w:eastAsia="宋体" w:cs="Times New Roman"/>
          <w:b/>
          <w:color w:val="auto"/>
          <w:kern w:val="0"/>
          <w:sz w:val="28"/>
          <w:szCs w:val="28"/>
          <w:highlight w:val="none"/>
          <w:lang w:val="en-US" w:eastAsia="zh-CN" w:bidi="hi-IN"/>
        </w:rPr>
        <w:t>供应商认为有必要提供的声明及其他证明材料；</w:t>
      </w:r>
    </w:p>
    <w:p w14:paraId="49D2EA5F">
      <w:pPr>
        <w:pStyle w:val="31"/>
        <w:spacing w:line="360" w:lineRule="auto"/>
        <w:rPr>
          <w:rFonts w:ascii="宋体" w:hAnsi="宋体"/>
          <w:b/>
          <w:bCs/>
          <w:color w:val="auto"/>
          <w:sz w:val="24"/>
          <w:highlight w:val="none"/>
        </w:rPr>
      </w:pPr>
    </w:p>
    <w:p w14:paraId="2662FB75">
      <w:pPr>
        <w:pStyle w:val="32"/>
        <w:rPr>
          <w:rFonts w:ascii="宋体" w:hAnsi="宋体"/>
          <w:b/>
          <w:bCs/>
          <w:color w:val="auto"/>
          <w:sz w:val="24"/>
          <w:highlight w:val="none"/>
        </w:rPr>
      </w:pPr>
    </w:p>
    <w:p w14:paraId="5BD6A9F9">
      <w:pPr>
        <w:pStyle w:val="31"/>
        <w:rPr>
          <w:rFonts w:ascii="宋体" w:hAnsi="宋体"/>
          <w:b/>
          <w:bCs/>
          <w:color w:val="auto"/>
          <w:sz w:val="24"/>
          <w:highlight w:val="none"/>
        </w:rPr>
      </w:pPr>
    </w:p>
    <w:p w14:paraId="697006BC">
      <w:pPr>
        <w:pStyle w:val="32"/>
        <w:rPr>
          <w:rFonts w:ascii="宋体" w:hAnsi="宋体"/>
          <w:b/>
          <w:bCs/>
          <w:color w:val="auto"/>
          <w:sz w:val="24"/>
          <w:highlight w:val="none"/>
        </w:rPr>
      </w:pPr>
    </w:p>
    <w:p w14:paraId="3B3C6B93">
      <w:pPr>
        <w:pStyle w:val="31"/>
        <w:rPr>
          <w:rFonts w:ascii="宋体" w:hAnsi="宋体"/>
          <w:b/>
          <w:bCs/>
          <w:color w:val="auto"/>
          <w:sz w:val="24"/>
          <w:highlight w:val="none"/>
        </w:rPr>
      </w:pPr>
    </w:p>
    <w:p w14:paraId="72402B5A">
      <w:pPr>
        <w:pStyle w:val="32"/>
        <w:rPr>
          <w:rFonts w:ascii="宋体" w:hAnsi="宋体"/>
          <w:b/>
          <w:bCs/>
          <w:color w:val="auto"/>
          <w:sz w:val="24"/>
          <w:highlight w:val="none"/>
        </w:rPr>
      </w:pPr>
    </w:p>
    <w:p w14:paraId="32A7F8F9">
      <w:pPr>
        <w:pStyle w:val="31"/>
        <w:rPr>
          <w:rFonts w:ascii="宋体" w:hAnsi="宋体"/>
          <w:b/>
          <w:bCs/>
          <w:color w:val="auto"/>
          <w:sz w:val="24"/>
          <w:highlight w:val="none"/>
        </w:rPr>
      </w:pPr>
    </w:p>
    <w:p w14:paraId="0CE876E4">
      <w:pPr>
        <w:pStyle w:val="32"/>
        <w:rPr>
          <w:rFonts w:ascii="宋体" w:hAnsi="宋体"/>
          <w:b/>
          <w:bCs/>
          <w:color w:val="auto"/>
          <w:sz w:val="24"/>
          <w:highlight w:val="none"/>
        </w:rPr>
      </w:pPr>
    </w:p>
    <w:p w14:paraId="7E547056">
      <w:pPr>
        <w:pStyle w:val="31"/>
        <w:rPr>
          <w:rFonts w:ascii="宋体" w:hAnsi="宋体"/>
          <w:b/>
          <w:bCs/>
          <w:color w:val="auto"/>
          <w:sz w:val="24"/>
          <w:highlight w:val="none"/>
        </w:rPr>
      </w:pPr>
    </w:p>
    <w:p w14:paraId="60614B90">
      <w:pPr>
        <w:pStyle w:val="32"/>
        <w:rPr>
          <w:rFonts w:ascii="宋体" w:hAnsi="宋体"/>
          <w:b/>
          <w:bCs/>
          <w:color w:val="auto"/>
          <w:sz w:val="24"/>
          <w:highlight w:val="none"/>
        </w:rPr>
      </w:pPr>
    </w:p>
    <w:p w14:paraId="2A11888B">
      <w:pPr>
        <w:pStyle w:val="31"/>
        <w:rPr>
          <w:rFonts w:ascii="宋体" w:hAnsi="宋体"/>
          <w:b/>
          <w:bCs/>
          <w:color w:val="auto"/>
          <w:sz w:val="24"/>
          <w:highlight w:val="none"/>
        </w:rPr>
      </w:pPr>
    </w:p>
    <w:p w14:paraId="7C793E9C">
      <w:pPr>
        <w:pStyle w:val="32"/>
        <w:rPr>
          <w:rFonts w:ascii="宋体" w:hAnsi="宋体"/>
          <w:b/>
          <w:bCs/>
          <w:color w:val="auto"/>
          <w:sz w:val="24"/>
          <w:highlight w:val="none"/>
        </w:rPr>
      </w:pPr>
    </w:p>
    <w:p w14:paraId="4CA246CA">
      <w:pPr>
        <w:pStyle w:val="31"/>
        <w:rPr>
          <w:rFonts w:ascii="宋体" w:hAnsi="宋体"/>
          <w:b/>
          <w:bCs/>
          <w:color w:val="auto"/>
          <w:sz w:val="24"/>
          <w:highlight w:val="none"/>
        </w:rPr>
      </w:pPr>
    </w:p>
    <w:p w14:paraId="25F979F7">
      <w:pPr>
        <w:pStyle w:val="32"/>
        <w:rPr>
          <w:rFonts w:ascii="宋体" w:hAnsi="宋体"/>
          <w:b/>
          <w:bCs/>
          <w:color w:val="auto"/>
          <w:sz w:val="24"/>
          <w:highlight w:val="none"/>
        </w:rPr>
      </w:pPr>
    </w:p>
    <w:p w14:paraId="74B7318A">
      <w:pPr>
        <w:pStyle w:val="31"/>
        <w:rPr>
          <w:rFonts w:ascii="宋体" w:hAnsi="宋体"/>
          <w:b/>
          <w:bCs/>
          <w:color w:val="auto"/>
          <w:sz w:val="24"/>
          <w:highlight w:val="none"/>
        </w:rPr>
      </w:pPr>
    </w:p>
    <w:p w14:paraId="4220DB91">
      <w:pPr>
        <w:pStyle w:val="32"/>
        <w:rPr>
          <w:rFonts w:ascii="宋体" w:hAnsi="宋体"/>
          <w:b/>
          <w:bCs/>
          <w:color w:val="auto"/>
          <w:sz w:val="24"/>
          <w:highlight w:val="none"/>
        </w:rPr>
      </w:pPr>
    </w:p>
    <w:p w14:paraId="508F698B">
      <w:pPr>
        <w:pStyle w:val="31"/>
        <w:rPr>
          <w:rFonts w:ascii="宋体" w:hAnsi="宋体"/>
          <w:b/>
          <w:bCs/>
          <w:color w:val="auto"/>
          <w:sz w:val="24"/>
          <w:highlight w:val="none"/>
        </w:rPr>
      </w:pPr>
    </w:p>
    <w:p w14:paraId="7CA494DC">
      <w:pPr>
        <w:pStyle w:val="32"/>
        <w:rPr>
          <w:rFonts w:ascii="宋体" w:hAnsi="宋体"/>
          <w:b/>
          <w:bCs/>
          <w:color w:val="auto"/>
          <w:sz w:val="24"/>
          <w:highlight w:val="none"/>
        </w:rPr>
      </w:pPr>
    </w:p>
    <w:p w14:paraId="3AF74FA5">
      <w:pPr>
        <w:pStyle w:val="31"/>
        <w:rPr>
          <w:rFonts w:ascii="宋体" w:hAnsi="宋体"/>
          <w:b/>
          <w:bCs/>
          <w:color w:val="auto"/>
          <w:sz w:val="24"/>
          <w:highlight w:val="none"/>
        </w:rPr>
      </w:pPr>
    </w:p>
    <w:p w14:paraId="5CCDB5A5">
      <w:pPr>
        <w:pStyle w:val="32"/>
        <w:rPr>
          <w:rFonts w:ascii="宋体" w:hAnsi="宋体"/>
          <w:b/>
          <w:bCs/>
          <w:color w:val="auto"/>
          <w:sz w:val="24"/>
          <w:highlight w:val="none"/>
        </w:rPr>
      </w:pPr>
    </w:p>
    <w:p w14:paraId="0FB7A370">
      <w:pPr>
        <w:pStyle w:val="31"/>
        <w:rPr>
          <w:rFonts w:ascii="宋体" w:hAnsi="宋体"/>
          <w:b/>
          <w:bCs/>
          <w:color w:val="auto"/>
          <w:sz w:val="24"/>
          <w:highlight w:val="none"/>
        </w:rPr>
      </w:pPr>
    </w:p>
    <w:p w14:paraId="11FF1C91">
      <w:pPr>
        <w:pStyle w:val="32"/>
        <w:rPr>
          <w:color w:val="auto"/>
          <w:highlight w:val="none"/>
        </w:rPr>
      </w:pPr>
    </w:p>
    <w:p w14:paraId="318A79DD">
      <w:pPr>
        <w:pStyle w:val="2"/>
        <w:spacing w:line="360" w:lineRule="auto"/>
        <w:jc w:val="center"/>
        <w:rPr>
          <w:rFonts w:ascii="宋体" w:cs="宋体"/>
          <w:color w:val="auto"/>
          <w:sz w:val="36"/>
          <w:highlight w:val="none"/>
        </w:rPr>
      </w:pPr>
      <w:bookmarkStart w:id="99" w:name="_Toc16105"/>
      <w:bookmarkStart w:id="100" w:name="_Toc22137"/>
      <w:bookmarkStart w:id="101" w:name="_Toc23492"/>
      <w:r>
        <w:rPr>
          <w:rFonts w:hint="eastAsia" w:ascii="宋体" w:hAnsi="宋体" w:cs="宋体"/>
          <w:color w:val="auto"/>
          <w:sz w:val="36"/>
          <w:highlight w:val="none"/>
        </w:rPr>
        <w:t>响应文件</w:t>
      </w:r>
      <w:r>
        <w:rPr>
          <w:rFonts w:hint="eastAsia" w:ascii="宋体" w:hAnsi="宋体" w:cs="宋体"/>
          <w:color w:val="auto"/>
          <w:sz w:val="36"/>
          <w:highlight w:val="none"/>
          <w:lang w:eastAsia="zh-CN"/>
        </w:rPr>
        <w:t>技术文件</w:t>
      </w:r>
      <w:r>
        <w:rPr>
          <w:rFonts w:hint="eastAsia" w:ascii="宋体" w:hAnsi="宋体" w:cs="宋体"/>
          <w:color w:val="auto"/>
          <w:sz w:val="36"/>
          <w:highlight w:val="none"/>
        </w:rPr>
        <w:t>部分</w:t>
      </w:r>
      <w:bookmarkEnd w:id="99"/>
      <w:bookmarkEnd w:id="100"/>
      <w:bookmarkEnd w:id="101"/>
    </w:p>
    <w:p w14:paraId="28987FAB">
      <w:pPr>
        <w:pStyle w:val="3"/>
        <w:spacing w:line="360" w:lineRule="auto"/>
        <w:jc w:val="center"/>
        <w:rPr>
          <w:rFonts w:ascii="宋体" w:hAnsi="宋体" w:eastAsia="宋体" w:cs="宋体"/>
          <w:color w:val="auto"/>
          <w:kern w:val="0"/>
          <w:highlight w:val="none"/>
        </w:rPr>
      </w:pPr>
      <w:bookmarkStart w:id="102" w:name="_Toc9157"/>
      <w:bookmarkStart w:id="103" w:name="_Toc13855"/>
      <w:bookmarkStart w:id="104" w:name="_Toc9540"/>
      <w:r>
        <w:rPr>
          <w:rFonts w:hint="eastAsia" w:ascii="宋体" w:hAnsi="宋体" w:eastAsia="宋体" w:cs="宋体"/>
          <w:color w:val="auto"/>
          <w:kern w:val="0"/>
          <w:highlight w:val="none"/>
        </w:rPr>
        <w:t>封面格式</w:t>
      </w:r>
      <w:bookmarkEnd w:id="102"/>
      <w:bookmarkEnd w:id="103"/>
      <w:bookmarkEnd w:id="104"/>
    </w:p>
    <w:p w14:paraId="3AD7FFAD">
      <w:pPr>
        <w:pStyle w:val="31"/>
        <w:spacing w:line="360" w:lineRule="auto"/>
        <w:rPr>
          <w:rFonts w:ascii="宋体" w:hAnsi="宋体"/>
          <w:b/>
          <w:bCs/>
          <w:color w:val="auto"/>
          <w:sz w:val="24"/>
          <w:highlight w:val="none"/>
        </w:rPr>
      </w:pPr>
    </w:p>
    <w:p w14:paraId="573C0B10">
      <w:pPr>
        <w:pStyle w:val="31"/>
        <w:rPr>
          <w:color w:val="auto"/>
          <w:highlight w:val="none"/>
        </w:rPr>
      </w:pPr>
    </w:p>
    <w:tbl>
      <w:tblPr>
        <w:tblStyle w:val="23"/>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62575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0" w:type="dxa"/>
          </w:tcPr>
          <w:p w14:paraId="7D97CB65">
            <w:pPr>
              <w:autoSpaceDE w:val="0"/>
              <w:autoSpaceDN w:val="0"/>
              <w:adjustRightInd w:val="0"/>
              <w:spacing w:line="360" w:lineRule="auto"/>
              <w:jc w:val="center"/>
              <w:outlineLvl w:val="0"/>
              <w:rPr>
                <w:rFonts w:hint="eastAsia" w:ascii="宋体" w:eastAsia="宋体" w:cs="宋体"/>
                <w:b/>
                <w:color w:val="auto"/>
                <w:kern w:val="0"/>
                <w:sz w:val="22"/>
                <w:szCs w:val="21"/>
                <w:highlight w:val="none"/>
                <w:lang w:eastAsia="zh-CN"/>
              </w:rPr>
            </w:pPr>
            <w:bookmarkStart w:id="105" w:name="_Toc31228"/>
            <w:r>
              <w:rPr>
                <w:rFonts w:hint="eastAsia" w:ascii="宋体" w:hAnsi="宋体" w:cs="宋体"/>
                <w:b/>
                <w:color w:val="auto"/>
                <w:kern w:val="0"/>
                <w:sz w:val="32"/>
                <w:szCs w:val="21"/>
                <w:highlight w:val="none"/>
                <w:lang w:eastAsia="zh-CN"/>
              </w:rPr>
              <w:t>（项目名称）</w:t>
            </w:r>
            <w:bookmarkEnd w:id="105"/>
          </w:p>
          <w:p w14:paraId="450D1D06">
            <w:pPr>
              <w:autoSpaceDE w:val="0"/>
              <w:autoSpaceDN w:val="0"/>
              <w:adjustRightInd w:val="0"/>
              <w:spacing w:line="360" w:lineRule="auto"/>
              <w:jc w:val="center"/>
              <w:outlineLvl w:val="0"/>
              <w:rPr>
                <w:rFonts w:ascii="宋体" w:cs="宋体"/>
                <w:color w:val="auto"/>
                <w:kern w:val="0"/>
                <w:sz w:val="22"/>
                <w:szCs w:val="21"/>
                <w:highlight w:val="none"/>
              </w:rPr>
            </w:pPr>
          </w:p>
          <w:p w14:paraId="32DB9A7B">
            <w:pPr>
              <w:pStyle w:val="28"/>
              <w:rPr>
                <w:rFonts w:ascii="宋体" w:cs="宋体"/>
                <w:color w:val="auto"/>
                <w:kern w:val="0"/>
                <w:sz w:val="22"/>
                <w:szCs w:val="21"/>
                <w:highlight w:val="none"/>
              </w:rPr>
            </w:pPr>
          </w:p>
          <w:p w14:paraId="58A4FC0A">
            <w:pPr>
              <w:pStyle w:val="28"/>
              <w:rPr>
                <w:rFonts w:ascii="宋体" w:cs="宋体"/>
                <w:color w:val="auto"/>
                <w:kern w:val="0"/>
                <w:sz w:val="22"/>
                <w:szCs w:val="21"/>
                <w:highlight w:val="none"/>
              </w:rPr>
            </w:pPr>
          </w:p>
          <w:p w14:paraId="4FB81ED7">
            <w:pPr>
              <w:pStyle w:val="28"/>
              <w:rPr>
                <w:rFonts w:ascii="宋体" w:cs="宋体"/>
                <w:color w:val="auto"/>
                <w:kern w:val="0"/>
                <w:sz w:val="22"/>
                <w:szCs w:val="21"/>
                <w:highlight w:val="none"/>
              </w:rPr>
            </w:pPr>
          </w:p>
          <w:p w14:paraId="60D98311">
            <w:pPr>
              <w:pStyle w:val="28"/>
              <w:rPr>
                <w:rFonts w:ascii="宋体" w:cs="宋体"/>
                <w:color w:val="auto"/>
                <w:kern w:val="0"/>
                <w:sz w:val="22"/>
                <w:szCs w:val="21"/>
                <w:highlight w:val="none"/>
              </w:rPr>
            </w:pPr>
          </w:p>
          <w:p w14:paraId="58928F54">
            <w:pPr>
              <w:pStyle w:val="28"/>
              <w:rPr>
                <w:rFonts w:ascii="宋体" w:cs="宋体"/>
                <w:color w:val="auto"/>
                <w:kern w:val="0"/>
                <w:sz w:val="22"/>
                <w:szCs w:val="21"/>
                <w:highlight w:val="none"/>
              </w:rPr>
            </w:pPr>
          </w:p>
          <w:p w14:paraId="149ADD95">
            <w:pPr>
              <w:pStyle w:val="28"/>
              <w:rPr>
                <w:rFonts w:ascii="宋体" w:cs="宋体"/>
                <w:color w:val="auto"/>
                <w:kern w:val="0"/>
                <w:sz w:val="22"/>
                <w:szCs w:val="21"/>
                <w:highlight w:val="none"/>
              </w:rPr>
            </w:pPr>
          </w:p>
          <w:p w14:paraId="027536EA">
            <w:pPr>
              <w:pStyle w:val="28"/>
              <w:rPr>
                <w:rFonts w:ascii="宋体" w:cs="宋体"/>
                <w:color w:val="auto"/>
                <w:kern w:val="0"/>
                <w:sz w:val="22"/>
                <w:szCs w:val="21"/>
                <w:highlight w:val="none"/>
              </w:rPr>
            </w:pPr>
          </w:p>
          <w:p w14:paraId="43CBDF73">
            <w:pPr>
              <w:autoSpaceDE w:val="0"/>
              <w:autoSpaceDN w:val="0"/>
              <w:adjustRightInd w:val="0"/>
              <w:spacing w:line="360" w:lineRule="auto"/>
              <w:jc w:val="center"/>
              <w:outlineLvl w:val="0"/>
              <w:rPr>
                <w:rFonts w:ascii="宋体" w:cs="宋体"/>
                <w:color w:val="auto"/>
                <w:kern w:val="0"/>
                <w:sz w:val="22"/>
                <w:szCs w:val="21"/>
                <w:highlight w:val="none"/>
              </w:rPr>
            </w:pPr>
          </w:p>
          <w:p w14:paraId="04CD118B">
            <w:pPr>
              <w:autoSpaceDE w:val="0"/>
              <w:autoSpaceDN w:val="0"/>
              <w:adjustRightInd w:val="0"/>
              <w:spacing w:line="360" w:lineRule="auto"/>
              <w:jc w:val="center"/>
              <w:outlineLvl w:val="0"/>
              <w:rPr>
                <w:rFonts w:ascii="宋体" w:cs="宋体"/>
                <w:b/>
                <w:color w:val="auto"/>
                <w:kern w:val="0"/>
                <w:sz w:val="56"/>
                <w:szCs w:val="21"/>
                <w:highlight w:val="none"/>
              </w:rPr>
            </w:pPr>
            <w:bookmarkStart w:id="106" w:name="_Toc20346"/>
            <w:r>
              <w:rPr>
                <w:rFonts w:hint="eastAsia" w:ascii="宋体" w:hAnsi="宋体" w:cs="宋体"/>
                <w:b/>
                <w:color w:val="auto"/>
                <w:kern w:val="0"/>
                <w:sz w:val="56"/>
                <w:szCs w:val="21"/>
                <w:highlight w:val="none"/>
                <w:lang w:eastAsia="zh-CN"/>
              </w:rPr>
              <w:t>电子</w:t>
            </w:r>
            <w:r>
              <w:rPr>
                <w:rFonts w:hint="eastAsia" w:ascii="宋体" w:hAnsi="宋体" w:cs="宋体"/>
                <w:b/>
                <w:color w:val="auto"/>
                <w:kern w:val="0"/>
                <w:sz w:val="56"/>
                <w:szCs w:val="21"/>
                <w:highlight w:val="none"/>
              </w:rPr>
              <w:t>响应文件</w:t>
            </w:r>
            <w:bookmarkEnd w:id="106"/>
          </w:p>
          <w:p w14:paraId="583DC173">
            <w:pPr>
              <w:autoSpaceDE w:val="0"/>
              <w:autoSpaceDN w:val="0"/>
              <w:adjustRightInd w:val="0"/>
              <w:spacing w:line="360" w:lineRule="auto"/>
              <w:jc w:val="center"/>
              <w:outlineLvl w:val="0"/>
              <w:rPr>
                <w:rFonts w:hint="eastAsia" w:ascii="宋体" w:eastAsia="宋体" w:cs="宋体"/>
                <w:b/>
                <w:color w:val="auto"/>
                <w:kern w:val="0"/>
                <w:sz w:val="56"/>
                <w:szCs w:val="21"/>
                <w:highlight w:val="none"/>
                <w:lang w:eastAsia="zh-CN"/>
              </w:rPr>
            </w:pPr>
          </w:p>
          <w:p w14:paraId="784C1AA4">
            <w:pPr>
              <w:autoSpaceDE w:val="0"/>
              <w:autoSpaceDN w:val="0"/>
              <w:adjustRightInd w:val="0"/>
              <w:spacing w:line="360" w:lineRule="auto"/>
              <w:jc w:val="center"/>
              <w:outlineLvl w:val="0"/>
              <w:rPr>
                <w:rFonts w:ascii="宋体" w:cs="宋体"/>
                <w:color w:val="auto"/>
                <w:kern w:val="0"/>
                <w:sz w:val="22"/>
                <w:szCs w:val="21"/>
                <w:highlight w:val="none"/>
              </w:rPr>
            </w:pPr>
          </w:p>
          <w:p w14:paraId="3655787F">
            <w:pPr>
              <w:autoSpaceDE w:val="0"/>
              <w:autoSpaceDN w:val="0"/>
              <w:adjustRightInd w:val="0"/>
              <w:spacing w:line="360" w:lineRule="auto"/>
              <w:jc w:val="center"/>
              <w:outlineLvl w:val="0"/>
              <w:rPr>
                <w:rFonts w:ascii="宋体" w:cs="宋体"/>
                <w:color w:val="auto"/>
                <w:kern w:val="0"/>
                <w:sz w:val="22"/>
                <w:szCs w:val="21"/>
                <w:highlight w:val="none"/>
              </w:rPr>
            </w:pPr>
          </w:p>
          <w:p w14:paraId="24EB19D2">
            <w:pPr>
              <w:autoSpaceDE w:val="0"/>
              <w:autoSpaceDN w:val="0"/>
              <w:adjustRightInd w:val="0"/>
              <w:spacing w:line="360" w:lineRule="auto"/>
              <w:jc w:val="center"/>
              <w:outlineLvl w:val="0"/>
              <w:rPr>
                <w:rFonts w:ascii="宋体" w:hAnsi="宋体" w:cs="宋体"/>
                <w:color w:val="auto"/>
                <w:kern w:val="0"/>
                <w:sz w:val="22"/>
                <w:szCs w:val="21"/>
                <w:highlight w:val="none"/>
              </w:rPr>
            </w:pPr>
          </w:p>
          <w:p w14:paraId="5F547811">
            <w:pPr>
              <w:pStyle w:val="28"/>
              <w:rPr>
                <w:color w:val="auto"/>
                <w:highlight w:val="none"/>
              </w:rPr>
            </w:pPr>
          </w:p>
          <w:p w14:paraId="364B254C">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7" w:name="_Toc20289"/>
            <w:r>
              <w:rPr>
                <w:rFonts w:hint="eastAsia" w:ascii="宋体" w:hAnsi="宋体" w:cs="宋体"/>
                <w:color w:val="auto"/>
                <w:kern w:val="0"/>
                <w:sz w:val="24"/>
                <w:szCs w:val="21"/>
                <w:highlight w:val="none"/>
              </w:rPr>
              <w:t>项目名称：</w:t>
            </w:r>
            <w:bookmarkEnd w:id="107"/>
          </w:p>
          <w:p w14:paraId="00629897">
            <w:pPr>
              <w:autoSpaceDE w:val="0"/>
              <w:autoSpaceDN w:val="0"/>
              <w:adjustRightInd w:val="0"/>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响应文件内容：</w:t>
            </w:r>
            <w:r>
              <w:rPr>
                <w:rFonts w:hint="eastAsia" w:ascii="宋体" w:hAnsi="宋体" w:cs="宋体"/>
                <w:color w:val="auto"/>
                <w:kern w:val="0"/>
                <w:sz w:val="24"/>
                <w:szCs w:val="21"/>
                <w:highlight w:val="none"/>
                <w:u w:val="single"/>
                <w:lang w:eastAsia="zh-CN"/>
              </w:rPr>
              <w:t>技术文件</w:t>
            </w:r>
            <w:r>
              <w:rPr>
                <w:rFonts w:hint="eastAsia" w:ascii="宋体" w:hAnsi="宋体" w:cs="宋体"/>
                <w:color w:val="auto"/>
                <w:kern w:val="0"/>
                <w:sz w:val="24"/>
                <w:szCs w:val="21"/>
                <w:highlight w:val="none"/>
                <w:u w:val="single"/>
              </w:rPr>
              <w:t>部分</w:t>
            </w:r>
          </w:p>
          <w:p w14:paraId="75A2DA76">
            <w:pPr>
              <w:autoSpaceDE w:val="0"/>
              <w:autoSpaceDN w:val="0"/>
              <w:adjustRightInd w:val="0"/>
              <w:spacing w:line="360" w:lineRule="auto"/>
              <w:ind w:firstLine="480" w:firstLineChars="200"/>
              <w:outlineLvl w:val="0"/>
              <w:rPr>
                <w:rFonts w:ascii="宋体" w:hAnsi="宋体" w:cs="宋体"/>
                <w:color w:val="auto"/>
                <w:kern w:val="0"/>
                <w:sz w:val="24"/>
                <w:szCs w:val="21"/>
                <w:highlight w:val="none"/>
                <w:u w:val="single"/>
              </w:rPr>
            </w:pPr>
            <w:bookmarkStart w:id="108" w:name="_Toc7578"/>
            <w:r>
              <w:rPr>
                <w:rFonts w:hint="eastAsia" w:ascii="宋体" w:hAnsi="宋体" w:cs="宋体"/>
                <w:color w:val="auto"/>
                <w:kern w:val="0"/>
                <w:sz w:val="24"/>
                <w:szCs w:val="21"/>
                <w:highlight w:val="none"/>
              </w:rPr>
              <w:t>磋商单位：</w:t>
            </w:r>
            <w:r>
              <w:rPr>
                <w:rFonts w:hint="eastAsia" w:ascii="宋体" w:hAnsi="宋体" w:cs="宋体"/>
                <w:color w:val="auto"/>
                <w:kern w:val="0"/>
                <w:sz w:val="24"/>
                <w:szCs w:val="21"/>
                <w:highlight w:val="none"/>
                <w:u w:val="single"/>
              </w:rPr>
              <w:t>（盖章）</w:t>
            </w:r>
            <w:bookmarkEnd w:id="108"/>
          </w:p>
          <w:p w14:paraId="536AD4AF">
            <w:pPr>
              <w:autoSpaceDE w:val="0"/>
              <w:autoSpaceDN w:val="0"/>
              <w:adjustRightInd w:val="0"/>
              <w:spacing w:line="360" w:lineRule="auto"/>
              <w:ind w:firstLine="480" w:firstLineChars="200"/>
              <w:outlineLvl w:val="0"/>
              <w:rPr>
                <w:rFonts w:ascii="宋体" w:cs="宋体"/>
                <w:color w:val="auto"/>
                <w:kern w:val="0"/>
                <w:sz w:val="24"/>
                <w:szCs w:val="21"/>
                <w:highlight w:val="none"/>
              </w:rPr>
            </w:pPr>
            <w:bookmarkStart w:id="109" w:name="_Toc7735"/>
            <w:r>
              <w:rPr>
                <w:rFonts w:hint="eastAsia" w:ascii="宋体" w:hAnsi="宋体" w:cs="宋体"/>
                <w:color w:val="auto"/>
                <w:kern w:val="0"/>
                <w:sz w:val="24"/>
                <w:szCs w:val="21"/>
                <w:highlight w:val="none"/>
              </w:rPr>
              <w:t>法定代表人或其授权代理人：</w:t>
            </w:r>
            <w:r>
              <w:rPr>
                <w:rFonts w:hint="eastAsia" w:ascii="宋体" w:hAnsi="宋体" w:cs="宋体"/>
                <w:color w:val="auto"/>
                <w:kern w:val="0"/>
                <w:sz w:val="24"/>
                <w:szCs w:val="21"/>
                <w:highlight w:val="none"/>
                <w:u w:val="single"/>
              </w:rPr>
              <w:t>（签字或盖章）</w:t>
            </w:r>
            <w:bookmarkEnd w:id="109"/>
          </w:p>
          <w:p w14:paraId="1A2AED5D">
            <w:pPr>
              <w:spacing w:line="360" w:lineRule="auto"/>
              <w:ind w:firstLine="480" w:firstLineChars="200"/>
              <w:rPr>
                <w:rFonts w:ascii="宋体" w:cs="宋体"/>
                <w:color w:val="auto"/>
                <w:kern w:val="0"/>
                <w:sz w:val="24"/>
                <w:szCs w:val="21"/>
                <w:highlight w:val="none"/>
              </w:rPr>
            </w:pPr>
            <w:r>
              <w:rPr>
                <w:rFonts w:hint="eastAsia" w:ascii="宋体" w:hAnsi="宋体" w:cs="宋体"/>
                <w:color w:val="auto"/>
                <w:kern w:val="0"/>
                <w:sz w:val="24"/>
                <w:szCs w:val="21"/>
                <w:highlight w:val="none"/>
              </w:rPr>
              <w:t>日期：</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年</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月</w:t>
            </w:r>
            <w:r>
              <w:rPr>
                <w:rFonts w:hint="eastAsia" w:ascii="宋体" w:hAnsi="宋体" w:cs="宋体"/>
                <w:color w:val="auto"/>
                <w:kern w:val="0"/>
                <w:sz w:val="24"/>
                <w:szCs w:val="21"/>
                <w:highlight w:val="none"/>
                <w:lang w:val="en-US" w:eastAsia="zh-CN"/>
              </w:rPr>
              <w:t xml:space="preserve">  </w:t>
            </w:r>
            <w:r>
              <w:rPr>
                <w:rFonts w:hint="eastAsia" w:ascii="宋体" w:hAnsi="宋体" w:cs="宋体"/>
                <w:color w:val="auto"/>
                <w:kern w:val="0"/>
                <w:sz w:val="24"/>
                <w:szCs w:val="21"/>
                <w:highlight w:val="none"/>
              </w:rPr>
              <w:t>日</w:t>
            </w:r>
          </w:p>
        </w:tc>
      </w:tr>
    </w:tbl>
    <w:p w14:paraId="2DAE04E9">
      <w:pPr>
        <w:pStyle w:val="31"/>
        <w:spacing w:line="360" w:lineRule="auto"/>
        <w:rPr>
          <w:rFonts w:ascii="宋体" w:hAnsi="宋体" w:cs="宋体"/>
          <w:color w:val="auto"/>
          <w:sz w:val="24"/>
          <w:highlight w:val="none"/>
        </w:rPr>
      </w:pPr>
    </w:p>
    <w:p w14:paraId="6120FAD6">
      <w:pPr>
        <w:pStyle w:val="31"/>
        <w:spacing w:line="360" w:lineRule="auto"/>
        <w:rPr>
          <w:rFonts w:ascii="宋体" w:hAnsi="宋体" w:cs="宋体"/>
          <w:color w:val="auto"/>
          <w:sz w:val="24"/>
          <w:highlight w:val="none"/>
        </w:rPr>
      </w:pPr>
    </w:p>
    <w:p w14:paraId="605A599A">
      <w:pPr>
        <w:pStyle w:val="31"/>
        <w:spacing w:line="360" w:lineRule="auto"/>
        <w:rPr>
          <w:rFonts w:ascii="宋体" w:hAnsi="宋体" w:cs="宋体"/>
          <w:color w:val="auto"/>
          <w:sz w:val="24"/>
          <w:highlight w:val="none"/>
        </w:rPr>
      </w:pPr>
    </w:p>
    <w:p w14:paraId="072F3C8B">
      <w:pPr>
        <w:pStyle w:val="32"/>
        <w:rPr>
          <w:rFonts w:ascii="宋体" w:hAnsi="宋体" w:cs="宋体"/>
          <w:color w:val="auto"/>
          <w:sz w:val="24"/>
          <w:highlight w:val="none"/>
        </w:rPr>
      </w:pPr>
    </w:p>
    <w:p w14:paraId="144AD9CF">
      <w:pPr>
        <w:pStyle w:val="31"/>
        <w:rPr>
          <w:rFonts w:ascii="宋体" w:hAnsi="宋体" w:cs="宋体"/>
          <w:color w:val="auto"/>
          <w:sz w:val="24"/>
          <w:highlight w:val="none"/>
        </w:rPr>
      </w:pPr>
    </w:p>
    <w:p w14:paraId="3C2A6115">
      <w:pPr>
        <w:pStyle w:val="32"/>
        <w:rPr>
          <w:color w:val="auto"/>
          <w:highlight w:val="none"/>
        </w:rPr>
      </w:pPr>
    </w:p>
    <w:p w14:paraId="498DAA21">
      <w:pPr>
        <w:pStyle w:val="31"/>
        <w:spacing w:line="360" w:lineRule="auto"/>
        <w:jc w:val="center"/>
        <w:rPr>
          <w:rFonts w:ascii="宋体" w:hAnsi="宋体" w:cs="宋体"/>
          <w:color w:val="auto"/>
          <w:sz w:val="24"/>
          <w:highlight w:val="none"/>
        </w:rPr>
      </w:pPr>
    </w:p>
    <w:p w14:paraId="0DAB8A40">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目  录</w:t>
      </w:r>
    </w:p>
    <w:p w14:paraId="0AFDF88E">
      <w:pPr>
        <w:pStyle w:val="31"/>
        <w:spacing w:line="360" w:lineRule="auto"/>
        <w:jc w:val="center"/>
        <w:rPr>
          <w:rFonts w:ascii="宋体" w:hAnsi="宋体"/>
          <w:b/>
          <w:color w:val="auto"/>
          <w:sz w:val="28"/>
          <w:szCs w:val="28"/>
          <w:highlight w:val="none"/>
        </w:rPr>
      </w:pPr>
      <w:r>
        <w:rPr>
          <w:rFonts w:ascii="宋体" w:hAnsi="宋体"/>
          <w:b/>
          <w:color w:val="auto"/>
          <w:sz w:val="28"/>
          <w:szCs w:val="28"/>
          <w:highlight w:val="none"/>
        </w:rPr>
        <w:t>（须附页码）</w:t>
      </w:r>
    </w:p>
    <w:p w14:paraId="624C1058">
      <w:pPr>
        <w:pStyle w:val="31"/>
        <w:spacing w:line="360" w:lineRule="auto"/>
        <w:jc w:val="center"/>
        <w:rPr>
          <w:rFonts w:ascii="宋体" w:hAnsi="宋体"/>
          <w:b/>
          <w:color w:val="auto"/>
          <w:sz w:val="28"/>
          <w:szCs w:val="28"/>
          <w:highlight w:val="none"/>
        </w:rPr>
      </w:pPr>
    </w:p>
    <w:p w14:paraId="7F5A4FE7">
      <w:pPr>
        <w:spacing w:line="360" w:lineRule="auto"/>
        <w:rPr>
          <w:b/>
          <w:bCs/>
          <w:color w:val="auto"/>
          <w:sz w:val="24"/>
          <w:szCs w:val="28"/>
          <w:highlight w:val="none"/>
        </w:rPr>
      </w:pPr>
      <w:r>
        <w:rPr>
          <w:rFonts w:hint="eastAsia"/>
          <w:b/>
          <w:bCs/>
          <w:color w:val="auto"/>
          <w:sz w:val="24"/>
          <w:szCs w:val="28"/>
          <w:highlight w:val="none"/>
          <w:lang w:val="en-US" w:eastAsia="zh-CN"/>
        </w:rPr>
        <w:t>1、</w:t>
      </w:r>
      <w:r>
        <w:rPr>
          <w:b/>
          <w:bCs/>
          <w:color w:val="auto"/>
          <w:sz w:val="24"/>
          <w:szCs w:val="28"/>
          <w:highlight w:val="none"/>
        </w:rPr>
        <w:t>施工组织设计；</w:t>
      </w:r>
    </w:p>
    <w:p w14:paraId="4463C51E">
      <w:pPr>
        <w:spacing w:line="360" w:lineRule="auto"/>
        <w:rPr>
          <w:b/>
          <w:bCs/>
          <w:color w:val="auto"/>
          <w:sz w:val="24"/>
          <w:szCs w:val="28"/>
          <w:highlight w:val="none"/>
        </w:rPr>
      </w:pPr>
      <w:r>
        <w:rPr>
          <w:rFonts w:hint="eastAsia"/>
          <w:b/>
          <w:bCs/>
          <w:color w:val="auto"/>
          <w:sz w:val="24"/>
          <w:szCs w:val="28"/>
          <w:highlight w:val="none"/>
          <w:lang w:val="en-US" w:eastAsia="zh-CN"/>
        </w:rPr>
        <w:t>2</w:t>
      </w:r>
      <w:r>
        <w:rPr>
          <w:rFonts w:hint="eastAsia"/>
          <w:b/>
          <w:bCs/>
          <w:color w:val="auto"/>
          <w:sz w:val="24"/>
          <w:szCs w:val="28"/>
          <w:highlight w:val="none"/>
        </w:rPr>
        <w:t>、</w:t>
      </w:r>
      <w:r>
        <w:rPr>
          <w:b/>
          <w:bCs/>
          <w:color w:val="auto"/>
          <w:sz w:val="24"/>
          <w:szCs w:val="28"/>
          <w:highlight w:val="none"/>
        </w:rPr>
        <w:t>项目管理机构</w:t>
      </w:r>
      <w:r>
        <w:rPr>
          <w:rFonts w:hint="eastAsia"/>
          <w:b/>
          <w:bCs/>
          <w:color w:val="auto"/>
          <w:sz w:val="24"/>
          <w:szCs w:val="28"/>
          <w:highlight w:val="none"/>
        </w:rPr>
        <w:t>：</w:t>
      </w:r>
    </w:p>
    <w:p w14:paraId="351EFAE4">
      <w:pPr>
        <w:pStyle w:val="35"/>
        <w:spacing w:line="460" w:lineRule="exact"/>
        <w:rPr>
          <w:color w:val="auto"/>
          <w:highlight w:val="none"/>
        </w:rPr>
      </w:pPr>
      <w:r>
        <w:rPr>
          <w:rFonts w:hint="eastAsia"/>
          <w:color w:val="auto"/>
          <w:highlight w:val="none"/>
        </w:rPr>
        <w:t>（1）</w:t>
      </w:r>
      <w:r>
        <w:rPr>
          <w:color w:val="auto"/>
          <w:highlight w:val="none"/>
        </w:rPr>
        <w:t>项目管理机构配备情况表；</w:t>
      </w:r>
    </w:p>
    <w:p w14:paraId="0A20145F">
      <w:pPr>
        <w:pStyle w:val="35"/>
        <w:spacing w:line="460" w:lineRule="exact"/>
        <w:rPr>
          <w:color w:val="auto"/>
          <w:highlight w:val="none"/>
        </w:rPr>
      </w:pPr>
      <w:r>
        <w:rPr>
          <w:rFonts w:hint="eastAsia"/>
          <w:color w:val="auto"/>
          <w:highlight w:val="none"/>
        </w:rPr>
        <w:t>（2）</w:t>
      </w:r>
      <w:r>
        <w:rPr>
          <w:color w:val="auto"/>
          <w:highlight w:val="none"/>
        </w:rPr>
        <w:t>项目经理（注册建造师）简历表；</w:t>
      </w:r>
    </w:p>
    <w:p w14:paraId="49BB57BE">
      <w:pPr>
        <w:pStyle w:val="35"/>
        <w:spacing w:line="460" w:lineRule="exact"/>
        <w:rPr>
          <w:color w:val="auto"/>
          <w:highlight w:val="none"/>
        </w:rPr>
      </w:pPr>
      <w:r>
        <w:rPr>
          <w:rFonts w:hint="eastAsia"/>
          <w:color w:val="auto"/>
          <w:highlight w:val="none"/>
        </w:rPr>
        <w:t>（3）</w:t>
      </w:r>
      <w:r>
        <w:rPr>
          <w:color w:val="auto"/>
          <w:highlight w:val="none"/>
        </w:rPr>
        <w:t>项目技术负责人简历表。</w:t>
      </w:r>
    </w:p>
    <w:p w14:paraId="63AA44F3">
      <w:pPr>
        <w:pStyle w:val="35"/>
        <w:spacing w:line="460" w:lineRule="exact"/>
        <w:rPr>
          <w:rFonts w:hint="eastAsia" w:ascii="Calibri" w:hAnsi="Calibri" w:eastAsia="宋体" w:cs="Times New Roman"/>
          <w:b/>
          <w:bCs/>
          <w:color w:val="auto"/>
          <w:kern w:val="2"/>
          <w:sz w:val="24"/>
          <w:szCs w:val="28"/>
          <w:highlight w:val="none"/>
          <w:lang w:val="en-US" w:eastAsia="zh-CN" w:bidi="ar-SA"/>
        </w:rPr>
      </w:pPr>
      <w:r>
        <w:rPr>
          <w:rFonts w:hint="eastAsia" w:ascii="Calibri" w:hAnsi="Calibri" w:cs="Times New Roman"/>
          <w:b/>
          <w:bCs/>
          <w:color w:val="auto"/>
          <w:kern w:val="2"/>
          <w:sz w:val="24"/>
          <w:szCs w:val="28"/>
          <w:highlight w:val="none"/>
          <w:lang w:val="en-US" w:eastAsia="zh-CN" w:bidi="ar-SA"/>
        </w:rPr>
        <w:t>3</w:t>
      </w:r>
      <w:r>
        <w:rPr>
          <w:rFonts w:hint="eastAsia" w:ascii="Calibri" w:hAnsi="Calibri" w:eastAsia="宋体" w:cs="Times New Roman"/>
          <w:b/>
          <w:bCs/>
          <w:color w:val="auto"/>
          <w:kern w:val="2"/>
          <w:sz w:val="24"/>
          <w:szCs w:val="28"/>
          <w:highlight w:val="none"/>
          <w:lang w:val="en-US" w:eastAsia="zh-CN" w:bidi="ar-SA"/>
        </w:rPr>
        <w:t>、供应商认为有必要提供的声明及其他证明材料（如有，请提供）</w:t>
      </w:r>
    </w:p>
    <w:p w14:paraId="16FB0301">
      <w:pPr>
        <w:spacing w:line="460" w:lineRule="exact"/>
        <w:ind w:firstLine="400" w:firstLineChars="200"/>
        <w:rPr>
          <w:color w:val="auto"/>
          <w:szCs w:val="28"/>
          <w:highlight w:val="none"/>
        </w:rPr>
      </w:pPr>
    </w:p>
    <w:p w14:paraId="315A492C">
      <w:pPr>
        <w:pStyle w:val="28"/>
        <w:rPr>
          <w:color w:val="auto"/>
          <w:highlight w:val="none"/>
        </w:rPr>
      </w:pPr>
    </w:p>
    <w:p w14:paraId="15973E38">
      <w:pPr>
        <w:pStyle w:val="2"/>
        <w:spacing w:line="360" w:lineRule="auto"/>
        <w:jc w:val="center"/>
        <w:rPr>
          <w:rFonts w:ascii="宋体" w:hAnsi="宋体" w:cs="宋体"/>
          <w:color w:val="auto"/>
          <w:sz w:val="36"/>
          <w:highlight w:val="none"/>
        </w:rPr>
      </w:pPr>
    </w:p>
    <w:p w14:paraId="7DA8EED3">
      <w:pPr>
        <w:pStyle w:val="2"/>
        <w:spacing w:line="360" w:lineRule="auto"/>
        <w:jc w:val="center"/>
        <w:rPr>
          <w:rFonts w:ascii="宋体" w:hAnsi="宋体" w:cs="宋体"/>
          <w:color w:val="auto"/>
          <w:sz w:val="36"/>
          <w:highlight w:val="none"/>
        </w:rPr>
      </w:pPr>
    </w:p>
    <w:p w14:paraId="7FDC7025">
      <w:pPr>
        <w:pStyle w:val="2"/>
        <w:spacing w:line="360" w:lineRule="auto"/>
        <w:jc w:val="center"/>
        <w:rPr>
          <w:rFonts w:ascii="宋体" w:hAnsi="宋体" w:cs="宋体"/>
          <w:color w:val="auto"/>
          <w:sz w:val="36"/>
          <w:highlight w:val="none"/>
        </w:rPr>
      </w:pPr>
    </w:p>
    <w:p w14:paraId="0A0F5BB8">
      <w:pPr>
        <w:rPr>
          <w:rFonts w:ascii="宋体" w:hAnsi="宋体" w:cs="宋体"/>
          <w:color w:val="auto"/>
          <w:sz w:val="36"/>
          <w:highlight w:val="none"/>
        </w:rPr>
      </w:pPr>
    </w:p>
    <w:p w14:paraId="50FB7FE2">
      <w:pPr>
        <w:pStyle w:val="10"/>
        <w:rPr>
          <w:rFonts w:ascii="宋体" w:hAnsi="宋体" w:cs="宋体"/>
          <w:color w:val="auto"/>
          <w:sz w:val="36"/>
          <w:highlight w:val="none"/>
        </w:rPr>
      </w:pPr>
    </w:p>
    <w:p w14:paraId="0DA83AF0">
      <w:pPr>
        <w:rPr>
          <w:rFonts w:ascii="宋体" w:hAnsi="宋体" w:cs="宋体"/>
          <w:color w:val="auto"/>
          <w:sz w:val="36"/>
          <w:highlight w:val="none"/>
        </w:rPr>
      </w:pPr>
    </w:p>
    <w:p w14:paraId="618AC4FA">
      <w:pPr>
        <w:pStyle w:val="10"/>
        <w:rPr>
          <w:rFonts w:ascii="宋体" w:hAnsi="宋体" w:cs="宋体"/>
          <w:color w:val="auto"/>
          <w:sz w:val="36"/>
          <w:highlight w:val="none"/>
        </w:rPr>
      </w:pPr>
    </w:p>
    <w:p w14:paraId="2A7D356A">
      <w:pPr>
        <w:rPr>
          <w:rFonts w:ascii="宋体" w:hAnsi="宋体" w:cs="宋体"/>
          <w:color w:val="auto"/>
          <w:sz w:val="36"/>
          <w:highlight w:val="none"/>
        </w:rPr>
      </w:pPr>
    </w:p>
    <w:p w14:paraId="425C39E6">
      <w:pPr>
        <w:pStyle w:val="10"/>
        <w:rPr>
          <w:color w:val="auto"/>
          <w:highlight w:val="none"/>
        </w:rPr>
      </w:pPr>
    </w:p>
    <w:p w14:paraId="43DC4D4F">
      <w:pPr>
        <w:rPr>
          <w:rFonts w:ascii="宋体" w:hAnsi="宋体" w:cs="宋体"/>
          <w:color w:val="auto"/>
          <w:sz w:val="36"/>
          <w:highlight w:val="none"/>
        </w:rPr>
      </w:pPr>
    </w:p>
    <w:p w14:paraId="71CAF85C">
      <w:pPr>
        <w:rPr>
          <w:rFonts w:ascii="宋体" w:hAnsi="宋体" w:cs="宋体"/>
          <w:color w:val="auto"/>
          <w:sz w:val="36"/>
          <w:highlight w:val="none"/>
        </w:rPr>
      </w:pPr>
    </w:p>
    <w:p w14:paraId="447CCE85">
      <w:pPr>
        <w:rPr>
          <w:rFonts w:ascii="宋体" w:hAnsi="宋体" w:cs="宋体"/>
          <w:color w:val="auto"/>
          <w:sz w:val="36"/>
          <w:highlight w:val="none"/>
        </w:rPr>
      </w:pPr>
    </w:p>
    <w:p w14:paraId="666B95A6">
      <w:pPr>
        <w:rPr>
          <w:rFonts w:ascii="宋体" w:hAnsi="宋体" w:cs="宋体"/>
          <w:color w:val="auto"/>
          <w:sz w:val="36"/>
          <w:highlight w:val="none"/>
        </w:rPr>
      </w:pPr>
    </w:p>
    <w:p w14:paraId="54434BDF">
      <w:pPr>
        <w:rPr>
          <w:rFonts w:ascii="宋体" w:hAnsi="宋体" w:cs="宋体"/>
          <w:color w:val="auto"/>
          <w:sz w:val="36"/>
          <w:highlight w:val="none"/>
        </w:rPr>
      </w:pPr>
    </w:p>
    <w:p w14:paraId="258606EC">
      <w:pPr>
        <w:rPr>
          <w:rFonts w:ascii="宋体" w:hAnsi="宋体" w:cs="宋体"/>
          <w:color w:val="auto"/>
          <w:sz w:val="36"/>
          <w:highlight w:val="none"/>
        </w:rPr>
      </w:pPr>
    </w:p>
    <w:p w14:paraId="16B9EFF6">
      <w:pPr>
        <w:jc w:val="center"/>
        <w:rPr>
          <w:b/>
          <w:bCs/>
          <w:color w:val="auto"/>
          <w:sz w:val="28"/>
          <w:szCs w:val="28"/>
          <w:highlight w:val="none"/>
        </w:rPr>
      </w:pPr>
      <w:r>
        <w:rPr>
          <w:rFonts w:hint="eastAsia"/>
          <w:b/>
          <w:bCs/>
          <w:color w:val="auto"/>
          <w:sz w:val="28"/>
          <w:szCs w:val="28"/>
          <w:highlight w:val="none"/>
          <w:lang w:val="en-US" w:eastAsia="zh-CN"/>
        </w:rPr>
        <w:t>一</w:t>
      </w:r>
      <w:r>
        <w:rPr>
          <w:rFonts w:hint="eastAsia"/>
          <w:b/>
          <w:bCs/>
          <w:color w:val="auto"/>
          <w:sz w:val="28"/>
          <w:szCs w:val="28"/>
          <w:highlight w:val="none"/>
        </w:rPr>
        <w:t>、施工组织设计</w:t>
      </w:r>
    </w:p>
    <w:p w14:paraId="4CBA57CA">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1、</w:t>
      </w:r>
      <w:r>
        <w:rPr>
          <w:rFonts w:hint="eastAsia"/>
          <w:color w:val="auto"/>
          <w:sz w:val="21"/>
          <w:szCs w:val="22"/>
          <w:highlight w:val="none"/>
        </w:rPr>
        <w:t>磋商单位</w:t>
      </w:r>
      <w:r>
        <w:rPr>
          <w:color w:val="auto"/>
          <w:sz w:val="21"/>
          <w:szCs w:val="22"/>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7805C85C">
      <w:pPr>
        <w:spacing w:line="460" w:lineRule="exact"/>
        <w:ind w:firstLine="420" w:firstLineChars="200"/>
        <w:rPr>
          <w:color w:val="auto"/>
          <w:sz w:val="21"/>
          <w:szCs w:val="22"/>
          <w:highlight w:val="none"/>
        </w:rPr>
      </w:pPr>
      <w:r>
        <w:rPr>
          <w:rFonts w:hint="eastAsia"/>
          <w:color w:val="auto"/>
          <w:sz w:val="21"/>
          <w:szCs w:val="22"/>
          <w:highlight w:val="none"/>
          <w:lang w:val="en-US" w:eastAsia="zh-CN"/>
        </w:rPr>
        <w:t>4.</w:t>
      </w:r>
      <w:r>
        <w:rPr>
          <w:color w:val="auto"/>
          <w:sz w:val="21"/>
          <w:szCs w:val="22"/>
          <w:highlight w:val="none"/>
        </w:rPr>
        <w:t>2．施工组织设计除采用文字表述外可附下列图表，图表及格式要求附后。</w:t>
      </w:r>
    </w:p>
    <w:p w14:paraId="24EFC8E6">
      <w:pPr>
        <w:spacing w:line="460" w:lineRule="exact"/>
        <w:ind w:firstLine="420" w:firstLineChars="200"/>
        <w:rPr>
          <w:color w:val="auto"/>
          <w:sz w:val="21"/>
          <w:szCs w:val="22"/>
          <w:highlight w:val="none"/>
        </w:rPr>
      </w:pPr>
      <w:r>
        <w:rPr>
          <w:color w:val="auto"/>
          <w:sz w:val="21"/>
          <w:szCs w:val="22"/>
          <w:highlight w:val="none"/>
        </w:rPr>
        <w:t>附表一  拟投入本工程的主要施工设备表</w:t>
      </w:r>
    </w:p>
    <w:p w14:paraId="43172CEA">
      <w:pPr>
        <w:spacing w:line="460" w:lineRule="exact"/>
        <w:ind w:firstLine="420" w:firstLineChars="200"/>
        <w:rPr>
          <w:color w:val="auto"/>
          <w:sz w:val="21"/>
          <w:szCs w:val="22"/>
          <w:highlight w:val="none"/>
        </w:rPr>
      </w:pPr>
      <w:r>
        <w:rPr>
          <w:color w:val="auto"/>
          <w:sz w:val="21"/>
          <w:szCs w:val="22"/>
          <w:highlight w:val="none"/>
        </w:rPr>
        <w:t>附表二  拟配备本工程的试验和检测仪器设备表</w:t>
      </w:r>
    </w:p>
    <w:p w14:paraId="04B26BC8">
      <w:pPr>
        <w:spacing w:line="460" w:lineRule="exact"/>
        <w:ind w:firstLine="420" w:firstLineChars="200"/>
        <w:rPr>
          <w:color w:val="auto"/>
          <w:sz w:val="21"/>
          <w:szCs w:val="22"/>
          <w:highlight w:val="none"/>
        </w:rPr>
      </w:pPr>
      <w:r>
        <w:rPr>
          <w:color w:val="auto"/>
          <w:sz w:val="21"/>
          <w:szCs w:val="22"/>
          <w:highlight w:val="none"/>
        </w:rPr>
        <w:t>附表三  劳动力计划表</w:t>
      </w:r>
    </w:p>
    <w:p w14:paraId="6C13E7B6">
      <w:pPr>
        <w:spacing w:line="460" w:lineRule="exact"/>
        <w:ind w:firstLine="420" w:firstLineChars="200"/>
        <w:rPr>
          <w:color w:val="auto"/>
          <w:sz w:val="21"/>
          <w:szCs w:val="22"/>
          <w:highlight w:val="none"/>
        </w:rPr>
      </w:pPr>
      <w:r>
        <w:rPr>
          <w:color w:val="auto"/>
          <w:sz w:val="21"/>
          <w:szCs w:val="22"/>
          <w:highlight w:val="none"/>
        </w:rPr>
        <w:t>附表四  计划开、竣工日期和施工进度网络图</w:t>
      </w:r>
    </w:p>
    <w:p w14:paraId="6DC7CB64">
      <w:pPr>
        <w:spacing w:line="460" w:lineRule="exact"/>
        <w:ind w:firstLine="420" w:firstLineChars="200"/>
        <w:rPr>
          <w:color w:val="auto"/>
          <w:sz w:val="21"/>
          <w:szCs w:val="22"/>
          <w:highlight w:val="none"/>
        </w:rPr>
      </w:pPr>
      <w:r>
        <w:rPr>
          <w:color w:val="auto"/>
          <w:sz w:val="21"/>
          <w:szCs w:val="22"/>
          <w:highlight w:val="none"/>
        </w:rPr>
        <w:t>附表五  施工总平面图</w:t>
      </w:r>
    </w:p>
    <w:p w14:paraId="1BCA9193">
      <w:pPr>
        <w:spacing w:line="460" w:lineRule="exact"/>
        <w:ind w:firstLine="420" w:firstLineChars="200"/>
        <w:rPr>
          <w:color w:val="auto"/>
          <w:sz w:val="21"/>
          <w:szCs w:val="22"/>
          <w:highlight w:val="none"/>
        </w:rPr>
      </w:pPr>
      <w:r>
        <w:rPr>
          <w:color w:val="auto"/>
          <w:sz w:val="21"/>
          <w:szCs w:val="22"/>
          <w:highlight w:val="none"/>
        </w:rPr>
        <w:t>附表六  临时用地表</w:t>
      </w:r>
    </w:p>
    <w:p w14:paraId="289FF7E4">
      <w:pPr>
        <w:spacing w:line="460" w:lineRule="exact"/>
        <w:ind w:firstLine="420" w:firstLineChars="200"/>
        <w:rPr>
          <w:color w:val="auto"/>
          <w:sz w:val="21"/>
          <w:szCs w:val="22"/>
          <w:highlight w:val="none"/>
        </w:rPr>
      </w:pPr>
    </w:p>
    <w:p w14:paraId="240CD299">
      <w:pPr>
        <w:rPr>
          <w:color w:val="auto"/>
          <w:sz w:val="21"/>
          <w:szCs w:val="22"/>
          <w:highlight w:val="none"/>
        </w:rPr>
      </w:pPr>
      <w:r>
        <w:rPr>
          <w:color w:val="auto"/>
          <w:sz w:val="21"/>
          <w:szCs w:val="21"/>
          <w:highlight w:val="none"/>
        </w:rPr>
        <w:t>附表一：拟投入本</w:t>
      </w:r>
      <w:r>
        <w:rPr>
          <w:color w:val="auto"/>
          <w:sz w:val="21"/>
          <w:szCs w:val="22"/>
          <w:highlight w:val="none"/>
        </w:rPr>
        <w:t>工程</w:t>
      </w:r>
      <w:r>
        <w:rPr>
          <w:color w:val="auto"/>
          <w:sz w:val="21"/>
          <w:szCs w:val="21"/>
          <w:highlight w:val="none"/>
        </w:rPr>
        <w:t>的主要施工设备表</w:t>
      </w:r>
      <w:r>
        <w:rPr>
          <w:rFonts w:hint="eastAsia"/>
          <w:color w:val="auto"/>
          <w:sz w:val="21"/>
          <w:szCs w:val="21"/>
          <w:highlight w:val="none"/>
        </w:rPr>
        <w:t>（可根据项目实际情况增减内容）</w:t>
      </w: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5313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7" w:hRule="atLeast"/>
          <w:jc w:val="center"/>
        </w:trPr>
        <w:tc>
          <w:tcPr>
            <w:tcW w:w="758" w:type="dxa"/>
            <w:vAlign w:val="center"/>
          </w:tcPr>
          <w:p w14:paraId="247C6B45">
            <w:pPr>
              <w:jc w:val="center"/>
              <w:rPr>
                <w:color w:val="auto"/>
                <w:sz w:val="21"/>
                <w:szCs w:val="22"/>
                <w:highlight w:val="none"/>
              </w:rPr>
            </w:pPr>
            <w:r>
              <w:rPr>
                <w:color w:val="auto"/>
                <w:sz w:val="21"/>
                <w:szCs w:val="22"/>
                <w:highlight w:val="none"/>
              </w:rPr>
              <w:t>序号</w:t>
            </w:r>
          </w:p>
        </w:tc>
        <w:tc>
          <w:tcPr>
            <w:tcW w:w="1226" w:type="dxa"/>
            <w:vAlign w:val="center"/>
          </w:tcPr>
          <w:p w14:paraId="4951E4EB">
            <w:pPr>
              <w:jc w:val="center"/>
              <w:rPr>
                <w:color w:val="auto"/>
                <w:sz w:val="21"/>
                <w:szCs w:val="22"/>
                <w:highlight w:val="none"/>
              </w:rPr>
            </w:pPr>
            <w:r>
              <w:rPr>
                <w:color w:val="auto"/>
                <w:sz w:val="21"/>
                <w:szCs w:val="22"/>
                <w:highlight w:val="none"/>
              </w:rPr>
              <w:t>设备名称</w:t>
            </w:r>
          </w:p>
        </w:tc>
        <w:tc>
          <w:tcPr>
            <w:tcW w:w="851" w:type="dxa"/>
            <w:vAlign w:val="center"/>
          </w:tcPr>
          <w:p w14:paraId="0634A1EB">
            <w:pPr>
              <w:jc w:val="center"/>
              <w:rPr>
                <w:color w:val="auto"/>
                <w:sz w:val="21"/>
                <w:szCs w:val="22"/>
                <w:highlight w:val="none"/>
              </w:rPr>
            </w:pPr>
            <w:r>
              <w:rPr>
                <w:color w:val="auto"/>
                <w:sz w:val="21"/>
                <w:szCs w:val="22"/>
                <w:highlight w:val="none"/>
              </w:rPr>
              <w:t>型号</w:t>
            </w:r>
          </w:p>
          <w:p w14:paraId="5EBAD71C">
            <w:pPr>
              <w:jc w:val="center"/>
              <w:rPr>
                <w:color w:val="auto"/>
                <w:sz w:val="21"/>
                <w:szCs w:val="22"/>
                <w:highlight w:val="none"/>
              </w:rPr>
            </w:pPr>
            <w:r>
              <w:rPr>
                <w:color w:val="auto"/>
                <w:sz w:val="21"/>
                <w:szCs w:val="22"/>
                <w:highlight w:val="none"/>
              </w:rPr>
              <w:t>规格</w:t>
            </w:r>
          </w:p>
        </w:tc>
        <w:tc>
          <w:tcPr>
            <w:tcW w:w="708" w:type="dxa"/>
            <w:vAlign w:val="center"/>
          </w:tcPr>
          <w:p w14:paraId="384F66E1">
            <w:pPr>
              <w:jc w:val="center"/>
              <w:rPr>
                <w:color w:val="auto"/>
                <w:sz w:val="21"/>
                <w:szCs w:val="22"/>
                <w:highlight w:val="none"/>
              </w:rPr>
            </w:pPr>
            <w:r>
              <w:rPr>
                <w:color w:val="auto"/>
                <w:sz w:val="21"/>
                <w:szCs w:val="22"/>
                <w:highlight w:val="none"/>
              </w:rPr>
              <w:t>数量</w:t>
            </w:r>
          </w:p>
        </w:tc>
        <w:tc>
          <w:tcPr>
            <w:tcW w:w="709" w:type="dxa"/>
            <w:vAlign w:val="center"/>
          </w:tcPr>
          <w:p w14:paraId="3356374B">
            <w:pPr>
              <w:jc w:val="center"/>
              <w:rPr>
                <w:color w:val="auto"/>
                <w:sz w:val="21"/>
                <w:szCs w:val="22"/>
                <w:highlight w:val="none"/>
              </w:rPr>
            </w:pPr>
            <w:r>
              <w:rPr>
                <w:color w:val="auto"/>
                <w:sz w:val="21"/>
                <w:szCs w:val="22"/>
                <w:highlight w:val="none"/>
              </w:rPr>
              <w:t>国别</w:t>
            </w:r>
          </w:p>
          <w:p w14:paraId="6D95F96C">
            <w:pPr>
              <w:jc w:val="center"/>
              <w:rPr>
                <w:color w:val="auto"/>
                <w:sz w:val="21"/>
                <w:szCs w:val="22"/>
                <w:highlight w:val="none"/>
              </w:rPr>
            </w:pPr>
            <w:r>
              <w:rPr>
                <w:color w:val="auto"/>
                <w:sz w:val="21"/>
                <w:szCs w:val="22"/>
                <w:highlight w:val="none"/>
              </w:rPr>
              <w:t>产地</w:t>
            </w:r>
          </w:p>
        </w:tc>
        <w:tc>
          <w:tcPr>
            <w:tcW w:w="851" w:type="dxa"/>
            <w:vAlign w:val="center"/>
          </w:tcPr>
          <w:p w14:paraId="62253282">
            <w:pPr>
              <w:jc w:val="center"/>
              <w:rPr>
                <w:color w:val="auto"/>
                <w:sz w:val="21"/>
                <w:szCs w:val="22"/>
                <w:highlight w:val="none"/>
              </w:rPr>
            </w:pPr>
            <w:r>
              <w:rPr>
                <w:color w:val="auto"/>
                <w:sz w:val="21"/>
                <w:szCs w:val="22"/>
                <w:highlight w:val="none"/>
              </w:rPr>
              <w:t>制造</w:t>
            </w:r>
          </w:p>
          <w:p w14:paraId="6C31BB8A">
            <w:pPr>
              <w:jc w:val="center"/>
              <w:rPr>
                <w:color w:val="auto"/>
                <w:sz w:val="21"/>
                <w:szCs w:val="22"/>
                <w:highlight w:val="none"/>
              </w:rPr>
            </w:pPr>
            <w:r>
              <w:rPr>
                <w:color w:val="auto"/>
                <w:sz w:val="21"/>
                <w:szCs w:val="22"/>
                <w:highlight w:val="none"/>
              </w:rPr>
              <w:t>年份</w:t>
            </w:r>
          </w:p>
        </w:tc>
        <w:tc>
          <w:tcPr>
            <w:tcW w:w="1134" w:type="dxa"/>
            <w:vAlign w:val="center"/>
          </w:tcPr>
          <w:p w14:paraId="0E4C9D75">
            <w:pPr>
              <w:jc w:val="center"/>
              <w:rPr>
                <w:color w:val="auto"/>
                <w:sz w:val="21"/>
                <w:szCs w:val="22"/>
                <w:highlight w:val="none"/>
              </w:rPr>
            </w:pPr>
            <w:r>
              <w:rPr>
                <w:color w:val="auto"/>
                <w:sz w:val="21"/>
                <w:szCs w:val="22"/>
                <w:highlight w:val="none"/>
              </w:rPr>
              <w:t>额定功率</w:t>
            </w:r>
          </w:p>
          <w:p w14:paraId="05AE5E15">
            <w:pPr>
              <w:jc w:val="center"/>
              <w:rPr>
                <w:color w:val="auto"/>
                <w:sz w:val="21"/>
                <w:szCs w:val="22"/>
                <w:highlight w:val="none"/>
              </w:rPr>
            </w:pPr>
            <w:r>
              <w:rPr>
                <w:color w:val="auto"/>
                <w:sz w:val="21"/>
                <w:szCs w:val="22"/>
                <w:highlight w:val="none"/>
              </w:rPr>
              <w:t>（KW）</w:t>
            </w:r>
          </w:p>
        </w:tc>
        <w:tc>
          <w:tcPr>
            <w:tcW w:w="992" w:type="dxa"/>
            <w:vAlign w:val="center"/>
          </w:tcPr>
          <w:p w14:paraId="6178FEC3">
            <w:pPr>
              <w:jc w:val="center"/>
              <w:rPr>
                <w:color w:val="auto"/>
                <w:sz w:val="21"/>
                <w:szCs w:val="22"/>
                <w:highlight w:val="none"/>
              </w:rPr>
            </w:pPr>
            <w:r>
              <w:rPr>
                <w:color w:val="auto"/>
                <w:sz w:val="21"/>
                <w:szCs w:val="22"/>
                <w:highlight w:val="none"/>
              </w:rPr>
              <w:t>生产</w:t>
            </w:r>
          </w:p>
          <w:p w14:paraId="0ACCE9FA">
            <w:pPr>
              <w:jc w:val="center"/>
              <w:rPr>
                <w:color w:val="auto"/>
                <w:sz w:val="21"/>
                <w:szCs w:val="22"/>
                <w:highlight w:val="none"/>
              </w:rPr>
            </w:pPr>
            <w:r>
              <w:rPr>
                <w:color w:val="auto"/>
                <w:sz w:val="21"/>
                <w:szCs w:val="22"/>
                <w:highlight w:val="none"/>
              </w:rPr>
              <w:t>能力</w:t>
            </w:r>
          </w:p>
        </w:tc>
        <w:tc>
          <w:tcPr>
            <w:tcW w:w="1134" w:type="dxa"/>
            <w:vAlign w:val="center"/>
          </w:tcPr>
          <w:p w14:paraId="29217991">
            <w:pPr>
              <w:jc w:val="center"/>
              <w:rPr>
                <w:color w:val="auto"/>
                <w:sz w:val="21"/>
                <w:szCs w:val="22"/>
                <w:highlight w:val="none"/>
              </w:rPr>
            </w:pPr>
            <w:r>
              <w:rPr>
                <w:color w:val="auto"/>
                <w:sz w:val="21"/>
                <w:szCs w:val="22"/>
                <w:highlight w:val="none"/>
              </w:rPr>
              <w:t>用于施</w:t>
            </w:r>
          </w:p>
          <w:p w14:paraId="7BE70142">
            <w:pPr>
              <w:jc w:val="center"/>
              <w:rPr>
                <w:color w:val="auto"/>
                <w:sz w:val="21"/>
                <w:szCs w:val="22"/>
                <w:highlight w:val="none"/>
              </w:rPr>
            </w:pPr>
            <w:r>
              <w:rPr>
                <w:color w:val="auto"/>
                <w:sz w:val="21"/>
                <w:szCs w:val="22"/>
                <w:highlight w:val="none"/>
              </w:rPr>
              <w:t>工部位</w:t>
            </w:r>
          </w:p>
        </w:tc>
        <w:tc>
          <w:tcPr>
            <w:tcW w:w="992" w:type="dxa"/>
            <w:vAlign w:val="center"/>
          </w:tcPr>
          <w:p w14:paraId="7DB5BA21">
            <w:pPr>
              <w:jc w:val="center"/>
              <w:rPr>
                <w:color w:val="auto"/>
                <w:sz w:val="21"/>
                <w:szCs w:val="22"/>
                <w:highlight w:val="none"/>
              </w:rPr>
            </w:pPr>
            <w:r>
              <w:rPr>
                <w:color w:val="auto"/>
                <w:sz w:val="21"/>
                <w:szCs w:val="22"/>
                <w:highlight w:val="none"/>
              </w:rPr>
              <w:t>备注</w:t>
            </w:r>
          </w:p>
        </w:tc>
      </w:tr>
      <w:tr w14:paraId="11FF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E9D9689">
            <w:pPr>
              <w:spacing w:line="360" w:lineRule="auto"/>
              <w:rPr>
                <w:color w:val="auto"/>
                <w:sz w:val="21"/>
                <w:szCs w:val="22"/>
                <w:highlight w:val="none"/>
              </w:rPr>
            </w:pPr>
          </w:p>
        </w:tc>
        <w:tc>
          <w:tcPr>
            <w:tcW w:w="1226" w:type="dxa"/>
          </w:tcPr>
          <w:p w14:paraId="3E12B7F3">
            <w:pPr>
              <w:spacing w:line="360" w:lineRule="auto"/>
              <w:ind w:firstLine="420" w:firstLineChars="200"/>
              <w:rPr>
                <w:color w:val="auto"/>
                <w:sz w:val="21"/>
                <w:szCs w:val="22"/>
                <w:highlight w:val="none"/>
              </w:rPr>
            </w:pPr>
          </w:p>
        </w:tc>
        <w:tc>
          <w:tcPr>
            <w:tcW w:w="851" w:type="dxa"/>
          </w:tcPr>
          <w:p w14:paraId="5F611DCC">
            <w:pPr>
              <w:spacing w:line="360" w:lineRule="auto"/>
              <w:rPr>
                <w:color w:val="auto"/>
                <w:sz w:val="21"/>
                <w:szCs w:val="22"/>
                <w:highlight w:val="none"/>
              </w:rPr>
            </w:pPr>
          </w:p>
        </w:tc>
        <w:tc>
          <w:tcPr>
            <w:tcW w:w="708" w:type="dxa"/>
          </w:tcPr>
          <w:p w14:paraId="33AC4176">
            <w:pPr>
              <w:spacing w:line="360" w:lineRule="auto"/>
              <w:rPr>
                <w:color w:val="auto"/>
                <w:sz w:val="21"/>
                <w:szCs w:val="22"/>
                <w:highlight w:val="none"/>
              </w:rPr>
            </w:pPr>
          </w:p>
        </w:tc>
        <w:tc>
          <w:tcPr>
            <w:tcW w:w="709" w:type="dxa"/>
          </w:tcPr>
          <w:p w14:paraId="74E856F3">
            <w:pPr>
              <w:spacing w:line="360" w:lineRule="auto"/>
              <w:rPr>
                <w:color w:val="auto"/>
                <w:sz w:val="21"/>
                <w:szCs w:val="22"/>
                <w:highlight w:val="none"/>
              </w:rPr>
            </w:pPr>
          </w:p>
        </w:tc>
        <w:tc>
          <w:tcPr>
            <w:tcW w:w="851" w:type="dxa"/>
          </w:tcPr>
          <w:p w14:paraId="62A49BF0">
            <w:pPr>
              <w:spacing w:line="360" w:lineRule="auto"/>
              <w:rPr>
                <w:color w:val="auto"/>
                <w:sz w:val="21"/>
                <w:szCs w:val="22"/>
                <w:highlight w:val="none"/>
              </w:rPr>
            </w:pPr>
          </w:p>
        </w:tc>
        <w:tc>
          <w:tcPr>
            <w:tcW w:w="1134" w:type="dxa"/>
          </w:tcPr>
          <w:p w14:paraId="5C338AA2">
            <w:pPr>
              <w:spacing w:line="360" w:lineRule="auto"/>
              <w:rPr>
                <w:color w:val="auto"/>
                <w:sz w:val="21"/>
                <w:szCs w:val="22"/>
                <w:highlight w:val="none"/>
              </w:rPr>
            </w:pPr>
          </w:p>
        </w:tc>
        <w:tc>
          <w:tcPr>
            <w:tcW w:w="992" w:type="dxa"/>
          </w:tcPr>
          <w:p w14:paraId="334CA7EB">
            <w:pPr>
              <w:spacing w:line="360" w:lineRule="auto"/>
              <w:rPr>
                <w:color w:val="auto"/>
                <w:sz w:val="21"/>
                <w:szCs w:val="22"/>
                <w:highlight w:val="none"/>
              </w:rPr>
            </w:pPr>
          </w:p>
        </w:tc>
        <w:tc>
          <w:tcPr>
            <w:tcW w:w="1134" w:type="dxa"/>
          </w:tcPr>
          <w:p w14:paraId="15E6A425">
            <w:pPr>
              <w:spacing w:line="360" w:lineRule="auto"/>
              <w:rPr>
                <w:color w:val="auto"/>
                <w:sz w:val="21"/>
                <w:szCs w:val="22"/>
                <w:highlight w:val="none"/>
              </w:rPr>
            </w:pPr>
          </w:p>
        </w:tc>
        <w:tc>
          <w:tcPr>
            <w:tcW w:w="992" w:type="dxa"/>
          </w:tcPr>
          <w:p w14:paraId="147554DA">
            <w:pPr>
              <w:spacing w:line="360" w:lineRule="auto"/>
              <w:rPr>
                <w:color w:val="auto"/>
                <w:sz w:val="21"/>
                <w:szCs w:val="22"/>
                <w:highlight w:val="none"/>
              </w:rPr>
            </w:pPr>
          </w:p>
        </w:tc>
      </w:tr>
      <w:tr w14:paraId="35193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6C0B646B">
            <w:pPr>
              <w:spacing w:line="360" w:lineRule="auto"/>
              <w:rPr>
                <w:color w:val="auto"/>
                <w:sz w:val="21"/>
                <w:szCs w:val="22"/>
                <w:highlight w:val="none"/>
              </w:rPr>
            </w:pPr>
          </w:p>
        </w:tc>
        <w:tc>
          <w:tcPr>
            <w:tcW w:w="1226" w:type="dxa"/>
          </w:tcPr>
          <w:p w14:paraId="757871BB">
            <w:pPr>
              <w:spacing w:line="360" w:lineRule="auto"/>
              <w:rPr>
                <w:color w:val="auto"/>
                <w:sz w:val="21"/>
                <w:szCs w:val="22"/>
                <w:highlight w:val="none"/>
              </w:rPr>
            </w:pPr>
          </w:p>
        </w:tc>
        <w:tc>
          <w:tcPr>
            <w:tcW w:w="851" w:type="dxa"/>
          </w:tcPr>
          <w:p w14:paraId="2879F770">
            <w:pPr>
              <w:spacing w:line="360" w:lineRule="auto"/>
              <w:rPr>
                <w:color w:val="auto"/>
                <w:sz w:val="21"/>
                <w:szCs w:val="22"/>
                <w:highlight w:val="none"/>
              </w:rPr>
            </w:pPr>
          </w:p>
        </w:tc>
        <w:tc>
          <w:tcPr>
            <w:tcW w:w="708" w:type="dxa"/>
          </w:tcPr>
          <w:p w14:paraId="0BAE124C">
            <w:pPr>
              <w:spacing w:line="360" w:lineRule="auto"/>
              <w:rPr>
                <w:color w:val="auto"/>
                <w:sz w:val="21"/>
                <w:szCs w:val="22"/>
                <w:highlight w:val="none"/>
              </w:rPr>
            </w:pPr>
          </w:p>
        </w:tc>
        <w:tc>
          <w:tcPr>
            <w:tcW w:w="709" w:type="dxa"/>
          </w:tcPr>
          <w:p w14:paraId="09E2FC00">
            <w:pPr>
              <w:spacing w:line="360" w:lineRule="auto"/>
              <w:rPr>
                <w:color w:val="auto"/>
                <w:sz w:val="21"/>
                <w:szCs w:val="22"/>
                <w:highlight w:val="none"/>
              </w:rPr>
            </w:pPr>
          </w:p>
        </w:tc>
        <w:tc>
          <w:tcPr>
            <w:tcW w:w="851" w:type="dxa"/>
          </w:tcPr>
          <w:p w14:paraId="26DF5D51">
            <w:pPr>
              <w:spacing w:line="360" w:lineRule="auto"/>
              <w:rPr>
                <w:color w:val="auto"/>
                <w:sz w:val="21"/>
                <w:szCs w:val="22"/>
                <w:highlight w:val="none"/>
              </w:rPr>
            </w:pPr>
          </w:p>
        </w:tc>
        <w:tc>
          <w:tcPr>
            <w:tcW w:w="1134" w:type="dxa"/>
          </w:tcPr>
          <w:p w14:paraId="44C2CC25">
            <w:pPr>
              <w:spacing w:line="360" w:lineRule="auto"/>
              <w:rPr>
                <w:color w:val="auto"/>
                <w:sz w:val="21"/>
                <w:szCs w:val="22"/>
                <w:highlight w:val="none"/>
              </w:rPr>
            </w:pPr>
          </w:p>
        </w:tc>
        <w:tc>
          <w:tcPr>
            <w:tcW w:w="992" w:type="dxa"/>
          </w:tcPr>
          <w:p w14:paraId="4673C320">
            <w:pPr>
              <w:spacing w:line="360" w:lineRule="auto"/>
              <w:rPr>
                <w:color w:val="auto"/>
                <w:sz w:val="21"/>
                <w:szCs w:val="22"/>
                <w:highlight w:val="none"/>
              </w:rPr>
            </w:pPr>
          </w:p>
        </w:tc>
        <w:tc>
          <w:tcPr>
            <w:tcW w:w="1134" w:type="dxa"/>
          </w:tcPr>
          <w:p w14:paraId="6EC05EC5">
            <w:pPr>
              <w:spacing w:line="360" w:lineRule="auto"/>
              <w:rPr>
                <w:color w:val="auto"/>
                <w:sz w:val="21"/>
                <w:szCs w:val="22"/>
                <w:highlight w:val="none"/>
              </w:rPr>
            </w:pPr>
          </w:p>
        </w:tc>
        <w:tc>
          <w:tcPr>
            <w:tcW w:w="992" w:type="dxa"/>
          </w:tcPr>
          <w:p w14:paraId="123824C4">
            <w:pPr>
              <w:spacing w:line="360" w:lineRule="auto"/>
              <w:rPr>
                <w:color w:val="auto"/>
                <w:sz w:val="21"/>
                <w:szCs w:val="22"/>
                <w:highlight w:val="none"/>
              </w:rPr>
            </w:pPr>
          </w:p>
        </w:tc>
      </w:tr>
      <w:tr w14:paraId="5495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D0385B3">
            <w:pPr>
              <w:spacing w:line="360" w:lineRule="auto"/>
              <w:rPr>
                <w:color w:val="auto"/>
                <w:sz w:val="21"/>
                <w:szCs w:val="22"/>
                <w:highlight w:val="none"/>
              </w:rPr>
            </w:pPr>
          </w:p>
        </w:tc>
        <w:tc>
          <w:tcPr>
            <w:tcW w:w="1226" w:type="dxa"/>
          </w:tcPr>
          <w:p w14:paraId="58AC24B7">
            <w:pPr>
              <w:spacing w:line="360" w:lineRule="auto"/>
              <w:rPr>
                <w:color w:val="auto"/>
                <w:sz w:val="21"/>
                <w:szCs w:val="22"/>
                <w:highlight w:val="none"/>
              </w:rPr>
            </w:pPr>
          </w:p>
        </w:tc>
        <w:tc>
          <w:tcPr>
            <w:tcW w:w="851" w:type="dxa"/>
          </w:tcPr>
          <w:p w14:paraId="1B6B440F">
            <w:pPr>
              <w:spacing w:line="360" w:lineRule="auto"/>
              <w:rPr>
                <w:color w:val="auto"/>
                <w:sz w:val="21"/>
                <w:szCs w:val="22"/>
                <w:highlight w:val="none"/>
              </w:rPr>
            </w:pPr>
          </w:p>
        </w:tc>
        <w:tc>
          <w:tcPr>
            <w:tcW w:w="708" w:type="dxa"/>
          </w:tcPr>
          <w:p w14:paraId="7921784D">
            <w:pPr>
              <w:spacing w:line="360" w:lineRule="auto"/>
              <w:rPr>
                <w:color w:val="auto"/>
                <w:sz w:val="21"/>
                <w:szCs w:val="22"/>
                <w:highlight w:val="none"/>
              </w:rPr>
            </w:pPr>
          </w:p>
        </w:tc>
        <w:tc>
          <w:tcPr>
            <w:tcW w:w="709" w:type="dxa"/>
          </w:tcPr>
          <w:p w14:paraId="083AA716">
            <w:pPr>
              <w:spacing w:line="360" w:lineRule="auto"/>
              <w:rPr>
                <w:color w:val="auto"/>
                <w:sz w:val="21"/>
                <w:szCs w:val="22"/>
                <w:highlight w:val="none"/>
              </w:rPr>
            </w:pPr>
          </w:p>
        </w:tc>
        <w:tc>
          <w:tcPr>
            <w:tcW w:w="851" w:type="dxa"/>
          </w:tcPr>
          <w:p w14:paraId="65D3C843">
            <w:pPr>
              <w:spacing w:line="360" w:lineRule="auto"/>
              <w:rPr>
                <w:color w:val="auto"/>
                <w:sz w:val="21"/>
                <w:szCs w:val="22"/>
                <w:highlight w:val="none"/>
              </w:rPr>
            </w:pPr>
          </w:p>
        </w:tc>
        <w:tc>
          <w:tcPr>
            <w:tcW w:w="1134" w:type="dxa"/>
          </w:tcPr>
          <w:p w14:paraId="515D1A7D">
            <w:pPr>
              <w:spacing w:line="360" w:lineRule="auto"/>
              <w:rPr>
                <w:color w:val="auto"/>
                <w:sz w:val="21"/>
                <w:szCs w:val="22"/>
                <w:highlight w:val="none"/>
              </w:rPr>
            </w:pPr>
          </w:p>
        </w:tc>
        <w:tc>
          <w:tcPr>
            <w:tcW w:w="992" w:type="dxa"/>
          </w:tcPr>
          <w:p w14:paraId="5FE7527B">
            <w:pPr>
              <w:spacing w:line="360" w:lineRule="auto"/>
              <w:rPr>
                <w:color w:val="auto"/>
                <w:sz w:val="21"/>
                <w:szCs w:val="22"/>
                <w:highlight w:val="none"/>
              </w:rPr>
            </w:pPr>
          </w:p>
        </w:tc>
        <w:tc>
          <w:tcPr>
            <w:tcW w:w="1134" w:type="dxa"/>
          </w:tcPr>
          <w:p w14:paraId="2FF943BC">
            <w:pPr>
              <w:spacing w:line="360" w:lineRule="auto"/>
              <w:rPr>
                <w:color w:val="auto"/>
                <w:sz w:val="21"/>
                <w:szCs w:val="22"/>
                <w:highlight w:val="none"/>
              </w:rPr>
            </w:pPr>
          </w:p>
        </w:tc>
        <w:tc>
          <w:tcPr>
            <w:tcW w:w="992" w:type="dxa"/>
          </w:tcPr>
          <w:p w14:paraId="431EE168">
            <w:pPr>
              <w:spacing w:line="360" w:lineRule="auto"/>
              <w:rPr>
                <w:color w:val="auto"/>
                <w:sz w:val="21"/>
                <w:szCs w:val="22"/>
                <w:highlight w:val="none"/>
              </w:rPr>
            </w:pPr>
          </w:p>
        </w:tc>
      </w:tr>
    </w:tbl>
    <w:p w14:paraId="22A66A09">
      <w:pPr>
        <w:rPr>
          <w:color w:val="auto"/>
          <w:sz w:val="21"/>
          <w:szCs w:val="21"/>
          <w:highlight w:val="none"/>
        </w:rPr>
      </w:pPr>
    </w:p>
    <w:p w14:paraId="42B34401">
      <w:pPr>
        <w:rPr>
          <w:color w:val="auto"/>
          <w:sz w:val="21"/>
          <w:szCs w:val="21"/>
          <w:highlight w:val="none"/>
        </w:rPr>
      </w:pPr>
    </w:p>
    <w:p w14:paraId="7817B582">
      <w:pPr>
        <w:rPr>
          <w:color w:val="auto"/>
          <w:sz w:val="21"/>
          <w:szCs w:val="22"/>
          <w:highlight w:val="none"/>
        </w:rPr>
      </w:pPr>
      <w:r>
        <w:rPr>
          <w:color w:val="auto"/>
          <w:sz w:val="21"/>
          <w:szCs w:val="21"/>
          <w:highlight w:val="none"/>
        </w:rPr>
        <w:t>附表二：拟配备本工程的试验和检测仪器设备表</w:t>
      </w:r>
      <w:r>
        <w:rPr>
          <w:rFonts w:hint="eastAsia"/>
          <w:color w:val="auto"/>
          <w:sz w:val="21"/>
          <w:szCs w:val="21"/>
          <w:highlight w:val="none"/>
        </w:rPr>
        <w:t>（可根据项目实际情况增减内容）</w:t>
      </w:r>
    </w:p>
    <w:p w14:paraId="047EF576">
      <w:pPr>
        <w:rPr>
          <w:color w:val="auto"/>
          <w:sz w:val="21"/>
          <w:szCs w:val="21"/>
          <w:highlight w:val="none"/>
        </w:rPr>
      </w:pPr>
    </w:p>
    <w:tbl>
      <w:tblPr>
        <w:tblStyle w:val="23"/>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5187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6517EE6">
            <w:pPr>
              <w:jc w:val="center"/>
              <w:rPr>
                <w:color w:val="auto"/>
                <w:sz w:val="21"/>
                <w:szCs w:val="22"/>
                <w:highlight w:val="none"/>
              </w:rPr>
            </w:pPr>
            <w:r>
              <w:rPr>
                <w:color w:val="auto"/>
                <w:sz w:val="21"/>
                <w:szCs w:val="22"/>
                <w:highlight w:val="none"/>
              </w:rPr>
              <w:t>序号</w:t>
            </w:r>
          </w:p>
        </w:tc>
        <w:tc>
          <w:tcPr>
            <w:tcW w:w="1226" w:type="dxa"/>
            <w:vAlign w:val="center"/>
          </w:tcPr>
          <w:p w14:paraId="7122666B">
            <w:pPr>
              <w:jc w:val="center"/>
              <w:rPr>
                <w:color w:val="auto"/>
                <w:sz w:val="21"/>
                <w:szCs w:val="22"/>
                <w:highlight w:val="none"/>
              </w:rPr>
            </w:pPr>
            <w:r>
              <w:rPr>
                <w:color w:val="auto"/>
                <w:sz w:val="21"/>
                <w:szCs w:val="22"/>
                <w:highlight w:val="none"/>
              </w:rPr>
              <w:t>仪器设备名称</w:t>
            </w:r>
          </w:p>
        </w:tc>
        <w:tc>
          <w:tcPr>
            <w:tcW w:w="851" w:type="dxa"/>
            <w:vAlign w:val="center"/>
          </w:tcPr>
          <w:p w14:paraId="5FE9AA0D">
            <w:pPr>
              <w:jc w:val="center"/>
              <w:rPr>
                <w:color w:val="auto"/>
                <w:sz w:val="21"/>
                <w:szCs w:val="22"/>
                <w:highlight w:val="none"/>
              </w:rPr>
            </w:pPr>
            <w:r>
              <w:rPr>
                <w:color w:val="auto"/>
                <w:sz w:val="21"/>
                <w:szCs w:val="22"/>
                <w:highlight w:val="none"/>
              </w:rPr>
              <w:t>型号</w:t>
            </w:r>
          </w:p>
          <w:p w14:paraId="4AEA2ACF">
            <w:pPr>
              <w:jc w:val="center"/>
              <w:rPr>
                <w:color w:val="auto"/>
                <w:sz w:val="21"/>
                <w:szCs w:val="22"/>
                <w:highlight w:val="none"/>
              </w:rPr>
            </w:pPr>
            <w:r>
              <w:rPr>
                <w:color w:val="auto"/>
                <w:sz w:val="21"/>
                <w:szCs w:val="22"/>
                <w:highlight w:val="none"/>
              </w:rPr>
              <w:t>规格</w:t>
            </w:r>
          </w:p>
        </w:tc>
        <w:tc>
          <w:tcPr>
            <w:tcW w:w="708" w:type="dxa"/>
            <w:vAlign w:val="center"/>
          </w:tcPr>
          <w:p w14:paraId="0E48536F">
            <w:pPr>
              <w:jc w:val="center"/>
              <w:rPr>
                <w:color w:val="auto"/>
                <w:sz w:val="21"/>
                <w:szCs w:val="22"/>
                <w:highlight w:val="none"/>
              </w:rPr>
            </w:pPr>
            <w:r>
              <w:rPr>
                <w:color w:val="auto"/>
                <w:sz w:val="21"/>
                <w:szCs w:val="22"/>
                <w:highlight w:val="none"/>
              </w:rPr>
              <w:t>数量</w:t>
            </w:r>
          </w:p>
        </w:tc>
        <w:tc>
          <w:tcPr>
            <w:tcW w:w="709" w:type="dxa"/>
            <w:vAlign w:val="center"/>
          </w:tcPr>
          <w:p w14:paraId="0C2243E6">
            <w:pPr>
              <w:jc w:val="center"/>
              <w:rPr>
                <w:color w:val="auto"/>
                <w:sz w:val="21"/>
                <w:szCs w:val="22"/>
                <w:highlight w:val="none"/>
              </w:rPr>
            </w:pPr>
            <w:r>
              <w:rPr>
                <w:color w:val="auto"/>
                <w:sz w:val="21"/>
                <w:szCs w:val="22"/>
                <w:highlight w:val="none"/>
              </w:rPr>
              <w:t>国别</w:t>
            </w:r>
          </w:p>
          <w:p w14:paraId="66359F2F">
            <w:pPr>
              <w:jc w:val="center"/>
              <w:rPr>
                <w:color w:val="auto"/>
                <w:sz w:val="21"/>
                <w:szCs w:val="22"/>
                <w:highlight w:val="none"/>
              </w:rPr>
            </w:pPr>
            <w:r>
              <w:rPr>
                <w:color w:val="auto"/>
                <w:sz w:val="21"/>
                <w:szCs w:val="22"/>
                <w:highlight w:val="none"/>
              </w:rPr>
              <w:t>产地</w:t>
            </w:r>
          </w:p>
        </w:tc>
        <w:tc>
          <w:tcPr>
            <w:tcW w:w="1134" w:type="dxa"/>
            <w:vAlign w:val="center"/>
          </w:tcPr>
          <w:p w14:paraId="4DD19783">
            <w:pPr>
              <w:jc w:val="center"/>
              <w:rPr>
                <w:color w:val="auto"/>
                <w:sz w:val="21"/>
                <w:szCs w:val="22"/>
                <w:highlight w:val="none"/>
              </w:rPr>
            </w:pPr>
            <w:r>
              <w:rPr>
                <w:color w:val="auto"/>
                <w:sz w:val="21"/>
                <w:szCs w:val="22"/>
                <w:highlight w:val="none"/>
              </w:rPr>
              <w:t>制造年份</w:t>
            </w:r>
          </w:p>
        </w:tc>
        <w:tc>
          <w:tcPr>
            <w:tcW w:w="1276" w:type="dxa"/>
            <w:vAlign w:val="center"/>
          </w:tcPr>
          <w:p w14:paraId="09BB7A4C">
            <w:pPr>
              <w:jc w:val="center"/>
              <w:rPr>
                <w:color w:val="auto"/>
                <w:sz w:val="21"/>
                <w:szCs w:val="22"/>
                <w:highlight w:val="none"/>
              </w:rPr>
            </w:pPr>
            <w:r>
              <w:rPr>
                <w:color w:val="auto"/>
                <w:sz w:val="21"/>
                <w:szCs w:val="22"/>
                <w:highlight w:val="none"/>
              </w:rPr>
              <w:t>已使用</w:t>
            </w:r>
          </w:p>
          <w:p w14:paraId="7B5F6568">
            <w:pPr>
              <w:jc w:val="center"/>
              <w:rPr>
                <w:color w:val="auto"/>
                <w:sz w:val="21"/>
                <w:szCs w:val="22"/>
                <w:highlight w:val="none"/>
              </w:rPr>
            </w:pPr>
            <w:r>
              <w:rPr>
                <w:color w:val="auto"/>
                <w:sz w:val="21"/>
                <w:szCs w:val="22"/>
                <w:highlight w:val="none"/>
              </w:rPr>
              <w:t>台时数</w:t>
            </w:r>
          </w:p>
        </w:tc>
        <w:tc>
          <w:tcPr>
            <w:tcW w:w="1134" w:type="dxa"/>
            <w:vAlign w:val="center"/>
          </w:tcPr>
          <w:p w14:paraId="4E953DE8">
            <w:pPr>
              <w:jc w:val="center"/>
              <w:rPr>
                <w:color w:val="auto"/>
                <w:sz w:val="21"/>
                <w:szCs w:val="22"/>
                <w:highlight w:val="none"/>
              </w:rPr>
            </w:pPr>
            <w:r>
              <w:rPr>
                <w:color w:val="auto"/>
                <w:sz w:val="21"/>
                <w:szCs w:val="22"/>
                <w:highlight w:val="none"/>
              </w:rPr>
              <w:t>用途</w:t>
            </w:r>
          </w:p>
        </w:tc>
        <w:tc>
          <w:tcPr>
            <w:tcW w:w="1559" w:type="dxa"/>
            <w:vAlign w:val="center"/>
          </w:tcPr>
          <w:p w14:paraId="11AC865E">
            <w:pPr>
              <w:jc w:val="center"/>
              <w:rPr>
                <w:color w:val="auto"/>
                <w:sz w:val="21"/>
                <w:szCs w:val="22"/>
                <w:highlight w:val="none"/>
              </w:rPr>
            </w:pPr>
            <w:r>
              <w:rPr>
                <w:color w:val="auto"/>
                <w:sz w:val="21"/>
                <w:szCs w:val="22"/>
                <w:highlight w:val="none"/>
              </w:rPr>
              <w:t>备注</w:t>
            </w:r>
          </w:p>
        </w:tc>
      </w:tr>
      <w:tr w14:paraId="716E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1485404">
            <w:pPr>
              <w:spacing w:line="360" w:lineRule="auto"/>
              <w:ind w:firstLine="420" w:firstLineChars="200"/>
              <w:rPr>
                <w:color w:val="auto"/>
                <w:sz w:val="21"/>
                <w:szCs w:val="22"/>
                <w:highlight w:val="none"/>
              </w:rPr>
            </w:pPr>
          </w:p>
        </w:tc>
        <w:tc>
          <w:tcPr>
            <w:tcW w:w="1226" w:type="dxa"/>
            <w:vAlign w:val="center"/>
          </w:tcPr>
          <w:p w14:paraId="378DE0D8">
            <w:pPr>
              <w:spacing w:line="360" w:lineRule="auto"/>
              <w:ind w:firstLine="420" w:firstLineChars="200"/>
              <w:rPr>
                <w:color w:val="auto"/>
                <w:sz w:val="21"/>
                <w:szCs w:val="22"/>
                <w:highlight w:val="none"/>
              </w:rPr>
            </w:pPr>
          </w:p>
        </w:tc>
        <w:tc>
          <w:tcPr>
            <w:tcW w:w="851" w:type="dxa"/>
            <w:vAlign w:val="center"/>
          </w:tcPr>
          <w:p w14:paraId="4ED33312">
            <w:pPr>
              <w:spacing w:line="360" w:lineRule="auto"/>
              <w:ind w:firstLine="420" w:firstLineChars="200"/>
              <w:rPr>
                <w:color w:val="auto"/>
                <w:sz w:val="21"/>
                <w:szCs w:val="22"/>
                <w:highlight w:val="none"/>
              </w:rPr>
            </w:pPr>
          </w:p>
        </w:tc>
        <w:tc>
          <w:tcPr>
            <w:tcW w:w="708" w:type="dxa"/>
            <w:vAlign w:val="center"/>
          </w:tcPr>
          <w:p w14:paraId="2A19F1FE">
            <w:pPr>
              <w:spacing w:line="360" w:lineRule="auto"/>
              <w:ind w:firstLine="420" w:firstLineChars="200"/>
              <w:rPr>
                <w:color w:val="auto"/>
                <w:sz w:val="21"/>
                <w:szCs w:val="22"/>
                <w:highlight w:val="none"/>
              </w:rPr>
            </w:pPr>
          </w:p>
        </w:tc>
        <w:tc>
          <w:tcPr>
            <w:tcW w:w="709" w:type="dxa"/>
            <w:vAlign w:val="center"/>
          </w:tcPr>
          <w:p w14:paraId="6E2349E1">
            <w:pPr>
              <w:spacing w:line="360" w:lineRule="auto"/>
              <w:ind w:firstLine="420" w:firstLineChars="200"/>
              <w:rPr>
                <w:color w:val="auto"/>
                <w:sz w:val="21"/>
                <w:szCs w:val="22"/>
                <w:highlight w:val="none"/>
              </w:rPr>
            </w:pPr>
          </w:p>
        </w:tc>
        <w:tc>
          <w:tcPr>
            <w:tcW w:w="1134" w:type="dxa"/>
            <w:vAlign w:val="center"/>
          </w:tcPr>
          <w:p w14:paraId="07AD35CF">
            <w:pPr>
              <w:spacing w:line="360" w:lineRule="auto"/>
              <w:ind w:firstLine="420" w:firstLineChars="200"/>
              <w:rPr>
                <w:color w:val="auto"/>
                <w:sz w:val="21"/>
                <w:szCs w:val="22"/>
                <w:highlight w:val="none"/>
              </w:rPr>
            </w:pPr>
          </w:p>
        </w:tc>
        <w:tc>
          <w:tcPr>
            <w:tcW w:w="1276" w:type="dxa"/>
            <w:vAlign w:val="center"/>
          </w:tcPr>
          <w:p w14:paraId="68E37372">
            <w:pPr>
              <w:spacing w:line="360" w:lineRule="auto"/>
              <w:ind w:firstLine="420" w:firstLineChars="200"/>
              <w:rPr>
                <w:color w:val="auto"/>
                <w:sz w:val="21"/>
                <w:szCs w:val="22"/>
                <w:highlight w:val="none"/>
              </w:rPr>
            </w:pPr>
          </w:p>
        </w:tc>
        <w:tc>
          <w:tcPr>
            <w:tcW w:w="1134" w:type="dxa"/>
            <w:vAlign w:val="center"/>
          </w:tcPr>
          <w:p w14:paraId="4321931C">
            <w:pPr>
              <w:spacing w:line="360" w:lineRule="auto"/>
              <w:ind w:firstLine="420" w:firstLineChars="200"/>
              <w:rPr>
                <w:color w:val="auto"/>
                <w:sz w:val="21"/>
                <w:szCs w:val="22"/>
                <w:highlight w:val="none"/>
              </w:rPr>
            </w:pPr>
          </w:p>
        </w:tc>
        <w:tc>
          <w:tcPr>
            <w:tcW w:w="1559" w:type="dxa"/>
            <w:vAlign w:val="center"/>
          </w:tcPr>
          <w:p w14:paraId="4C4C87EF">
            <w:pPr>
              <w:spacing w:line="360" w:lineRule="auto"/>
              <w:ind w:firstLine="420" w:firstLineChars="200"/>
              <w:rPr>
                <w:color w:val="auto"/>
                <w:sz w:val="21"/>
                <w:szCs w:val="22"/>
                <w:highlight w:val="none"/>
              </w:rPr>
            </w:pPr>
          </w:p>
        </w:tc>
      </w:tr>
      <w:tr w14:paraId="38FF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7F5977B6">
            <w:pPr>
              <w:spacing w:line="360" w:lineRule="auto"/>
              <w:ind w:firstLine="420" w:firstLineChars="200"/>
              <w:rPr>
                <w:color w:val="auto"/>
                <w:sz w:val="21"/>
                <w:szCs w:val="22"/>
                <w:highlight w:val="none"/>
              </w:rPr>
            </w:pPr>
          </w:p>
        </w:tc>
        <w:tc>
          <w:tcPr>
            <w:tcW w:w="1226" w:type="dxa"/>
            <w:vAlign w:val="center"/>
          </w:tcPr>
          <w:p w14:paraId="7DE1EE71">
            <w:pPr>
              <w:spacing w:line="360" w:lineRule="auto"/>
              <w:ind w:firstLine="420" w:firstLineChars="200"/>
              <w:rPr>
                <w:color w:val="auto"/>
                <w:sz w:val="21"/>
                <w:szCs w:val="22"/>
                <w:highlight w:val="none"/>
              </w:rPr>
            </w:pPr>
          </w:p>
        </w:tc>
        <w:tc>
          <w:tcPr>
            <w:tcW w:w="851" w:type="dxa"/>
            <w:vAlign w:val="center"/>
          </w:tcPr>
          <w:p w14:paraId="40131053">
            <w:pPr>
              <w:spacing w:line="360" w:lineRule="auto"/>
              <w:ind w:firstLine="420" w:firstLineChars="200"/>
              <w:rPr>
                <w:color w:val="auto"/>
                <w:sz w:val="21"/>
                <w:szCs w:val="22"/>
                <w:highlight w:val="none"/>
              </w:rPr>
            </w:pPr>
          </w:p>
        </w:tc>
        <w:tc>
          <w:tcPr>
            <w:tcW w:w="708" w:type="dxa"/>
            <w:vAlign w:val="center"/>
          </w:tcPr>
          <w:p w14:paraId="1FC9E964">
            <w:pPr>
              <w:spacing w:line="360" w:lineRule="auto"/>
              <w:ind w:firstLine="420" w:firstLineChars="200"/>
              <w:rPr>
                <w:color w:val="auto"/>
                <w:sz w:val="21"/>
                <w:szCs w:val="22"/>
                <w:highlight w:val="none"/>
              </w:rPr>
            </w:pPr>
          </w:p>
        </w:tc>
        <w:tc>
          <w:tcPr>
            <w:tcW w:w="709" w:type="dxa"/>
            <w:vAlign w:val="center"/>
          </w:tcPr>
          <w:p w14:paraId="1A0B3942">
            <w:pPr>
              <w:spacing w:line="360" w:lineRule="auto"/>
              <w:ind w:firstLine="420" w:firstLineChars="200"/>
              <w:rPr>
                <w:color w:val="auto"/>
                <w:sz w:val="21"/>
                <w:szCs w:val="22"/>
                <w:highlight w:val="none"/>
              </w:rPr>
            </w:pPr>
          </w:p>
        </w:tc>
        <w:tc>
          <w:tcPr>
            <w:tcW w:w="1134" w:type="dxa"/>
            <w:vAlign w:val="center"/>
          </w:tcPr>
          <w:p w14:paraId="2C82B6FD">
            <w:pPr>
              <w:spacing w:line="360" w:lineRule="auto"/>
              <w:ind w:firstLine="420" w:firstLineChars="200"/>
              <w:rPr>
                <w:color w:val="auto"/>
                <w:sz w:val="21"/>
                <w:szCs w:val="22"/>
                <w:highlight w:val="none"/>
              </w:rPr>
            </w:pPr>
          </w:p>
        </w:tc>
        <w:tc>
          <w:tcPr>
            <w:tcW w:w="1276" w:type="dxa"/>
            <w:vAlign w:val="center"/>
          </w:tcPr>
          <w:p w14:paraId="0C817F98">
            <w:pPr>
              <w:spacing w:line="360" w:lineRule="auto"/>
              <w:ind w:firstLine="420" w:firstLineChars="200"/>
              <w:rPr>
                <w:color w:val="auto"/>
                <w:sz w:val="21"/>
                <w:szCs w:val="22"/>
                <w:highlight w:val="none"/>
              </w:rPr>
            </w:pPr>
          </w:p>
        </w:tc>
        <w:tc>
          <w:tcPr>
            <w:tcW w:w="1134" w:type="dxa"/>
            <w:vAlign w:val="center"/>
          </w:tcPr>
          <w:p w14:paraId="4923C684">
            <w:pPr>
              <w:spacing w:line="360" w:lineRule="auto"/>
              <w:ind w:firstLine="420" w:firstLineChars="200"/>
              <w:rPr>
                <w:color w:val="auto"/>
                <w:sz w:val="21"/>
                <w:szCs w:val="22"/>
                <w:highlight w:val="none"/>
              </w:rPr>
            </w:pPr>
          </w:p>
        </w:tc>
        <w:tc>
          <w:tcPr>
            <w:tcW w:w="1559" w:type="dxa"/>
            <w:vAlign w:val="center"/>
          </w:tcPr>
          <w:p w14:paraId="7281139B">
            <w:pPr>
              <w:spacing w:line="360" w:lineRule="auto"/>
              <w:ind w:firstLine="420" w:firstLineChars="200"/>
              <w:rPr>
                <w:color w:val="auto"/>
                <w:sz w:val="21"/>
                <w:szCs w:val="22"/>
                <w:highlight w:val="none"/>
              </w:rPr>
            </w:pPr>
          </w:p>
        </w:tc>
      </w:tr>
      <w:tr w14:paraId="3B1C3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61DFB756">
            <w:pPr>
              <w:spacing w:line="360" w:lineRule="auto"/>
              <w:ind w:firstLine="420" w:firstLineChars="200"/>
              <w:rPr>
                <w:color w:val="auto"/>
                <w:sz w:val="21"/>
                <w:szCs w:val="22"/>
                <w:highlight w:val="none"/>
              </w:rPr>
            </w:pPr>
          </w:p>
        </w:tc>
        <w:tc>
          <w:tcPr>
            <w:tcW w:w="1226" w:type="dxa"/>
            <w:vAlign w:val="center"/>
          </w:tcPr>
          <w:p w14:paraId="0FEEBE42">
            <w:pPr>
              <w:spacing w:line="360" w:lineRule="auto"/>
              <w:ind w:firstLine="420" w:firstLineChars="200"/>
              <w:rPr>
                <w:color w:val="auto"/>
                <w:sz w:val="21"/>
                <w:szCs w:val="22"/>
                <w:highlight w:val="none"/>
              </w:rPr>
            </w:pPr>
          </w:p>
        </w:tc>
        <w:tc>
          <w:tcPr>
            <w:tcW w:w="851" w:type="dxa"/>
            <w:vAlign w:val="center"/>
          </w:tcPr>
          <w:p w14:paraId="3E871712">
            <w:pPr>
              <w:spacing w:line="360" w:lineRule="auto"/>
              <w:ind w:firstLine="420" w:firstLineChars="200"/>
              <w:rPr>
                <w:color w:val="auto"/>
                <w:sz w:val="21"/>
                <w:szCs w:val="22"/>
                <w:highlight w:val="none"/>
              </w:rPr>
            </w:pPr>
          </w:p>
        </w:tc>
        <w:tc>
          <w:tcPr>
            <w:tcW w:w="708" w:type="dxa"/>
            <w:vAlign w:val="center"/>
          </w:tcPr>
          <w:p w14:paraId="3828A463">
            <w:pPr>
              <w:spacing w:line="360" w:lineRule="auto"/>
              <w:ind w:firstLine="420" w:firstLineChars="200"/>
              <w:rPr>
                <w:color w:val="auto"/>
                <w:sz w:val="21"/>
                <w:szCs w:val="22"/>
                <w:highlight w:val="none"/>
              </w:rPr>
            </w:pPr>
          </w:p>
        </w:tc>
        <w:tc>
          <w:tcPr>
            <w:tcW w:w="709" w:type="dxa"/>
            <w:vAlign w:val="center"/>
          </w:tcPr>
          <w:p w14:paraId="116D9D19">
            <w:pPr>
              <w:spacing w:line="360" w:lineRule="auto"/>
              <w:ind w:firstLine="420" w:firstLineChars="200"/>
              <w:rPr>
                <w:color w:val="auto"/>
                <w:sz w:val="21"/>
                <w:szCs w:val="22"/>
                <w:highlight w:val="none"/>
              </w:rPr>
            </w:pPr>
          </w:p>
        </w:tc>
        <w:tc>
          <w:tcPr>
            <w:tcW w:w="1134" w:type="dxa"/>
            <w:vAlign w:val="center"/>
          </w:tcPr>
          <w:p w14:paraId="22A67E72">
            <w:pPr>
              <w:spacing w:line="360" w:lineRule="auto"/>
              <w:ind w:firstLine="420" w:firstLineChars="200"/>
              <w:rPr>
                <w:color w:val="auto"/>
                <w:sz w:val="21"/>
                <w:szCs w:val="22"/>
                <w:highlight w:val="none"/>
              </w:rPr>
            </w:pPr>
          </w:p>
        </w:tc>
        <w:tc>
          <w:tcPr>
            <w:tcW w:w="1276" w:type="dxa"/>
            <w:vAlign w:val="center"/>
          </w:tcPr>
          <w:p w14:paraId="7CE06D78">
            <w:pPr>
              <w:spacing w:line="360" w:lineRule="auto"/>
              <w:ind w:firstLine="420" w:firstLineChars="200"/>
              <w:rPr>
                <w:color w:val="auto"/>
                <w:sz w:val="21"/>
                <w:szCs w:val="22"/>
                <w:highlight w:val="none"/>
              </w:rPr>
            </w:pPr>
          </w:p>
        </w:tc>
        <w:tc>
          <w:tcPr>
            <w:tcW w:w="1134" w:type="dxa"/>
            <w:vAlign w:val="center"/>
          </w:tcPr>
          <w:p w14:paraId="2D0AA447">
            <w:pPr>
              <w:spacing w:line="360" w:lineRule="auto"/>
              <w:ind w:firstLine="420" w:firstLineChars="200"/>
              <w:rPr>
                <w:color w:val="auto"/>
                <w:sz w:val="21"/>
                <w:szCs w:val="22"/>
                <w:highlight w:val="none"/>
              </w:rPr>
            </w:pPr>
          </w:p>
        </w:tc>
        <w:tc>
          <w:tcPr>
            <w:tcW w:w="1559" w:type="dxa"/>
            <w:vAlign w:val="center"/>
          </w:tcPr>
          <w:p w14:paraId="4688071E">
            <w:pPr>
              <w:spacing w:line="360" w:lineRule="auto"/>
              <w:ind w:firstLine="420" w:firstLineChars="200"/>
              <w:rPr>
                <w:color w:val="auto"/>
                <w:sz w:val="21"/>
                <w:szCs w:val="22"/>
                <w:highlight w:val="none"/>
              </w:rPr>
            </w:pPr>
          </w:p>
        </w:tc>
      </w:tr>
    </w:tbl>
    <w:p w14:paraId="3486BCD1">
      <w:pPr>
        <w:rPr>
          <w:color w:val="auto"/>
          <w:sz w:val="21"/>
          <w:szCs w:val="21"/>
          <w:highlight w:val="none"/>
        </w:rPr>
      </w:pPr>
    </w:p>
    <w:p w14:paraId="3B847EBC">
      <w:pPr>
        <w:rPr>
          <w:color w:val="auto"/>
          <w:sz w:val="21"/>
          <w:szCs w:val="21"/>
          <w:highlight w:val="none"/>
        </w:rPr>
      </w:pPr>
    </w:p>
    <w:p w14:paraId="49946461">
      <w:pPr>
        <w:rPr>
          <w:color w:val="auto"/>
          <w:sz w:val="21"/>
          <w:szCs w:val="21"/>
          <w:highlight w:val="none"/>
        </w:rPr>
      </w:pPr>
    </w:p>
    <w:p w14:paraId="74E0F7F7">
      <w:pPr>
        <w:pStyle w:val="10"/>
        <w:rPr>
          <w:color w:val="auto"/>
          <w:highlight w:val="none"/>
        </w:rPr>
      </w:pPr>
    </w:p>
    <w:p w14:paraId="29592151">
      <w:pPr>
        <w:rPr>
          <w:color w:val="auto"/>
          <w:sz w:val="21"/>
          <w:szCs w:val="21"/>
          <w:highlight w:val="none"/>
        </w:rPr>
      </w:pPr>
    </w:p>
    <w:p w14:paraId="2FD2C05C">
      <w:pPr>
        <w:pStyle w:val="28"/>
        <w:rPr>
          <w:color w:val="auto"/>
          <w:sz w:val="21"/>
          <w:szCs w:val="21"/>
          <w:highlight w:val="none"/>
        </w:rPr>
      </w:pPr>
    </w:p>
    <w:p w14:paraId="350ABE7F">
      <w:pPr>
        <w:pStyle w:val="28"/>
        <w:rPr>
          <w:color w:val="auto"/>
          <w:sz w:val="21"/>
          <w:szCs w:val="21"/>
          <w:highlight w:val="none"/>
        </w:rPr>
      </w:pPr>
    </w:p>
    <w:p w14:paraId="113545C6">
      <w:pPr>
        <w:pStyle w:val="28"/>
        <w:rPr>
          <w:color w:val="auto"/>
          <w:sz w:val="28"/>
          <w:szCs w:val="21"/>
          <w:highlight w:val="none"/>
        </w:rPr>
      </w:pPr>
    </w:p>
    <w:p w14:paraId="1C3C475B">
      <w:pPr>
        <w:pStyle w:val="28"/>
        <w:rPr>
          <w:color w:val="auto"/>
          <w:sz w:val="28"/>
          <w:szCs w:val="21"/>
          <w:highlight w:val="none"/>
        </w:rPr>
      </w:pPr>
    </w:p>
    <w:p w14:paraId="65A17DDC">
      <w:pPr>
        <w:rPr>
          <w:color w:val="auto"/>
          <w:sz w:val="21"/>
          <w:szCs w:val="21"/>
          <w:highlight w:val="none"/>
        </w:rPr>
      </w:pPr>
      <w:r>
        <w:rPr>
          <w:color w:val="auto"/>
          <w:sz w:val="21"/>
          <w:szCs w:val="21"/>
          <w:highlight w:val="none"/>
        </w:rPr>
        <w:t>附表三：劳动力计划表</w:t>
      </w:r>
    </w:p>
    <w:p w14:paraId="469EF2E4">
      <w:pPr>
        <w:ind w:firstLine="7245" w:firstLineChars="3450"/>
        <w:rPr>
          <w:color w:val="auto"/>
          <w:sz w:val="21"/>
          <w:szCs w:val="22"/>
          <w:highlight w:val="none"/>
        </w:rPr>
      </w:pPr>
      <w:r>
        <w:rPr>
          <w:color w:val="auto"/>
          <w:sz w:val="21"/>
          <w:szCs w:val="22"/>
          <w:highlight w:val="none"/>
        </w:rPr>
        <w:t xml:space="preserve">    单位：人</w:t>
      </w:r>
    </w:p>
    <w:tbl>
      <w:tblPr>
        <w:tblStyle w:val="2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2AD2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0955DB3">
            <w:pPr>
              <w:spacing w:line="360" w:lineRule="auto"/>
              <w:jc w:val="center"/>
              <w:rPr>
                <w:color w:val="auto"/>
                <w:sz w:val="21"/>
                <w:szCs w:val="22"/>
                <w:highlight w:val="none"/>
              </w:rPr>
            </w:pPr>
            <w:r>
              <w:rPr>
                <w:color w:val="auto"/>
                <w:sz w:val="21"/>
                <w:szCs w:val="22"/>
                <w:highlight w:val="none"/>
              </w:rPr>
              <w:t>工种</w:t>
            </w:r>
          </w:p>
        </w:tc>
        <w:tc>
          <w:tcPr>
            <w:tcW w:w="8506" w:type="dxa"/>
            <w:gridSpan w:val="7"/>
            <w:vAlign w:val="center"/>
          </w:tcPr>
          <w:p w14:paraId="23E9DC46">
            <w:pPr>
              <w:spacing w:line="360" w:lineRule="auto"/>
              <w:jc w:val="center"/>
              <w:rPr>
                <w:color w:val="auto"/>
                <w:sz w:val="21"/>
                <w:szCs w:val="22"/>
                <w:highlight w:val="none"/>
              </w:rPr>
            </w:pPr>
            <w:r>
              <w:rPr>
                <w:color w:val="auto"/>
                <w:sz w:val="21"/>
                <w:szCs w:val="22"/>
                <w:highlight w:val="none"/>
              </w:rPr>
              <w:t>按工程施工阶段投入劳动力情况</w:t>
            </w:r>
          </w:p>
        </w:tc>
      </w:tr>
      <w:tr w14:paraId="7F098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DE6C4CD">
            <w:pPr>
              <w:spacing w:line="360" w:lineRule="auto"/>
              <w:jc w:val="center"/>
              <w:rPr>
                <w:color w:val="auto"/>
                <w:sz w:val="21"/>
                <w:szCs w:val="22"/>
                <w:highlight w:val="none"/>
              </w:rPr>
            </w:pPr>
          </w:p>
        </w:tc>
        <w:tc>
          <w:tcPr>
            <w:tcW w:w="961" w:type="dxa"/>
            <w:vAlign w:val="center"/>
          </w:tcPr>
          <w:p w14:paraId="085FC1CD">
            <w:pPr>
              <w:spacing w:line="360" w:lineRule="auto"/>
              <w:jc w:val="center"/>
              <w:rPr>
                <w:color w:val="auto"/>
                <w:sz w:val="21"/>
                <w:szCs w:val="22"/>
                <w:highlight w:val="none"/>
              </w:rPr>
            </w:pPr>
          </w:p>
        </w:tc>
        <w:tc>
          <w:tcPr>
            <w:tcW w:w="1257" w:type="dxa"/>
            <w:vAlign w:val="center"/>
          </w:tcPr>
          <w:p w14:paraId="610D19C5">
            <w:pPr>
              <w:spacing w:line="360" w:lineRule="auto"/>
              <w:jc w:val="center"/>
              <w:rPr>
                <w:color w:val="auto"/>
                <w:sz w:val="21"/>
                <w:szCs w:val="22"/>
                <w:highlight w:val="none"/>
              </w:rPr>
            </w:pPr>
          </w:p>
        </w:tc>
        <w:tc>
          <w:tcPr>
            <w:tcW w:w="1258" w:type="dxa"/>
            <w:vAlign w:val="center"/>
          </w:tcPr>
          <w:p w14:paraId="4E1CBA08">
            <w:pPr>
              <w:spacing w:line="360" w:lineRule="auto"/>
              <w:jc w:val="center"/>
              <w:rPr>
                <w:color w:val="auto"/>
                <w:sz w:val="21"/>
                <w:szCs w:val="22"/>
                <w:highlight w:val="none"/>
              </w:rPr>
            </w:pPr>
          </w:p>
        </w:tc>
        <w:tc>
          <w:tcPr>
            <w:tcW w:w="1257" w:type="dxa"/>
            <w:vAlign w:val="center"/>
          </w:tcPr>
          <w:p w14:paraId="6AD55A11">
            <w:pPr>
              <w:spacing w:line="360" w:lineRule="auto"/>
              <w:jc w:val="center"/>
              <w:rPr>
                <w:color w:val="auto"/>
                <w:sz w:val="21"/>
                <w:szCs w:val="22"/>
                <w:highlight w:val="none"/>
              </w:rPr>
            </w:pPr>
          </w:p>
        </w:tc>
        <w:tc>
          <w:tcPr>
            <w:tcW w:w="1258" w:type="dxa"/>
            <w:vAlign w:val="center"/>
          </w:tcPr>
          <w:p w14:paraId="1D6BDEC0">
            <w:pPr>
              <w:spacing w:line="360" w:lineRule="auto"/>
              <w:jc w:val="center"/>
              <w:rPr>
                <w:color w:val="auto"/>
                <w:sz w:val="21"/>
                <w:szCs w:val="22"/>
                <w:highlight w:val="none"/>
              </w:rPr>
            </w:pPr>
          </w:p>
        </w:tc>
        <w:tc>
          <w:tcPr>
            <w:tcW w:w="1257" w:type="dxa"/>
            <w:vAlign w:val="center"/>
          </w:tcPr>
          <w:p w14:paraId="59CA301C">
            <w:pPr>
              <w:spacing w:line="360" w:lineRule="auto"/>
              <w:jc w:val="center"/>
              <w:rPr>
                <w:color w:val="auto"/>
                <w:sz w:val="21"/>
                <w:szCs w:val="22"/>
                <w:highlight w:val="none"/>
              </w:rPr>
            </w:pPr>
          </w:p>
        </w:tc>
        <w:tc>
          <w:tcPr>
            <w:tcW w:w="1258" w:type="dxa"/>
            <w:vAlign w:val="center"/>
          </w:tcPr>
          <w:p w14:paraId="13E4DE14">
            <w:pPr>
              <w:spacing w:line="360" w:lineRule="auto"/>
              <w:jc w:val="center"/>
              <w:rPr>
                <w:color w:val="auto"/>
                <w:sz w:val="21"/>
                <w:szCs w:val="22"/>
                <w:highlight w:val="none"/>
              </w:rPr>
            </w:pPr>
          </w:p>
        </w:tc>
      </w:tr>
      <w:tr w14:paraId="10D7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3" w:type="dxa"/>
            <w:vAlign w:val="center"/>
          </w:tcPr>
          <w:p w14:paraId="744DCD59">
            <w:pPr>
              <w:spacing w:line="360" w:lineRule="auto"/>
              <w:jc w:val="center"/>
              <w:rPr>
                <w:color w:val="auto"/>
                <w:sz w:val="21"/>
                <w:szCs w:val="22"/>
                <w:highlight w:val="none"/>
              </w:rPr>
            </w:pPr>
          </w:p>
        </w:tc>
        <w:tc>
          <w:tcPr>
            <w:tcW w:w="961" w:type="dxa"/>
            <w:vAlign w:val="center"/>
          </w:tcPr>
          <w:p w14:paraId="792F557D">
            <w:pPr>
              <w:spacing w:line="360" w:lineRule="auto"/>
              <w:jc w:val="center"/>
              <w:rPr>
                <w:color w:val="auto"/>
                <w:sz w:val="21"/>
                <w:szCs w:val="22"/>
                <w:highlight w:val="none"/>
              </w:rPr>
            </w:pPr>
          </w:p>
        </w:tc>
        <w:tc>
          <w:tcPr>
            <w:tcW w:w="1257" w:type="dxa"/>
            <w:vAlign w:val="center"/>
          </w:tcPr>
          <w:p w14:paraId="4A178C00">
            <w:pPr>
              <w:spacing w:line="360" w:lineRule="auto"/>
              <w:jc w:val="center"/>
              <w:rPr>
                <w:color w:val="auto"/>
                <w:sz w:val="21"/>
                <w:szCs w:val="22"/>
                <w:highlight w:val="none"/>
              </w:rPr>
            </w:pPr>
          </w:p>
        </w:tc>
        <w:tc>
          <w:tcPr>
            <w:tcW w:w="1258" w:type="dxa"/>
            <w:vAlign w:val="center"/>
          </w:tcPr>
          <w:p w14:paraId="306CABFC">
            <w:pPr>
              <w:spacing w:line="360" w:lineRule="auto"/>
              <w:jc w:val="center"/>
              <w:rPr>
                <w:color w:val="auto"/>
                <w:sz w:val="21"/>
                <w:szCs w:val="22"/>
                <w:highlight w:val="none"/>
              </w:rPr>
            </w:pPr>
          </w:p>
        </w:tc>
        <w:tc>
          <w:tcPr>
            <w:tcW w:w="1257" w:type="dxa"/>
            <w:vAlign w:val="center"/>
          </w:tcPr>
          <w:p w14:paraId="48F0441E">
            <w:pPr>
              <w:spacing w:line="360" w:lineRule="auto"/>
              <w:jc w:val="center"/>
              <w:rPr>
                <w:color w:val="auto"/>
                <w:sz w:val="21"/>
                <w:szCs w:val="22"/>
                <w:highlight w:val="none"/>
              </w:rPr>
            </w:pPr>
          </w:p>
        </w:tc>
        <w:tc>
          <w:tcPr>
            <w:tcW w:w="1258" w:type="dxa"/>
            <w:vAlign w:val="center"/>
          </w:tcPr>
          <w:p w14:paraId="25EA2717">
            <w:pPr>
              <w:spacing w:line="360" w:lineRule="auto"/>
              <w:jc w:val="center"/>
              <w:rPr>
                <w:color w:val="auto"/>
                <w:sz w:val="21"/>
                <w:szCs w:val="22"/>
                <w:highlight w:val="none"/>
              </w:rPr>
            </w:pPr>
          </w:p>
        </w:tc>
        <w:tc>
          <w:tcPr>
            <w:tcW w:w="1257" w:type="dxa"/>
            <w:vAlign w:val="center"/>
          </w:tcPr>
          <w:p w14:paraId="7D0DD790">
            <w:pPr>
              <w:spacing w:line="360" w:lineRule="auto"/>
              <w:jc w:val="center"/>
              <w:rPr>
                <w:color w:val="auto"/>
                <w:sz w:val="21"/>
                <w:szCs w:val="22"/>
                <w:highlight w:val="none"/>
              </w:rPr>
            </w:pPr>
          </w:p>
        </w:tc>
        <w:tc>
          <w:tcPr>
            <w:tcW w:w="1258" w:type="dxa"/>
            <w:vAlign w:val="center"/>
          </w:tcPr>
          <w:p w14:paraId="5910D235">
            <w:pPr>
              <w:spacing w:line="360" w:lineRule="auto"/>
              <w:jc w:val="center"/>
              <w:rPr>
                <w:color w:val="auto"/>
                <w:sz w:val="21"/>
                <w:szCs w:val="22"/>
                <w:highlight w:val="none"/>
              </w:rPr>
            </w:pPr>
          </w:p>
        </w:tc>
      </w:tr>
      <w:tr w14:paraId="4610C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B5377FE">
            <w:pPr>
              <w:spacing w:line="360" w:lineRule="auto"/>
              <w:jc w:val="center"/>
              <w:rPr>
                <w:color w:val="auto"/>
                <w:sz w:val="21"/>
                <w:szCs w:val="22"/>
                <w:highlight w:val="none"/>
              </w:rPr>
            </w:pPr>
          </w:p>
        </w:tc>
        <w:tc>
          <w:tcPr>
            <w:tcW w:w="961" w:type="dxa"/>
            <w:vAlign w:val="center"/>
          </w:tcPr>
          <w:p w14:paraId="2C92CE0B">
            <w:pPr>
              <w:spacing w:line="360" w:lineRule="auto"/>
              <w:jc w:val="center"/>
              <w:rPr>
                <w:color w:val="auto"/>
                <w:sz w:val="21"/>
                <w:szCs w:val="22"/>
                <w:highlight w:val="none"/>
              </w:rPr>
            </w:pPr>
          </w:p>
        </w:tc>
        <w:tc>
          <w:tcPr>
            <w:tcW w:w="1257" w:type="dxa"/>
            <w:vAlign w:val="center"/>
          </w:tcPr>
          <w:p w14:paraId="3A3EBF0E">
            <w:pPr>
              <w:spacing w:line="360" w:lineRule="auto"/>
              <w:jc w:val="center"/>
              <w:rPr>
                <w:color w:val="auto"/>
                <w:sz w:val="21"/>
                <w:szCs w:val="22"/>
                <w:highlight w:val="none"/>
              </w:rPr>
            </w:pPr>
          </w:p>
        </w:tc>
        <w:tc>
          <w:tcPr>
            <w:tcW w:w="1258" w:type="dxa"/>
            <w:vAlign w:val="center"/>
          </w:tcPr>
          <w:p w14:paraId="518A919F">
            <w:pPr>
              <w:spacing w:line="360" w:lineRule="auto"/>
              <w:jc w:val="center"/>
              <w:rPr>
                <w:color w:val="auto"/>
                <w:sz w:val="21"/>
                <w:szCs w:val="22"/>
                <w:highlight w:val="none"/>
              </w:rPr>
            </w:pPr>
          </w:p>
        </w:tc>
        <w:tc>
          <w:tcPr>
            <w:tcW w:w="1257" w:type="dxa"/>
            <w:vAlign w:val="center"/>
          </w:tcPr>
          <w:p w14:paraId="6D5BF900">
            <w:pPr>
              <w:spacing w:line="360" w:lineRule="auto"/>
              <w:jc w:val="center"/>
              <w:rPr>
                <w:color w:val="auto"/>
                <w:sz w:val="21"/>
                <w:szCs w:val="22"/>
                <w:highlight w:val="none"/>
              </w:rPr>
            </w:pPr>
          </w:p>
        </w:tc>
        <w:tc>
          <w:tcPr>
            <w:tcW w:w="1258" w:type="dxa"/>
            <w:vAlign w:val="center"/>
          </w:tcPr>
          <w:p w14:paraId="39CF5017">
            <w:pPr>
              <w:spacing w:line="360" w:lineRule="auto"/>
              <w:jc w:val="center"/>
              <w:rPr>
                <w:color w:val="auto"/>
                <w:sz w:val="21"/>
                <w:szCs w:val="22"/>
                <w:highlight w:val="none"/>
              </w:rPr>
            </w:pPr>
          </w:p>
        </w:tc>
        <w:tc>
          <w:tcPr>
            <w:tcW w:w="1257" w:type="dxa"/>
            <w:vAlign w:val="center"/>
          </w:tcPr>
          <w:p w14:paraId="1C119162">
            <w:pPr>
              <w:spacing w:line="360" w:lineRule="auto"/>
              <w:jc w:val="center"/>
              <w:rPr>
                <w:color w:val="auto"/>
                <w:sz w:val="21"/>
                <w:szCs w:val="22"/>
                <w:highlight w:val="none"/>
              </w:rPr>
            </w:pPr>
          </w:p>
        </w:tc>
        <w:tc>
          <w:tcPr>
            <w:tcW w:w="1258" w:type="dxa"/>
            <w:vAlign w:val="center"/>
          </w:tcPr>
          <w:p w14:paraId="1C82C9C2">
            <w:pPr>
              <w:spacing w:line="360" w:lineRule="auto"/>
              <w:jc w:val="center"/>
              <w:rPr>
                <w:color w:val="auto"/>
                <w:sz w:val="21"/>
                <w:szCs w:val="22"/>
                <w:highlight w:val="none"/>
              </w:rPr>
            </w:pPr>
          </w:p>
        </w:tc>
      </w:tr>
      <w:tr w14:paraId="45E2E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4A40AED">
            <w:pPr>
              <w:spacing w:line="360" w:lineRule="auto"/>
              <w:jc w:val="center"/>
              <w:rPr>
                <w:color w:val="auto"/>
                <w:sz w:val="21"/>
                <w:szCs w:val="22"/>
                <w:highlight w:val="none"/>
              </w:rPr>
            </w:pPr>
          </w:p>
        </w:tc>
        <w:tc>
          <w:tcPr>
            <w:tcW w:w="961" w:type="dxa"/>
            <w:vAlign w:val="center"/>
          </w:tcPr>
          <w:p w14:paraId="5019AEBD">
            <w:pPr>
              <w:spacing w:line="360" w:lineRule="auto"/>
              <w:jc w:val="center"/>
              <w:rPr>
                <w:color w:val="auto"/>
                <w:sz w:val="21"/>
                <w:szCs w:val="22"/>
                <w:highlight w:val="none"/>
              </w:rPr>
            </w:pPr>
          </w:p>
        </w:tc>
        <w:tc>
          <w:tcPr>
            <w:tcW w:w="1257" w:type="dxa"/>
            <w:vAlign w:val="center"/>
          </w:tcPr>
          <w:p w14:paraId="29707702">
            <w:pPr>
              <w:spacing w:line="360" w:lineRule="auto"/>
              <w:jc w:val="center"/>
              <w:rPr>
                <w:color w:val="auto"/>
                <w:sz w:val="21"/>
                <w:szCs w:val="22"/>
                <w:highlight w:val="none"/>
              </w:rPr>
            </w:pPr>
          </w:p>
        </w:tc>
        <w:tc>
          <w:tcPr>
            <w:tcW w:w="1258" w:type="dxa"/>
            <w:vAlign w:val="center"/>
          </w:tcPr>
          <w:p w14:paraId="153B575C">
            <w:pPr>
              <w:spacing w:line="360" w:lineRule="auto"/>
              <w:jc w:val="center"/>
              <w:rPr>
                <w:color w:val="auto"/>
                <w:sz w:val="21"/>
                <w:szCs w:val="22"/>
                <w:highlight w:val="none"/>
              </w:rPr>
            </w:pPr>
          </w:p>
        </w:tc>
        <w:tc>
          <w:tcPr>
            <w:tcW w:w="1257" w:type="dxa"/>
            <w:vAlign w:val="center"/>
          </w:tcPr>
          <w:p w14:paraId="16468DDC">
            <w:pPr>
              <w:spacing w:line="360" w:lineRule="auto"/>
              <w:jc w:val="center"/>
              <w:rPr>
                <w:color w:val="auto"/>
                <w:sz w:val="21"/>
                <w:szCs w:val="22"/>
                <w:highlight w:val="none"/>
              </w:rPr>
            </w:pPr>
          </w:p>
        </w:tc>
        <w:tc>
          <w:tcPr>
            <w:tcW w:w="1258" w:type="dxa"/>
            <w:vAlign w:val="center"/>
          </w:tcPr>
          <w:p w14:paraId="66465DCB">
            <w:pPr>
              <w:spacing w:line="360" w:lineRule="auto"/>
              <w:jc w:val="center"/>
              <w:rPr>
                <w:color w:val="auto"/>
                <w:sz w:val="21"/>
                <w:szCs w:val="22"/>
                <w:highlight w:val="none"/>
              </w:rPr>
            </w:pPr>
          </w:p>
        </w:tc>
        <w:tc>
          <w:tcPr>
            <w:tcW w:w="1257" w:type="dxa"/>
            <w:vAlign w:val="center"/>
          </w:tcPr>
          <w:p w14:paraId="410B2E02">
            <w:pPr>
              <w:spacing w:line="360" w:lineRule="auto"/>
              <w:jc w:val="center"/>
              <w:rPr>
                <w:color w:val="auto"/>
                <w:sz w:val="21"/>
                <w:szCs w:val="22"/>
                <w:highlight w:val="none"/>
              </w:rPr>
            </w:pPr>
          </w:p>
        </w:tc>
        <w:tc>
          <w:tcPr>
            <w:tcW w:w="1258" w:type="dxa"/>
            <w:vAlign w:val="center"/>
          </w:tcPr>
          <w:p w14:paraId="4C5135AE">
            <w:pPr>
              <w:spacing w:line="360" w:lineRule="auto"/>
              <w:jc w:val="center"/>
              <w:rPr>
                <w:color w:val="auto"/>
                <w:sz w:val="21"/>
                <w:szCs w:val="22"/>
                <w:highlight w:val="none"/>
              </w:rPr>
            </w:pPr>
          </w:p>
        </w:tc>
      </w:tr>
      <w:tr w14:paraId="0F12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B3F0E7E">
            <w:pPr>
              <w:spacing w:line="360" w:lineRule="auto"/>
              <w:jc w:val="center"/>
              <w:rPr>
                <w:color w:val="auto"/>
                <w:sz w:val="21"/>
                <w:szCs w:val="22"/>
                <w:highlight w:val="none"/>
              </w:rPr>
            </w:pPr>
          </w:p>
        </w:tc>
        <w:tc>
          <w:tcPr>
            <w:tcW w:w="961" w:type="dxa"/>
            <w:vAlign w:val="center"/>
          </w:tcPr>
          <w:p w14:paraId="6395F75E">
            <w:pPr>
              <w:spacing w:line="360" w:lineRule="auto"/>
              <w:jc w:val="center"/>
              <w:rPr>
                <w:color w:val="auto"/>
                <w:sz w:val="21"/>
                <w:szCs w:val="22"/>
                <w:highlight w:val="none"/>
              </w:rPr>
            </w:pPr>
          </w:p>
        </w:tc>
        <w:tc>
          <w:tcPr>
            <w:tcW w:w="1257" w:type="dxa"/>
            <w:vAlign w:val="center"/>
          </w:tcPr>
          <w:p w14:paraId="0B6BDECF">
            <w:pPr>
              <w:spacing w:line="360" w:lineRule="auto"/>
              <w:jc w:val="center"/>
              <w:rPr>
                <w:color w:val="auto"/>
                <w:sz w:val="21"/>
                <w:szCs w:val="22"/>
                <w:highlight w:val="none"/>
              </w:rPr>
            </w:pPr>
          </w:p>
        </w:tc>
        <w:tc>
          <w:tcPr>
            <w:tcW w:w="1258" w:type="dxa"/>
            <w:vAlign w:val="center"/>
          </w:tcPr>
          <w:p w14:paraId="00056503">
            <w:pPr>
              <w:spacing w:line="360" w:lineRule="auto"/>
              <w:jc w:val="center"/>
              <w:rPr>
                <w:color w:val="auto"/>
                <w:sz w:val="21"/>
                <w:szCs w:val="22"/>
                <w:highlight w:val="none"/>
              </w:rPr>
            </w:pPr>
          </w:p>
        </w:tc>
        <w:tc>
          <w:tcPr>
            <w:tcW w:w="1257" w:type="dxa"/>
            <w:vAlign w:val="center"/>
          </w:tcPr>
          <w:p w14:paraId="0B76235A">
            <w:pPr>
              <w:spacing w:line="360" w:lineRule="auto"/>
              <w:jc w:val="center"/>
              <w:rPr>
                <w:color w:val="auto"/>
                <w:sz w:val="21"/>
                <w:szCs w:val="22"/>
                <w:highlight w:val="none"/>
              </w:rPr>
            </w:pPr>
          </w:p>
        </w:tc>
        <w:tc>
          <w:tcPr>
            <w:tcW w:w="1258" w:type="dxa"/>
            <w:vAlign w:val="center"/>
          </w:tcPr>
          <w:p w14:paraId="72BEFBF5">
            <w:pPr>
              <w:spacing w:line="360" w:lineRule="auto"/>
              <w:jc w:val="center"/>
              <w:rPr>
                <w:color w:val="auto"/>
                <w:sz w:val="21"/>
                <w:szCs w:val="22"/>
                <w:highlight w:val="none"/>
              </w:rPr>
            </w:pPr>
          </w:p>
        </w:tc>
        <w:tc>
          <w:tcPr>
            <w:tcW w:w="1257" w:type="dxa"/>
            <w:vAlign w:val="center"/>
          </w:tcPr>
          <w:p w14:paraId="3F055C8B">
            <w:pPr>
              <w:spacing w:line="360" w:lineRule="auto"/>
              <w:jc w:val="center"/>
              <w:rPr>
                <w:color w:val="auto"/>
                <w:sz w:val="21"/>
                <w:szCs w:val="22"/>
                <w:highlight w:val="none"/>
              </w:rPr>
            </w:pPr>
          </w:p>
        </w:tc>
        <w:tc>
          <w:tcPr>
            <w:tcW w:w="1258" w:type="dxa"/>
            <w:vAlign w:val="center"/>
          </w:tcPr>
          <w:p w14:paraId="75568943">
            <w:pPr>
              <w:spacing w:line="360" w:lineRule="auto"/>
              <w:jc w:val="center"/>
              <w:rPr>
                <w:color w:val="auto"/>
                <w:sz w:val="21"/>
                <w:szCs w:val="22"/>
                <w:highlight w:val="none"/>
              </w:rPr>
            </w:pPr>
          </w:p>
        </w:tc>
      </w:tr>
    </w:tbl>
    <w:p w14:paraId="1A7B213D">
      <w:pPr>
        <w:rPr>
          <w:color w:val="auto"/>
          <w:sz w:val="21"/>
          <w:szCs w:val="21"/>
          <w:highlight w:val="none"/>
        </w:rPr>
      </w:pPr>
    </w:p>
    <w:p w14:paraId="1B51F2AB">
      <w:pPr>
        <w:rPr>
          <w:b/>
          <w:color w:val="auto"/>
          <w:sz w:val="21"/>
          <w:szCs w:val="21"/>
          <w:highlight w:val="none"/>
        </w:rPr>
      </w:pPr>
    </w:p>
    <w:p w14:paraId="0D87B79D">
      <w:pPr>
        <w:rPr>
          <w:color w:val="auto"/>
          <w:sz w:val="21"/>
          <w:szCs w:val="21"/>
          <w:highlight w:val="none"/>
        </w:rPr>
      </w:pPr>
      <w:r>
        <w:rPr>
          <w:color w:val="auto"/>
          <w:sz w:val="21"/>
          <w:szCs w:val="21"/>
          <w:highlight w:val="none"/>
        </w:rPr>
        <w:t>附表四：计划开、竣工日期和施工进度</w:t>
      </w:r>
      <w:r>
        <w:rPr>
          <w:rFonts w:hint="eastAsia"/>
          <w:color w:val="auto"/>
          <w:sz w:val="21"/>
          <w:szCs w:val="21"/>
          <w:highlight w:val="none"/>
        </w:rPr>
        <w:t>计划（网络图或横道图）</w:t>
      </w:r>
    </w:p>
    <w:p w14:paraId="79CFBE73">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1</w:t>
      </w:r>
      <w:r>
        <w:rPr>
          <w:rFonts w:hint="eastAsia"/>
          <w:color w:val="auto"/>
          <w:sz w:val="21"/>
          <w:szCs w:val="21"/>
          <w:highlight w:val="none"/>
          <w:lang w:eastAsia="zh-CN"/>
        </w:rPr>
        <w:t>）</w:t>
      </w:r>
      <w:r>
        <w:rPr>
          <w:rFonts w:hint="eastAsia"/>
          <w:color w:val="auto"/>
          <w:sz w:val="21"/>
          <w:szCs w:val="21"/>
          <w:highlight w:val="none"/>
        </w:rPr>
        <w:t>磋商单位</w:t>
      </w:r>
      <w:r>
        <w:rPr>
          <w:color w:val="auto"/>
          <w:sz w:val="21"/>
          <w:szCs w:val="21"/>
          <w:highlight w:val="none"/>
        </w:rPr>
        <w:t>应提交施工进度</w:t>
      </w:r>
      <w:r>
        <w:rPr>
          <w:rFonts w:hint="eastAsia"/>
          <w:color w:val="auto"/>
          <w:sz w:val="21"/>
          <w:szCs w:val="21"/>
          <w:highlight w:val="none"/>
        </w:rPr>
        <w:t>计划</w:t>
      </w:r>
      <w:r>
        <w:rPr>
          <w:color w:val="auto"/>
          <w:sz w:val="21"/>
          <w:szCs w:val="21"/>
          <w:highlight w:val="none"/>
        </w:rPr>
        <w:t>，说明按招标文件要求的工期进行施工的各个关键日期。中标的</w:t>
      </w:r>
      <w:r>
        <w:rPr>
          <w:rFonts w:hint="eastAsia"/>
          <w:color w:val="auto"/>
          <w:sz w:val="21"/>
          <w:szCs w:val="21"/>
          <w:highlight w:val="none"/>
        </w:rPr>
        <w:t>磋商单位</w:t>
      </w:r>
      <w:r>
        <w:rPr>
          <w:color w:val="auto"/>
          <w:sz w:val="21"/>
          <w:szCs w:val="21"/>
          <w:highlight w:val="none"/>
        </w:rPr>
        <w:t>还应按合同条件有关条款的要求提交详细的施工进度计划。</w:t>
      </w:r>
    </w:p>
    <w:p w14:paraId="20FE5308">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2</w:t>
      </w:r>
      <w:r>
        <w:rPr>
          <w:rFonts w:hint="eastAsia"/>
          <w:color w:val="auto"/>
          <w:sz w:val="21"/>
          <w:szCs w:val="21"/>
          <w:highlight w:val="none"/>
          <w:lang w:eastAsia="zh-CN"/>
        </w:rPr>
        <w:t>）</w:t>
      </w:r>
      <w:r>
        <w:rPr>
          <w:color w:val="auto"/>
          <w:sz w:val="21"/>
          <w:szCs w:val="21"/>
          <w:highlight w:val="none"/>
        </w:rPr>
        <w:t>施工进度</w:t>
      </w:r>
      <w:r>
        <w:rPr>
          <w:rFonts w:hint="eastAsia"/>
          <w:color w:val="auto"/>
          <w:sz w:val="21"/>
          <w:szCs w:val="21"/>
          <w:highlight w:val="none"/>
        </w:rPr>
        <w:t>计划</w:t>
      </w:r>
      <w:r>
        <w:rPr>
          <w:color w:val="auto"/>
          <w:sz w:val="21"/>
          <w:szCs w:val="21"/>
          <w:highlight w:val="none"/>
        </w:rPr>
        <w:t>可采用网络图（或横道图）表示，说明计划开工日期和各分项工程各阶段的完工日期。</w:t>
      </w:r>
    </w:p>
    <w:p w14:paraId="62DEE971">
      <w:pPr>
        <w:spacing w:line="460" w:lineRule="exact"/>
        <w:ind w:left="-6" w:firstLine="420"/>
        <w:rPr>
          <w:color w:val="auto"/>
          <w:sz w:val="21"/>
          <w:szCs w:val="21"/>
          <w:highlight w:val="none"/>
        </w:rPr>
      </w:pPr>
      <w:r>
        <w:rPr>
          <w:rFonts w:hint="eastAsia"/>
          <w:color w:val="auto"/>
          <w:sz w:val="21"/>
          <w:szCs w:val="21"/>
          <w:highlight w:val="none"/>
          <w:lang w:eastAsia="zh-CN"/>
        </w:rPr>
        <w:t>（</w:t>
      </w:r>
      <w:r>
        <w:rPr>
          <w:rFonts w:hint="eastAsia"/>
          <w:color w:val="auto"/>
          <w:sz w:val="21"/>
          <w:szCs w:val="21"/>
          <w:highlight w:val="none"/>
          <w:lang w:val="en-US" w:eastAsia="zh-CN"/>
        </w:rPr>
        <w:t>3</w:t>
      </w:r>
      <w:r>
        <w:rPr>
          <w:rFonts w:hint="eastAsia"/>
          <w:color w:val="auto"/>
          <w:sz w:val="21"/>
          <w:szCs w:val="21"/>
          <w:highlight w:val="none"/>
          <w:lang w:eastAsia="zh-CN"/>
        </w:rPr>
        <w:t>）</w:t>
      </w:r>
      <w:r>
        <w:rPr>
          <w:color w:val="auto"/>
          <w:sz w:val="21"/>
          <w:szCs w:val="21"/>
          <w:highlight w:val="none"/>
        </w:rPr>
        <w:t>施工进度计划应与施工组织设计相适应。</w:t>
      </w:r>
    </w:p>
    <w:p w14:paraId="6DEC1304">
      <w:pPr>
        <w:rPr>
          <w:color w:val="auto"/>
          <w:sz w:val="21"/>
          <w:szCs w:val="21"/>
          <w:highlight w:val="none"/>
        </w:rPr>
      </w:pPr>
    </w:p>
    <w:p w14:paraId="0CCB29C2">
      <w:pPr>
        <w:rPr>
          <w:color w:val="auto"/>
          <w:sz w:val="21"/>
          <w:szCs w:val="21"/>
          <w:highlight w:val="none"/>
        </w:rPr>
      </w:pPr>
      <w:r>
        <w:rPr>
          <w:color w:val="auto"/>
          <w:sz w:val="21"/>
          <w:szCs w:val="21"/>
          <w:highlight w:val="none"/>
        </w:rPr>
        <w:t>附表五：施工总平面图</w:t>
      </w:r>
    </w:p>
    <w:p w14:paraId="6280EF4C">
      <w:pPr>
        <w:spacing w:line="460" w:lineRule="exact"/>
        <w:ind w:firstLine="420" w:firstLineChars="200"/>
        <w:rPr>
          <w:color w:val="auto"/>
          <w:sz w:val="21"/>
          <w:szCs w:val="22"/>
          <w:highlight w:val="none"/>
        </w:rPr>
      </w:pPr>
      <w:r>
        <w:rPr>
          <w:rFonts w:hint="eastAsia"/>
          <w:color w:val="auto"/>
          <w:sz w:val="21"/>
          <w:szCs w:val="22"/>
          <w:highlight w:val="none"/>
        </w:rPr>
        <w:t>磋商单位</w:t>
      </w:r>
      <w:r>
        <w:rPr>
          <w:color w:val="auto"/>
          <w:sz w:val="21"/>
          <w:szCs w:val="22"/>
          <w:highlight w:val="none"/>
        </w:rPr>
        <w:t>应递交一份施工总平面图，绘出现场临时设施布置图表并附文字说明，说明临时设施、加工车间、现场办公、设备及仓储、供电、供水、卫生、生活、道路、消防等设施的情况和布置。</w:t>
      </w:r>
    </w:p>
    <w:p w14:paraId="71E5AE7F">
      <w:pPr>
        <w:rPr>
          <w:color w:val="auto"/>
          <w:sz w:val="21"/>
          <w:szCs w:val="21"/>
          <w:highlight w:val="none"/>
        </w:rPr>
      </w:pPr>
    </w:p>
    <w:p w14:paraId="53B98B9D">
      <w:pPr>
        <w:rPr>
          <w:color w:val="auto"/>
          <w:sz w:val="21"/>
          <w:szCs w:val="21"/>
          <w:highlight w:val="none"/>
        </w:rPr>
      </w:pPr>
    </w:p>
    <w:p w14:paraId="02B940C1">
      <w:pPr>
        <w:rPr>
          <w:color w:val="auto"/>
          <w:sz w:val="21"/>
          <w:szCs w:val="21"/>
          <w:highlight w:val="none"/>
        </w:rPr>
      </w:pPr>
      <w:r>
        <w:rPr>
          <w:color w:val="auto"/>
          <w:sz w:val="21"/>
          <w:szCs w:val="21"/>
          <w:highlight w:val="none"/>
        </w:rPr>
        <w:t>附表六：临时用地表</w:t>
      </w:r>
    </w:p>
    <w:tbl>
      <w:tblPr>
        <w:tblStyle w:val="2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6EA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4C5F0B78">
            <w:pPr>
              <w:jc w:val="center"/>
              <w:rPr>
                <w:color w:val="auto"/>
                <w:sz w:val="21"/>
                <w:szCs w:val="21"/>
                <w:highlight w:val="none"/>
              </w:rPr>
            </w:pPr>
            <w:r>
              <w:rPr>
                <w:color w:val="auto"/>
                <w:sz w:val="21"/>
                <w:szCs w:val="22"/>
                <w:highlight w:val="none"/>
              </w:rPr>
              <w:t>用途</w:t>
            </w:r>
          </w:p>
        </w:tc>
        <w:tc>
          <w:tcPr>
            <w:tcW w:w="2357" w:type="dxa"/>
            <w:vAlign w:val="center"/>
          </w:tcPr>
          <w:p w14:paraId="30FD09CE">
            <w:pPr>
              <w:jc w:val="center"/>
              <w:rPr>
                <w:color w:val="auto"/>
                <w:sz w:val="21"/>
                <w:szCs w:val="21"/>
                <w:highlight w:val="none"/>
              </w:rPr>
            </w:pPr>
            <w:r>
              <w:rPr>
                <w:color w:val="auto"/>
                <w:sz w:val="21"/>
                <w:szCs w:val="22"/>
                <w:highlight w:val="none"/>
              </w:rPr>
              <w:t>面积（平方米）</w:t>
            </w:r>
          </w:p>
        </w:tc>
        <w:tc>
          <w:tcPr>
            <w:tcW w:w="2356" w:type="dxa"/>
            <w:vAlign w:val="center"/>
          </w:tcPr>
          <w:p w14:paraId="48698D48">
            <w:pPr>
              <w:jc w:val="center"/>
              <w:rPr>
                <w:color w:val="auto"/>
                <w:sz w:val="21"/>
                <w:szCs w:val="21"/>
                <w:highlight w:val="none"/>
              </w:rPr>
            </w:pPr>
            <w:r>
              <w:rPr>
                <w:color w:val="auto"/>
                <w:sz w:val="21"/>
                <w:szCs w:val="22"/>
                <w:highlight w:val="none"/>
              </w:rPr>
              <w:t>位置</w:t>
            </w:r>
          </w:p>
        </w:tc>
        <w:tc>
          <w:tcPr>
            <w:tcW w:w="2357" w:type="dxa"/>
            <w:vAlign w:val="center"/>
          </w:tcPr>
          <w:p w14:paraId="523A5971">
            <w:pPr>
              <w:jc w:val="center"/>
              <w:rPr>
                <w:color w:val="auto"/>
                <w:sz w:val="21"/>
                <w:szCs w:val="21"/>
                <w:highlight w:val="none"/>
              </w:rPr>
            </w:pPr>
            <w:r>
              <w:rPr>
                <w:color w:val="auto"/>
                <w:sz w:val="21"/>
                <w:szCs w:val="22"/>
                <w:highlight w:val="none"/>
              </w:rPr>
              <w:t>需用时间</w:t>
            </w:r>
          </w:p>
        </w:tc>
      </w:tr>
      <w:tr w14:paraId="0792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1A62786">
            <w:pPr>
              <w:rPr>
                <w:color w:val="auto"/>
                <w:sz w:val="21"/>
                <w:szCs w:val="21"/>
                <w:highlight w:val="none"/>
              </w:rPr>
            </w:pPr>
          </w:p>
        </w:tc>
        <w:tc>
          <w:tcPr>
            <w:tcW w:w="2357" w:type="dxa"/>
          </w:tcPr>
          <w:p w14:paraId="1619F233">
            <w:pPr>
              <w:rPr>
                <w:color w:val="auto"/>
                <w:sz w:val="21"/>
                <w:szCs w:val="21"/>
                <w:highlight w:val="none"/>
              </w:rPr>
            </w:pPr>
          </w:p>
        </w:tc>
        <w:tc>
          <w:tcPr>
            <w:tcW w:w="2356" w:type="dxa"/>
          </w:tcPr>
          <w:p w14:paraId="0D7AD121">
            <w:pPr>
              <w:rPr>
                <w:color w:val="auto"/>
                <w:sz w:val="21"/>
                <w:szCs w:val="21"/>
                <w:highlight w:val="none"/>
              </w:rPr>
            </w:pPr>
          </w:p>
        </w:tc>
        <w:tc>
          <w:tcPr>
            <w:tcW w:w="2357" w:type="dxa"/>
          </w:tcPr>
          <w:p w14:paraId="54EAB88F">
            <w:pPr>
              <w:rPr>
                <w:color w:val="auto"/>
                <w:sz w:val="21"/>
                <w:szCs w:val="21"/>
                <w:highlight w:val="none"/>
              </w:rPr>
            </w:pPr>
          </w:p>
        </w:tc>
      </w:tr>
      <w:tr w14:paraId="002D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786047BE">
            <w:pPr>
              <w:rPr>
                <w:color w:val="auto"/>
                <w:sz w:val="21"/>
                <w:szCs w:val="21"/>
                <w:highlight w:val="none"/>
              </w:rPr>
            </w:pPr>
          </w:p>
        </w:tc>
        <w:tc>
          <w:tcPr>
            <w:tcW w:w="2357" w:type="dxa"/>
          </w:tcPr>
          <w:p w14:paraId="49C56FC3">
            <w:pPr>
              <w:rPr>
                <w:color w:val="auto"/>
                <w:sz w:val="21"/>
                <w:szCs w:val="21"/>
                <w:highlight w:val="none"/>
              </w:rPr>
            </w:pPr>
          </w:p>
        </w:tc>
        <w:tc>
          <w:tcPr>
            <w:tcW w:w="2356" w:type="dxa"/>
          </w:tcPr>
          <w:p w14:paraId="12E7A108">
            <w:pPr>
              <w:rPr>
                <w:color w:val="auto"/>
                <w:sz w:val="21"/>
                <w:szCs w:val="21"/>
                <w:highlight w:val="none"/>
              </w:rPr>
            </w:pPr>
          </w:p>
        </w:tc>
        <w:tc>
          <w:tcPr>
            <w:tcW w:w="2357" w:type="dxa"/>
          </w:tcPr>
          <w:p w14:paraId="769AC1F3">
            <w:pPr>
              <w:rPr>
                <w:color w:val="auto"/>
                <w:sz w:val="21"/>
                <w:szCs w:val="21"/>
                <w:highlight w:val="none"/>
              </w:rPr>
            </w:pPr>
          </w:p>
        </w:tc>
      </w:tr>
      <w:tr w14:paraId="0E81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05BAE8F7">
            <w:pPr>
              <w:rPr>
                <w:color w:val="auto"/>
                <w:sz w:val="21"/>
                <w:szCs w:val="21"/>
                <w:highlight w:val="none"/>
              </w:rPr>
            </w:pPr>
          </w:p>
        </w:tc>
        <w:tc>
          <w:tcPr>
            <w:tcW w:w="2357" w:type="dxa"/>
          </w:tcPr>
          <w:p w14:paraId="563F7534">
            <w:pPr>
              <w:rPr>
                <w:color w:val="auto"/>
                <w:sz w:val="21"/>
                <w:szCs w:val="21"/>
                <w:highlight w:val="none"/>
              </w:rPr>
            </w:pPr>
          </w:p>
        </w:tc>
        <w:tc>
          <w:tcPr>
            <w:tcW w:w="2356" w:type="dxa"/>
          </w:tcPr>
          <w:p w14:paraId="0DCD65C5">
            <w:pPr>
              <w:rPr>
                <w:color w:val="auto"/>
                <w:sz w:val="21"/>
                <w:szCs w:val="21"/>
                <w:highlight w:val="none"/>
              </w:rPr>
            </w:pPr>
          </w:p>
        </w:tc>
        <w:tc>
          <w:tcPr>
            <w:tcW w:w="2357" w:type="dxa"/>
          </w:tcPr>
          <w:p w14:paraId="4641E090">
            <w:pPr>
              <w:rPr>
                <w:color w:val="auto"/>
                <w:sz w:val="21"/>
                <w:szCs w:val="21"/>
                <w:highlight w:val="none"/>
              </w:rPr>
            </w:pPr>
          </w:p>
        </w:tc>
      </w:tr>
      <w:tr w14:paraId="4A989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0C5C1510">
            <w:pPr>
              <w:rPr>
                <w:color w:val="auto"/>
                <w:sz w:val="21"/>
                <w:szCs w:val="21"/>
                <w:highlight w:val="none"/>
              </w:rPr>
            </w:pPr>
          </w:p>
        </w:tc>
        <w:tc>
          <w:tcPr>
            <w:tcW w:w="2357" w:type="dxa"/>
          </w:tcPr>
          <w:p w14:paraId="5EC4152E">
            <w:pPr>
              <w:rPr>
                <w:color w:val="auto"/>
                <w:sz w:val="21"/>
                <w:szCs w:val="21"/>
                <w:highlight w:val="none"/>
              </w:rPr>
            </w:pPr>
          </w:p>
        </w:tc>
        <w:tc>
          <w:tcPr>
            <w:tcW w:w="2356" w:type="dxa"/>
          </w:tcPr>
          <w:p w14:paraId="6BA58502">
            <w:pPr>
              <w:rPr>
                <w:color w:val="auto"/>
                <w:sz w:val="21"/>
                <w:szCs w:val="21"/>
                <w:highlight w:val="none"/>
              </w:rPr>
            </w:pPr>
          </w:p>
        </w:tc>
        <w:tc>
          <w:tcPr>
            <w:tcW w:w="2357" w:type="dxa"/>
          </w:tcPr>
          <w:p w14:paraId="457E4541">
            <w:pPr>
              <w:rPr>
                <w:color w:val="auto"/>
                <w:sz w:val="21"/>
                <w:szCs w:val="21"/>
                <w:highlight w:val="none"/>
              </w:rPr>
            </w:pPr>
          </w:p>
        </w:tc>
      </w:tr>
    </w:tbl>
    <w:p w14:paraId="2B3B0FEA">
      <w:pPr>
        <w:rPr>
          <w:color w:val="auto"/>
          <w:sz w:val="21"/>
          <w:szCs w:val="21"/>
          <w:highlight w:val="none"/>
        </w:rPr>
      </w:pPr>
    </w:p>
    <w:p w14:paraId="7E2F1854">
      <w:pPr>
        <w:spacing w:beforeLines="50" w:afterLines="100" w:line="440" w:lineRule="exact"/>
        <w:ind w:right="420"/>
        <w:jc w:val="center"/>
        <w:outlineLvl w:val="0"/>
        <w:rPr>
          <w:color w:val="auto"/>
          <w:sz w:val="32"/>
          <w:szCs w:val="32"/>
          <w:highlight w:val="none"/>
        </w:rPr>
        <w:sectPr>
          <w:pgSz w:w="11907" w:h="16840"/>
          <w:pgMar w:top="1440" w:right="1440" w:bottom="1440" w:left="1797" w:header="851" w:footer="851" w:gutter="0"/>
          <w:pgNumType w:fmt="decimal"/>
          <w:cols w:space="720" w:num="1"/>
          <w:formProt w:val="1"/>
          <w:docGrid w:linePitch="312" w:charSpace="0"/>
        </w:sectPr>
      </w:pPr>
    </w:p>
    <w:p w14:paraId="149796DC">
      <w:pPr>
        <w:pStyle w:val="35"/>
        <w:jc w:val="center"/>
        <w:rPr>
          <w:b/>
          <w:bCs/>
          <w:color w:val="auto"/>
          <w:sz w:val="36"/>
          <w:szCs w:val="22"/>
          <w:highlight w:val="none"/>
        </w:rPr>
      </w:pPr>
      <w:r>
        <w:rPr>
          <w:rFonts w:hint="eastAsia"/>
          <w:b/>
          <w:bCs/>
          <w:color w:val="auto"/>
          <w:sz w:val="36"/>
          <w:szCs w:val="22"/>
          <w:highlight w:val="none"/>
          <w:lang w:val="en-US" w:eastAsia="zh-CN"/>
        </w:rPr>
        <w:t>二、</w:t>
      </w:r>
      <w:r>
        <w:rPr>
          <w:b/>
          <w:bCs/>
          <w:color w:val="auto"/>
          <w:sz w:val="36"/>
          <w:szCs w:val="22"/>
          <w:highlight w:val="none"/>
        </w:rPr>
        <w:t>项目管理机构</w:t>
      </w:r>
    </w:p>
    <w:p w14:paraId="67D50B90">
      <w:pPr>
        <w:pStyle w:val="35"/>
        <w:jc w:val="center"/>
        <w:rPr>
          <w:b/>
          <w:color w:val="auto"/>
          <w:sz w:val="28"/>
          <w:szCs w:val="28"/>
          <w:highlight w:val="none"/>
        </w:rPr>
      </w:pPr>
      <w:bookmarkStart w:id="110" w:name="_Toc153274947"/>
      <w:bookmarkStart w:id="111" w:name="_Toc173579005"/>
      <w:bookmarkStart w:id="112" w:name="_Toc172364025"/>
      <w:bookmarkStart w:id="113" w:name="_Toc251052184"/>
      <w:r>
        <w:rPr>
          <w:rFonts w:hint="eastAsia"/>
          <w:b/>
          <w:bCs/>
          <w:color w:val="auto"/>
          <w:sz w:val="24"/>
          <w:szCs w:val="21"/>
          <w:highlight w:val="none"/>
          <w:lang w:val="en-US" w:eastAsia="zh-CN"/>
        </w:rPr>
        <w:t>2.</w:t>
      </w:r>
      <w:r>
        <w:rPr>
          <w:b/>
          <w:bCs/>
          <w:color w:val="auto"/>
          <w:sz w:val="24"/>
          <w:szCs w:val="21"/>
          <w:highlight w:val="none"/>
        </w:rPr>
        <w:t>1</w:t>
      </w:r>
      <w:r>
        <w:rPr>
          <w:b/>
          <w:color w:val="auto"/>
          <w:sz w:val="24"/>
          <w:szCs w:val="21"/>
          <w:highlight w:val="none"/>
        </w:rPr>
        <w:t>、项目管理机构配备情况表</w:t>
      </w:r>
      <w:bookmarkEnd w:id="110"/>
      <w:bookmarkEnd w:id="111"/>
      <w:bookmarkEnd w:id="112"/>
      <w:bookmarkEnd w:id="113"/>
    </w:p>
    <w:p w14:paraId="1AF283E4">
      <w:pPr>
        <w:pStyle w:val="35"/>
        <w:rPr>
          <w:color w:val="auto"/>
          <w:sz w:val="22"/>
          <w:szCs w:val="22"/>
          <w:highlight w:val="none"/>
          <w:u w:val="single"/>
        </w:rPr>
      </w:pPr>
    </w:p>
    <w:p w14:paraId="5D87D76D">
      <w:pPr>
        <w:pStyle w:val="35"/>
        <w:rPr>
          <w:color w:val="auto"/>
          <w:sz w:val="22"/>
          <w:szCs w:val="22"/>
          <w:highlight w:val="none"/>
        </w:rPr>
      </w:pPr>
      <w:bookmarkStart w:id="114" w:name="_Toc251052185"/>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 </w:t>
      </w:r>
      <w:bookmarkEnd w:id="114"/>
    </w:p>
    <w:tbl>
      <w:tblPr>
        <w:tblStyle w:val="23"/>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158DB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5DDAD72B">
            <w:pPr>
              <w:ind w:left="223" w:hanging="222" w:hangingChars="106"/>
              <w:jc w:val="center"/>
              <w:rPr>
                <w:color w:val="auto"/>
                <w:sz w:val="21"/>
                <w:szCs w:val="21"/>
                <w:highlight w:val="none"/>
              </w:rPr>
            </w:pPr>
            <w:r>
              <w:rPr>
                <w:rFonts w:hint="eastAsia" w:ascii="宋体" w:hAnsi="宋体" w:eastAsia="宋体" w:cs="宋体"/>
                <w:color w:val="auto"/>
                <w:sz w:val="21"/>
                <w:szCs w:val="21"/>
                <w:highlight w:val="none"/>
              </w:rPr>
              <w:t>拟在本项目工程任职</w:t>
            </w:r>
          </w:p>
        </w:tc>
        <w:tc>
          <w:tcPr>
            <w:tcW w:w="829" w:type="dxa"/>
            <w:vMerge w:val="restart"/>
            <w:vAlign w:val="center"/>
          </w:tcPr>
          <w:p w14:paraId="7CE8ADE3">
            <w:pPr>
              <w:ind w:left="223" w:hanging="222" w:hangingChars="106"/>
              <w:jc w:val="center"/>
              <w:rPr>
                <w:color w:val="auto"/>
                <w:sz w:val="21"/>
                <w:szCs w:val="21"/>
                <w:highlight w:val="none"/>
              </w:rPr>
            </w:pPr>
            <w:bookmarkStart w:id="115" w:name="_Toc251052187"/>
            <w:r>
              <w:rPr>
                <w:color w:val="auto"/>
                <w:sz w:val="21"/>
                <w:szCs w:val="21"/>
                <w:highlight w:val="none"/>
              </w:rPr>
              <w:t>姓名</w:t>
            </w:r>
            <w:bookmarkEnd w:id="115"/>
          </w:p>
        </w:tc>
        <w:tc>
          <w:tcPr>
            <w:tcW w:w="816" w:type="dxa"/>
            <w:vMerge w:val="restart"/>
            <w:vAlign w:val="center"/>
          </w:tcPr>
          <w:p w14:paraId="7422ED78">
            <w:pPr>
              <w:ind w:left="223" w:hanging="222" w:hangingChars="106"/>
              <w:jc w:val="center"/>
              <w:rPr>
                <w:color w:val="auto"/>
                <w:sz w:val="21"/>
                <w:szCs w:val="21"/>
                <w:highlight w:val="none"/>
              </w:rPr>
            </w:pPr>
            <w:bookmarkStart w:id="116" w:name="_Toc251052188"/>
            <w:r>
              <w:rPr>
                <w:color w:val="auto"/>
                <w:sz w:val="21"/>
                <w:szCs w:val="21"/>
                <w:highlight w:val="none"/>
              </w:rPr>
              <w:t>职称</w:t>
            </w:r>
            <w:bookmarkEnd w:id="116"/>
          </w:p>
        </w:tc>
        <w:tc>
          <w:tcPr>
            <w:tcW w:w="4592" w:type="dxa"/>
            <w:gridSpan w:val="4"/>
            <w:vAlign w:val="center"/>
          </w:tcPr>
          <w:p w14:paraId="5BF9B5FA">
            <w:pPr>
              <w:ind w:left="223" w:hanging="222" w:hangingChars="106"/>
              <w:jc w:val="center"/>
              <w:rPr>
                <w:color w:val="auto"/>
                <w:sz w:val="21"/>
                <w:szCs w:val="21"/>
                <w:highlight w:val="none"/>
              </w:rPr>
            </w:pPr>
            <w:bookmarkStart w:id="117" w:name="_Toc251052189"/>
            <w:r>
              <w:rPr>
                <w:color w:val="auto"/>
                <w:sz w:val="21"/>
                <w:szCs w:val="21"/>
                <w:highlight w:val="none"/>
              </w:rPr>
              <w:t>执业或职业资格证明</w:t>
            </w:r>
            <w:bookmarkEnd w:id="117"/>
          </w:p>
        </w:tc>
        <w:tc>
          <w:tcPr>
            <w:tcW w:w="2126" w:type="dxa"/>
            <w:gridSpan w:val="2"/>
            <w:vAlign w:val="center"/>
          </w:tcPr>
          <w:p w14:paraId="558943B9">
            <w:pPr>
              <w:ind w:left="223" w:hanging="222" w:hangingChars="106"/>
              <w:jc w:val="center"/>
              <w:rPr>
                <w:color w:val="auto"/>
                <w:sz w:val="21"/>
                <w:szCs w:val="21"/>
                <w:highlight w:val="none"/>
              </w:rPr>
            </w:pPr>
            <w:bookmarkStart w:id="118" w:name="_Toc251052190"/>
            <w:r>
              <w:rPr>
                <w:color w:val="auto"/>
                <w:sz w:val="21"/>
                <w:szCs w:val="21"/>
                <w:highlight w:val="none"/>
              </w:rPr>
              <w:t>承担完工</w:t>
            </w:r>
            <w:bookmarkEnd w:id="118"/>
            <w:bookmarkStart w:id="119" w:name="_Toc251052191"/>
            <w:r>
              <w:rPr>
                <w:color w:val="auto"/>
                <w:sz w:val="21"/>
                <w:szCs w:val="21"/>
                <w:highlight w:val="none"/>
              </w:rPr>
              <w:t>工程情况</w:t>
            </w:r>
            <w:bookmarkEnd w:id="119"/>
          </w:p>
        </w:tc>
      </w:tr>
      <w:tr w14:paraId="47FE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F5F6C13">
            <w:pPr>
              <w:ind w:left="223" w:hanging="222" w:hangingChars="106"/>
              <w:jc w:val="center"/>
              <w:rPr>
                <w:color w:val="auto"/>
                <w:sz w:val="21"/>
                <w:szCs w:val="21"/>
                <w:highlight w:val="none"/>
              </w:rPr>
            </w:pPr>
          </w:p>
        </w:tc>
        <w:tc>
          <w:tcPr>
            <w:tcW w:w="829" w:type="dxa"/>
            <w:vMerge w:val="continue"/>
            <w:vAlign w:val="center"/>
          </w:tcPr>
          <w:p w14:paraId="0A9A717B">
            <w:pPr>
              <w:ind w:left="223" w:hanging="222" w:hangingChars="106"/>
              <w:jc w:val="center"/>
              <w:rPr>
                <w:color w:val="auto"/>
                <w:sz w:val="21"/>
                <w:szCs w:val="21"/>
                <w:highlight w:val="none"/>
              </w:rPr>
            </w:pPr>
          </w:p>
        </w:tc>
        <w:tc>
          <w:tcPr>
            <w:tcW w:w="816" w:type="dxa"/>
            <w:vMerge w:val="continue"/>
            <w:vAlign w:val="center"/>
          </w:tcPr>
          <w:p w14:paraId="0C352552">
            <w:pPr>
              <w:ind w:left="223" w:hanging="222" w:hangingChars="106"/>
              <w:jc w:val="center"/>
              <w:rPr>
                <w:color w:val="auto"/>
                <w:sz w:val="21"/>
                <w:szCs w:val="21"/>
                <w:highlight w:val="none"/>
              </w:rPr>
            </w:pPr>
          </w:p>
        </w:tc>
        <w:tc>
          <w:tcPr>
            <w:tcW w:w="1148" w:type="dxa"/>
            <w:vAlign w:val="center"/>
          </w:tcPr>
          <w:p w14:paraId="17994F33">
            <w:pPr>
              <w:ind w:left="223" w:hanging="222" w:hangingChars="106"/>
              <w:jc w:val="center"/>
              <w:rPr>
                <w:color w:val="auto"/>
                <w:sz w:val="21"/>
                <w:szCs w:val="21"/>
                <w:highlight w:val="none"/>
              </w:rPr>
            </w:pPr>
            <w:bookmarkStart w:id="120" w:name="_Toc251052192"/>
            <w:r>
              <w:rPr>
                <w:color w:val="auto"/>
                <w:sz w:val="21"/>
                <w:szCs w:val="21"/>
                <w:highlight w:val="none"/>
              </w:rPr>
              <w:t>证书名称</w:t>
            </w:r>
            <w:bookmarkEnd w:id="120"/>
          </w:p>
        </w:tc>
        <w:tc>
          <w:tcPr>
            <w:tcW w:w="1148" w:type="dxa"/>
            <w:vAlign w:val="center"/>
          </w:tcPr>
          <w:p w14:paraId="124A4079">
            <w:pPr>
              <w:ind w:left="223" w:hanging="222" w:hangingChars="106"/>
              <w:jc w:val="center"/>
              <w:rPr>
                <w:color w:val="auto"/>
                <w:sz w:val="21"/>
                <w:szCs w:val="21"/>
                <w:highlight w:val="none"/>
              </w:rPr>
            </w:pPr>
            <w:bookmarkStart w:id="121" w:name="_Toc251052193"/>
            <w:r>
              <w:rPr>
                <w:color w:val="auto"/>
                <w:sz w:val="21"/>
                <w:szCs w:val="21"/>
                <w:highlight w:val="none"/>
              </w:rPr>
              <w:t>级别</w:t>
            </w:r>
            <w:bookmarkEnd w:id="121"/>
          </w:p>
        </w:tc>
        <w:tc>
          <w:tcPr>
            <w:tcW w:w="1148" w:type="dxa"/>
            <w:vAlign w:val="center"/>
          </w:tcPr>
          <w:p w14:paraId="2B70D513">
            <w:pPr>
              <w:ind w:left="223" w:hanging="222" w:hangingChars="106"/>
              <w:jc w:val="center"/>
              <w:rPr>
                <w:color w:val="auto"/>
                <w:sz w:val="21"/>
                <w:szCs w:val="21"/>
                <w:highlight w:val="none"/>
              </w:rPr>
            </w:pPr>
            <w:bookmarkStart w:id="122" w:name="_Toc251052194"/>
            <w:r>
              <w:rPr>
                <w:color w:val="auto"/>
                <w:sz w:val="21"/>
                <w:szCs w:val="21"/>
                <w:highlight w:val="none"/>
              </w:rPr>
              <w:t>证号</w:t>
            </w:r>
            <w:bookmarkEnd w:id="122"/>
          </w:p>
        </w:tc>
        <w:tc>
          <w:tcPr>
            <w:tcW w:w="1148" w:type="dxa"/>
            <w:vAlign w:val="center"/>
          </w:tcPr>
          <w:p w14:paraId="767E316B">
            <w:pPr>
              <w:ind w:left="223" w:hanging="222" w:hangingChars="106"/>
              <w:jc w:val="center"/>
              <w:rPr>
                <w:color w:val="auto"/>
                <w:sz w:val="21"/>
                <w:szCs w:val="21"/>
                <w:highlight w:val="none"/>
              </w:rPr>
            </w:pPr>
            <w:bookmarkStart w:id="123" w:name="_Toc251052195"/>
            <w:r>
              <w:rPr>
                <w:color w:val="auto"/>
                <w:sz w:val="21"/>
                <w:szCs w:val="21"/>
                <w:highlight w:val="none"/>
              </w:rPr>
              <w:t>专业</w:t>
            </w:r>
            <w:bookmarkEnd w:id="123"/>
          </w:p>
        </w:tc>
        <w:tc>
          <w:tcPr>
            <w:tcW w:w="850" w:type="dxa"/>
            <w:vAlign w:val="center"/>
          </w:tcPr>
          <w:p w14:paraId="77F684A0">
            <w:pPr>
              <w:ind w:left="223" w:hanging="222" w:hangingChars="106"/>
              <w:jc w:val="center"/>
              <w:rPr>
                <w:color w:val="auto"/>
                <w:sz w:val="21"/>
                <w:szCs w:val="21"/>
                <w:highlight w:val="none"/>
              </w:rPr>
            </w:pPr>
            <w:bookmarkStart w:id="124" w:name="_Toc251052197"/>
            <w:r>
              <w:rPr>
                <w:color w:val="auto"/>
                <w:sz w:val="21"/>
                <w:szCs w:val="21"/>
                <w:highlight w:val="none"/>
              </w:rPr>
              <w:t>项目数</w:t>
            </w:r>
            <w:bookmarkEnd w:id="124"/>
          </w:p>
        </w:tc>
        <w:tc>
          <w:tcPr>
            <w:tcW w:w="1276" w:type="dxa"/>
            <w:vAlign w:val="center"/>
          </w:tcPr>
          <w:p w14:paraId="4EFE3E51">
            <w:pPr>
              <w:ind w:left="223" w:hanging="222" w:hangingChars="106"/>
              <w:jc w:val="center"/>
              <w:rPr>
                <w:color w:val="auto"/>
                <w:sz w:val="21"/>
                <w:szCs w:val="21"/>
                <w:highlight w:val="none"/>
              </w:rPr>
            </w:pPr>
            <w:bookmarkStart w:id="125" w:name="_Toc251052198"/>
            <w:r>
              <w:rPr>
                <w:color w:val="auto"/>
                <w:sz w:val="21"/>
                <w:szCs w:val="21"/>
                <w:highlight w:val="none"/>
              </w:rPr>
              <w:t>主要项目</w:t>
            </w:r>
          </w:p>
          <w:p w14:paraId="04C4E845">
            <w:pPr>
              <w:ind w:left="223" w:hanging="222" w:hangingChars="106"/>
              <w:jc w:val="center"/>
              <w:rPr>
                <w:color w:val="auto"/>
                <w:sz w:val="21"/>
                <w:szCs w:val="21"/>
                <w:highlight w:val="none"/>
              </w:rPr>
            </w:pPr>
            <w:r>
              <w:rPr>
                <w:color w:val="auto"/>
                <w:sz w:val="21"/>
                <w:szCs w:val="21"/>
                <w:highlight w:val="none"/>
              </w:rPr>
              <w:t>名称</w:t>
            </w:r>
            <w:bookmarkEnd w:id="125"/>
          </w:p>
        </w:tc>
      </w:tr>
      <w:tr w14:paraId="78953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791175BB">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项目经理</w:t>
            </w:r>
          </w:p>
        </w:tc>
        <w:tc>
          <w:tcPr>
            <w:tcW w:w="829" w:type="dxa"/>
            <w:vAlign w:val="center"/>
          </w:tcPr>
          <w:p w14:paraId="21E84B5F">
            <w:pPr>
              <w:ind w:left="223" w:hanging="222" w:hangingChars="106"/>
              <w:jc w:val="center"/>
              <w:rPr>
                <w:color w:val="auto"/>
                <w:sz w:val="21"/>
                <w:szCs w:val="21"/>
                <w:highlight w:val="none"/>
              </w:rPr>
            </w:pPr>
          </w:p>
        </w:tc>
        <w:tc>
          <w:tcPr>
            <w:tcW w:w="816" w:type="dxa"/>
            <w:vAlign w:val="center"/>
          </w:tcPr>
          <w:p w14:paraId="2A9A2774">
            <w:pPr>
              <w:ind w:left="223" w:hanging="222" w:hangingChars="106"/>
              <w:jc w:val="center"/>
              <w:rPr>
                <w:color w:val="auto"/>
                <w:sz w:val="21"/>
                <w:szCs w:val="21"/>
                <w:highlight w:val="none"/>
              </w:rPr>
            </w:pPr>
          </w:p>
        </w:tc>
        <w:tc>
          <w:tcPr>
            <w:tcW w:w="1148" w:type="dxa"/>
            <w:vAlign w:val="center"/>
          </w:tcPr>
          <w:p w14:paraId="45B1BCD5">
            <w:pPr>
              <w:ind w:left="223" w:hanging="222" w:hangingChars="106"/>
              <w:jc w:val="center"/>
              <w:rPr>
                <w:color w:val="auto"/>
                <w:sz w:val="21"/>
                <w:szCs w:val="21"/>
                <w:highlight w:val="none"/>
              </w:rPr>
            </w:pPr>
          </w:p>
        </w:tc>
        <w:tc>
          <w:tcPr>
            <w:tcW w:w="1148" w:type="dxa"/>
            <w:vAlign w:val="center"/>
          </w:tcPr>
          <w:p w14:paraId="46892993">
            <w:pPr>
              <w:ind w:left="223" w:hanging="222" w:hangingChars="106"/>
              <w:jc w:val="center"/>
              <w:rPr>
                <w:color w:val="auto"/>
                <w:sz w:val="21"/>
                <w:szCs w:val="21"/>
                <w:highlight w:val="none"/>
              </w:rPr>
            </w:pPr>
          </w:p>
        </w:tc>
        <w:tc>
          <w:tcPr>
            <w:tcW w:w="1148" w:type="dxa"/>
            <w:vAlign w:val="center"/>
          </w:tcPr>
          <w:p w14:paraId="108ADCB2">
            <w:pPr>
              <w:ind w:left="223" w:hanging="222" w:hangingChars="106"/>
              <w:jc w:val="center"/>
              <w:rPr>
                <w:color w:val="auto"/>
                <w:sz w:val="21"/>
                <w:szCs w:val="21"/>
                <w:highlight w:val="none"/>
              </w:rPr>
            </w:pPr>
          </w:p>
        </w:tc>
        <w:tc>
          <w:tcPr>
            <w:tcW w:w="1148" w:type="dxa"/>
            <w:vAlign w:val="center"/>
          </w:tcPr>
          <w:p w14:paraId="55820255">
            <w:pPr>
              <w:ind w:left="223" w:hanging="222" w:hangingChars="106"/>
              <w:jc w:val="center"/>
              <w:rPr>
                <w:color w:val="auto"/>
                <w:sz w:val="21"/>
                <w:szCs w:val="21"/>
                <w:highlight w:val="none"/>
              </w:rPr>
            </w:pPr>
          </w:p>
        </w:tc>
        <w:tc>
          <w:tcPr>
            <w:tcW w:w="850" w:type="dxa"/>
            <w:vAlign w:val="center"/>
          </w:tcPr>
          <w:p w14:paraId="208FB8F8">
            <w:pPr>
              <w:ind w:left="223" w:hanging="222" w:hangingChars="106"/>
              <w:jc w:val="center"/>
              <w:rPr>
                <w:color w:val="auto"/>
                <w:sz w:val="21"/>
                <w:szCs w:val="21"/>
                <w:highlight w:val="none"/>
              </w:rPr>
            </w:pPr>
          </w:p>
        </w:tc>
        <w:tc>
          <w:tcPr>
            <w:tcW w:w="1276" w:type="dxa"/>
            <w:vAlign w:val="center"/>
          </w:tcPr>
          <w:p w14:paraId="5FD9FDAB">
            <w:pPr>
              <w:ind w:left="223" w:hanging="222" w:hangingChars="106"/>
              <w:jc w:val="center"/>
              <w:rPr>
                <w:color w:val="auto"/>
                <w:sz w:val="21"/>
                <w:szCs w:val="21"/>
                <w:highlight w:val="none"/>
              </w:rPr>
            </w:pPr>
          </w:p>
        </w:tc>
      </w:tr>
      <w:tr w14:paraId="7B597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082CA68">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sz w:val="21"/>
                <w:szCs w:val="21"/>
                <w:highlight w:val="none"/>
                <w:lang w:eastAsia="zh-CN"/>
              </w:rPr>
              <w:t>技术负责人（工程类专业工程师）</w:t>
            </w:r>
          </w:p>
        </w:tc>
        <w:tc>
          <w:tcPr>
            <w:tcW w:w="829" w:type="dxa"/>
            <w:vAlign w:val="center"/>
          </w:tcPr>
          <w:p w14:paraId="31EEFA17">
            <w:pPr>
              <w:ind w:left="223" w:hanging="222" w:hangingChars="106"/>
              <w:jc w:val="center"/>
              <w:rPr>
                <w:color w:val="auto"/>
                <w:sz w:val="21"/>
                <w:szCs w:val="21"/>
                <w:highlight w:val="none"/>
              </w:rPr>
            </w:pPr>
          </w:p>
        </w:tc>
        <w:tc>
          <w:tcPr>
            <w:tcW w:w="816" w:type="dxa"/>
            <w:vAlign w:val="center"/>
          </w:tcPr>
          <w:p w14:paraId="691127F6">
            <w:pPr>
              <w:ind w:left="223" w:hanging="222" w:hangingChars="106"/>
              <w:jc w:val="center"/>
              <w:rPr>
                <w:color w:val="auto"/>
                <w:sz w:val="21"/>
                <w:szCs w:val="21"/>
                <w:highlight w:val="none"/>
              </w:rPr>
            </w:pPr>
          </w:p>
        </w:tc>
        <w:tc>
          <w:tcPr>
            <w:tcW w:w="1148" w:type="dxa"/>
            <w:vAlign w:val="center"/>
          </w:tcPr>
          <w:p w14:paraId="61356878">
            <w:pPr>
              <w:ind w:left="223" w:hanging="222" w:hangingChars="106"/>
              <w:jc w:val="center"/>
              <w:rPr>
                <w:color w:val="auto"/>
                <w:sz w:val="21"/>
                <w:szCs w:val="21"/>
                <w:highlight w:val="none"/>
              </w:rPr>
            </w:pPr>
          </w:p>
        </w:tc>
        <w:tc>
          <w:tcPr>
            <w:tcW w:w="1148" w:type="dxa"/>
            <w:vAlign w:val="center"/>
          </w:tcPr>
          <w:p w14:paraId="734C58F4">
            <w:pPr>
              <w:ind w:left="223" w:hanging="222" w:hangingChars="106"/>
              <w:jc w:val="center"/>
              <w:rPr>
                <w:color w:val="auto"/>
                <w:sz w:val="21"/>
                <w:szCs w:val="21"/>
                <w:highlight w:val="none"/>
              </w:rPr>
            </w:pPr>
          </w:p>
        </w:tc>
        <w:tc>
          <w:tcPr>
            <w:tcW w:w="1148" w:type="dxa"/>
            <w:vAlign w:val="center"/>
          </w:tcPr>
          <w:p w14:paraId="513C449E">
            <w:pPr>
              <w:ind w:left="223" w:hanging="222" w:hangingChars="106"/>
              <w:jc w:val="center"/>
              <w:rPr>
                <w:color w:val="auto"/>
                <w:sz w:val="21"/>
                <w:szCs w:val="21"/>
                <w:highlight w:val="none"/>
              </w:rPr>
            </w:pPr>
          </w:p>
        </w:tc>
        <w:tc>
          <w:tcPr>
            <w:tcW w:w="1148" w:type="dxa"/>
            <w:vAlign w:val="center"/>
          </w:tcPr>
          <w:p w14:paraId="6013778B">
            <w:pPr>
              <w:ind w:left="223" w:hanging="222" w:hangingChars="106"/>
              <w:jc w:val="center"/>
              <w:rPr>
                <w:color w:val="auto"/>
                <w:sz w:val="21"/>
                <w:szCs w:val="21"/>
                <w:highlight w:val="none"/>
              </w:rPr>
            </w:pPr>
          </w:p>
        </w:tc>
        <w:tc>
          <w:tcPr>
            <w:tcW w:w="850" w:type="dxa"/>
            <w:vAlign w:val="center"/>
          </w:tcPr>
          <w:p w14:paraId="0ABADF47">
            <w:pPr>
              <w:ind w:left="223" w:hanging="222" w:hangingChars="106"/>
              <w:jc w:val="center"/>
              <w:rPr>
                <w:color w:val="auto"/>
                <w:sz w:val="21"/>
                <w:szCs w:val="21"/>
                <w:highlight w:val="none"/>
              </w:rPr>
            </w:pPr>
          </w:p>
        </w:tc>
        <w:tc>
          <w:tcPr>
            <w:tcW w:w="1276" w:type="dxa"/>
            <w:vAlign w:val="center"/>
          </w:tcPr>
          <w:p w14:paraId="0CDC13C6">
            <w:pPr>
              <w:ind w:left="223" w:hanging="222" w:hangingChars="106"/>
              <w:jc w:val="center"/>
              <w:rPr>
                <w:color w:val="auto"/>
                <w:sz w:val="21"/>
                <w:szCs w:val="21"/>
                <w:highlight w:val="none"/>
              </w:rPr>
            </w:pPr>
          </w:p>
        </w:tc>
      </w:tr>
      <w:tr w14:paraId="7ADF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767CDAB">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sz w:val="21"/>
                <w:szCs w:val="21"/>
                <w:highlight w:val="none"/>
                <w:lang w:eastAsia="zh-CN"/>
              </w:rPr>
              <w:t>专职安全员</w:t>
            </w:r>
          </w:p>
        </w:tc>
        <w:tc>
          <w:tcPr>
            <w:tcW w:w="829" w:type="dxa"/>
            <w:vAlign w:val="center"/>
          </w:tcPr>
          <w:p w14:paraId="1EF4905B">
            <w:pPr>
              <w:ind w:left="223" w:hanging="222" w:hangingChars="106"/>
              <w:jc w:val="center"/>
              <w:rPr>
                <w:color w:val="auto"/>
                <w:sz w:val="21"/>
                <w:szCs w:val="21"/>
                <w:highlight w:val="none"/>
              </w:rPr>
            </w:pPr>
          </w:p>
        </w:tc>
        <w:tc>
          <w:tcPr>
            <w:tcW w:w="816" w:type="dxa"/>
            <w:vAlign w:val="center"/>
          </w:tcPr>
          <w:p w14:paraId="4F669A46">
            <w:pPr>
              <w:ind w:left="223" w:hanging="222" w:hangingChars="106"/>
              <w:jc w:val="center"/>
              <w:rPr>
                <w:color w:val="auto"/>
                <w:sz w:val="21"/>
                <w:szCs w:val="21"/>
                <w:highlight w:val="none"/>
              </w:rPr>
            </w:pPr>
          </w:p>
        </w:tc>
        <w:tc>
          <w:tcPr>
            <w:tcW w:w="1148" w:type="dxa"/>
            <w:vAlign w:val="center"/>
          </w:tcPr>
          <w:p w14:paraId="3963FB83">
            <w:pPr>
              <w:ind w:left="223" w:hanging="222" w:hangingChars="106"/>
              <w:jc w:val="center"/>
              <w:rPr>
                <w:color w:val="auto"/>
                <w:sz w:val="21"/>
                <w:szCs w:val="21"/>
                <w:highlight w:val="none"/>
              </w:rPr>
            </w:pPr>
          </w:p>
        </w:tc>
        <w:tc>
          <w:tcPr>
            <w:tcW w:w="1148" w:type="dxa"/>
            <w:vAlign w:val="center"/>
          </w:tcPr>
          <w:p w14:paraId="35394FFD">
            <w:pPr>
              <w:ind w:left="223" w:hanging="222" w:hangingChars="106"/>
              <w:jc w:val="center"/>
              <w:rPr>
                <w:color w:val="auto"/>
                <w:sz w:val="21"/>
                <w:szCs w:val="21"/>
                <w:highlight w:val="none"/>
              </w:rPr>
            </w:pPr>
          </w:p>
        </w:tc>
        <w:tc>
          <w:tcPr>
            <w:tcW w:w="1148" w:type="dxa"/>
            <w:vAlign w:val="center"/>
          </w:tcPr>
          <w:p w14:paraId="3D739CEA">
            <w:pPr>
              <w:ind w:left="223" w:hanging="222" w:hangingChars="106"/>
              <w:jc w:val="center"/>
              <w:rPr>
                <w:color w:val="auto"/>
                <w:sz w:val="21"/>
                <w:szCs w:val="21"/>
                <w:highlight w:val="none"/>
              </w:rPr>
            </w:pPr>
          </w:p>
        </w:tc>
        <w:tc>
          <w:tcPr>
            <w:tcW w:w="1148" w:type="dxa"/>
            <w:vAlign w:val="center"/>
          </w:tcPr>
          <w:p w14:paraId="5E242409">
            <w:pPr>
              <w:ind w:left="223" w:hanging="222" w:hangingChars="106"/>
              <w:jc w:val="center"/>
              <w:rPr>
                <w:color w:val="auto"/>
                <w:sz w:val="21"/>
                <w:szCs w:val="21"/>
                <w:highlight w:val="none"/>
              </w:rPr>
            </w:pPr>
          </w:p>
        </w:tc>
        <w:tc>
          <w:tcPr>
            <w:tcW w:w="850" w:type="dxa"/>
            <w:vAlign w:val="center"/>
          </w:tcPr>
          <w:p w14:paraId="145D9118">
            <w:pPr>
              <w:ind w:left="223" w:hanging="222" w:hangingChars="106"/>
              <w:jc w:val="center"/>
              <w:rPr>
                <w:color w:val="auto"/>
                <w:sz w:val="21"/>
                <w:szCs w:val="21"/>
                <w:highlight w:val="none"/>
              </w:rPr>
            </w:pPr>
          </w:p>
        </w:tc>
        <w:tc>
          <w:tcPr>
            <w:tcW w:w="1276" w:type="dxa"/>
            <w:vAlign w:val="center"/>
          </w:tcPr>
          <w:p w14:paraId="76D03754">
            <w:pPr>
              <w:ind w:left="223" w:hanging="222" w:hangingChars="106"/>
              <w:jc w:val="center"/>
              <w:rPr>
                <w:color w:val="auto"/>
                <w:sz w:val="21"/>
                <w:szCs w:val="21"/>
                <w:highlight w:val="none"/>
              </w:rPr>
            </w:pPr>
          </w:p>
        </w:tc>
      </w:tr>
      <w:tr w14:paraId="6B91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15C5CA5">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质量员</w:t>
            </w:r>
          </w:p>
        </w:tc>
        <w:tc>
          <w:tcPr>
            <w:tcW w:w="829" w:type="dxa"/>
            <w:vAlign w:val="center"/>
          </w:tcPr>
          <w:p w14:paraId="01D68C02">
            <w:pPr>
              <w:ind w:left="223" w:hanging="222" w:hangingChars="106"/>
              <w:jc w:val="center"/>
              <w:rPr>
                <w:color w:val="auto"/>
                <w:sz w:val="21"/>
                <w:szCs w:val="21"/>
                <w:highlight w:val="none"/>
              </w:rPr>
            </w:pPr>
          </w:p>
        </w:tc>
        <w:tc>
          <w:tcPr>
            <w:tcW w:w="816" w:type="dxa"/>
            <w:vAlign w:val="center"/>
          </w:tcPr>
          <w:p w14:paraId="44C9E84E">
            <w:pPr>
              <w:ind w:left="223" w:hanging="222" w:hangingChars="106"/>
              <w:jc w:val="center"/>
              <w:rPr>
                <w:color w:val="auto"/>
                <w:sz w:val="21"/>
                <w:szCs w:val="21"/>
                <w:highlight w:val="none"/>
              </w:rPr>
            </w:pPr>
          </w:p>
        </w:tc>
        <w:tc>
          <w:tcPr>
            <w:tcW w:w="1148" w:type="dxa"/>
            <w:vAlign w:val="center"/>
          </w:tcPr>
          <w:p w14:paraId="5439E1A2">
            <w:pPr>
              <w:ind w:left="223" w:hanging="222" w:hangingChars="106"/>
              <w:jc w:val="center"/>
              <w:rPr>
                <w:color w:val="auto"/>
                <w:sz w:val="21"/>
                <w:szCs w:val="21"/>
                <w:highlight w:val="none"/>
              </w:rPr>
            </w:pPr>
          </w:p>
        </w:tc>
        <w:tc>
          <w:tcPr>
            <w:tcW w:w="1148" w:type="dxa"/>
            <w:vAlign w:val="center"/>
          </w:tcPr>
          <w:p w14:paraId="1CD3D9C6">
            <w:pPr>
              <w:ind w:left="223" w:hanging="222" w:hangingChars="106"/>
              <w:jc w:val="center"/>
              <w:rPr>
                <w:color w:val="auto"/>
                <w:sz w:val="21"/>
                <w:szCs w:val="21"/>
                <w:highlight w:val="none"/>
              </w:rPr>
            </w:pPr>
          </w:p>
        </w:tc>
        <w:tc>
          <w:tcPr>
            <w:tcW w:w="1148" w:type="dxa"/>
            <w:vAlign w:val="center"/>
          </w:tcPr>
          <w:p w14:paraId="2386EDEA">
            <w:pPr>
              <w:ind w:left="223" w:hanging="222" w:hangingChars="106"/>
              <w:jc w:val="center"/>
              <w:rPr>
                <w:color w:val="auto"/>
                <w:sz w:val="21"/>
                <w:szCs w:val="21"/>
                <w:highlight w:val="none"/>
              </w:rPr>
            </w:pPr>
          </w:p>
        </w:tc>
        <w:tc>
          <w:tcPr>
            <w:tcW w:w="1148" w:type="dxa"/>
            <w:vAlign w:val="center"/>
          </w:tcPr>
          <w:p w14:paraId="2ECF7D68">
            <w:pPr>
              <w:ind w:left="223" w:hanging="222" w:hangingChars="106"/>
              <w:jc w:val="center"/>
              <w:rPr>
                <w:color w:val="auto"/>
                <w:sz w:val="21"/>
                <w:szCs w:val="21"/>
                <w:highlight w:val="none"/>
              </w:rPr>
            </w:pPr>
          </w:p>
        </w:tc>
        <w:tc>
          <w:tcPr>
            <w:tcW w:w="850" w:type="dxa"/>
            <w:vAlign w:val="center"/>
          </w:tcPr>
          <w:p w14:paraId="31EF730B">
            <w:pPr>
              <w:ind w:left="223" w:hanging="222" w:hangingChars="106"/>
              <w:jc w:val="center"/>
              <w:rPr>
                <w:color w:val="auto"/>
                <w:sz w:val="21"/>
                <w:szCs w:val="21"/>
                <w:highlight w:val="none"/>
              </w:rPr>
            </w:pPr>
          </w:p>
        </w:tc>
        <w:tc>
          <w:tcPr>
            <w:tcW w:w="1276" w:type="dxa"/>
            <w:vAlign w:val="center"/>
          </w:tcPr>
          <w:p w14:paraId="3D370223">
            <w:pPr>
              <w:ind w:left="223" w:hanging="222" w:hangingChars="106"/>
              <w:jc w:val="center"/>
              <w:rPr>
                <w:color w:val="auto"/>
                <w:sz w:val="21"/>
                <w:szCs w:val="21"/>
                <w:highlight w:val="none"/>
              </w:rPr>
            </w:pPr>
          </w:p>
        </w:tc>
      </w:tr>
      <w:tr w14:paraId="0F80B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5E7A1A3">
            <w:pPr>
              <w:pStyle w:val="39"/>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none"/>
                <w:lang w:val="zh-CN" w:eastAsia="zh-CN" w:bidi="zh-CN"/>
              </w:rPr>
            </w:pPr>
            <w:r>
              <w:rPr>
                <w:rFonts w:hint="eastAsia" w:cs="宋体"/>
                <w:color w:val="auto"/>
                <w:kern w:val="2"/>
                <w:sz w:val="21"/>
                <w:szCs w:val="21"/>
                <w:highlight w:val="none"/>
                <w:lang w:val="zh-CN" w:eastAsia="zh-CN" w:bidi="zh-CN"/>
              </w:rPr>
              <w:t>施工员</w:t>
            </w:r>
          </w:p>
        </w:tc>
        <w:tc>
          <w:tcPr>
            <w:tcW w:w="829" w:type="dxa"/>
            <w:vAlign w:val="center"/>
          </w:tcPr>
          <w:p w14:paraId="2515A3AC">
            <w:pPr>
              <w:ind w:left="223" w:hanging="222" w:hangingChars="106"/>
              <w:jc w:val="center"/>
              <w:rPr>
                <w:color w:val="auto"/>
                <w:sz w:val="21"/>
                <w:szCs w:val="21"/>
                <w:highlight w:val="none"/>
              </w:rPr>
            </w:pPr>
          </w:p>
        </w:tc>
        <w:tc>
          <w:tcPr>
            <w:tcW w:w="816" w:type="dxa"/>
            <w:vAlign w:val="center"/>
          </w:tcPr>
          <w:p w14:paraId="50AF210A">
            <w:pPr>
              <w:ind w:left="223" w:hanging="222" w:hangingChars="106"/>
              <w:jc w:val="center"/>
              <w:rPr>
                <w:color w:val="auto"/>
                <w:sz w:val="21"/>
                <w:szCs w:val="21"/>
                <w:highlight w:val="none"/>
              </w:rPr>
            </w:pPr>
          </w:p>
        </w:tc>
        <w:tc>
          <w:tcPr>
            <w:tcW w:w="1148" w:type="dxa"/>
            <w:vAlign w:val="center"/>
          </w:tcPr>
          <w:p w14:paraId="59A52B33">
            <w:pPr>
              <w:ind w:left="223" w:hanging="222" w:hangingChars="106"/>
              <w:jc w:val="center"/>
              <w:rPr>
                <w:color w:val="auto"/>
                <w:sz w:val="21"/>
                <w:szCs w:val="21"/>
                <w:highlight w:val="none"/>
              </w:rPr>
            </w:pPr>
          </w:p>
        </w:tc>
        <w:tc>
          <w:tcPr>
            <w:tcW w:w="1148" w:type="dxa"/>
            <w:vAlign w:val="center"/>
          </w:tcPr>
          <w:p w14:paraId="3B31E265">
            <w:pPr>
              <w:ind w:left="223" w:hanging="222" w:hangingChars="106"/>
              <w:jc w:val="center"/>
              <w:rPr>
                <w:color w:val="auto"/>
                <w:sz w:val="21"/>
                <w:szCs w:val="21"/>
                <w:highlight w:val="none"/>
              </w:rPr>
            </w:pPr>
          </w:p>
        </w:tc>
        <w:tc>
          <w:tcPr>
            <w:tcW w:w="1148" w:type="dxa"/>
            <w:vAlign w:val="center"/>
          </w:tcPr>
          <w:p w14:paraId="4C921EE0">
            <w:pPr>
              <w:ind w:left="223" w:hanging="222" w:hangingChars="106"/>
              <w:jc w:val="center"/>
              <w:rPr>
                <w:color w:val="auto"/>
                <w:sz w:val="21"/>
                <w:szCs w:val="21"/>
                <w:highlight w:val="none"/>
              </w:rPr>
            </w:pPr>
          </w:p>
        </w:tc>
        <w:tc>
          <w:tcPr>
            <w:tcW w:w="1148" w:type="dxa"/>
            <w:vAlign w:val="center"/>
          </w:tcPr>
          <w:p w14:paraId="319F92A8">
            <w:pPr>
              <w:ind w:left="223" w:hanging="222" w:hangingChars="106"/>
              <w:jc w:val="center"/>
              <w:rPr>
                <w:color w:val="auto"/>
                <w:sz w:val="21"/>
                <w:szCs w:val="21"/>
                <w:highlight w:val="none"/>
              </w:rPr>
            </w:pPr>
          </w:p>
        </w:tc>
        <w:tc>
          <w:tcPr>
            <w:tcW w:w="850" w:type="dxa"/>
            <w:vAlign w:val="center"/>
          </w:tcPr>
          <w:p w14:paraId="4C6371DB">
            <w:pPr>
              <w:ind w:left="223" w:hanging="222" w:hangingChars="106"/>
              <w:jc w:val="center"/>
              <w:rPr>
                <w:color w:val="auto"/>
                <w:sz w:val="21"/>
                <w:szCs w:val="21"/>
                <w:highlight w:val="none"/>
              </w:rPr>
            </w:pPr>
          </w:p>
        </w:tc>
        <w:tc>
          <w:tcPr>
            <w:tcW w:w="1276" w:type="dxa"/>
            <w:vAlign w:val="center"/>
          </w:tcPr>
          <w:p w14:paraId="6131FCAB">
            <w:pPr>
              <w:ind w:left="223" w:hanging="222" w:hangingChars="106"/>
              <w:jc w:val="center"/>
              <w:rPr>
                <w:color w:val="auto"/>
                <w:sz w:val="21"/>
                <w:szCs w:val="21"/>
                <w:highlight w:val="none"/>
              </w:rPr>
            </w:pPr>
          </w:p>
        </w:tc>
      </w:tr>
      <w:tr w14:paraId="443A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18B80F3">
            <w:pPr>
              <w:pStyle w:val="39"/>
              <w:keepNext w:val="0"/>
              <w:keepLines w:val="0"/>
              <w:pageBreakBefore w:val="0"/>
              <w:kinsoku/>
              <w:wordWrap/>
              <w:overflowPunct/>
              <w:topLinePunct w:val="0"/>
              <w:bidi w:val="0"/>
              <w:adjustRightInd/>
              <w:snapToGrid/>
              <w:jc w:val="both"/>
              <w:textAlignment w:val="auto"/>
              <w:outlineLvl w:val="9"/>
              <w:rPr>
                <w:rFonts w:hint="eastAsia" w:ascii="宋体" w:hAnsi="宋体" w:eastAsia="宋体" w:cs="宋体"/>
                <w:color w:val="auto"/>
                <w:kern w:val="2"/>
                <w:sz w:val="21"/>
                <w:szCs w:val="21"/>
                <w:highlight w:val="yellow"/>
                <w:lang w:val="en-US" w:eastAsia="zh-CN" w:bidi="zh-CN"/>
              </w:rPr>
            </w:pPr>
            <w:r>
              <w:rPr>
                <w:rFonts w:hint="eastAsia" w:cs="宋体"/>
                <w:color w:val="auto"/>
                <w:kern w:val="2"/>
                <w:sz w:val="21"/>
                <w:szCs w:val="21"/>
                <w:highlight w:val="yellow"/>
                <w:lang w:val="en-US" w:eastAsia="zh-CN" w:bidi="zh-CN"/>
              </w:rPr>
              <w:t>材料员</w:t>
            </w:r>
          </w:p>
        </w:tc>
        <w:tc>
          <w:tcPr>
            <w:tcW w:w="829" w:type="dxa"/>
            <w:vAlign w:val="center"/>
          </w:tcPr>
          <w:p w14:paraId="68D34D55">
            <w:pPr>
              <w:ind w:left="223" w:hanging="222" w:hangingChars="106"/>
              <w:jc w:val="center"/>
              <w:rPr>
                <w:color w:val="auto"/>
                <w:sz w:val="21"/>
                <w:szCs w:val="21"/>
                <w:highlight w:val="none"/>
              </w:rPr>
            </w:pPr>
          </w:p>
        </w:tc>
        <w:tc>
          <w:tcPr>
            <w:tcW w:w="816" w:type="dxa"/>
            <w:vAlign w:val="center"/>
          </w:tcPr>
          <w:p w14:paraId="0E4856EA">
            <w:pPr>
              <w:ind w:left="223" w:hanging="222" w:hangingChars="106"/>
              <w:jc w:val="center"/>
              <w:rPr>
                <w:color w:val="auto"/>
                <w:sz w:val="21"/>
                <w:szCs w:val="21"/>
                <w:highlight w:val="none"/>
              </w:rPr>
            </w:pPr>
          </w:p>
        </w:tc>
        <w:tc>
          <w:tcPr>
            <w:tcW w:w="1148" w:type="dxa"/>
            <w:vAlign w:val="center"/>
          </w:tcPr>
          <w:p w14:paraId="755DB6E4">
            <w:pPr>
              <w:ind w:left="223" w:hanging="222" w:hangingChars="106"/>
              <w:jc w:val="center"/>
              <w:rPr>
                <w:color w:val="auto"/>
                <w:sz w:val="21"/>
                <w:szCs w:val="21"/>
                <w:highlight w:val="none"/>
              </w:rPr>
            </w:pPr>
          </w:p>
        </w:tc>
        <w:tc>
          <w:tcPr>
            <w:tcW w:w="1148" w:type="dxa"/>
            <w:vAlign w:val="center"/>
          </w:tcPr>
          <w:p w14:paraId="656BFA05">
            <w:pPr>
              <w:ind w:left="223" w:hanging="222" w:hangingChars="106"/>
              <w:jc w:val="center"/>
              <w:rPr>
                <w:color w:val="auto"/>
                <w:sz w:val="21"/>
                <w:szCs w:val="21"/>
                <w:highlight w:val="none"/>
              </w:rPr>
            </w:pPr>
          </w:p>
        </w:tc>
        <w:tc>
          <w:tcPr>
            <w:tcW w:w="1148" w:type="dxa"/>
            <w:vAlign w:val="center"/>
          </w:tcPr>
          <w:p w14:paraId="0AA73BF9">
            <w:pPr>
              <w:ind w:left="223" w:hanging="222" w:hangingChars="106"/>
              <w:jc w:val="center"/>
              <w:rPr>
                <w:color w:val="auto"/>
                <w:sz w:val="21"/>
                <w:szCs w:val="21"/>
                <w:highlight w:val="none"/>
              </w:rPr>
            </w:pPr>
          </w:p>
        </w:tc>
        <w:tc>
          <w:tcPr>
            <w:tcW w:w="1148" w:type="dxa"/>
            <w:vAlign w:val="center"/>
          </w:tcPr>
          <w:p w14:paraId="6AFF5862">
            <w:pPr>
              <w:ind w:left="223" w:hanging="222" w:hangingChars="106"/>
              <w:jc w:val="center"/>
              <w:rPr>
                <w:color w:val="auto"/>
                <w:sz w:val="21"/>
                <w:szCs w:val="21"/>
                <w:highlight w:val="none"/>
              </w:rPr>
            </w:pPr>
          </w:p>
        </w:tc>
        <w:tc>
          <w:tcPr>
            <w:tcW w:w="850" w:type="dxa"/>
            <w:vAlign w:val="center"/>
          </w:tcPr>
          <w:p w14:paraId="2749C3A5">
            <w:pPr>
              <w:ind w:left="223" w:hanging="222" w:hangingChars="106"/>
              <w:jc w:val="center"/>
              <w:rPr>
                <w:color w:val="auto"/>
                <w:sz w:val="21"/>
                <w:szCs w:val="21"/>
                <w:highlight w:val="none"/>
              </w:rPr>
            </w:pPr>
          </w:p>
        </w:tc>
        <w:tc>
          <w:tcPr>
            <w:tcW w:w="1276" w:type="dxa"/>
            <w:vAlign w:val="center"/>
          </w:tcPr>
          <w:p w14:paraId="65843E4D">
            <w:pPr>
              <w:ind w:left="223" w:hanging="222" w:hangingChars="106"/>
              <w:jc w:val="center"/>
              <w:rPr>
                <w:color w:val="auto"/>
                <w:sz w:val="21"/>
                <w:szCs w:val="21"/>
                <w:highlight w:val="none"/>
              </w:rPr>
            </w:pPr>
          </w:p>
        </w:tc>
      </w:tr>
      <w:tr w14:paraId="3D7FE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297E419">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yellow"/>
                <w:lang w:val="zh-CN" w:eastAsia="zh-CN" w:bidi="zh-CN"/>
              </w:rPr>
            </w:pPr>
            <w:r>
              <w:rPr>
                <w:rFonts w:hint="eastAsia" w:cs="宋体"/>
                <w:color w:val="auto"/>
                <w:kern w:val="2"/>
                <w:sz w:val="21"/>
                <w:szCs w:val="21"/>
                <w:highlight w:val="yellow"/>
                <w:lang w:val="zh-CN" w:eastAsia="zh-CN" w:bidi="zh-CN"/>
              </w:rPr>
              <w:t>资料员</w:t>
            </w:r>
          </w:p>
        </w:tc>
        <w:tc>
          <w:tcPr>
            <w:tcW w:w="829" w:type="dxa"/>
            <w:vAlign w:val="center"/>
          </w:tcPr>
          <w:p w14:paraId="43CA0B4F">
            <w:pPr>
              <w:ind w:left="223" w:hanging="222" w:hangingChars="106"/>
              <w:jc w:val="center"/>
              <w:rPr>
                <w:color w:val="auto"/>
                <w:sz w:val="21"/>
                <w:szCs w:val="21"/>
                <w:highlight w:val="none"/>
              </w:rPr>
            </w:pPr>
          </w:p>
        </w:tc>
        <w:tc>
          <w:tcPr>
            <w:tcW w:w="816" w:type="dxa"/>
            <w:vAlign w:val="center"/>
          </w:tcPr>
          <w:p w14:paraId="49D82682">
            <w:pPr>
              <w:ind w:left="223" w:hanging="222" w:hangingChars="106"/>
              <w:jc w:val="center"/>
              <w:rPr>
                <w:color w:val="auto"/>
                <w:sz w:val="21"/>
                <w:szCs w:val="21"/>
                <w:highlight w:val="none"/>
              </w:rPr>
            </w:pPr>
          </w:p>
        </w:tc>
        <w:tc>
          <w:tcPr>
            <w:tcW w:w="1148" w:type="dxa"/>
            <w:vAlign w:val="center"/>
          </w:tcPr>
          <w:p w14:paraId="2D8151BE">
            <w:pPr>
              <w:ind w:left="223" w:hanging="222" w:hangingChars="106"/>
              <w:jc w:val="center"/>
              <w:rPr>
                <w:color w:val="auto"/>
                <w:sz w:val="21"/>
                <w:szCs w:val="21"/>
                <w:highlight w:val="none"/>
              </w:rPr>
            </w:pPr>
          </w:p>
        </w:tc>
        <w:tc>
          <w:tcPr>
            <w:tcW w:w="1148" w:type="dxa"/>
            <w:vAlign w:val="center"/>
          </w:tcPr>
          <w:p w14:paraId="72F00A48">
            <w:pPr>
              <w:ind w:left="223" w:hanging="222" w:hangingChars="106"/>
              <w:jc w:val="center"/>
              <w:rPr>
                <w:color w:val="auto"/>
                <w:sz w:val="21"/>
                <w:szCs w:val="21"/>
                <w:highlight w:val="none"/>
              </w:rPr>
            </w:pPr>
          </w:p>
        </w:tc>
        <w:tc>
          <w:tcPr>
            <w:tcW w:w="1148" w:type="dxa"/>
            <w:vAlign w:val="center"/>
          </w:tcPr>
          <w:p w14:paraId="34967AAA">
            <w:pPr>
              <w:ind w:left="223" w:hanging="222" w:hangingChars="106"/>
              <w:jc w:val="center"/>
              <w:rPr>
                <w:color w:val="auto"/>
                <w:sz w:val="21"/>
                <w:szCs w:val="21"/>
                <w:highlight w:val="none"/>
              </w:rPr>
            </w:pPr>
          </w:p>
        </w:tc>
        <w:tc>
          <w:tcPr>
            <w:tcW w:w="1148" w:type="dxa"/>
            <w:vAlign w:val="center"/>
          </w:tcPr>
          <w:p w14:paraId="5B4A7368">
            <w:pPr>
              <w:ind w:left="223" w:hanging="222" w:hangingChars="106"/>
              <w:jc w:val="center"/>
              <w:rPr>
                <w:color w:val="auto"/>
                <w:sz w:val="21"/>
                <w:szCs w:val="21"/>
                <w:highlight w:val="none"/>
              </w:rPr>
            </w:pPr>
          </w:p>
        </w:tc>
        <w:tc>
          <w:tcPr>
            <w:tcW w:w="850" w:type="dxa"/>
            <w:vAlign w:val="center"/>
          </w:tcPr>
          <w:p w14:paraId="0D4F6978">
            <w:pPr>
              <w:ind w:left="223" w:hanging="222" w:hangingChars="106"/>
              <w:jc w:val="center"/>
              <w:rPr>
                <w:color w:val="auto"/>
                <w:sz w:val="21"/>
                <w:szCs w:val="21"/>
                <w:highlight w:val="none"/>
              </w:rPr>
            </w:pPr>
          </w:p>
        </w:tc>
        <w:tc>
          <w:tcPr>
            <w:tcW w:w="1276" w:type="dxa"/>
            <w:vAlign w:val="center"/>
          </w:tcPr>
          <w:p w14:paraId="0D6190C2">
            <w:pPr>
              <w:ind w:left="223" w:hanging="222" w:hangingChars="106"/>
              <w:jc w:val="center"/>
              <w:rPr>
                <w:color w:val="auto"/>
                <w:sz w:val="21"/>
                <w:szCs w:val="21"/>
                <w:highlight w:val="none"/>
              </w:rPr>
            </w:pPr>
          </w:p>
        </w:tc>
      </w:tr>
      <w:tr w14:paraId="7821E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22A30F1B">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73EB5313">
            <w:pPr>
              <w:ind w:left="223" w:hanging="222" w:hangingChars="106"/>
              <w:jc w:val="center"/>
              <w:rPr>
                <w:color w:val="auto"/>
                <w:sz w:val="21"/>
                <w:szCs w:val="21"/>
                <w:highlight w:val="none"/>
              </w:rPr>
            </w:pPr>
          </w:p>
        </w:tc>
        <w:tc>
          <w:tcPr>
            <w:tcW w:w="816" w:type="dxa"/>
            <w:vAlign w:val="center"/>
          </w:tcPr>
          <w:p w14:paraId="11009949">
            <w:pPr>
              <w:ind w:left="223" w:hanging="222" w:hangingChars="106"/>
              <w:jc w:val="center"/>
              <w:rPr>
                <w:color w:val="auto"/>
                <w:sz w:val="21"/>
                <w:szCs w:val="21"/>
                <w:highlight w:val="none"/>
              </w:rPr>
            </w:pPr>
          </w:p>
        </w:tc>
        <w:tc>
          <w:tcPr>
            <w:tcW w:w="1148" w:type="dxa"/>
            <w:vAlign w:val="center"/>
          </w:tcPr>
          <w:p w14:paraId="6F86550E">
            <w:pPr>
              <w:ind w:left="223" w:hanging="222" w:hangingChars="106"/>
              <w:jc w:val="center"/>
              <w:rPr>
                <w:color w:val="auto"/>
                <w:sz w:val="21"/>
                <w:szCs w:val="21"/>
                <w:highlight w:val="none"/>
              </w:rPr>
            </w:pPr>
          </w:p>
        </w:tc>
        <w:tc>
          <w:tcPr>
            <w:tcW w:w="1148" w:type="dxa"/>
            <w:vAlign w:val="center"/>
          </w:tcPr>
          <w:p w14:paraId="08927360">
            <w:pPr>
              <w:ind w:left="223" w:hanging="222" w:hangingChars="106"/>
              <w:jc w:val="center"/>
              <w:rPr>
                <w:color w:val="auto"/>
                <w:sz w:val="21"/>
                <w:szCs w:val="21"/>
                <w:highlight w:val="none"/>
              </w:rPr>
            </w:pPr>
          </w:p>
        </w:tc>
        <w:tc>
          <w:tcPr>
            <w:tcW w:w="1148" w:type="dxa"/>
            <w:vAlign w:val="center"/>
          </w:tcPr>
          <w:p w14:paraId="07BE2838">
            <w:pPr>
              <w:ind w:left="223" w:hanging="222" w:hangingChars="106"/>
              <w:jc w:val="center"/>
              <w:rPr>
                <w:color w:val="auto"/>
                <w:sz w:val="21"/>
                <w:szCs w:val="21"/>
                <w:highlight w:val="none"/>
              </w:rPr>
            </w:pPr>
          </w:p>
        </w:tc>
        <w:tc>
          <w:tcPr>
            <w:tcW w:w="1148" w:type="dxa"/>
            <w:vAlign w:val="center"/>
          </w:tcPr>
          <w:p w14:paraId="53AB7567">
            <w:pPr>
              <w:ind w:left="223" w:hanging="222" w:hangingChars="106"/>
              <w:jc w:val="center"/>
              <w:rPr>
                <w:color w:val="auto"/>
                <w:sz w:val="21"/>
                <w:szCs w:val="21"/>
                <w:highlight w:val="none"/>
              </w:rPr>
            </w:pPr>
          </w:p>
        </w:tc>
        <w:tc>
          <w:tcPr>
            <w:tcW w:w="850" w:type="dxa"/>
            <w:vAlign w:val="center"/>
          </w:tcPr>
          <w:p w14:paraId="16F81FBF">
            <w:pPr>
              <w:ind w:left="223" w:hanging="222" w:hangingChars="106"/>
              <w:jc w:val="center"/>
              <w:rPr>
                <w:color w:val="auto"/>
                <w:sz w:val="21"/>
                <w:szCs w:val="21"/>
                <w:highlight w:val="none"/>
              </w:rPr>
            </w:pPr>
          </w:p>
        </w:tc>
        <w:tc>
          <w:tcPr>
            <w:tcW w:w="1276" w:type="dxa"/>
            <w:vAlign w:val="center"/>
          </w:tcPr>
          <w:p w14:paraId="21077FC2">
            <w:pPr>
              <w:ind w:left="223" w:hanging="222" w:hangingChars="106"/>
              <w:jc w:val="center"/>
              <w:rPr>
                <w:color w:val="auto"/>
                <w:sz w:val="21"/>
                <w:szCs w:val="21"/>
                <w:highlight w:val="none"/>
              </w:rPr>
            </w:pPr>
          </w:p>
        </w:tc>
      </w:tr>
      <w:tr w14:paraId="78BB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A980F91">
            <w:pPr>
              <w:pStyle w:val="39"/>
              <w:keepNext w:val="0"/>
              <w:keepLines w:val="0"/>
              <w:pageBreakBefore w:val="0"/>
              <w:kinsoku/>
              <w:wordWrap/>
              <w:overflowPunct/>
              <w:topLinePunct w:val="0"/>
              <w:bidi w:val="0"/>
              <w:adjustRightInd/>
              <w:snapToGrid/>
              <w:jc w:val="center"/>
              <w:textAlignment w:val="auto"/>
              <w:outlineLvl w:val="9"/>
              <w:rPr>
                <w:rFonts w:hint="default" w:ascii="宋体" w:hAnsi="宋体" w:eastAsia="宋体" w:cs="宋体"/>
                <w:color w:val="auto"/>
                <w:kern w:val="2"/>
                <w:sz w:val="21"/>
                <w:szCs w:val="21"/>
                <w:highlight w:val="none"/>
                <w:lang w:val="en-US" w:eastAsia="zh-CN" w:bidi="zh-CN"/>
              </w:rPr>
            </w:pPr>
          </w:p>
        </w:tc>
        <w:tc>
          <w:tcPr>
            <w:tcW w:w="829" w:type="dxa"/>
            <w:vAlign w:val="center"/>
          </w:tcPr>
          <w:p w14:paraId="6D44CC67">
            <w:pPr>
              <w:ind w:left="223" w:hanging="222" w:hangingChars="106"/>
              <w:jc w:val="center"/>
              <w:rPr>
                <w:color w:val="auto"/>
                <w:sz w:val="21"/>
                <w:szCs w:val="21"/>
                <w:highlight w:val="none"/>
              </w:rPr>
            </w:pPr>
          </w:p>
        </w:tc>
        <w:tc>
          <w:tcPr>
            <w:tcW w:w="816" w:type="dxa"/>
            <w:vAlign w:val="center"/>
          </w:tcPr>
          <w:p w14:paraId="4A6AAD5B">
            <w:pPr>
              <w:ind w:left="223" w:hanging="222" w:hangingChars="106"/>
              <w:jc w:val="center"/>
              <w:rPr>
                <w:color w:val="auto"/>
                <w:sz w:val="21"/>
                <w:szCs w:val="21"/>
                <w:highlight w:val="none"/>
              </w:rPr>
            </w:pPr>
          </w:p>
        </w:tc>
        <w:tc>
          <w:tcPr>
            <w:tcW w:w="1148" w:type="dxa"/>
            <w:vAlign w:val="center"/>
          </w:tcPr>
          <w:p w14:paraId="5F79C2A3">
            <w:pPr>
              <w:ind w:left="223" w:hanging="222" w:hangingChars="106"/>
              <w:jc w:val="center"/>
              <w:rPr>
                <w:color w:val="auto"/>
                <w:sz w:val="21"/>
                <w:szCs w:val="21"/>
                <w:highlight w:val="none"/>
              </w:rPr>
            </w:pPr>
          </w:p>
        </w:tc>
        <w:tc>
          <w:tcPr>
            <w:tcW w:w="1148" w:type="dxa"/>
            <w:vAlign w:val="center"/>
          </w:tcPr>
          <w:p w14:paraId="131B697C">
            <w:pPr>
              <w:ind w:left="223" w:hanging="222" w:hangingChars="106"/>
              <w:jc w:val="center"/>
              <w:rPr>
                <w:color w:val="auto"/>
                <w:sz w:val="21"/>
                <w:szCs w:val="21"/>
                <w:highlight w:val="none"/>
              </w:rPr>
            </w:pPr>
          </w:p>
        </w:tc>
        <w:tc>
          <w:tcPr>
            <w:tcW w:w="1148" w:type="dxa"/>
            <w:vAlign w:val="center"/>
          </w:tcPr>
          <w:p w14:paraId="2C49C1C4">
            <w:pPr>
              <w:ind w:left="223" w:hanging="222" w:hangingChars="106"/>
              <w:jc w:val="center"/>
              <w:rPr>
                <w:color w:val="auto"/>
                <w:sz w:val="21"/>
                <w:szCs w:val="21"/>
                <w:highlight w:val="none"/>
              </w:rPr>
            </w:pPr>
          </w:p>
        </w:tc>
        <w:tc>
          <w:tcPr>
            <w:tcW w:w="1148" w:type="dxa"/>
            <w:vAlign w:val="center"/>
          </w:tcPr>
          <w:p w14:paraId="09F74091">
            <w:pPr>
              <w:ind w:left="223" w:hanging="222" w:hangingChars="106"/>
              <w:jc w:val="center"/>
              <w:rPr>
                <w:color w:val="auto"/>
                <w:sz w:val="21"/>
                <w:szCs w:val="21"/>
                <w:highlight w:val="none"/>
              </w:rPr>
            </w:pPr>
          </w:p>
        </w:tc>
        <w:tc>
          <w:tcPr>
            <w:tcW w:w="850" w:type="dxa"/>
            <w:vAlign w:val="center"/>
          </w:tcPr>
          <w:p w14:paraId="7B7E53DF">
            <w:pPr>
              <w:ind w:left="223" w:hanging="222" w:hangingChars="106"/>
              <w:jc w:val="center"/>
              <w:rPr>
                <w:color w:val="auto"/>
                <w:sz w:val="21"/>
                <w:szCs w:val="21"/>
                <w:highlight w:val="none"/>
              </w:rPr>
            </w:pPr>
          </w:p>
        </w:tc>
        <w:tc>
          <w:tcPr>
            <w:tcW w:w="1276" w:type="dxa"/>
            <w:vAlign w:val="center"/>
          </w:tcPr>
          <w:p w14:paraId="15A2A00F">
            <w:pPr>
              <w:ind w:left="223" w:hanging="222" w:hangingChars="106"/>
              <w:jc w:val="center"/>
              <w:rPr>
                <w:color w:val="auto"/>
                <w:sz w:val="21"/>
                <w:szCs w:val="21"/>
                <w:highlight w:val="none"/>
              </w:rPr>
            </w:pPr>
          </w:p>
        </w:tc>
      </w:tr>
      <w:tr w14:paraId="3251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373BAD3A">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10518FDB">
            <w:pPr>
              <w:ind w:left="223" w:hanging="222" w:hangingChars="106"/>
              <w:jc w:val="center"/>
              <w:rPr>
                <w:color w:val="auto"/>
                <w:sz w:val="21"/>
                <w:szCs w:val="21"/>
                <w:highlight w:val="none"/>
              </w:rPr>
            </w:pPr>
          </w:p>
        </w:tc>
        <w:tc>
          <w:tcPr>
            <w:tcW w:w="816" w:type="dxa"/>
            <w:vAlign w:val="center"/>
          </w:tcPr>
          <w:p w14:paraId="512875A5">
            <w:pPr>
              <w:ind w:left="223" w:hanging="222" w:hangingChars="106"/>
              <w:jc w:val="center"/>
              <w:rPr>
                <w:color w:val="auto"/>
                <w:sz w:val="21"/>
                <w:szCs w:val="21"/>
                <w:highlight w:val="none"/>
              </w:rPr>
            </w:pPr>
          </w:p>
        </w:tc>
        <w:tc>
          <w:tcPr>
            <w:tcW w:w="1148" w:type="dxa"/>
            <w:vAlign w:val="center"/>
          </w:tcPr>
          <w:p w14:paraId="7392E25D">
            <w:pPr>
              <w:ind w:left="223" w:hanging="222" w:hangingChars="106"/>
              <w:jc w:val="center"/>
              <w:rPr>
                <w:color w:val="auto"/>
                <w:sz w:val="21"/>
                <w:szCs w:val="21"/>
                <w:highlight w:val="none"/>
              </w:rPr>
            </w:pPr>
          </w:p>
        </w:tc>
        <w:tc>
          <w:tcPr>
            <w:tcW w:w="1148" w:type="dxa"/>
            <w:vAlign w:val="center"/>
          </w:tcPr>
          <w:p w14:paraId="2A825BF8">
            <w:pPr>
              <w:ind w:left="223" w:hanging="222" w:hangingChars="106"/>
              <w:jc w:val="center"/>
              <w:rPr>
                <w:color w:val="auto"/>
                <w:sz w:val="21"/>
                <w:szCs w:val="21"/>
                <w:highlight w:val="none"/>
              </w:rPr>
            </w:pPr>
          </w:p>
        </w:tc>
        <w:tc>
          <w:tcPr>
            <w:tcW w:w="1148" w:type="dxa"/>
            <w:vAlign w:val="center"/>
          </w:tcPr>
          <w:p w14:paraId="52EDBE69">
            <w:pPr>
              <w:ind w:left="223" w:hanging="222" w:hangingChars="106"/>
              <w:jc w:val="center"/>
              <w:rPr>
                <w:color w:val="auto"/>
                <w:sz w:val="21"/>
                <w:szCs w:val="21"/>
                <w:highlight w:val="none"/>
              </w:rPr>
            </w:pPr>
          </w:p>
        </w:tc>
        <w:tc>
          <w:tcPr>
            <w:tcW w:w="1148" w:type="dxa"/>
            <w:vAlign w:val="center"/>
          </w:tcPr>
          <w:p w14:paraId="653565D9">
            <w:pPr>
              <w:ind w:left="223" w:hanging="222" w:hangingChars="106"/>
              <w:jc w:val="center"/>
              <w:rPr>
                <w:color w:val="auto"/>
                <w:sz w:val="21"/>
                <w:szCs w:val="21"/>
                <w:highlight w:val="none"/>
              </w:rPr>
            </w:pPr>
          </w:p>
        </w:tc>
        <w:tc>
          <w:tcPr>
            <w:tcW w:w="850" w:type="dxa"/>
            <w:vAlign w:val="center"/>
          </w:tcPr>
          <w:p w14:paraId="2CD78023">
            <w:pPr>
              <w:ind w:left="223" w:hanging="222" w:hangingChars="106"/>
              <w:jc w:val="center"/>
              <w:rPr>
                <w:color w:val="auto"/>
                <w:sz w:val="21"/>
                <w:szCs w:val="21"/>
                <w:highlight w:val="none"/>
              </w:rPr>
            </w:pPr>
          </w:p>
        </w:tc>
        <w:tc>
          <w:tcPr>
            <w:tcW w:w="1276" w:type="dxa"/>
            <w:vAlign w:val="center"/>
          </w:tcPr>
          <w:p w14:paraId="3F03CBAC">
            <w:pPr>
              <w:ind w:left="223" w:hanging="222" w:hangingChars="106"/>
              <w:jc w:val="center"/>
              <w:rPr>
                <w:color w:val="auto"/>
                <w:sz w:val="21"/>
                <w:szCs w:val="21"/>
                <w:highlight w:val="none"/>
              </w:rPr>
            </w:pPr>
          </w:p>
        </w:tc>
      </w:tr>
      <w:tr w14:paraId="7BF52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1C6EB0AA">
            <w:pPr>
              <w:pStyle w:val="39"/>
              <w:keepNext w:val="0"/>
              <w:keepLines w:val="0"/>
              <w:pageBreakBefore w:val="0"/>
              <w:kinsoku/>
              <w:wordWrap/>
              <w:overflowPunct/>
              <w:topLinePunct w:val="0"/>
              <w:bidi w:val="0"/>
              <w:adjustRightInd/>
              <w:snapToGrid/>
              <w:jc w:val="center"/>
              <w:textAlignment w:val="auto"/>
              <w:outlineLvl w:val="9"/>
              <w:rPr>
                <w:rFonts w:hint="eastAsia" w:ascii="宋体" w:hAnsi="宋体" w:eastAsia="宋体" w:cs="宋体"/>
                <w:color w:val="auto"/>
                <w:kern w:val="2"/>
                <w:sz w:val="21"/>
                <w:szCs w:val="21"/>
                <w:highlight w:val="none"/>
                <w:lang w:val="zh-CN" w:eastAsia="zh-CN" w:bidi="zh-CN"/>
              </w:rPr>
            </w:pPr>
          </w:p>
        </w:tc>
        <w:tc>
          <w:tcPr>
            <w:tcW w:w="829" w:type="dxa"/>
            <w:vAlign w:val="center"/>
          </w:tcPr>
          <w:p w14:paraId="0483D590">
            <w:pPr>
              <w:ind w:left="223" w:hanging="222" w:hangingChars="106"/>
              <w:jc w:val="center"/>
              <w:rPr>
                <w:color w:val="auto"/>
                <w:sz w:val="21"/>
                <w:szCs w:val="21"/>
                <w:highlight w:val="none"/>
              </w:rPr>
            </w:pPr>
          </w:p>
        </w:tc>
        <w:tc>
          <w:tcPr>
            <w:tcW w:w="816" w:type="dxa"/>
            <w:vAlign w:val="center"/>
          </w:tcPr>
          <w:p w14:paraId="657656D5">
            <w:pPr>
              <w:ind w:left="223" w:hanging="222" w:hangingChars="106"/>
              <w:jc w:val="center"/>
              <w:rPr>
                <w:color w:val="auto"/>
                <w:sz w:val="21"/>
                <w:szCs w:val="21"/>
                <w:highlight w:val="none"/>
              </w:rPr>
            </w:pPr>
          </w:p>
        </w:tc>
        <w:tc>
          <w:tcPr>
            <w:tcW w:w="1148" w:type="dxa"/>
            <w:vAlign w:val="center"/>
          </w:tcPr>
          <w:p w14:paraId="795831B4">
            <w:pPr>
              <w:ind w:left="223" w:hanging="222" w:hangingChars="106"/>
              <w:jc w:val="center"/>
              <w:rPr>
                <w:color w:val="auto"/>
                <w:sz w:val="21"/>
                <w:szCs w:val="21"/>
                <w:highlight w:val="none"/>
              </w:rPr>
            </w:pPr>
          </w:p>
        </w:tc>
        <w:tc>
          <w:tcPr>
            <w:tcW w:w="1148" w:type="dxa"/>
            <w:vAlign w:val="center"/>
          </w:tcPr>
          <w:p w14:paraId="6788DEBA">
            <w:pPr>
              <w:ind w:left="223" w:hanging="222" w:hangingChars="106"/>
              <w:jc w:val="center"/>
              <w:rPr>
                <w:color w:val="auto"/>
                <w:sz w:val="21"/>
                <w:szCs w:val="21"/>
                <w:highlight w:val="none"/>
              </w:rPr>
            </w:pPr>
          </w:p>
        </w:tc>
        <w:tc>
          <w:tcPr>
            <w:tcW w:w="1148" w:type="dxa"/>
            <w:vAlign w:val="center"/>
          </w:tcPr>
          <w:p w14:paraId="3C6EBFA0">
            <w:pPr>
              <w:ind w:left="223" w:hanging="222" w:hangingChars="106"/>
              <w:jc w:val="center"/>
              <w:rPr>
                <w:color w:val="auto"/>
                <w:sz w:val="21"/>
                <w:szCs w:val="21"/>
                <w:highlight w:val="none"/>
              </w:rPr>
            </w:pPr>
          </w:p>
        </w:tc>
        <w:tc>
          <w:tcPr>
            <w:tcW w:w="1148" w:type="dxa"/>
            <w:vAlign w:val="center"/>
          </w:tcPr>
          <w:p w14:paraId="13180215">
            <w:pPr>
              <w:ind w:left="223" w:hanging="222" w:hangingChars="106"/>
              <w:jc w:val="center"/>
              <w:rPr>
                <w:color w:val="auto"/>
                <w:sz w:val="21"/>
                <w:szCs w:val="21"/>
                <w:highlight w:val="none"/>
              </w:rPr>
            </w:pPr>
          </w:p>
        </w:tc>
        <w:tc>
          <w:tcPr>
            <w:tcW w:w="850" w:type="dxa"/>
            <w:vAlign w:val="center"/>
          </w:tcPr>
          <w:p w14:paraId="1C7F05EB">
            <w:pPr>
              <w:ind w:left="223" w:hanging="222" w:hangingChars="106"/>
              <w:jc w:val="center"/>
              <w:rPr>
                <w:color w:val="auto"/>
                <w:sz w:val="21"/>
                <w:szCs w:val="21"/>
                <w:highlight w:val="none"/>
              </w:rPr>
            </w:pPr>
          </w:p>
        </w:tc>
        <w:tc>
          <w:tcPr>
            <w:tcW w:w="1276" w:type="dxa"/>
            <w:vAlign w:val="center"/>
          </w:tcPr>
          <w:p w14:paraId="753683A6">
            <w:pPr>
              <w:ind w:left="223" w:hanging="222" w:hangingChars="106"/>
              <w:jc w:val="center"/>
              <w:rPr>
                <w:color w:val="auto"/>
                <w:sz w:val="21"/>
                <w:szCs w:val="21"/>
                <w:highlight w:val="none"/>
              </w:rPr>
            </w:pPr>
          </w:p>
        </w:tc>
      </w:tr>
      <w:tr w14:paraId="69079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5DB28292">
            <w:pPr>
              <w:ind w:left="223" w:hanging="222" w:hangingChars="106"/>
              <w:jc w:val="center"/>
              <w:rPr>
                <w:color w:val="auto"/>
                <w:sz w:val="21"/>
                <w:szCs w:val="21"/>
                <w:highlight w:val="none"/>
              </w:rPr>
            </w:pPr>
            <w:r>
              <w:rPr>
                <w:color w:val="auto"/>
                <w:sz w:val="21"/>
                <w:szCs w:val="21"/>
                <w:highlight w:val="none"/>
              </w:rPr>
              <w:t>……</w:t>
            </w:r>
          </w:p>
        </w:tc>
        <w:tc>
          <w:tcPr>
            <w:tcW w:w="829" w:type="dxa"/>
            <w:vAlign w:val="center"/>
          </w:tcPr>
          <w:p w14:paraId="796B2142">
            <w:pPr>
              <w:ind w:left="223" w:hanging="222" w:hangingChars="106"/>
              <w:jc w:val="center"/>
              <w:rPr>
                <w:color w:val="auto"/>
                <w:sz w:val="21"/>
                <w:szCs w:val="21"/>
                <w:highlight w:val="none"/>
              </w:rPr>
            </w:pPr>
          </w:p>
        </w:tc>
        <w:tc>
          <w:tcPr>
            <w:tcW w:w="816" w:type="dxa"/>
            <w:vAlign w:val="center"/>
          </w:tcPr>
          <w:p w14:paraId="03B05A6E">
            <w:pPr>
              <w:ind w:left="223" w:hanging="222" w:hangingChars="106"/>
              <w:jc w:val="center"/>
              <w:rPr>
                <w:color w:val="auto"/>
                <w:sz w:val="21"/>
                <w:szCs w:val="21"/>
                <w:highlight w:val="none"/>
              </w:rPr>
            </w:pPr>
          </w:p>
        </w:tc>
        <w:tc>
          <w:tcPr>
            <w:tcW w:w="1148" w:type="dxa"/>
            <w:vAlign w:val="center"/>
          </w:tcPr>
          <w:p w14:paraId="6308202D">
            <w:pPr>
              <w:ind w:left="223" w:hanging="222" w:hangingChars="106"/>
              <w:jc w:val="center"/>
              <w:rPr>
                <w:color w:val="auto"/>
                <w:sz w:val="21"/>
                <w:szCs w:val="21"/>
                <w:highlight w:val="none"/>
              </w:rPr>
            </w:pPr>
          </w:p>
        </w:tc>
        <w:tc>
          <w:tcPr>
            <w:tcW w:w="1148" w:type="dxa"/>
            <w:vAlign w:val="center"/>
          </w:tcPr>
          <w:p w14:paraId="1E16280D">
            <w:pPr>
              <w:ind w:left="223" w:hanging="222" w:hangingChars="106"/>
              <w:jc w:val="center"/>
              <w:rPr>
                <w:color w:val="auto"/>
                <w:sz w:val="21"/>
                <w:szCs w:val="21"/>
                <w:highlight w:val="none"/>
              </w:rPr>
            </w:pPr>
          </w:p>
        </w:tc>
        <w:tc>
          <w:tcPr>
            <w:tcW w:w="1148" w:type="dxa"/>
            <w:vAlign w:val="center"/>
          </w:tcPr>
          <w:p w14:paraId="167C8AC0">
            <w:pPr>
              <w:ind w:left="223" w:hanging="222" w:hangingChars="106"/>
              <w:jc w:val="center"/>
              <w:rPr>
                <w:color w:val="auto"/>
                <w:sz w:val="21"/>
                <w:szCs w:val="21"/>
                <w:highlight w:val="none"/>
              </w:rPr>
            </w:pPr>
          </w:p>
        </w:tc>
        <w:tc>
          <w:tcPr>
            <w:tcW w:w="1148" w:type="dxa"/>
            <w:vAlign w:val="center"/>
          </w:tcPr>
          <w:p w14:paraId="794BE19E">
            <w:pPr>
              <w:ind w:left="223" w:hanging="222" w:hangingChars="106"/>
              <w:jc w:val="center"/>
              <w:rPr>
                <w:color w:val="auto"/>
                <w:sz w:val="21"/>
                <w:szCs w:val="21"/>
                <w:highlight w:val="none"/>
              </w:rPr>
            </w:pPr>
          </w:p>
        </w:tc>
        <w:tc>
          <w:tcPr>
            <w:tcW w:w="850" w:type="dxa"/>
            <w:vAlign w:val="center"/>
          </w:tcPr>
          <w:p w14:paraId="38DCC9AF">
            <w:pPr>
              <w:ind w:left="223" w:hanging="222" w:hangingChars="106"/>
              <w:jc w:val="center"/>
              <w:rPr>
                <w:color w:val="auto"/>
                <w:sz w:val="21"/>
                <w:szCs w:val="21"/>
                <w:highlight w:val="none"/>
              </w:rPr>
            </w:pPr>
          </w:p>
        </w:tc>
        <w:tc>
          <w:tcPr>
            <w:tcW w:w="1276" w:type="dxa"/>
            <w:vAlign w:val="center"/>
          </w:tcPr>
          <w:p w14:paraId="1C8EC802">
            <w:pPr>
              <w:ind w:left="223" w:hanging="222" w:hangingChars="106"/>
              <w:jc w:val="center"/>
              <w:rPr>
                <w:color w:val="auto"/>
                <w:sz w:val="21"/>
                <w:szCs w:val="21"/>
                <w:highlight w:val="none"/>
              </w:rPr>
            </w:pPr>
          </w:p>
        </w:tc>
      </w:tr>
      <w:tr w14:paraId="2686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23289C4C">
            <w:pPr>
              <w:spacing w:line="360" w:lineRule="auto"/>
              <w:rPr>
                <w:color w:val="auto"/>
                <w:sz w:val="21"/>
                <w:szCs w:val="22"/>
                <w:highlight w:val="none"/>
              </w:rPr>
            </w:pPr>
            <w:bookmarkStart w:id="126" w:name="_Toc251052199"/>
            <w:r>
              <w:rPr>
                <w:color w:val="auto"/>
                <w:sz w:val="21"/>
                <w:szCs w:val="22"/>
                <w:highlight w:val="none"/>
              </w:rPr>
              <w:t>一旦我单位中标，将实行项目经理负责制，我方保证并配备上述项目管理机构。上述填报内容真实，若不真实，愿按有关规定接受处理。项目管理班子机构设置、职责分工等情况另附资料说明。</w:t>
            </w:r>
            <w:bookmarkEnd w:id="126"/>
          </w:p>
        </w:tc>
      </w:tr>
    </w:tbl>
    <w:p w14:paraId="620CBA74">
      <w:pPr>
        <w:tabs>
          <w:tab w:val="left" w:pos="0"/>
        </w:tabs>
        <w:spacing w:line="360" w:lineRule="auto"/>
        <w:ind w:right="-210"/>
        <w:rPr>
          <w:color w:val="auto"/>
          <w:sz w:val="21"/>
          <w:szCs w:val="21"/>
          <w:highlight w:val="none"/>
        </w:rPr>
      </w:pPr>
    </w:p>
    <w:p w14:paraId="09554F5F">
      <w:pPr>
        <w:spacing w:line="360" w:lineRule="auto"/>
        <w:rPr>
          <w:color w:val="auto"/>
          <w:sz w:val="21"/>
          <w:szCs w:val="22"/>
          <w:highlight w:val="none"/>
        </w:rPr>
      </w:pPr>
      <w:r>
        <w:rPr>
          <w:rFonts w:eastAsia="楷体_GB2312"/>
          <w:color w:val="auto"/>
          <w:sz w:val="21"/>
          <w:szCs w:val="22"/>
          <w:highlight w:val="none"/>
        </w:rPr>
        <w:t>【</w:t>
      </w:r>
      <w:r>
        <w:rPr>
          <w:rFonts w:eastAsia="楷体_GB2312"/>
          <w:color w:val="auto"/>
          <w:sz w:val="21"/>
          <w:szCs w:val="21"/>
          <w:highlight w:val="none"/>
        </w:rPr>
        <w:t>备注：</w:t>
      </w:r>
      <w:r>
        <w:rPr>
          <w:rFonts w:hint="eastAsia" w:eastAsia="楷体_GB2312"/>
          <w:color w:val="auto"/>
          <w:sz w:val="21"/>
          <w:szCs w:val="21"/>
          <w:highlight w:val="none"/>
        </w:rPr>
        <w:t>附以上各岗位人员资格证件等相关证明材料的复印件，以及磋商单位认为需要增加的其他证明材料复印件，以上复印件均须加盖磋商单位单位公章。】</w:t>
      </w:r>
    </w:p>
    <w:p w14:paraId="71E9C6F7">
      <w:pPr>
        <w:spacing w:line="360" w:lineRule="auto"/>
        <w:rPr>
          <w:rFonts w:eastAsia="楷体_GB2312"/>
          <w:color w:val="auto"/>
          <w:sz w:val="21"/>
          <w:szCs w:val="21"/>
          <w:highlight w:val="none"/>
        </w:rPr>
      </w:pPr>
    </w:p>
    <w:p w14:paraId="6804D89F">
      <w:pPr>
        <w:tabs>
          <w:tab w:val="left" w:pos="0"/>
        </w:tabs>
        <w:spacing w:line="360" w:lineRule="auto"/>
        <w:ind w:right="-21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63A9D46E">
      <w:pPr>
        <w:pStyle w:val="35"/>
        <w:jc w:val="center"/>
        <w:outlineLvl w:val="0"/>
        <w:rPr>
          <w:b/>
          <w:color w:val="auto"/>
          <w:sz w:val="24"/>
          <w:highlight w:val="none"/>
        </w:rPr>
      </w:pPr>
      <w:bookmarkStart w:id="127" w:name="_Toc173579006"/>
      <w:bookmarkStart w:id="128" w:name="_Toc389065364"/>
      <w:bookmarkStart w:id="129" w:name="_Toc153274948"/>
      <w:bookmarkStart w:id="130" w:name="_Toc251052200"/>
      <w:bookmarkStart w:id="131" w:name="_Toc172364026"/>
      <w:bookmarkStart w:id="132" w:name="_Toc7001"/>
      <w:r>
        <w:rPr>
          <w:b/>
          <w:color w:val="auto"/>
          <w:sz w:val="24"/>
          <w:highlight w:val="none"/>
        </w:rPr>
        <w:t>2、项目经理（注册建造师）简历表</w:t>
      </w:r>
      <w:bookmarkEnd w:id="127"/>
      <w:bookmarkEnd w:id="128"/>
      <w:bookmarkEnd w:id="129"/>
      <w:bookmarkEnd w:id="130"/>
      <w:bookmarkEnd w:id="131"/>
      <w:bookmarkEnd w:id="132"/>
    </w:p>
    <w:p w14:paraId="525D0DC0">
      <w:pPr>
        <w:pStyle w:val="35"/>
        <w:rPr>
          <w:color w:val="auto"/>
          <w:sz w:val="22"/>
          <w:szCs w:val="22"/>
          <w:highlight w:val="none"/>
          <w:u w:val="single"/>
        </w:rPr>
      </w:pPr>
    </w:p>
    <w:p w14:paraId="44790D42">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u w:val="single"/>
        </w:rPr>
        <w:t xml:space="preserve"> 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427CB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3831F3D1">
            <w:pPr>
              <w:jc w:val="center"/>
              <w:rPr>
                <w:color w:val="auto"/>
                <w:sz w:val="21"/>
                <w:szCs w:val="21"/>
                <w:highlight w:val="none"/>
              </w:rPr>
            </w:pPr>
            <w:r>
              <w:rPr>
                <w:color w:val="auto"/>
                <w:sz w:val="21"/>
                <w:szCs w:val="21"/>
                <w:highlight w:val="none"/>
              </w:rPr>
              <w:t>姓名</w:t>
            </w:r>
          </w:p>
        </w:tc>
        <w:tc>
          <w:tcPr>
            <w:tcW w:w="2340" w:type="dxa"/>
            <w:gridSpan w:val="3"/>
            <w:vAlign w:val="center"/>
          </w:tcPr>
          <w:p w14:paraId="00FD03A8">
            <w:pPr>
              <w:jc w:val="center"/>
              <w:rPr>
                <w:color w:val="auto"/>
                <w:sz w:val="21"/>
                <w:szCs w:val="21"/>
                <w:highlight w:val="none"/>
              </w:rPr>
            </w:pPr>
          </w:p>
        </w:tc>
        <w:tc>
          <w:tcPr>
            <w:tcW w:w="1893" w:type="dxa"/>
            <w:gridSpan w:val="2"/>
            <w:vAlign w:val="center"/>
          </w:tcPr>
          <w:p w14:paraId="4DD9655A">
            <w:pPr>
              <w:jc w:val="center"/>
              <w:rPr>
                <w:color w:val="auto"/>
                <w:sz w:val="21"/>
                <w:szCs w:val="21"/>
                <w:highlight w:val="none"/>
              </w:rPr>
            </w:pPr>
            <w:r>
              <w:rPr>
                <w:color w:val="auto"/>
                <w:sz w:val="21"/>
                <w:szCs w:val="21"/>
                <w:highlight w:val="none"/>
              </w:rPr>
              <w:t>性别</w:t>
            </w:r>
          </w:p>
        </w:tc>
        <w:tc>
          <w:tcPr>
            <w:tcW w:w="1585" w:type="dxa"/>
            <w:gridSpan w:val="2"/>
            <w:vAlign w:val="center"/>
          </w:tcPr>
          <w:p w14:paraId="1C1DBDE4">
            <w:pPr>
              <w:jc w:val="center"/>
              <w:rPr>
                <w:color w:val="auto"/>
                <w:sz w:val="21"/>
                <w:szCs w:val="21"/>
                <w:highlight w:val="none"/>
              </w:rPr>
            </w:pPr>
          </w:p>
        </w:tc>
        <w:tc>
          <w:tcPr>
            <w:tcW w:w="1108" w:type="dxa"/>
            <w:gridSpan w:val="2"/>
            <w:vAlign w:val="center"/>
          </w:tcPr>
          <w:p w14:paraId="1454C7B8">
            <w:pPr>
              <w:jc w:val="center"/>
              <w:rPr>
                <w:color w:val="auto"/>
                <w:sz w:val="21"/>
                <w:szCs w:val="21"/>
                <w:highlight w:val="none"/>
              </w:rPr>
            </w:pPr>
            <w:r>
              <w:rPr>
                <w:color w:val="auto"/>
                <w:sz w:val="21"/>
                <w:szCs w:val="21"/>
                <w:highlight w:val="none"/>
              </w:rPr>
              <w:t>年龄</w:t>
            </w:r>
          </w:p>
        </w:tc>
        <w:tc>
          <w:tcPr>
            <w:tcW w:w="1276" w:type="dxa"/>
            <w:vAlign w:val="center"/>
          </w:tcPr>
          <w:p w14:paraId="349BAB69">
            <w:pPr>
              <w:jc w:val="center"/>
              <w:rPr>
                <w:color w:val="auto"/>
                <w:sz w:val="21"/>
                <w:szCs w:val="21"/>
                <w:highlight w:val="none"/>
              </w:rPr>
            </w:pPr>
          </w:p>
        </w:tc>
      </w:tr>
      <w:tr w14:paraId="5BC4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3C4BA299">
            <w:pPr>
              <w:jc w:val="center"/>
              <w:rPr>
                <w:color w:val="auto"/>
                <w:sz w:val="21"/>
                <w:szCs w:val="21"/>
                <w:highlight w:val="none"/>
              </w:rPr>
            </w:pPr>
            <w:r>
              <w:rPr>
                <w:color w:val="auto"/>
                <w:sz w:val="21"/>
                <w:szCs w:val="21"/>
                <w:highlight w:val="none"/>
              </w:rPr>
              <w:t>职务</w:t>
            </w:r>
          </w:p>
        </w:tc>
        <w:tc>
          <w:tcPr>
            <w:tcW w:w="2340" w:type="dxa"/>
            <w:gridSpan w:val="3"/>
            <w:vAlign w:val="center"/>
          </w:tcPr>
          <w:p w14:paraId="3FCB8F56">
            <w:pPr>
              <w:jc w:val="center"/>
              <w:rPr>
                <w:color w:val="auto"/>
                <w:sz w:val="21"/>
                <w:szCs w:val="21"/>
                <w:highlight w:val="none"/>
              </w:rPr>
            </w:pPr>
          </w:p>
        </w:tc>
        <w:tc>
          <w:tcPr>
            <w:tcW w:w="1893" w:type="dxa"/>
            <w:gridSpan w:val="2"/>
            <w:vAlign w:val="center"/>
          </w:tcPr>
          <w:p w14:paraId="4CD85CCF">
            <w:pPr>
              <w:jc w:val="center"/>
              <w:rPr>
                <w:color w:val="auto"/>
                <w:sz w:val="21"/>
                <w:szCs w:val="21"/>
                <w:highlight w:val="none"/>
              </w:rPr>
            </w:pPr>
            <w:r>
              <w:rPr>
                <w:color w:val="auto"/>
                <w:sz w:val="21"/>
                <w:szCs w:val="21"/>
                <w:highlight w:val="none"/>
              </w:rPr>
              <w:t>职称</w:t>
            </w:r>
          </w:p>
        </w:tc>
        <w:tc>
          <w:tcPr>
            <w:tcW w:w="1585" w:type="dxa"/>
            <w:gridSpan w:val="2"/>
            <w:vAlign w:val="center"/>
          </w:tcPr>
          <w:p w14:paraId="7C4BEB2D">
            <w:pPr>
              <w:jc w:val="center"/>
              <w:rPr>
                <w:color w:val="auto"/>
                <w:sz w:val="21"/>
                <w:szCs w:val="21"/>
                <w:highlight w:val="none"/>
              </w:rPr>
            </w:pPr>
          </w:p>
        </w:tc>
        <w:tc>
          <w:tcPr>
            <w:tcW w:w="1108" w:type="dxa"/>
            <w:gridSpan w:val="2"/>
            <w:vAlign w:val="center"/>
          </w:tcPr>
          <w:p w14:paraId="396E198B">
            <w:pPr>
              <w:jc w:val="center"/>
              <w:rPr>
                <w:color w:val="auto"/>
                <w:sz w:val="21"/>
                <w:szCs w:val="21"/>
                <w:highlight w:val="none"/>
              </w:rPr>
            </w:pPr>
            <w:r>
              <w:rPr>
                <w:color w:val="auto"/>
                <w:sz w:val="21"/>
                <w:szCs w:val="21"/>
                <w:highlight w:val="none"/>
              </w:rPr>
              <w:t>学历</w:t>
            </w:r>
          </w:p>
        </w:tc>
        <w:tc>
          <w:tcPr>
            <w:tcW w:w="1276" w:type="dxa"/>
            <w:vAlign w:val="center"/>
          </w:tcPr>
          <w:p w14:paraId="6A1B9282">
            <w:pPr>
              <w:jc w:val="center"/>
              <w:rPr>
                <w:color w:val="auto"/>
                <w:sz w:val="21"/>
                <w:szCs w:val="21"/>
                <w:highlight w:val="none"/>
              </w:rPr>
            </w:pPr>
          </w:p>
        </w:tc>
      </w:tr>
      <w:tr w14:paraId="26D3C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289BA473">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41D07D2D">
            <w:pPr>
              <w:jc w:val="center"/>
              <w:rPr>
                <w:color w:val="auto"/>
                <w:sz w:val="21"/>
                <w:szCs w:val="21"/>
                <w:highlight w:val="none"/>
              </w:rPr>
            </w:pPr>
          </w:p>
        </w:tc>
        <w:tc>
          <w:tcPr>
            <w:tcW w:w="2693" w:type="dxa"/>
            <w:gridSpan w:val="4"/>
            <w:vAlign w:val="center"/>
          </w:tcPr>
          <w:p w14:paraId="78EB937F">
            <w:pPr>
              <w:jc w:val="center"/>
              <w:rPr>
                <w:color w:val="auto"/>
                <w:sz w:val="21"/>
                <w:szCs w:val="21"/>
                <w:highlight w:val="none"/>
              </w:rPr>
            </w:pPr>
            <w:r>
              <w:rPr>
                <w:color w:val="auto"/>
                <w:sz w:val="21"/>
                <w:szCs w:val="21"/>
                <w:highlight w:val="none"/>
              </w:rPr>
              <w:t>担任项目经理年限</w:t>
            </w:r>
          </w:p>
        </w:tc>
        <w:tc>
          <w:tcPr>
            <w:tcW w:w="1276" w:type="dxa"/>
            <w:vAlign w:val="center"/>
          </w:tcPr>
          <w:p w14:paraId="582F3949">
            <w:pPr>
              <w:jc w:val="center"/>
              <w:rPr>
                <w:color w:val="auto"/>
                <w:sz w:val="21"/>
                <w:szCs w:val="21"/>
                <w:highlight w:val="none"/>
              </w:rPr>
            </w:pPr>
          </w:p>
        </w:tc>
      </w:tr>
      <w:tr w14:paraId="09E9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3423" w:type="dxa"/>
            <w:gridSpan w:val="4"/>
            <w:vAlign w:val="center"/>
          </w:tcPr>
          <w:p w14:paraId="4657EE14">
            <w:pPr>
              <w:jc w:val="center"/>
              <w:rPr>
                <w:rFonts w:hint="eastAsia" w:eastAsia="宋体"/>
                <w:color w:val="auto"/>
                <w:sz w:val="21"/>
                <w:szCs w:val="21"/>
                <w:highlight w:val="none"/>
                <w:lang w:eastAsia="zh-CN"/>
              </w:rPr>
            </w:pPr>
            <w:r>
              <w:rPr>
                <w:rFonts w:hint="eastAsia"/>
                <w:color w:val="auto"/>
                <w:sz w:val="21"/>
                <w:szCs w:val="21"/>
                <w:highlight w:val="none"/>
                <w:lang w:eastAsia="zh-CN"/>
              </w:rPr>
              <w:t>建造师注册编号和安全生产考核合格证编号</w:t>
            </w:r>
          </w:p>
        </w:tc>
        <w:tc>
          <w:tcPr>
            <w:tcW w:w="5862" w:type="dxa"/>
            <w:gridSpan w:val="7"/>
            <w:vAlign w:val="center"/>
          </w:tcPr>
          <w:p w14:paraId="1D1B62F0">
            <w:pPr>
              <w:jc w:val="center"/>
              <w:rPr>
                <w:color w:val="auto"/>
                <w:sz w:val="21"/>
                <w:szCs w:val="21"/>
                <w:highlight w:val="none"/>
              </w:rPr>
            </w:pPr>
          </w:p>
        </w:tc>
      </w:tr>
      <w:tr w14:paraId="666B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4F32E4A3">
            <w:pPr>
              <w:jc w:val="center"/>
              <w:rPr>
                <w:color w:val="auto"/>
                <w:sz w:val="21"/>
                <w:szCs w:val="21"/>
                <w:highlight w:val="none"/>
              </w:rPr>
            </w:pPr>
            <w:r>
              <w:rPr>
                <w:color w:val="auto"/>
                <w:sz w:val="21"/>
                <w:szCs w:val="21"/>
                <w:highlight w:val="none"/>
              </w:rPr>
              <w:t>在建和已完工程项目情况</w:t>
            </w:r>
          </w:p>
        </w:tc>
      </w:tr>
      <w:tr w14:paraId="41F7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536E96BD">
            <w:pPr>
              <w:jc w:val="center"/>
              <w:rPr>
                <w:color w:val="auto"/>
                <w:sz w:val="21"/>
                <w:szCs w:val="21"/>
                <w:highlight w:val="none"/>
              </w:rPr>
            </w:pPr>
            <w:r>
              <w:rPr>
                <w:color w:val="auto"/>
                <w:sz w:val="21"/>
                <w:szCs w:val="21"/>
                <w:highlight w:val="none"/>
              </w:rPr>
              <w:t>建设单位</w:t>
            </w:r>
          </w:p>
        </w:tc>
        <w:tc>
          <w:tcPr>
            <w:tcW w:w="1548" w:type="dxa"/>
            <w:vAlign w:val="center"/>
          </w:tcPr>
          <w:p w14:paraId="5B847C11">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44DB0AD2">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3FEC60C5">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74C12683">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42D32DDB">
            <w:pPr>
              <w:jc w:val="center"/>
              <w:rPr>
                <w:color w:val="auto"/>
                <w:sz w:val="21"/>
                <w:szCs w:val="21"/>
                <w:highlight w:val="none"/>
              </w:rPr>
            </w:pPr>
            <w:r>
              <w:rPr>
                <w:color w:val="auto"/>
                <w:sz w:val="21"/>
                <w:szCs w:val="21"/>
                <w:highlight w:val="none"/>
              </w:rPr>
              <w:t>工程质量</w:t>
            </w:r>
          </w:p>
        </w:tc>
      </w:tr>
      <w:tr w14:paraId="4F41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2780DAC4">
            <w:pPr>
              <w:jc w:val="center"/>
              <w:rPr>
                <w:color w:val="auto"/>
                <w:sz w:val="21"/>
                <w:szCs w:val="21"/>
                <w:highlight w:val="none"/>
              </w:rPr>
            </w:pPr>
          </w:p>
        </w:tc>
        <w:tc>
          <w:tcPr>
            <w:tcW w:w="1548" w:type="dxa"/>
            <w:vAlign w:val="center"/>
          </w:tcPr>
          <w:p w14:paraId="471E39C2">
            <w:pPr>
              <w:jc w:val="center"/>
              <w:rPr>
                <w:color w:val="auto"/>
                <w:sz w:val="21"/>
                <w:szCs w:val="21"/>
                <w:highlight w:val="none"/>
              </w:rPr>
            </w:pPr>
          </w:p>
        </w:tc>
        <w:tc>
          <w:tcPr>
            <w:tcW w:w="1547" w:type="dxa"/>
            <w:gridSpan w:val="2"/>
            <w:vAlign w:val="center"/>
          </w:tcPr>
          <w:p w14:paraId="161F3748">
            <w:pPr>
              <w:jc w:val="center"/>
              <w:rPr>
                <w:color w:val="auto"/>
                <w:sz w:val="21"/>
                <w:szCs w:val="21"/>
                <w:highlight w:val="none"/>
              </w:rPr>
            </w:pPr>
          </w:p>
        </w:tc>
        <w:tc>
          <w:tcPr>
            <w:tcW w:w="1548" w:type="dxa"/>
            <w:gridSpan w:val="2"/>
            <w:vAlign w:val="center"/>
          </w:tcPr>
          <w:p w14:paraId="681C17E7">
            <w:pPr>
              <w:jc w:val="center"/>
              <w:rPr>
                <w:color w:val="auto"/>
                <w:sz w:val="21"/>
                <w:szCs w:val="21"/>
                <w:highlight w:val="none"/>
              </w:rPr>
            </w:pPr>
          </w:p>
        </w:tc>
        <w:tc>
          <w:tcPr>
            <w:tcW w:w="1547" w:type="dxa"/>
            <w:gridSpan w:val="2"/>
            <w:vAlign w:val="center"/>
          </w:tcPr>
          <w:p w14:paraId="76FBDADA">
            <w:pPr>
              <w:jc w:val="center"/>
              <w:rPr>
                <w:color w:val="auto"/>
                <w:sz w:val="21"/>
                <w:szCs w:val="21"/>
                <w:highlight w:val="none"/>
              </w:rPr>
            </w:pPr>
          </w:p>
        </w:tc>
        <w:tc>
          <w:tcPr>
            <w:tcW w:w="1548" w:type="dxa"/>
            <w:gridSpan w:val="2"/>
            <w:vAlign w:val="center"/>
          </w:tcPr>
          <w:p w14:paraId="78E5D45F">
            <w:pPr>
              <w:jc w:val="center"/>
              <w:rPr>
                <w:color w:val="auto"/>
                <w:sz w:val="21"/>
                <w:szCs w:val="21"/>
                <w:highlight w:val="none"/>
              </w:rPr>
            </w:pPr>
          </w:p>
        </w:tc>
      </w:tr>
      <w:tr w14:paraId="227A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1C0B26CC">
            <w:pPr>
              <w:jc w:val="center"/>
              <w:rPr>
                <w:color w:val="auto"/>
                <w:sz w:val="21"/>
                <w:szCs w:val="21"/>
                <w:highlight w:val="none"/>
              </w:rPr>
            </w:pPr>
          </w:p>
        </w:tc>
        <w:tc>
          <w:tcPr>
            <w:tcW w:w="1548" w:type="dxa"/>
            <w:vAlign w:val="center"/>
          </w:tcPr>
          <w:p w14:paraId="5D7519BB">
            <w:pPr>
              <w:jc w:val="center"/>
              <w:rPr>
                <w:color w:val="auto"/>
                <w:sz w:val="21"/>
                <w:szCs w:val="21"/>
                <w:highlight w:val="none"/>
              </w:rPr>
            </w:pPr>
          </w:p>
        </w:tc>
        <w:tc>
          <w:tcPr>
            <w:tcW w:w="1547" w:type="dxa"/>
            <w:gridSpan w:val="2"/>
            <w:vAlign w:val="center"/>
          </w:tcPr>
          <w:p w14:paraId="12291605">
            <w:pPr>
              <w:jc w:val="center"/>
              <w:rPr>
                <w:color w:val="auto"/>
                <w:sz w:val="21"/>
                <w:szCs w:val="21"/>
                <w:highlight w:val="none"/>
              </w:rPr>
            </w:pPr>
          </w:p>
        </w:tc>
        <w:tc>
          <w:tcPr>
            <w:tcW w:w="1548" w:type="dxa"/>
            <w:gridSpan w:val="2"/>
            <w:vAlign w:val="center"/>
          </w:tcPr>
          <w:p w14:paraId="2AB58743">
            <w:pPr>
              <w:jc w:val="center"/>
              <w:rPr>
                <w:color w:val="auto"/>
                <w:sz w:val="21"/>
                <w:szCs w:val="21"/>
                <w:highlight w:val="none"/>
              </w:rPr>
            </w:pPr>
          </w:p>
        </w:tc>
        <w:tc>
          <w:tcPr>
            <w:tcW w:w="1547" w:type="dxa"/>
            <w:gridSpan w:val="2"/>
            <w:vAlign w:val="center"/>
          </w:tcPr>
          <w:p w14:paraId="22BF6ABB">
            <w:pPr>
              <w:jc w:val="center"/>
              <w:rPr>
                <w:color w:val="auto"/>
                <w:sz w:val="21"/>
                <w:szCs w:val="21"/>
                <w:highlight w:val="none"/>
              </w:rPr>
            </w:pPr>
          </w:p>
        </w:tc>
        <w:tc>
          <w:tcPr>
            <w:tcW w:w="1548" w:type="dxa"/>
            <w:gridSpan w:val="2"/>
            <w:vAlign w:val="center"/>
          </w:tcPr>
          <w:p w14:paraId="2DEF8FE2">
            <w:pPr>
              <w:jc w:val="center"/>
              <w:rPr>
                <w:color w:val="auto"/>
                <w:sz w:val="21"/>
                <w:szCs w:val="21"/>
                <w:highlight w:val="none"/>
              </w:rPr>
            </w:pPr>
          </w:p>
        </w:tc>
      </w:tr>
      <w:tr w14:paraId="7A238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4DA96F24">
            <w:pPr>
              <w:jc w:val="center"/>
              <w:rPr>
                <w:color w:val="auto"/>
                <w:sz w:val="21"/>
                <w:szCs w:val="21"/>
                <w:highlight w:val="none"/>
              </w:rPr>
            </w:pPr>
          </w:p>
        </w:tc>
        <w:tc>
          <w:tcPr>
            <w:tcW w:w="1548" w:type="dxa"/>
            <w:vAlign w:val="center"/>
          </w:tcPr>
          <w:p w14:paraId="537B7540">
            <w:pPr>
              <w:jc w:val="center"/>
              <w:rPr>
                <w:color w:val="auto"/>
                <w:sz w:val="21"/>
                <w:szCs w:val="21"/>
                <w:highlight w:val="none"/>
              </w:rPr>
            </w:pPr>
          </w:p>
        </w:tc>
        <w:tc>
          <w:tcPr>
            <w:tcW w:w="1547" w:type="dxa"/>
            <w:gridSpan w:val="2"/>
            <w:vAlign w:val="center"/>
          </w:tcPr>
          <w:p w14:paraId="6A050BBE">
            <w:pPr>
              <w:jc w:val="center"/>
              <w:rPr>
                <w:color w:val="auto"/>
                <w:sz w:val="21"/>
                <w:szCs w:val="21"/>
                <w:highlight w:val="none"/>
              </w:rPr>
            </w:pPr>
          </w:p>
        </w:tc>
        <w:tc>
          <w:tcPr>
            <w:tcW w:w="1548" w:type="dxa"/>
            <w:gridSpan w:val="2"/>
            <w:vAlign w:val="center"/>
          </w:tcPr>
          <w:p w14:paraId="0DED983F">
            <w:pPr>
              <w:jc w:val="center"/>
              <w:rPr>
                <w:color w:val="auto"/>
                <w:sz w:val="21"/>
                <w:szCs w:val="21"/>
                <w:highlight w:val="none"/>
              </w:rPr>
            </w:pPr>
          </w:p>
        </w:tc>
        <w:tc>
          <w:tcPr>
            <w:tcW w:w="1547" w:type="dxa"/>
            <w:gridSpan w:val="2"/>
            <w:vAlign w:val="center"/>
          </w:tcPr>
          <w:p w14:paraId="4A3D3087">
            <w:pPr>
              <w:jc w:val="center"/>
              <w:rPr>
                <w:color w:val="auto"/>
                <w:sz w:val="21"/>
                <w:szCs w:val="21"/>
                <w:highlight w:val="none"/>
              </w:rPr>
            </w:pPr>
          </w:p>
        </w:tc>
        <w:tc>
          <w:tcPr>
            <w:tcW w:w="1548" w:type="dxa"/>
            <w:gridSpan w:val="2"/>
            <w:vAlign w:val="center"/>
          </w:tcPr>
          <w:p w14:paraId="7E63B029">
            <w:pPr>
              <w:jc w:val="center"/>
              <w:rPr>
                <w:color w:val="auto"/>
                <w:sz w:val="21"/>
                <w:szCs w:val="21"/>
                <w:highlight w:val="none"/>
              </w:rPr>
            </w:pPr>
          </w:p>
        </w:tc>
      </w:tr>
      <w:tr w14:paraId="2059A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58CFA649">
            <w:pPr>
              <w:jc w:val="center"/>
              <w:rPr>
                <w:color w:val="auto"/>
                <w:sz w:val="21"/>
                <w:szCs w:val="21"/>
                <w:highlight w:val="none"/>
              </w:rPr>
            </w:pPr>
          </w:p>
        </w:tc>
        <w:tc>
          <w:tcPr>
            <w:tcW w:w="1548" w:type="dxa"/>
            <w:vAlign w:val="center"/>
          </w:tcPr>
          <w:p w14:paraId="244677A7">
            <w:pPr>
              <w:jc w:val="center"/>
              <w:rPr>
                <w:color w:val="auto"/>
                <w:sz w:val="21"/>
                <w:szCs w:val="21"/>
                <w:highlight w:val="none"/>
              </w:rPr>
            </w:pPr>
          </w:p>
        </w:tc>
        <w:tc>
          <w:tcPr>
            <w:tcW w:w="1547" w:type="dxa"/>
            <w:gridSpan w:val="2"/>
            <w:vAlign w:val="center"/>
          </w:tcPr>
          <w:p w14:paraId="435BDD55">
            <w:pPr>
              <w:jc w:val="center"/>
              <w:rPr>
                <w:color w:val="auto"/>
                <w:sz w:val="21"/>
                <w:szCs w:val="21"/>
                <w:highlight w:val="none"/>
              </w:rPr>
            </w:pPr>
          </w:p>
        </w:tc>
        <w:tc>
          <w:tcPr>
            <w:tcW w:w="1548" w:type="dxa"/>
            <w:gridSpan w:val="2"/>
            <w:vAlign w:val="center"/>
          </w:tcPr>
          <w:p w14:paraId="4FD2E698">
            <w:pPr>
              <w:jc w:val="center"/>
              <w:rPr>
                <w:color w:val="auto"/>
                <w:sz w:val="21"/>
                <w:szCs w:val="21"/>
                <w:highlight w:val="none"/>
              </w:rPr>
            </w:pPr>
          </w:p>
        </w:tc>
        <w:tc>
          <w:tcPr>
            <w:tcW w:w="1547" w:type="dxa"/>
            <w:gridSpan w:val="2"/>
            <w:vAlign w:val="center"/>
          </w:tcPr>
          <w:p w14:paraId="52376CC6">
            <w:pPr>
              <w:jc w:val="center"/>
              <w:rPr>
                <w:color w:val="auto"/>
                <w:sz w:val="21"/>
                <w:szCs w:val="21"/>
                <w:highlight w:val="none"/>
              </w:rPr>
            </w:pPr>
          </w:p>
        </w:tc>
        <w:tc>
          <w:tcPr>
            <w:tcW w:w="1548" w:type="dxa"/>
            <w:gridSpan w:val="2"/>
            <w:vAlign w:val="center"/>
          </w:tcPr>
          <w:p w14:paraId="71F2958A">
            <w:pPr>
              <w:jc w:val="center"/>
              <w:rPr>
                <w:color w:val="auto"/>
                <w:sz w:val="21"/>
                <w:szCs w:val="21"/>
                <w:highlight w:val="none"/>
              </w:rPr>
            </w:pPr>
          </w:p>
        </w:tc>
      </w:tr>
    </w:tbl>
    <w:p w14:paraId="4AB554FE">
      <w:pPr>
        <w:spacing w:line="360" w:lineRule="auto"/>
        <w:rPr>
          <w:color w:val="auto"/>
          <w:sz w:val="21"/>
          <w:szCs w:val="22"/>
          <w:highlight w:val="none"/>
        </w:rPr>
      </w:pPr>
    </w:p>
    <w:p w14:paraId="2927CEAE">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备注：</w:t>
      </w:r>
    </w:p>
    <w:p w14:paraId="35267FB3">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项目经理资格证书和已完工程中标通知书（如有）、工程合同协议书的复印件，以及磋商单位认为需要增加的其他证明材料复印件，以上复印件均须加盖磋商单位单位公章。</w:t>
      </w:r>
    </w:p>
    <w:p w14:paraId="2D71D016">
      <w:pPr>
        <w:spacing w:beforeLines="50"/>
        <w:ind w:firstLine="420" w:firstLineChars="200"/>
        <w:rPr>
          <w:rFonts w:eastAsia="楷体_GB2312"/>
          <w:color w:val="auto"/>
          <w:sz w:val="21"/>
          <w:szCs w:val="21"/>
          <w:highlight w:val="none"/>
        </w:rPr>
      </w:pPr>
    </w:p>
    <w:p w14:paraId="250A8BD3">
      <w:pPr>
        <w:spacing w:line="360" w:lineRule="auto"/>
        <w:ind w:firstLine="525" w:firstLineChars="250"/>
        <w:rPr>
          <w:color w:val="auto"/>
          <w:sz w:val="21"/>
          <w:szCs w:val="21"/>
          <w:highlight w:val="none"/>
        </w:rPr>
      </w:pPr>
    </w:p>
    <w:p w14:paraId="6A218E62">
      <w:pPr>
        <w:spacing w:line="360" w:lineRule="auto"/>
        <w:ind w:firstLine="525" w:firstLineChars="250"/>
        <w:rPr>
          <w:color w:val="auto"/>
          <w:sz w:val="21"/>
          <w:szCs w:val="21"/>
          <w:highlight w:val="none"/>
        </w:rPr>
        <w:sectPr>
          <w:pgSz w:w="11907" w:h="16840"/>
          <w:pgMar w:top="1440" w:right="1440" w:bottom="1440" w:left="1797" w:header="851" w:footer="851" w:gutter="0"/>
          <w:pgNumType w:fmt="decimal"/>
          <w:cols w:space="720" w:num="1"/>
          <w:formProt w:val="1"/>
          <w:docGrid w:linePitch="312" w:charSpace="0"/>
        </w:sectPr>
      </w:pPr>
    </w:p>
    <w:p w14:paraId="3363689E">
      <w:pPr>
        <w:spacing w:line="360" w:lineRule="auto"/>
        <w:ind w:firstLine="500" w:firstLineChars="250"/>
        <w:rPr>
          <w:color w:val="auto"/>
          <w:highlight w:val="none"/>
        </w:rPr>
      </w:pPr>
    </w:p>
    <w:p w14:paraId="4261882F">
      <w:pPr>
        <w:pStyle w:val="35"/>
        <w:jc w:val="center"/>
        <w:outlineLvl w:val="0"/>
        <w:rPr>
          <w:b/>
          <w:color w:val="auto"/>
          <w:sz w:val="24"/>
          <w:highlight w:val="none"/>
        </w:rPr>
      </w:pPr>
      <w:bookmarkStart w:id="133" w:name="_Toc8504"/>
      <w:bookmarkStart w:id="134" w:name="_Toc172364027"/>
      <w:bookmarkStart w:id="135" w:name="_Toc173579007"/>
      <w:bookmarkStart w:id="136" w:name="_Toc389065365"/>
      <w:bookmarkStart w:id="137" w:name="_Toc251052219"/>
      <w:bookmarkStart w:id="138" w:name="_Toc153274949"/>
      <w:r>
        <w:rPr>
          <w:rFonts w:hint="eastAsia"/>
          <w:b/>
          <w:color w:val="auto"/>
          <w:sz w:val="24"/>
          <w:highlight w:val="none"/>
          <w:lang w:val="en-US" w:eastAsia="zh-CN"/>
        </w:rPr>
        <w:t>三</w:t>
      </w:r>
      <w:r>
        <w:rPr>
          <w:b/>
          <w:color w:val="auto"/>
          <w:sz w:val="24"/>
          <w:highlight w:val="none"/>
        </w:rPr>
        <w:t>、项目技术负责人简历表</w:t>
      </w:r>
      <w:bookmarkEnd w:id="133"/>
      <w:bookmarkEnd w:id="134"/>
      <w:bookmarkEnd w:id="135"/>
      <w:bookmarkEnd w:id="136"/>
      <w:bookmarkEnd w:id="137"/>
      <w:bookmarkEnd w:id="138"/>
    </w:p>
    <w:p w14:paraId="0444CCA3">
      <w:pPr>
        <w:pStyle w:val="35"/>
        <w:rPr>
          <w:color w:val="auto"/>
          <w:highlight w:val="none"/>
          <w:u w:val="single"/>
        </w:rPr>
      </w:pPr>
    </w:p>
    <w:p w14:paraId="1B78DCDF">
      <w:pPr>
        <w:pStyle w:val="35"/>
        <w:rPr>
          <w:color w:val="auto"/>
          <w:sz w:val="22"/>
          <w:szCs w:val="22"/>
          <w:highlight w:val="none"/>
        </w:rPr>
      </w:pPr>
      <w:r>
        <w:rPr>
          <w:rFonts w:hint="eastAsia"/>
          <w:color w:val="auto"/>
          <w:sz w:val="22"/>
          <w:szCs w:val="22"/>
          <w:highlight w:val="none"/>
          <w:u w:val="single"/>
        </w:rPr>
        <w:t>（</w:t>
      </w:r>
      <w:r>
        <w:rPr>
          <w:color w:val="auto"/>
          <w:sz w:val="22"/>
          <w:szCs w:val="22"/>
          <w:highlight w:val="none"/>
          <w:u w:val="single"/>
        </w:rPr>
        <w:t>项目名称</w:t>
      </w:r>
      <w:r>
        <w:rPr>
          <w:rFonts w:hint="eastAsia"/>
          <w:color w:val="auto"/>
          <w:sz w:val="22"/>
          <w:szCs w:val="22"/>
          <w:highlight w:val="none"/>
          <w:u w:val="single"/>
        </w:rPr>
        <w:t>）</w:t>
      </w:r>
      <w:r>
        <w:rPr>
          <w:color w:val="auto"/>
          <w:sz w:val="22"/>
          <w:szCs w:val="22"/>
          <w:highlight w:val="none"/>
        </w:rPr>
        <w:t xml:space="preserve"> 工程</w:t>
      </w:r>
    </w:p>
    <w:tbl>
      <w:tblPr>
        <w:tblStyle w:val="2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1276"/>
      </w:tblGrid>
      <w:tr w14:paraId="3E77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83" w:type="dxa"/>
            <w:vAlign w:val="center"/>
          </w:tcPr>
          <w:p w14:paraId="7C208384">
            <w:pPr>
              <w:jc w:val="center"/>
              <w:rPr>
                <w:color w:val="auto"/>
                <w:sz w:val="21"/>
                <w:szCs w:val="21"/>
                <w:highlight w:val="none"/>
              </w:rPr>
            </w:pPr>
            <w:r>
              <w:rPr>
                <w:color w:val="auto"/>
                <w:sz w:val="21"/>
                <w:szCs w:val="21"/>
                <w:highlight w:val="none"/>
              </w:rPr>
              <w:t>姓名</w:t>
            </w:r>
          </w:p>
        </w:tc>
        <w:tc>
          <w:tcPr>
            <w:tcW w:w="2340" w:type="dxa"/>
            <w:gridSpan w:val="3"/>
            <w:vAlign w:val="center"/>
          </w:tcPr>
          <w:p w14:paraId="11CBD263">
            <w:pPr>
              <w:jc w:val="center"/>
              <w:rPr>
                <w:color w:val="auto"/>
                <w:sz w:val="21"/>
                <w:szCs w:val="21"/>
                <w:highlight w:val="none"/>
              </w:rPr>
            </w:pPr>
          </w:p>
        </w:tc>
        <w:tc>
          <w:tcPr>
            <w:tcW w:w="1893" w:type="dxa"/>
            <w:gridSpan w:val="2"/>
            <w:vAlign w:val="center"/>
          </w:tcPr>
          <w:p w14:paraId="4D93D3AF">
            <w:pPr>
              <w:jc w:val="center"/>
              <w:rPr>
                <w:color w:val="auto"/>
                <w:sz w:val="21"/>
                <w:szCs w:val="21"/>
                <w:highlight w:val="none"/>
              </w:rPr>
            </w:pPr>
            <w:r>
              <w:rPr>
                <w:color w:val="auto"/>
                <w:sz w:val="21"/>
                <w:szCs w:val="21"/>
                <w:highlight w:val="none"/>
              </w:rPr>
              <w:t>性别</w:t>
            </w:r>
          </w:p>
        </w:tc>
        <w:tc>
          <w:tcPr>
            <w:tcW w:w="1585" w:type="dxa"/>
            <w:gridSpan w:val="2"/>
            <w:vAlign w:val="center"/>
          </w:tcPr>
          <w:p w14:paraId="36F14F63">
            <w:pPr>
              <w:jc w:val="center"/>
              <w:rPr>
                <w:color w:val="auto"/>
                <w:sz w:val="21"/>
                <w:szCs w:val="21"/>
                <w:highlight w:val="none"/>
              </w:rPr>
            </w:pPr>
          </w:p>
        </w:tc>
        <w:tc>
          <w:tcPr>
            <w:tcW w:w="1108" w:type="dxa"/>
            <w:gridSpan w:val="2"/>
            <w:vAlign w:val="center"/>
          </w:tcPr>
          <w:p w14:paraId="08E4B150">
            <w:pPr>
              <w:jc w:val="center"/>
              <w:rPr>
                <w:color w:val="auto"/>
                <w:sz w:val="21"/>
                <w:szCs w:val="21"/>
                <w:highlight w:val="none"/>
              </w:rPr>
            </w:pPr>
            <w:r>
              <w:rPr>
                <w:color w:val="auto"/>
                <w:sz w:val="21"/>
                <w:szCs w:val="21"/>
                <w:highlight w:val="none"/>
              </w:rPr>
              <w:t>年龄</w:t>
            </w:r>
          </w:p>
        </w:tc>
        <w:tc>
          <w:tcPr>
            <w:tcW w:w="1276" w:type="dxa"/>
            <w:vAlign w:val="center"/>
          </w:tcPr>
          <w:p w14:paraId="4D96C95D">
            <w:pPr>
              <w:jc w:val="center"/>
              <w:rPr>
                <w:color w:val="auto"/>
                <w:sz w:val="21"/>
                <w:szCs w:val="21"/>
                <w:highlight w:val="none"/>
              </w:rPr>
            </w:pPr>
          </w:p>
        </w:tc>
      </w:tr>
      <w:tr w14:paraId="60B21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3" w:type="dxa"/>
            <w:vAlign w:val="center"/>
          </w:tcPr>
          <w:p w14:paraId="7B187CFE">
            <w:pPr>
              <w:jc w:val="center"/>
              <w:rPr>
                <w:color w:val="auto"/>
                <w:sz w:val="21"/>
                <w:szCs w:val="21"/>
                <w:highlight w:val="none"/>
              </w:rPr>
            </w:pPr>
            <w:r>
              <w:rPr>
                <w:color w:val="auto"/>
                <w:sz w:val="21"/>
                <w:szCs w:val="21"/>
                <w:highlight w:val="none"/>
              </w:rPr>
              <w:t>职务</w:t>
            </w:r>
          </w:p>
        </w:tc>
        <w:tc>
          <w:tcPr>
            <w:tcW w:w="2340" w:type="dxa"/>
            <w:gridSpan w:val="3"/>
            <w:vAlign w:val="center"/>
          </w:tcPr>
          <w:p w14:paraId="2C62E7DB">
            <w:pPr>
              <w:jc w:val="center"/>
              <w:rPr>
                <w:color w:val="auto"/>
                <w:sz w:val="21"/>
                <w:szCs w:val="21"/>
                <w:highlight w:val="none"/>
              </w:rPr>
            </w:pPr>
          </w:p>
        </w:tc>
        <w:tc>
          <w:tcPr>
            <w:tcW w:w="1893" w:type="dxa"/>
            <w:gridSpan w:val="2"/>
            <w:vAlign w:val="center"/>
          </w:tcPr>
          <w:p w14:paraId="51B7CAA9">
            <w:pPr>
              <w:jc w:val="center"/>
              <w:rPr>
                <w:color w:val="auto"/>
                <w:sz w:val="21"/>
                <w:szCs w:val="21"/>
                <w:highlight w:val="none"/>
              </w:rPr>
            </w:pPr>
            <w:r>
              <w:rPr>
                <w:color w:val="auto"/>
                <w:sz w:val="21"/>
                <w:szCs w:val="21"/>
                <w:highlight w:val="none"/>
              </w:rPr>
              <w:t>职称</w:t>
            </w:r>
          </w:p>
        </w:tc>
        <w:tc>
          <w:tcPr>
            <w:tcW w:w="1585" w:type="dxa"/>
            <w:gridSpan w:val="2"/>
            <w:vAlign w:val="center"/>
          </w:tcPr>
          <w:p w14:paraId="531501DB">
            <w:pPr>
              <w:jc w:val="center"/>
              <w:rPr>
                <w:color w:val="auto"/>
                <w:sz w:val="21"/>
                <w:szCs w:val="21"/>
                <w:highlight w:val="none"/>
              </w:rPr>
            </w:pPr>
          </w:p>
        </w:tc>
        <w:tc>
          <w:tcPr>
            <w:tcW w:w="1108" w:type="dxa"/>
            <w:gridSpan w:val="2"/>
            <w:vAlign w:val="center"/>
          </w:tcPr>
          <w:p w14:paraId="279F43D4">
            <w:pPr>
              <w:jc w:val="center"/>
              <w:rPr>
                <w:color w:val="auto"/>
                <w:sz w:val="21"/>
                <w:szCs w:val="21"/>
                <w:highlight w:val="none"/>
              </w:rPr>
            </w:pPr>
            <w:r>
              <w:rPr>
                <w:color w:val="auto"/>
                <w:sz w:val="21"/>
                <w:szCs w:val="21"/>
                <w:highlight w:val="none"/>
              </w:rPr>
              <w:t>学历</w:t>
            </w:r>
          </w:p>
        </w:tc>
        <w:tc>
          <w:tcPr>
            <w:tcW w:w="1276" w:type="dxa"/>
            <w:vAlign w:val="center"/>
          </w:tcPr>
          <w:p w14:paraId="68DC075B">
            <w:pPr>
              <w:jc w:val="center"/>
              <w:rPr>
                <w:color w:val="auto"/>
                <w:sz w:val="21"/>
                <w:szCs w:val="21"/>
                <w:highlight w:val="none"/>
              </w:rPr>
            </w:pPr>
          </w:p>
        </w:tc>
      </w:tr>
      <w:tr w14:paraId="11419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423" w:type="dxa"/>
            <w:gridSpan w:val="4"/>
            <w:vAlign w:val="center"/>
          </w:tcPr>
          <w:p w14:paraId="4B83B87E">
            <w:pPr>
              <w:jc w:val="center"/>
              <w:rPr>
                <w:color w:val="auto"/>
                <w:sz w:val="21"/>
                <w:szCs w:val="21"/>
                <w:highlight w:val="none"/>
              </w:rPr>
            </w:pPr>
            <w:r>
              <w:rPr>
                <w:color w:val="auto"/>
                <w:sz w:val="21"/>
                <w:szCs w:val="21"/>
                <w:highlight w:val="none"/>
              </w:rPr>
              <w:t>参加工作时间</w:t>
            </w:r>
          </w:p>
        </w:tc>
        <w:tc>
          <w:tcPr>
            <w:tcW w:w="1893" w:type="dxa"/>
            <w:gridSpan w:val="2"/>
            <w:vAlign w:val="center"/>
          </w:tcPr>
          <w:p w14:paraId="0F9601F4">
            <w:pPr>
              <w:jc w:val="center"/>
              <w:rPr>
                <w:color w:val="auto"/>
                <w:sz w:val="21"/>
                <w:szCs w:val="21"/>
                <w:highlight w:val="none"/>
              </w:rPr>
            </w:pPr>
          </w:p>
        </w:tc>
        <w:tc>
          <w:tcPr>
            <w:tcW w:w="2693" w:type="dxa"/>
            <w:gridSpan w:val="4"/>
            <w:vAlign w:val="center"/>
          </w:tcPr>
          <w:p w14:paraId="30F0A81E">
            <w:pPr>
              <w:jc w:val="center"/>
              <w:rPr>
                <w:color w:val="auto"/>
                <w:sz w:val="21"/>
                <w:szCs w:val="21"/>
                <w:highlight w:val="none"/>
              </w:rPr>
            </w:pPr>
            <w:r>
              <w:rPr>
                <w:color w:val="auto"/>
                <w:sz w:val="21"/>
                <w:szCs w:val="21"/>
                <w:highlight w:val="none"/>
              </w:rPr>
              <w:t>担任</w:t>
            </w:r>
            <w:r>
              <w:rPr>
                <w:rFonts w:hint="eastAsia"/>
                <w:color w:val="auto"/>
                <w:sz w:val="21"/>
                <w:szCs w:val="21"/>
                <w:highlight w:val="none"/>
              </w:rPr>
              <w:t>技术负责人</w:t>
            </w:r>
            <w:r>
              <w:rPr>
                <w:color w:val="auto"/>
                <w:sz w:val="21"/>
                <w:szCs w:val="21"/>
                <w:highlight w:val="none"/>
              </w:rPr>
              <w:t>年限</w:t>
            </w:r>
          </w:p>
        </w:tc>
        <w:tc>
          <w:tcPr>
            <w:tcW w:w="1276" w:type="dxa"/>
            <w:vAlign w:val="center"/>
          </w:tcPr>
          <w:p w14:paraId="35BA8A94">
            <w:pPr>
              <w:jc w:val="center"/>
              <w:rPr>
                <w:color w:val="auto"/>
                <w:sz w:val="21"/>
                <w:szCs w:val="21"/>
                <w:highlight w:val="none"/>
              </w:rPr>
            </w:pPr>
          </w:p>
        </w:tc>
      </w:tr>
      <w:tr w14:paraId="23EF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285" w:type="dxa"/>
            <w:gridSpan w:val="11"/>
            <w:vAlign w:val="center"/>
          </w:tcPr>
          <w:p w14:paraId="3A129A37">
            <w:pPr>
              <w:jc w:val="center"/>
              <w:rPr>
                <w:color w:val="auto"/>
                <w:sz w:val="21"/>
                <w:szCs w:val="21"/>
                <w:highlight w:val="none"/>
              </w:rPr>
            </w:pPr>
            <w:r>
              <w:rPr>
                <w:color w:val="auto"/>
                <w:sz w:val="21"/>
                <w:szCs w:val="21"/>
                <w:highlight w:val="none"/>
              </w:rPr>
              <w:t>在建和已完工程项目情况</w:t>
            </w:r>
          </w:p>
        </w:tc>
      </w:tr>
      <w:tr w14:paraId="4148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47" w:type="dxa"/>
            <w:gridSpan w:val="2"/>
            <w:vAlign w:val="center"/>
          </w:tcPr>
          <w:p w14:paraId="428F328C">
            <w:pPr>
              <w:jc w:val="center"/>
              <w:rPr>
                <w:color w:val="auto"/>
                <w:sz w:val="21"/>
                <w:szCs w:val="21"/>
                <w:highlight w:val="none"/>
              </w:rPr>
            </w:pPr>
            <w:r>
              <w:rPr>
                <w:color w:val="auto"/>
                <w:sz w:val="21"/>
                <w:szCs w:val="21"/>
                <w:highlight w:val="none"/>
              </w:rPr>
              <w:t>建设单位</w:t>
            </w:r>
          </w:p>
        </w:tc>
        <w:tc>
          <w:tcPr>
            <w:tcW w:w="1548" w:type="dxa"/>
            <w:vAlign w:val="center"/>
          </w:tcPr>
          <w:p w14:paraId="5F7C6989">
            <w:pPr>
              <w:jc w:val="center"/>
              <w:rPr>
                <w:color w:val="auto"/>
                <w:sz w:val="21"/>
                <w:szCs w:val="21"/>
                <w:highlight w:val="none"/>
              </w:rPr>
            </w:pPr>
            <w:r>
              <w:rPr>
                <w:color w:val="auto"/>
                <w:sz w:val="21"/>
                <w:szCs w:val="21"/>
                <w:highlight w:val="none"/>
              </w:rPr>
              <w:t>项目名称</w:t>
            </w:r>
          </w:p>
        </w:tc>
        <w:tc>
          <w:tcPr>
            <w:tcW w:w="1547" w:type="dxa"/>
            <w:gridSpan w:val="2"/>
            <w:vAlign w:val="center"/>
          </w:tcPr>
          <w:p w14:paraId="03633134">
            <w:pPr>
              <w:jc w:val="center"/>
              <w:rPr>
                <w:color w:val="auto"/>
                <w:sz w:val="21"/>
                <w:szCs w:val="21"/>
                <w:highlight w:val="none"/>
              </w:rPr>
            </w:pPr>
            <w:r>
              <w:rPr>
                <w:color w:val="auto"/>
                <w:sz w:val="21"/>
                <w:szCs w:val="21"/>
                <w:highlight w:val="none"/>
              </w:rPr>
              <w:t>建设规模</w:t>
            </w:r>
          </w:p>
        </w:tc>
        <w:tc>
          <w:tcPr>
            <w:tcW w:w="1548" w:type="dxa"/>
            <w:gridSpan w:val="2"/>
            <w:vAlign w:val="center"/>
          </w:tcPr>
          <w:p w14:paraId="66EA016C">
            <w:pPr>
              <w:jc w:val="center"/>
              <w:rPr>
                <w:color w:val="auto"/>
                <w:sz w:val="21"/>
                <w:szCs w:val="21"/>
                <w:highlight w:val="none"/>
              </w:rPr>
            </w:pPr>
            <w:r>
              <w:rPr>
                <w:color w:val="auto"/>
                <w:sz w:val="21"/>
                <w:szCs w:val="21"/>
                <w:highlight w:val="none"/>
              </w:rPr>
              <w:t>开、竣工日期</w:t>
            </w:r>
          </w:p>
        </w:tc>
        <w:tc>
          <w:tcPr>
            <w:tcW w:w="1547" w:type="dxa"/>
            <w:gridSpan w:val="2"/>
            <w:vAlign w:val="center"/>
          </w:tcPr>
          <w:p w14:paraId="270CC56D">
            <w:pPr>
              <w:jc w:val="center"/>
              <w:rPr>
                <w:color w:val="auto"/>
                <w:sz w:val="21"/>
                <w:szCs w:val="21"/>
                <w:highlight w:val="none"/>
              </w:rPr>
            </w:pPr>
            <w:r>
              <w:rPr>
                <w:color w:val="auto"/>
                <w:sz w:val="21"/>
                <w:szCs w:val="21"/>
                <w:highlight w:val="none"/>
              </w:rPr>
              <w:t>在建或已完</w:t>
            </w:r>
          </w:p>
        </w:tc>
        <w:tc>
          <w:tcPr>
            <w:tcW w:w="1548" w:type="dxa"/>
            <w:gridSpan w:val="2"/>
            <w:vAlign w:val="center"/>
          </w:tcPr>
          <w:p w14:paraId="51AC3C40">
            <w:pPr>
              <w:jc w:val="center"/>
              <w:rPr>
                <w:color w:val="auto"/>
                <w:sz w:val="21"/>
                <w:szCs w:val="21"/>
                <w:highlight w:val="none"/>
              </w:rPr>
            </w:pPr>
            <w:r>
              <w:rPr>
                <w:color w:val="auto"/>
                <w:sz w:val="21"/>
                <w:szCs w:val="21"/>
                <w:highlight w:val="none"/>
              </w:rPr>
              <w:t>工程质量</w:t>
            </w:r>
          </w:p>
        </w:tc>
      </w:tr>
      <w:tr w14:paraId="59A5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61D2D067">
            <w:pPr>
              <w:jc w:val="center"/>
              <w:rPr>
                <w:color w:val="auto"/>
                <w:sz w:val="21"/>
                <w:szCs w:val="21"/>
                <w:highlight w:val="none"/>
              </w:rPr>
            </w:pPr>
          </w:p>
        </w:tc>
        <w:tc>
          <w:tcPr>
            <w:tcW w:w="1548" w:type="dxa"/>
            <w:vAlign w:val="center"/>
          </w:tcPr>
          <w:p w14:paraId="5B3A522C">
            <w:pPr>
              <w:jc w:val="center"/>
              <w:rPr>
                <w:color w:val="auto"/>
                <w:sz w:val="21"/>
                <w:szCs w:val="21"/>
                <w:highlight w:val="none"/>
              </w:rPr>
            </w:pPr>
          </w:p>
        </w:tc>
        <w:tc>
          <w:tcPr>
            <w:tcW w:w="1547" w:type="dxa"/>
            <w:gridSpan w:val="2"/>
            <w:vAlign w:val="center"/>
          </w:tcPr>
          <w:p w14:paraId="517AC996">
            <w:pPr>
              <w:jc w:val="center"/>
              <w:rPr>
                <w:color w:val="auto"/>
                <w:sz w:val="21"/>
                <w:szCs w:val="21"/>
                <w:highlight w:val="none"/>
              </w:rPr>
            </w:pPr>
          </w:p>
        </w:tc>
        <w:tc>
          <w:tcPr>
            <w:tcW w:w="1548" w:type="dxa"/>
            <w:gridSpan w:val="2"/>
            <w:vAlign w:val="center"/>
          </w:tcPr>
          <w:p w14:paraId="65AA156C">
            <w:pPr>
              <w:jc w:val="center"/>
              <w:rPr>
                <w:color w:val="auto"/>
                <w:sz w:val="21"/>
                <w:szCs w:val="21"/>
                <w:highlight w:val="none"/>
              </w:rPr>
            </w:pPr>
          </w:p>
        </w:tc>
        <w:tc>
          <w:tcPr>
            <w:tcW w:w="1547" w:type="dxa"/>
            <w:gridSpan w:val="2"/>
            <w:vAlign w:val="center"/>
          </w:tcPr>
          <w:p w14:paraId="2DE727DC">
            <w:pPr>
              <w:jc w:val="center"/>
              <w:rPr>
                <w:color w:val="auto"/>
                <w:sz w:val="21"/>
                <w:szCs w:val="21"/>
                <w:highlight w:val="none"/>
              </w:rPr>
            </w:pPr>
          </w:p>
        </w:tc>
        <w:tc>
          <w:tcPr>
            <w:tcW w:w="1548" w:type="dxa"/>
            <w:gridSpan w:val="2"/>
            <w:vAlign w:val="center"/>
          </w:tcPr>
          <w:p w14:paraId="19EA49EE">
            <w:pPr>
              <w:jc w:val="center"/>
              <w:rPr>
                <w:color w:val="auto"/>
                <w:sz w:val="21"/>
                <w:szCs w:val="21"/>
                <w:highlight w:val="none"/>
              </w:rPr>
            </w:pPr>
          </w:p>
        </w:tc>
      </w:tr>
      <w:tr w14:paraId="5E81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221100A">
            <w:pPr>
              <w:jc w:val="center"/>
              <w:rPr>
                <w:color w:val="auto"/>
                <w:sz w:val="21"/>
                <w:szCs w:val="21"/>
                <w:highlight w:val="none"/>
              </w:rPr>
            </w:pPr>
          </w:p>
        </w:tc>
        <w:tc>
          <w:tcPr>
            <w:tcW w:w="1548" w:type="dxa"/>
            <w:vAlign w:val="center"/>
          </w:tcPr>
          <w:p w14:paraId="5ACA1FED">
            <w:pPr>
              <w:jc w:val="center"/>
              <w:rPr>
                <w:color w:val="auto"/>
                <w:sz w:val="21"/>
                <w:szCs w:val="21"/>
                <w:highlight w:val="none"/>
              </w:rPr>
            </w:pPr>
          </w:p>
        </w:tc>
        <w:tc>
          <w:tcPr>
            <w:tcW w:w="1547" w:type="dxa"/>
            <w:gridSpan w:val="2"/>
            <w:vAlign w:val="center"/>
          </w:tcPr>
          <w:p w14:paraId="3E9410B4">
            <w:pPr>
              <w:jc w:val="center"/>
              <w:rPr>
                <w:color w:val="auto"/>
                <w:sz w:val="21"/>
                <w:szCs w:val="21"/>
                <w:highlight w:val="none"/>
              </w:rPr>
            </w:pPr>
          </w:p>
        </w:tc>
        <w:tc>
          <w:tcPr>
            <w:tcW w:w="1548" w:type="dxa"/>
            <w:gridSpan w:val="2"/>
            <w:vAlign w:val="center"/>
          </w:tcPr>
          <w:p w14:paraId="0B7EAD64">
            <w:pPr>
              <w:jc w:val="center"/>
              <w:rPr>
                <w:color w:val="auto"/>
                <w:sz w:val="21"/>
                <w:szCs w:val="21"/>
                <w:highlight w:val="none"/>
              </w:rPr>
            </w:pPr>
          </w:p>
        </w:tc>
        <w:tc>
          <w:tcPr>
            <w:tcW w:w="1547" w:type="dxa"/>
            <w:gridSpan w:val="2"/>
            <w:vAlign w:val="center"/>
          </w:tcPr>
          <w:p w14:paraId="0CCFECEB">
            <w:pPr>
              <w:jc w:val="center"/>
              <w:rPr>
                <w:color w:val="auto"/>
                <w:sz w:val="21"/>
                <w:szCs w:val="21"/>
                <w:highlight w:val="none"/>
              </w:rPr>
            </w:pPr>
          </w:p>
        </w:tc>
        <w:tc>
          <w:tcPr>
            <w:tcW w:w="1548" w:type="dxa"/>
            <w:gridSpan w:val="2"/>
            <w:vAlign w:val="center"/>
          </w:tcPr>
          <w:p w14:paraId="115E6BC9">
            <w:pPr>
              <w:jc w:val="center"/>
              <w:rPr>
                <w:color w:val="auto"/>
                <w:sz w:val="21"/>
                <w:szCs w:val="21"/>
                <w:highlight w:val="none"/>
              </w:rPr>
            </w:pPr>
          </w:p>
        </w:tc>
      </w:tr>
      <w:tr w14:paraId="09C4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47" w:type="dxa"/>
            <w:gridSpan w:val="2"/>
            <w:vAlign w:val="center"/>
          </w:tcPr>
          <w:p w14:paraId="08BC7BDE">
            <w:pPr>
              <w:jc w:val="center"/>
              <w:rPr>
                <w:color w:val="auto"/>
                <w:sz w:val="21"/>
                <w:szCs w:val="21"/>
                <w:highlight w:val="none"/>
              </w:rPr>
            </w:pPr>
          </w:p>
        </w:tc>
        <w:tc>
          <w:tcPr>
            <w:tcW w:w="1548" w:type="dxa"/>
            <w:vAlign w:val="center"/>
          </w:tcPr>
          <w:p w14:paraId="29E413A8">
            <w:pPr>
              <w:jc w:val="center"/>
              <w:rPr>
                <w:color w:val="auto"/>
                <w:sz w:val="21"/>
                <w:szCs w:val="21"/>
                <w:highlight w:val="none"/>
              </w:rPr>
            </w:pPr>
          </w:p>
        </w:tc>
        <w:tc>
          <w:tcPr>
            <w:tcW w:w="1547" w:type="dxa"/>
            <w:gridSpan w:val="2"/>
            <w:vAlign w:val="center"/>
          </w:tcPr>
          <w:p w14:paraId="53D23C07">
            <w:pPr>
              <w:jc w:val="center"/>
              <w:rPr>
                <w:color w:val="auto"/>
                <w:sz w:val="21"/>
                <w:szCs w:val="21"/>
                <w:highlight w:val="none"/>
              </w:rPr>
            </w:pPr>
          </w:p>
        </w:tc>
        <w:tc>
          <w:tcPr>
            <w:tcW w:w="1548" w:type="dxa"/>
            <w:gridSpan w:val="2"/>
            <w:vAlign w:val="center"/>
          </w:tcPr>
          <w:p w14:paraId="3FE504A4">
            <w:pPr>
              <w:jc w:val="center"/>
              <w:rPr>
                <w:color w:val="auto"/>
                <w:sz w:val="21"/>
                <w:szCs w:val="21"/>
                <w:highlight w:val="none"/>
              </w:rPr>
            </w:pPr>
          </w:p>
        </w:tc>
        <w:tc>
          <w:tcPr>
            <w:tcW w:w="1547" w:type="dxa"/>
            <w:gridSpan w:val="2"/>
            <w:vAlign w:val="center"/>
          </w:tcPr>
          <w:p w14:paraId="5FA517EE">
            <w:pPr>
              <w:jc w:val="center"/>
              <w:rPr>
                <w:color w:val="auto"/>
                <w:sz w:val="21"/>
                <w:szCs w:val="21"/>
                <w:highlight w:val="none"/>
              </w:rPr>
            </w:pPr>
          </w:p>
        </w:tc>
        <w:tc>
          <w:tcPr>
            <w:tcW w:w="1548" w:type="dxa"/>
            <w:gridSpan w:val="2"/>
            <w:vAlign w:val="center"/>
          </w:tcPr>
          <w:p w14:paraId="2388CF01">
            <w:pPr>
              <w:jc w:val="center"/>
              <w:rPr>
                <w:color w:val="auto"/>
                <w:sz w:val="21"/>
                <w:szCs w:val="21"/>
                <w:highlight w:val="none"/>
              </w:rPr>
            </w:pPr>
          </w:p>
        </w:tc>
      </w:tr>
      <w:tr w14:paraId="54C2E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547" w:type="dxa"/>
            <w:gridSpan w:val="2"/>
            <w:vAlign w:val="center"/>
          </w:tcPr>
          <w:p w14:paraId="32BD607F">
            <w:pPr>
              <w:jc w:val="center"/>
              <w:rPr>
                <w:color w:val="auto"/>
                <w:sz w:val="21"/>
                <w:szCs w:val="21"/>
                <w:highlight w:val="none"/>
              </w:rPr>
            </w:pPr>
          </w:p>
        </w:tc>
        <w:tc>
          <w:tcPr>
            <w:tcW w:w="1548" w:type="dxa"/>
            <w:vAlign w:val="center"/>
          </w:tcPr>
          <w:p w14:paraId="22BDACB8">
            <w:pPr>
              <w:jc w:val="center"/>
              <w:rPr>
                <w:color w:val="auto"/>
                <w:sz w:val="21"/>
                <w:szCs w:val="21"/>
                <w:highlight w:val="none"/>
              </w:rPr>
            </w:pPr>
          </w:p>
        </w:tc>
        <w:tc>
          <w:tcPr>
            <w:tcW w:w="1547" w:type="dxa"/>
            <w:gridSpan w:val="2"/>
            <w:vAlign w:val="center"/>
          </w:tcPr>
          <w:p w14:paraId="1B7383D8">
            <w:pPr>
              <w:jc w:val="center"/>
              <w:rPr>
                <w:color w:val="auto"/>
                <w:sz w:val="21"/>
                <w:szCs w:val="21"/>
                <w:highlight w:val="none"/>
              </w:rPr>
            </w:pPr>
          </w:p>
        </w:tc>
        <w:tc>
          <w:tcPr>
            <w:tcW w:w="1548" w:type="dxa"/>
            <w:gridSpan w:val="2"/>
            <w:vAlign w:val="center"/>
          </w:tcPr>
          <w:p w14:paraId="2D4DEAC0">
            <w:pPr>
              <w:jc w:val="center"/>
              <w:rPr>
                <w:color w:val="auto"/>
                <w:sz w:val="21"/>
                <w:szCs w:val="21"/>
                <w:highlight w:val="none"/>
              </w:rPr>
            </w:pPr>
          </w:p>
        </w:tc>
        <w:tc>
          <w:tcPr>
            <w:tcW w:w="1547" w:type="dxa"/>
            <w:gridSpan w:val="2"/>
            <w:vAlign w:val="center"/>
          </w:tcPr>
          <w:p w14:paraId="1B20B207">
            <w:pPr>
              <w:jc w:val="center"/>
              <w:rPr>
                <w:color w:val="auto"/>
                <w:sz w:val="21"/>
                <w:szCs w:val="21"/>
                <w:highlight w:val="none"/>
              </w:rPr>
            </w:pPr>
          </w:p>
        </w:tc>
        <w:tc>
          <w:tcPr>
            <w:tcW w:w="1548" w:type="dxa"/>
            <w:gridSpan w:val="2"/>
            <w:vAlign w:val="center"/>
          </w:tcPr>
          <w:p w14:paraId="0E5B1C6B">
            <w:pPr>
              <w:jc w:val="center"/>
              <w:rPr>
                <w:color w:val="auto"/>
                <w:sz w:val="21"/>
                <w:szCs w:val="21"/>
                <w:highlight w:val="none"/>
              </w:rPr>
            </w:pPr>
          </w:p>
        </w:tc>
      </w:tr>
    </w:tbl>
    <w:p w14:paraId="6475D67F">
      <w:pPr>
        <w:spacing w:line="360" w:lineRule="auto"/>
        <w:rPr>
          <w:color w:val="auto"/>
          <w:sz w:val="21"/>
          <w:szCs w:val="22"/>
          <w:highlight w:val="none"/>
        </w:rPr>
      </w:pPr>
    </w:p>
    <w:p w14:paraId="429FB369">
      <w:pPr>
        <w:spacing w:line="360" w:lineRule="auto"/>
        <w:rPr>
          <w:rFonts w:eastAsia="楷体_GB2312"/>
          <w:color w:val="auto"/>
          <w:sz w:val="21"/>
          <w:szCs w:val="21"/>
          <w:highlight w:val="none"/>
        </w:rPr>
      </w:pPr>
      <w:r>
        <w:rPr>
          <w:rFonts w:eastAsia="楷体_GB2312"/>
          <w:color w:val="auto"/>
          <w:sz w:val="21"/>
          <w:szCs w:val="21"/>
          <w:highlight w:val="none"/>
        </w:rPr>
        <w:t>备注：</w:t>
      </w:r>
    </w:p>
    <w:p w14:paraId="24B6D21F">
      <w:pPr>
        <w:spacing w:line="360" w:lineRule="auto"/>
        <w:ind w:firstLine="420" w:firstLineChars="200"/>
        <w:rPr>
          <w:rFonts w:eastAsia="楷体_GB2312"/>
          <w:color w:val="auto"/>
          <w:sz w:val="21"/>
          <w:szCs w:val="21"/>
          <w:highlight w:val="none"/>
        </w:rPr>
      </w:pPr>
      <w:r>
        <w:rPr>
          <w:rFonts w:eastAsia="楷体_GB2312"/>
          <w:color w:val="auto"/>
          <w:sz w:val="21"/>
          <w:szCs w:val="21"/>
          <w:highlight w:val="none"/>
        </w:rPr>
        <w:t>1、</w:t>
      </w:r>
      <w:r>
        <w:rPr>
          <w:rFonts w:hint="eastAsia" w:eastAsia="楷体_GB2312"/>
          <w:color w:val="auto"/>
          <w:sz w:val="21"/>
          <w:szCs w:val="21"/>
          <w:highlight w:val="none"/>
          <w:lang w:eastAsia="zh-CN"/>
        </w:rPr>
        <w:t>必须</w:t>
      </w:r>
      <w:r>
        <w:rPr>
          <w:rFonts w:hint="eastAsia" w:eastAsia="楷体_GB2312"/>
          <w:color w:val="auto"/>
          <w:sz w:val="21"/>
          <w:szCs w:val="21"/>
          <w:highlight w:val="none"/>
        </w:rPr>
        <w:t>附</w:t>
      </w:r>
      <w:r>
        <w:rPr>
          <w:rFonts w:hint="eastAsia" w:eastAsia="楷体_GB2312"/>
          <w:color w:val="auto"/>
          <w:sz w:val="21"/>
          <w:szCs w:val="21"/>
          <w:highlight w:val="none"/>
          <w:lang w:eastAsia="zh-CN"/>
        </w:rPr>
        <w:t>上</w:t>
      </w:r>
      <w:r>
        <w:rPr>
          <w:rFonts w:hint="eastAsia" w:eastAsia="楷体_GB2312"/>
          <w:color w:val="auto"/>
          <w:sz w:val="21"/>
          <w:szCs w:val="21"/>
          <w:highlight w:val="none"/>
        </w:rPr>
        <w:t>技术负责人资格证和已完工程</w:t>
      </w:r>
      <w:r>
        <w:rPr>
          <w:rFonts w:eastAsia="楷体_GB2312"/>
          <w:color w:val="auto"/>
          <w:sz w:val="21"/>
          <w:szCs w:val="21"/>
          <w:highlight w:val="none"/>
        </w:rPr>
        <w:t>中标通知书</w:t>
      </w:r>
      <w:r>
        <w:rPr>
          <w:rFonts w:hint="eastAsia" w:eastAsia="楷体_GB2312"/>
          <w:color w:val="auto"/>
          <w:sz w:val="21"/>
          <w:szCs w:val="21"/>
          <w:highlight w:val="none"/>
        </w:rPr>
        <w:t>（如有）、</w:t>
      </w:r>
      <w:r>
        <w:rPr>
          <w:rFonts w:eastAsia="楷体_GB2312"/>
          <w:color w:val="auto"/>
          <w:sz w:val="21"/>
          <w:szCs w:val="21"/>
          <w:highlight w:val="none"/>
        </w:rPr>
        <w:t>工程合同协议书</w:t>
      </w:r>
      <w:r>
        <w:rPr>
          <w:rFonts w:hint="eastAsia" w:eastAsia="楷体_GB2312"/>
          <w:color w:val="auto"/>
          <w:sz w:val="21"/>
          <w:szCs w:val="21"/>
          <w:highlight w:val="none"/>
        </w:rPr>
        <w:t>的复印件，以及磋商单位认为需要增加的其他证明材料复印件，以上复印件均须加盖磋商单位单位公章。</w:t>
      </w:r>
    </w:p>
    <w:p w14:paraId="34C5B1F6">
      <w:pPr>
        <w:spacing w:line="360" w:lineRule="auto"/>
        <w:ind w:firstLine="420" w:firstLineChars="200"/>
        <w:rPr>
          <w:rFonts w:eastAsia="楷体_GB2312"/>
          <w:color w:val="auto"/>
          <w:sz w:val="21"/>
          <w:szCs w:val="21"/>
          <w:highlight w:val="none"/>
        </w:rPr>
      </w:pPr>
      <w:r>
        <w:rPr>
          <w:rFonts w:hint="eastAsia" w:eastAsia="楷体_GB2312"/>
          <w:color w:val="auto"/>
          <w:sz w:val="21"/>
          <w:szCs w:val="21"/>
          <w:highlight w:val="none"/>
        </w:rPr>
        <w:t>2、在建工程和该项目经理在磋商单位以外的其他单位完成的工程项目，其相关证明材料不需提供复印件。</w:t>
      </w:r>
    </w:p>
    <w:p w14:paraId="00265AF1">
      <w:pPr>
        <w:rPr>
          <w:color w:val="auto"/>
          <w:sz w:val="21"/>
          <w:szCs w:val="21"/>
          <w:highlight w:val="none"/>
        </w:rPr>
      </w:pPr>
    </w:p>
    <w:p w14:paraId="6A466C10">
      <w:pPr>
        <w:rPr>
          <w:color w:val="auto"/>
          <w:sz w:val="21"/>
          <w:szCs w:val="21"/>
          <w:highlight w:val="none"/>
        </w:rPr>
      </w:pPr>
    </w:p>
    <w:p w14:paraId="23ADFBBF">
      <w:pPr>
        <w:pStyle w:val="31"/>
        <w:spacing w:line="360" w:lineRule="auto"/>
        <w:rPr>
          <w:rFonts w:ascii="宋体" w:hAnsi="宋体"/>
          <w:b/>
          <w:color w:val="auto"/>
          <w:sz w:val="32"/>
          <w:szCs w:val="32"/>
          <w:highlight w:val="none"/>
        </w:rPr>
      </w:pPr>
    </w:p>
    <w:p w14:paraId="3FE73BE8">
      <w:pPr>
        <w:pStyle w:val="31"/>
        <w:spacing w:line="360" w:lineRule="auto"/>
        <w:jc w:val="center"/>
        <w:rPr>
          <w:rFonts w:ascii="宋体" w:hAnsi="宋体"/>
          <w:b/>
          <w:color w:val="auto"/>
          <w:sz w:val="32"/>
          <w:szCs w:val="32"/>
          <w:highlight w:val="none"/>
        </w:rPr>
      </w:pPr>
    </w:p>
    <w:p w14:paraId="47E1FE64">
      <w:pPr>
        <w:pStyle w:val="32"/>
        <w:rPr>
          <w:rFonts w:ascii="宋体" w:hAnsi="宋体"/>
          <w:b/>
          <w:color w:val="auto"/>
          <w:sz w:val="32"/>
          <w:szCs w:val="32"/>
          <w:highlight w:val="none"/>
        </w:rPr>
      </w:pPr>
    </w:p>
    <w:p w14:paraId="50C0437C">
      <w:pPr>
        <w:pStyle w:val="31"/>
        <w:rPr>
          <w:rFonts w:ascii="宋体" w:hAnsi="宋体"/>
          <w:b/>
          <w:color w:val="auto"/>
          <w:sz w:val="28"/>
          <w:szCs w:val="28"/>
          <w:highlight w:val="none"/>
        </w:rPr>
      </w:pPr>
    </w:p>
    <w:p w14:paraId="08828122">
      <w:pPr>
        <w:pStyle w:val="32"/>
        <w:rPr>
          <w:rFonts w:ascii="宋体" w:hAnsi="宋体"/>
          <w:b/>
          <w:color w:val="auto"/>
          <w:sz w:val="28"/>
          <w:szCs w:val="28"/>
          <w:highlight w:val="none"/>
        </w:rPr>
      </w:pPr>
    </w:p>
    <w:p w14:paraId="3293704D">
      <w:pPr>
        <w:pStyle w:val="31"/>
        <w:rPr>
          <w:rFonts w:ascii="宋体" w:hAnsi="宋体"/>
          <w:b/>
          <w:color w:val="auto"/>
          <w:sz w:val="28"/>
          <w:szCs w:val="28"/>
          <w:highlight w:val="none"/>
        </w:rPr>
      </w:pPr>
    </w:p>
    <w:p w14:paraId="2BC15E3A">
      <w:pPr>
        <w:pStyle w:val="32"/>
        <w:rPr>
          <w:rFonts w:ascii="宋体" w:hAnsi="宋体"/>
          <w:b/>
          <w:color w:val="auto"/>
          <w:sz w:val="28"/>
          <w:szCs w:val="28"/>
          <w:highlight w:val="none"/>
        </w:rPr>
      </w:pPr>
    </w:p>
    <w:p w14:paraId="491C9B6B">
      <w:pPr>
        <w:pStyle w:val="31"/>
        <w:rPr>
          <w:rFonts w:ascii="宋体" w:hAnsi="宋体"/>
          <w:b/>
          <w:color w:val="auto"/>
          <w:sz w:val="28"/>
          <w:szCs w:val="28"/>
          <w:highlight w:val="none"/>
        </w:rPr>
      </w:pPr>
    </w:p>
    <w:p w14:paraId="29843421">
      <w:pPr>
        <w:pStyle w:val="32"/>
        <w:rPr>
          <w:color w:val="auto"/>
          <w:highlight w:val="none"/>
        </w:rPr>
      </w:pPr>
    </w:p>
    <w:p w14:paraId="56694F84">
      <w:pPr>
        <w:pStyle w:val="31"/>
        <w:rPr>
          <w:rFonts w:ascii="宋体" w:hAnsi="宋体"/>
          <w:b/>
          <w:color w:val="auto"/>
          <w:sz w:val="28"/>
          <w:szCs w:val="28"/>
          <w:highlight w:val="none"/>
        </w:rPr>
      </w:pPr>
    </w:p>
    <w:p w14:paraId="6100DD87">
      <w:pPr>
        <w:pStyle w:val="32"/>
        <w:rPr>
          <w:color w:val="auto"/>
          <w:highlight w:val="none"/>
        </w:rPr>
      </w:pPr>
    </w:p>
    <w:p w14:paraId="308CF922">
      <w:pPr>
        <w:spacing w:line="360" w:lineRule="auto"/>
        <w:jc w:val="center"/>
        <w:outlineLvl w:val="0"/>
        <w:rPr>
          <w:rFonts w:ascii="宋体" w:hAnsi="宋体"/>
          <w:b/>
          <w:color w:val="auto"/>
          <w:sz w:val="36"/>
          <w:highlight w:val="none"/>
        </w:rPr>
      </w:pPr>
      <w:bookmarkStart w:id="139" w:name="_Toc26801"/>
      <w:r>
        <w:rPr>
          <w:rFonts w:ascii="宋体" w:hAnsi="宋体"/>
          <w:b/>
          <w:color w:val="auto"/>
          <w:sz w:val="32"/>
          <w:szCs w:val="32"/>
          <w:highlight w:val="none"/>
        </w:rPr>
        <w:t xml:space="preserve">第五章  </w:t>
      </w:r>
      <w:r>
        <w:rPr>
          <w:rFonts w:hint="eastAsia" w:ascii="宋体" w:hAnsi="宋体"/>
          <w:b/>
          <w:color w:val="auto"/>
          <w:sz w:val="32"/>
          <w:szCs w:val="32"/>
          <w:highlight w:val="none"/>
        </w:rPr>
        <w:t>合同格式</w:t>
      </w:r>
      <w:bookmarkEnd w:id="139"/>
    </w:p>
    <w:p w14:paraId="3CBC57D1">
      <w:pPr>
        <w:spacing w:line="360" w:lineRule="auto"/>
        <w:jc w:val="center"/>
        <w:rPr>
          <w:rFonts w:ascii="宋体" w:hAnsi="宋体"/>
          <w:color w:val="auto"/>
          <w:highlight w:val="none"/>
        </w:rPr>
      </w:pPr>
    </w:p>
    <w:p w14:paraId="72292E04">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（注：1、本合同书供签订正式合同时参考用，正式合同书应包括此参考格式之内容。</w:t>
      </w:r>
    </w:p>
    <w:p w14:paraId="792FA517">
      <w:pPr>
        <w:snapToGrid w:val="0"/>
        <w:spacing w:line="400" w:lineRule="exact"/>
        <w:rPr>
          <w:rFonts w:hint="eastAsia" w:ascii="宋体" w:hAnsi="宋体" w:eastAsia="宋体" w:cs="仿宋_GB2312"/>
          <w:b/>
          <w:color w:val="auto"/>
          <w:sz w:val="21"/>
          <w:szCs w:val="22"/>
          <w:highlight w:val="none"/>
        </w:rPr>
      </w:pPr>
      <w:r>
        <w:rPr>
          <w:rFonts w:hint="eastAsia" w:ascii="宋体" w:hAnsi="宋体" w:eastAsia="宋体" w:cs="仿宋_GB2312"/>
          <w:b/>
          <w:color w:val="auto"/>
          <w:sz w:val="21"/>
          <w:szCs w:val="22"/>
          <w:highlight w:val="none"/>
        </w:rPr>
        <w:t>2、合同签订双方可根据项目的具体要求进行修订，但合同条款不得与采购文件和成交供应商响应文件有实质性偏离。）</w:t>
      </w:r>
    </w:p>
    <w:p w14:paraId="2E338A19">
      <w:pPr>
        <w:spacing w:line="400" w:lineRule="exact"/>
        <w:jc w:val="center"/>
        <w:rPr>
          <w:rFonts w:hint="eastAsia" w:ascii="宋体" w:hAnsi="宋体" w:cs="宋体"/>
          <w:color w:val="auto"/>
          <w:highlight w:val="none"/>
        </w:rPr>
      </w:pPr>
    </w:p>
    <w:p w14:paraId="2462C24D">
      <w:pPr>
        <w:pStyle w:val="15"/>
        <w:rPr>
          <w:rFonts w:hint="eastAsia" w:ascii="宋体" w:hAnsi="宋体" w:cs="宋体"/>
          <w:color w:val="auto"/>
          <w:highlight w:val="none"/>
        </w:rPr>
      </w:pPr>
    </w:p>
    <w:p w14:paraId="7F7616F0">
      <w:pPr>
        <w:rPr>
          <w:rFonts w:hint="eastAsia" w:ascii="宋体" w:hAnsi="宋体" w:cs="宋体"/>
          <w:color w:val="auto"/>
          <w:highlight w:val="none"/>
        </w:rPr>
      </w:pPr>
    </w:p>
    <w:p w14:paraId="44C2093C">
      <w:pPr>
        <w:pStyle w:val="15"/>
        <w:rPr>
          <w:rFonts w:hint="eastAsia" w:ascii="宋体" w:hAnsi="宋体" w:cs="宋体"/>
          <w:color w:val="auto"/>
          <w:highlight w:val="none"/>
        </w:rPr>
      </w:pPr>
    </w:p>
    <w:p w14:paraId="1B688210">
      <w:pPr>
        <w:rPr>
          <w:rFonts w:hint="eastAsia" w:ascii="宋体" w:hAnsi="宋体" w:cs="宋体"/>
          <w:color w:val="auto"/>
          <w:highlight w:val="none"/>
        </w:rPr>
      </w:pPr>
    </w:p>
    <w:p w14:paraId="7253A360">
      <w:pPr>
        <w:pStyle w:val="15"/>
        <w:rPr>
          <w:rFonts w:hint="eastAsia" w:ascii="宋体" w:hAnsi="宋体" w:cs="宋体"/>
          <w:color w:val="auto"/>
          <w:highlight w:val="none"/>
        </w:rPr>
      </w:pPr>
    </w:p>
    <w:p w14:paraId="24752649">
      <w:pPr>
        <w:rPr>
          <w:rFonts w:hint="eastAsia" w:ascii="宋体" w:hAnsi="宋体" w:cs="宋体"/>
          <w:color w:val="auto"/>
          <w:highlight w:val="none"/>
        </w:rPr>
      </w:pPr>
    </w:p>
    <w:p w14:paraId="143326F1">
      <w:pPr>
        <w:pStyle w:val="15"/>
        <w:rPr>
          <w:rFonts w:hint="eastAsia" w:ascii="宋体" w:hAnsi="宋体" w:cs="宋体"/>
          <w:color w:val="auto"/>
          <w:highlight w:val="none"/>
        </w:rPr>
      </w:pPr>
    </w:p>
    <w:p w14:paraId="1B2BBB5F">
      <w:pPr>
        <w:rPr>
          <w:rFonts w:hint="eastAsia" w:ascii="宋体" w:hAnsi="宋体" w:cs="宋体"/>
          <w:color w:val="auto"/>
          <w:highlight w:val="none"/>
        </w:rPr>
      </w:pPr>
    </w:p>
    <w:p w14:paraId="66752F85">
      <w:pPr>
        <w:pStyle w:val="15"/>
        <w:rPr>
          <w:rFonts w:hint="eastAsia" w:ascii="宋体" w:hAnsi="宋体" w:cs="宋体"/>
          <w:color w:val="auto"/>
          <w:highlight w:val="none"/>
        </w:rPr>
      </w:pPr>
    </w:p>
    <w:p w14:paraId="17FAB36D">
      <w:pPr>
        <w:rPr>
          <w:rFonts w:hint="eastAsia" w:ascii="宋体" w:hAnsi="宋体" w:cs="宋体"/>
          <w:color w:val="auto"/>
          <w:highlight w:val="none"/>
        </w:rPr>
      </w:pPr>
    </w:p>
    <w:p w14:paraId="300B66A6">
      <w:pPr>
        <w:pStyle w:val="15"/>
        <w:rPr>
          <w:rFonts w:hint="eastAsia" w:ascii="宋体" w:hAnsi="宋体" w:cs="宋体"/>
          <w:color w:val="auto"/>
          <w:highlight w:val="none"/>
        </w:rPr>
      </w:pPr>
    </w:p>
    <w:p w14:paraId="4EA9FB6D">
      <w:pPr>
        <w:rPr>
          <w:rFonts w:hint="eastAsia" w:ascii="宋体" w:hAnsi="宋体" w:cs="宋体"/>
          <w:color w:val="auto"/>
          <w:highlight w:val="none"/>
        </w:rPr>
      </w:pPr>
    </w:p>
    <w:p w14:paraId="2AA4F542">
      <w:pPr>
        <w:pStyle w:val="15"/>
        <w:rPr>
          <w:rFonts w:hint="eastAsia" w:ascii="宋体" w:hAnsi="宋体" w:cs="宋体"/>
          <w:color w:val="auto"/>
          <w:highlight w:val="none"/>
        </w:rPr>
      </w:pPr>
    </w:p>
    <w:p w14:paraId="332F8E79">
      <w:pPr>
        <w:rPr>
          <w:rFonts w:hint="eastAsia" w:ascii="宋体" w:hAnsi="宋体" w:cs="宋体"/>
          <w:color w:val="auto"/>
          <w:highlight w:val="none"/>
        </w:rPr>
      </w:pPr>
    </w:p>
    <w:p w14:paraId="26E68EBB">
      <w:pPr>
        <w:pStyle w:val="15"/>
        <w:rPr>
          <w:rFonts w:hint="eastAsia" w:ascii="宋体" w:hAnsi="宋体" w:cs="宋体"/>
          <w:color w:val="auto"/>
          <w:highlight w:val="none"/>
        </w:rPr>
      </w:pPr>
    </w:p>
    <w:p w14:paraId="253FF756">
      <w:pPr>
        <w:rPr>
          <w:rFonts w:hint="eastAsia" w:ascii="宋体" w:hAnsi="宋体" w:cs="宋体"/>
          <w:color w:val="auto"/>
          <w:highlight w:val="none"/>
        </w:rPr>
      </w:pPr>
    </w:p>
    <w:p w14:paraId="5DE701E5">
      <w:pPr>
        <w:pStyle w:val="15"/>
        <w:rPr>
          <w:rFonts w:hint="eastAsia" w:ascii="宋体" w:hAnsi="宋体" w:cs="宋体"/>
          <w:color w:val="auto"/>
          <w:highlight w:val="none"/>
        </w:rPr>
      </w:pPr>
    </w:p>
    <w:p w14:paraId="3D302042">
      <w:pPr>
        <w:rPr>
          <w:rFonts w:hint="eastAsia" w:ascii="宋体" w:hAnsi="宋体" w:cs="宋体"/>
          <w:color w:val="auto"/>
          <w:highlight w:val="none"/>
        </w:rPr>
      </w:pPr>
    </w:p>
    <w:p w14:paraId="4B839AB5">
      <w:pPr>
        <w:pStyle w:val="15"/>
        <w:rPr>
          <w:rFonts w:hint="eastAsia" w:ascii="宋体" w:hAnsi="宋体" w:cs="宋体"/>
          <w:color w:val="auto"/>
          <w:highlight w:val="none"/>
        </w:rPr>
      </w:pPr>
    </w:p>
    <w:p w14:paraId="54BAFBFE">
      <w:pPr>
        <w:rPr>
          <w:rFonts w:hint="eastAsia" w:ascii="宋体" w:hAnsi="宋体" w:cs="宋体"/>
          <w:color w:val="auto"/>
          <w:highlight w:val="none"/>
        </w:rPr>
      </w:pPr>
    </w:p>
    <w:p w14:paraId="74863E2B">
      <w:pPr>
        <w:pStyle w:val="15"/>
        <w:rPr>
          <w:rFonts w:hint="eastAsia" w:ascii="宋体" w:hAnsi="宋体" w:cs="宋体"/>
          <w:color w:val="auto"/>
          <w:highlight w:val="none"/>
        </w:rPr>
      </w:pPr>
    </w:p>
    <w:p w14:paraId="3F14ACB9">
      <w:pPr>
        <w:rPr>
          <w:rFonts w:hint="eastAsia" w:ascii="宋体" w:hAnsi="宋体" w:cs="宋体"/>
          <w:color w:val="auto"/>
          <w:highlight w:val="none"/>
        </w:rPr>
      </w:pPr>
    </w:p>
    <w:p w14:paraId="6561CB2A">
      <w:pPr>
        <w:pStyle w:val="15"/>
        <w:rPr>
          <w:rFonts w:hint="eastAsia" w:ascii="宋体" w:hAnsi="宋体" w:cs="宋体"/>
          <w:color w:val="auto"/>
          <w:highlight w:val="none"/>
        </w:rPr>
      </w:pPr>
    </w:p>
    <w:p w14:paraId="4DFEFA5A">
      <w:pPr>
        <w:rPr>
          <w:rFonts w:hint="eastAsia" w:ascii="宋体" w:hAnsi="宋体" w:cs="宋体"/>
          <w:color w:val="auto"/>
          <w:highlight w:val="none"/>
        </w:rPr>
      </w:pPr>
    </w:p>
    <w:p w14:paraId="0E7D5677">
      <w:pPr>
        <w:pStyle w:val="15"/>
        <w:rPr>
          <w:rFonts w:hint="eastAsia" w:ascii="宋体" w:hAnsi="宋体" w:cs="宋体"/>
          <w:color w:val="auto"/>
          <w:highlight w:val="none"/>
        </w:rPr>
      </w:pPr>
    </w:p>
    <w:p w14:paraId="46CB67BB">
      <w:pPr>
        <w:rPr>
          <w:rFonts w:hint="eastAsia" w:ascii="宋体" w:hAnsi="宋体" w:cs="宋体"/>
          <w:color w:val="auto"/>
          <w:highlight w:val="none"/>
        </w:rPr>
      </w:pPr>
    </w:p>
    <w:p w14:paraId="152A1C19">
      <w:pPr>
        <w:pStyle w:val="15"/>
        <w:rPr>
          <w:rFonts w:hint="eastAsia" w:ascii="宋体" w:hAnsi="宋体" w:cs="宋体"/>
          <w:color w:val="auto"/>
          <w:highlight w:val="none"/>
        </w:rPr>
      </w:pPr>
    </w:p>
    <w:p w14:paraId="1B9285A7">
      <w:pPr>
        <w:rPr>
          <w:rFonts w:hint="eastAsia" w:ascii="宋体" w:hAnsi="宋体" w:cs="宋体"/>
          <w:color w:val="auto"/>
          <w:highlight w:val="none"/>
        </w:rPr>
      </w:pPr>
    </w:p>
    <w:p w14:paraId="0C2A3D46">
      <w:pPr>
        <w:pStyle w:val="28"/>
        <w:rPr>
          <w:rFonts w:hint="eastAsia" w:ascii="宋体" w:hAnsi="宋体" w:cs="宋体"/>
          <w:color w:val="auto"/>
          <w:highlight w:val="none"/>
        </w:rPr>
      </w:pPr>
    </w:p>
    <w:p w14:paraId="00EC7B4C">
      <w:pPr>
        <w:pStyle w:val="28"/>
        <w:rPr>
          <w:rFonts w:hint="eastAsia" w:ascii="宋体" w:hAnsi="宋体" w:cs="宋体"/>
          <w:color w:val="auto"/>
          <w:highlight w:val="none"/>
        </w:rPr>
      </w:pPr>
    </w:p>
    <w:p w14:paraId="234241F1">
      <w:pPr>
        <w:pStyle w:val="28"/>
        <w:rPr>
          <w:rFonts w:hint="eastAsia" w:ascii="宋体" w:hAnsi="宋体" w:cs="宋体"/>
          <w:color w:val="auto"/>
          <w:highlight w:val="none"/>
        </w:rPr>
      </w:pPr>
    </w:p>
    <w:p w14:paraId="13678ADF">
      <w:pPr>
        <w:pStyle w:val="28"/>
        <w:rPr>
          <w:rFonts w:hint="eastAsia" w:ascii="宋体" w:hAnsi="宋体" w:cs="宋体"/>
          <w:color w:val="auto"/>
          <w:highlight w:val="none"/>
        </w:rPr>
      </w:pPr>
    </w:p>
    <w:p w14:paraId="2661663D">
      <w:pPr>
        <w:pStyle w:val="28"/>
        <w:rPr>
          <w:rFonts w:hint="eastAsia" w:ascii="宋体" w:hAnsi="宋体" w:cs="宋体"/>
          <w:color w:val="auto"/>
          <w:highlight w:val="none"/>
        </w:rPr>
      </w:pPr>
    </w:p>
    <w:p w14:paraId="7F85917D">
      <w:pPr>
        <w:pStyle w:val="28"/>
        <w:rPr>
          <w:rFonts w:hint="eastAsia" w:ascii="宋体" w:hAnsi="宋体" w:cs="宋体"/>
          <w:color w:val="auto"/>
          <w:highlight w:val="none"/>
        </w:rPr>
      </w:pPr>
    </w:p>
    <w:p w14:paraId="4C5798A1">
      <w:pPr>
        <w:pStyle w:val="28"/>
        <w:rPr>
          <w:rFonts w:hint="eastAsia" w:ascii="宋体" w:hAnsi="宋体" w:cs="宋体"/>
          <w:color w:val="auto"/>
          <w:highlight w:val="none"/>
        </w:rPr>
      </w:pPr>
    </w:p>
    <w:p w14:paraId="690996D7">
      <w:pPr>
        <w:pStyle w:val="28"/>
        <w:rPr>
          <w:rFonts w:hint="eastAsia" w:ascii="宋体" w:hAnsi="宋体" w:cs="宋体"/>
          <w:color w:val="auto"/>
          <w:highlight w:val="none"/>
        </w:rPr>
      </w:pPr>
    </w:p>
    <w:p w14:paraId="4434B9B9">
      <w:pPr>
        <w:pStyle w:val="28"/>
        <w:rPr>
          <w:rFonts w:hint="eastAsia" w:ascii="宋体" w:hAnsi="宋体" w:cs="宋体"/>
          <w:color w:val="auto"/>
          <w:highlight w:val="none"/>
        </w:rPr>
      </w:pPr>
    </w:p>
    <w:p w14:paraId="5FF8F00A">
      <w:pPr>
        <w:pStyle w:val="28"/>
        <w:rPr>
          <w:rFonts w:hint="eastAsia" w:ascii="宋体" w:hAnsi="宋体" w:eastAsia="宋体" w:cs="宋体"/>
          <w:b/>
          <w:color w:val="auto"/>
          <w:sz w:val="32"/>
          <w:szCs w:val="32"/>
          <w:highlight w:val="none"/>
        </w:rPr>
      </w:pPr>
    </w:p>
    <w:p w14:paraId="0F56D359">
      <w:pPr>
        <w:pStyle w:val="28"/>
        <w:rPr>
          <w:rFonts w:hint="eastAsia" w:ascii="宋体" w:hAnsi="宋体" w:eastAsia="宋体" w:cs="宋体"/>
          <w:b/>
          <w:color w:val="auto"/>
          <w:sz w:val="32"/>
          <w:szCs w:val="32"/>
          <w:highlight w:val="none"/>
        </w:rPr>
      </w:pPr>
    </w:p>
    <w:p w14:paraId="131F31B9">
      <w:pPr>
        <w:spacing w:line="360" w:lineRule="auto"/>
        <w:jc w:val="center"/>
        <w:rPr>
          <w:rFonts w:hint="eastAsia" w:ascii="宋体" w:hAnsi="宋体" w:eastAsia="宋体" w:cs="宋体"/>
          <w:b/>
          <w:color w:val="auto"/>
          <w:sz w:val="32"/>
          <w:szCs w:val="32"/>
          <w:highlight w:val="none"/>
        </w:rPr>
      </w:pPr>
    </w:p>
    <w:p w14:paraId="6CA262FF">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36"/>
          <w:szCs w:val="36"/>
          <w:highlight w:val="none"/>
        </w:rPr>
      </w:pPr>
      <w:r>
        <w:rPr>
          <w:rFonts w:hint="eastAsia" w:ascii="宋体" w:hAnsi="宋体" w:cs="宋体"/>
          <w:b/>
          <w:bCs w:val="0"/>
          <w:color w:val="auto"/>
          <w:kern w:val="0"/>
          <w:sz w:val="36"/>
          <w:szCs w:val="36"/>
          <w:highlight w:val="none"/>
          <w:lang w:val="en-US" w:eastAsia="zh-CN" w:bidi="ar"/>
        </w:rPr>
        <w:t>东门镇郝佐村郝章屯产业道路硬化项目</w:t>
      </w:r>
      <w:r>
        <w:rPr>
          <w:rFonts w:hint="eastAsia" w:ascii="宋体" w:hAnsi="宋体" w:eastAsia="宋体" w:cs="宋体"/>
          <w:b/>
          <w:bCs w:val="0"/>
          <w:color w:val="auto"/>
          <w:kern w:val="0"/>
          <w:sz w:val="36"/>
          <w:szCs w:val="36"/>
          <w:highlight w:val="none"/>
          <w:lang w:val="en-US" w:eastAsia="zh-CN" w:bidi="ar"/>
        </w:rPr>
        <w:t xml:space="preserve"> </w:t>
      </w:r>
    </w:p>
    <w:p w14:paraId="6C762E78">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3CA77187">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451943C4">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3076D212">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 xml:space="preserve"> </w:t>
      </w:r>
    </w:p>
    <w:p w14:paraId="0DA53F55">
      <w:pPr>
        <w:keepNext w:val="0"/>
        <w:keepLines w:val="0"/>
        <w:widowControl w:val="0"/>
        <w:suppressLineNumbers w:val="0"/>
        <w:shd w:val="clear"/>
        <w:spacing w:before="0" w:beforeAutospacing="0" w:after="0" w:afterAutospacing="0"/>
        <w:ind w:left="0" w:right="0"/>
        <w:jc w:val="center"/>
        <w:rPr>
          <w:rFonts w:hint="eastAsia" w:ascii="宋体" w:hAnsi="宋体" w:eastAsia="宋体" w:cs="宋体"/>
          <w:b/>
          <w:bCs w:val="0"/>
          <w:color w:val="auto"/>
          <w:sz w:val="48"/>
          <w:szCs w:val="48"/>
          <w:highlight w:val="none"/>
        </w:rPr>
      </w:pPr>
      <w:r>
        <w:rPr>
          <w:rFonts w:hint="eastAsia" w:ascii="宋体" w:hAnsi="宋体" w:eastAsia="宋体" w:cs="宋体"/>
          <w:b/>
          <w:bCs w:val="0"/>
          <w:color w:val="auto"/>
          <w:kern w:val="0"/>
          <w:sz w:val="48"/>
          <w:szCs w:val="48"/>
          <w:highlight w:val="none"/>
          <w:lang w:val="en-US" w:eastAsia="zh-CN" w:bidi="ar"/>
        </w:rPr>
        <w:t>建设工程施工合同</w:t>
      </w:r>
    </w:p>
    <w:p w14:paraId="1C2A432E">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03B5AEFF">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1A2E8081">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5168EB4F">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37F23915">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6F445BC9">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4EE773D8">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24"/>
          <w:szCs w:val="24"/>
          <w:highlight w:val="none"/>
        </w:rPr>
      </w:pPr>
      <w:r>
        <w:rPr>
          <w:rFonts w:hint="eastAsia" w:ascii="宋体" w:hAnsi="Courier New" w:eastAsia="宋体" w:cs="Times New Roman"/>
          <w:bCs/>
          <w:color w:val="auto"/>
          <w:spacing w:val="10"/>
          <w:kern w:val="0"/>
          <w:sz w:val="24"/>
          <w:szCs w:val="24"/>
          <w:highlight w:val="none"/>
          <w:lang w:val="en-US" w:eastAsia="zh-CN" w:bidi="ar"/>
        </w:rPr>
        <w:t xml:space="preserve"> </w:t>
      </w:r>
    </w:p>
    <w:p w14:paraId="248374FE">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04CBEE1">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07F63100">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 </w:t>
      </w:r>
    </w:p>
    <w:p w14:paraId="76B2409F">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2"/>
          <w:szCs w:val="32"/>
          <w:highlight w:val="none"/>
        </w:rPr>
      </w:pPr>
      <w:r>
        <w:rPr>
          <w:rFonts w:hint="eastAsia" w:ascii="宋体" w:hAnsi="宋体" w:eastAsia="宋体" w:cs="宋体"/>
          <w:b/>
          <w:bCs w:val="0"/>
          <w:color w:val="auto"/>
          <w:kern w:val="0"/>
          <w:sz w:val="32"/>
          <w:szCs w:val="32"/>
          <w:highlight w:val="none"/>
          <w:lang w:val="en-US" w:eastAsia="zh-CN" w:bidi="ar"/>
        </w:rPr>
        <w:t xml:space="preserve"> </w:t>
      </w:r>
    </w:p>
    <w:p w14:paraId="14956D11">
      <w:pPr>
        <w:keepNext w:val="0"/>
        <w:keepLines w:val="0"/>
        <w:widowControl w:val="0"/>
        <w:suppressLineNumbers w:val="0"/>
        <w:shd w:val="clear"/>
        <w:spacing w:before="0" w:beforeAutospacing="0" w:after="0" w:afterAutospacing="0" w:line="400" w:lineRule="exact"/>
        <w:ind w:left="0" w:right="0"/>
        <w:jc w:val="both"/>
        <w:rPr>
          <w:rFonts w:hint="eastAsia" w:ascii="宋体" w:hAnsi="宋体" w:eastAsia="宋体" w:cs="宋体"/>
          <w:b/>
          <w:bCs w:val="0"/>
          <w:color w:val="auto"/>
          <w:sz w:val="36"/>
          <w:szCs w:val="36"/>
          <w:highlight w:val="none"/>
        </w:rPr>
      </w:pPr>
      <w:r>
        <w:rPr>
          <w:rFonts w:hint="eastAsia" w:ascii="宋体" w:hAnsi="宋体" w:eastAsia="宋体" w:cs="宋体"/>
          <w:b/>
          <w:bCs w:val="0"/>
          <w:color w:val="auto"/>
          <w:kern w:val="0"/>
          <w:sz w:val="32"/>
          <w:szCs w:val="32"/>
          <w:highlight w:val="none"/>
          <w:lang w:val="en-US" w:eastAsia="zh-CN" w:bidi="ar"/>
        </w:rPr>
        <w:t xml:space="preserve"> </w:t>
      </w:r>
    </w:p>
    <w:p w14:paraId="7AFE8795">
      <w:pPr>
        <w:keepNext w:val="0"/>
        <w:keepLines w:val="0"/>
        <w:widowControl w:val="0"/>
        <w:suppressLineNumbers w:val="0"/>
        <w:shd w:val="clear"/>
        <w:spacing w:before="0" w:beforeAutospacing="0" w:after="0" w:afterAutospacing="0"/>
        <w:ind w:left="0" w:right="0" w:firstLine="2811" w:firstLineChars="10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中华人民共和国住房和城乡建设部</w:t>
      </w:r>
    </w:p>
    <w:p w14:paraId="6839F210">
      <w:pPr>
        <w:keepNext w:val="0"/>
        <w:keepLines w:val="0"/>
        <w:widowControl w:val="0"/>
        <w:suppressLineNumbers w:val="0"/>
        <w:shd w:val="clear"/>
        <w:spacing w:before="0" w:beforeAutospacing="0" w:after="0" w:afterAutospacing="0"/>
        <w:ind w:left="0" w:right="0" w:firstLine="2249" w:firstLineChars="800"/>
        <w:jc w:val="center"/>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 xml:space="preserve">                          制定          </w:t>
      </w:r>
    </w:p>
    <w:p w14:paraId="2D34E267">
      <w:pPr>
        <w:keepNext w:val="0"/>
        <w:keepLines w:val="0"/>
        <w:widowControl w:val="0"/>
        <w:suppressLineNumbers w:val="0"/>
        <w:shd w:val="clear"/>
        <w:spacing w:before="0" w:beforeAutospacing="0" w:after="0" w:afterAutospacing="0" w:line="480" w:lineRule="exact"/>
        <w:ind w:left="0" w:right="66" w:rightChars="33" w:firstLine="562" w:firstLineChars="200"/>
        <w:jc w:val="both"/>
        <w:rPr>
          <w:rFonts w:hint="eastAsia" w:ascii="宋体" w:hAnsi="宋体" w:eastAsia="宋体" w:cs="宋体"/>
          <w:b/>
          <w:bCs w:val="0"/>
          <w:color w:val="auto"/>
          <w:sz w:val="28"/>
          <w:szCs w:val="28"/>
          <w:highlight w:val="none"/>
        </w:rPr>
      </w:pPr>
      <w:r>
        <w:rPr>
          <w:rFonts w:hint="eastAsia" w:ascii="宋体" w:hAnsi="宋体" w:eastAsia="宋体" w:cs="宋体"/>
          <w:b/>
          <w:bCs w:val="0"/>
          <w:color w:val="auto"/>
          <w:kern w:val="0"/>
          <w:sz w:val="28"/>
          <w:szCs w:val="28"/>
          <w:highlight w:val="none"/>
          <w:lang w:val="en-US" w:eastAsia="zh-CN" w:bidi="ar"/>
        </w:rPr>
        <w:t xml:space="preserve">                中华人民共和国国家市场监督管理局 </w:t>
      </w:r>
    </w:p>
    <w:p w14:paraId="1563F578">
      <w:pPr>
        <w:shd w:val="clear"/>
        <w:rPr>
          <w:rFonts w:hint="eastAsia" w:ascii="Times New Roman" w:hAnsi="Times New Roman" w:eastAsia="宋体" w:cs="Times New Roman"/>
          <w:color w:val="auto"/>
          <w:highlight w:val="none"/>
        </w:rPr>
        <w:sectPr>
          <w:headerReference r:id="rId10" w:type="default"/>
          <w:footerReference r:id="rId11" w:type="default"/>
          <w:pgSz w:w="11906" w:h="16838"/>
          <w:pgMar w:top="1134" w:right="1418" w:bottom="1134" w:left="1418" w:header="567" w:footer="680" w:gutter="0"/>
          <w:pgNumType w:fmt="decimal"/>
          <w:cols w:space="720" w:num="1"/>
          <w:formProt w:val="1"/>
          <w:docGrid w:type="lines" w:linePitch="312" w:charSpace="43007"/>
        </w:sectPr>
      </w:pPr>
    </w:p>
    <w:p w14:paraId="18A87470">
      <w:pPr>
        <w:pStyle w:val="4"/>
        <w:widowControl/>
        <w:shd w:val="clear"/>
        <w:ind w:left="0" w:firstLine="3534" w:firstLineChars="1100"/>
        <w:rPr>
          <w:rFonts w:hint="default" w:ascii="Times New Roman" w:hAnsi="Times New Roman" w:eastAsia="宋体" w:cs="Times New Roman"/>
          <w:b/>
          <w:bCs/>
          <w:color w:val="auto"/>
          <w:kern w:val="2"/>
          <w:sz w:val="32"/>
          <w:szCs w:val="32"/>
          <w:highlight w:val="none"/>
        </w:rPr>
      </w:pPr>
      <w:bookmarkStart w:id="140" w:name="_Toc20666"/>
      <w:bookmarkEnd w:id="140"/>
      <w:bookmarkStart w:id="141" w:name="_Toc31613"/>
      <w:r>
        <w:rPr>
          <w:rFonts w:hint="eastAsia" w:ascii="宋体" w:hAnsi="宋体" w:eastAsia="宋体" w:cs="宋体"/>
          <w:b/>
          <w:bCs/>
          <w:color w:val="auto"/>
          <w:kern w:val="2"/>
          <w:sz w:val="32"/>
          <w:szCs w:val="32"/>
          <w:highlight w:val="none"/>
        </w:rPr>
        <w:t>第一部分</w:t>
      </w:r>
      <w:r>
        <w:rPr>
          <w:rFonts w:hint="default" w:ascii="Times New Roman" w:hAnsi="Times New Roman" w:eastAsia="宋体" w:cs="Times New Roman"/>
          <w:b/>
          <w:bCs/>
          <w:color w:val="auto"/>
          <w:kern w:val="2"/>
          <w:sz w:val="32"/>
          <w:szCs w:val="32"/>
          <w:highlight w:val="none"/>
        </w:rPr>
        <w:t xml:space="preserve"> </w:t>
      </w:r>
      <w:r>
        <w:rPr>
          <w:rFonts w:hint="eastAsia" w:ascii="宋体" w:hAnsi="宋体" w:eastAsia="宋体" w:cs="宋体"/>
          <w:b/>
          <w:bCs/>
          <w:color w:val="auto"/>
          <w:kern w:val="2"/>
          <w:sz w:val="32"/>
          <w:szCs w:val="32"/>
          <w:highlight w:val="none"/>
        </w:rPr>
        <w:t>协议书</w:t>
      </w:r>
      <w:bookmarkEnd w:id="141"/>
    </w:p>
    <w:p w14:paraId="5CF8FA6A">
      <w:pPr>
        <w:keepNext w:val="0"/>
        <w:keepLines w:val="0"/>
        <w:widowControl w:val="0"/>
        <w:suppressLineNumbers w:val="0"/>
        <w:shd w:val="clear"/>
        <w:spacing w:before="0" w:beforeAutospacing="0" w:after="0" w:afterAutospacing="0" w:line="360" w:lineRule="auto"/>
        <w:ind w:left="0" w:right="0" w:firstLine="475"/>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发包人（全称）</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扶绥县农业农村局</w:t>
      </w:r>
    </w:p>
    <w:p w14:paraId="03D7BC35">
      <w:pPr>
        <w:keepNext w:val="0"/>
        <w:keepLines w:val="0"/>
        <w:widowControl w:val="0"/>
        <w:suppressLineNumbers w:val="0"/>
        <w:shd w:val="clear"/>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highlight w:val="none"/>
          <w:u w:val="single"/>
          <w:lang w:val="en-US"/>
        </w:rPr>
      </w:pPr>
      <w:r>
        <w:rPr>
          <w:rFonts w:hint="eastAsia" w:ascii="宋体" w:hAnsi="宋体" w:eastAsia="宋体" w:cs="宋体"/>
          <w:color w:val="auto"/>
          <w:kern w:val="0"/>
          <w:sz w:val="21"/>
          <w:szCs w:val="21"/>
          <w:highlight w:val="none"/>
          <w:lang w:val="en-US" w:eastAsia="zh-CN" w:bidi="ar"/>
        </w:rPr>
        <w:t>承包人（全称）</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 xml:space="preserve">      </w:t>
      </w:r>
    </w:p>
    <w:p w14:paraId="6C353874">
      <w:pPr>
        <w:keepNext w:val="0"/>
        <w:keepLines w:val="0"/>
        <w:widowControl w:val="0"/>
        <w:suppressLineNumbers w:val="0"/>
        <w:shd w:val="clear"/>
        <w:spacing w:before="0" w:beforeAutospacing="0" w:after="0" w:afterAutospacing="0" w:line="360" w:lineRule="auto"/>
        <w:ind w:left="0" w:right="0" w:firstLine="475"/>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依照《中华人民共和国民法典》、《中华人民共和国建筑法》及其他有关法律、行政法规，遵循平等、自愿、公平和诚实信用的原则，双方就</w:t>
      </w:r>
      <w:r>
        <w:rPr>
          <w:rFonts w:hint="eastAsia" w:cs="Times New Roman"/>
          <w:b/>
          <w:bCs/>
          <w:color w:val="auto"/>
          <w:kern w:val="0"/>
          <w:sz w:val="21"/>
          <w:szCs w:val="21"/>
          <w:highlight w:val="none"/>
          <w:u w:val="single"/>
          <w:lang w:val="en-US" w:eastAsia="zh-CN" w:bidi="ar"/>
        </w:rPr>
        <w:t>东门镇郝佐村郝章屯产业道路硬化项目</w:t>
      </w:r>
      <w:r>
        <w:rPr>
          <w:rFonts w:hint="eastAsia" w:ascii="宋体" w:hAnsi="宋体" w:eastAsia="宋体" w:cs="宋体"/>
          <w:color w:val="auto"/>
          <w:kern w:val="0"/>
          <w:sz w:val="21"/>
          <w:szCs w:val="21"/>
          <w:highlight w:val="none"/>
          <w:lang w:val="en-US" w:eastAsia="zh-CN" w:bidi="ar"/>
        </w:rPr>
        <w:t>施工事项协商一致，订立本合同。</w:t>
      </w:r>
    </w:p>
    <w:p w14:paraId="428A7E54">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2" w:name="_Toc459738620"/>
      <w:bookmarkEnd w:id="142"/>
      <w:r>
        <w:rPr>
          <w:rFonts w:hint="eastAsia" w:ascii="宋体" w:hAnsi="宋体" w:eastAsia="宋体" w:cs="宋体"/>
          <w:b/>
          <w:bCs w:val="0"/>
          <w:color w:val="auto"/>
          <w:kern w:val="0"/>
          <w:sz w:val="21"/>
          <w:szCs w:val="21"/>
          <w:highlight w:val="none"/>
          <w:lang w:val="en-US" w:eastAsia="zh-CN" w:bidi="ar"/>
        </w:rPr>
        <w:t>一、工程概况</w:t>
      </w:r>
    </w:p>
    <w:p w14:paraId="4F767606">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工程名称：</w:t>
      </w:r>
      <w:r>
        <w:rPr>
          <w:rFonts w:hint="eastAsia" w:cs="Times New Roman"/>
          <w:color w:val="auto"/>
          <w:kern w:val="0"/>
          <w:sz w:val="21"/>
          <w:szCs w:val="21"/>
          <w:highlight w:val="none"/>
          <w:u w:val="single"/>
          <w:lang w:val="en-US" w:eastAsia="zh-CN" w:bidi="ar"/>
        </w:rPr>
        <w:t>东门镇郝佐村郝章屯产业道路硬化项目</w:t>
      </w:r>
      <w:r>
        <w:rPr>
          <w:rFonts w:hint="eastAsia" w:ascii="宋体" w:hAnsi="宋体" w:eastAsia="宋体" w:cs="宋体"/>
          <w:color w:val="auto"/>
          <w:kern w:val="0"/>
          <w:sz w:val="21"/>
          <w:szCs w:val="21"/>
          <w:highlight w:val="none"/>
          <w:u w:val="single"/>
          <w:lang w:val="en-US" w:eastAsia="zh-CN" w:bidi="ar"/>
        </w:rPr>
        <w:t>。</w:t>
      </w:r>
    </w:p>
    <w:p w14:paraId="63C37C95">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工程地点：</w:t>
      </w:r>
      <w:r>
        <w:rPr>
          <w:rFonts w:hint="eastAsia" w:cs="Times New Roman"/>
          <w:color w:val="auto"/>
          <w:kern w:val="0"/>
          <w:sz w:val="21"/>
          <w:szCs w:val="21"/>
          <w:highlight w:val="none"/>
          <w:u w:val="single"/>
          <w:lang w:val="en-US" w:eastAsia="zh-CN" w:bidi="ar"/>
        </w:rPr>
        <w:t>扶绥县东门镇郝佐村</w:t>
      </w:r>
      <w:r>
        <w:rPr>
          <w:rFonts w:hint="eastAsia" w:ascii="宋体" w:hAnsi="宋体" w:eastAsia="宋体" w:cs="宋体"/>
          <w:color w:val="auto"/>
          <w:kern w:val="0"/>
          <w:sz w:val="21"/>
          <w:szCs w:val="21"/>
          <w:highlight w:val="none"/>
          <w:u w:val="single"/>
          <w:lang w:val="en-US" w:eastAsia="zh-CN" w:bidi="ar"/>
        </w:rPr>
        <w:t>。</w:t>
      </w:r>
    </w:p>
    <w:p w14:paraId="2442F5B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工程内容：</w:t>
      </w:r>
      <w:r>
        <w:rPr>
          <w:rFonts w:hint="eastAsia" w:ascii="Times New Roman" w:hAnsi="Times New Roman" w:eastAsia="宋体" w:cs="Times New Roman"/>
          <w:color w:val="auto"/>
          <w:kern w:val="0"/>
          <w:sz w:val="21"/>
          <w:szCs w:val="21"/>
          <w:highlight w:val="none"/>
          <w:u w:val="single"/>
          <w:lang w:val="en-US" w:eastAsia="zh-CN" w:bidi="ar"/>
        </w:rPr>
        <w:t>本本项目位于崇左市扶绥县东门镇，设计范围：那章屯至白尧村，建设内容：道路设计全长1261</w:t>
      </w:r>
      <w:r>
        <w:rPr>
          <w:rFonts w:hint="eastAsia" w:cs="Times New Roman"/>
          <w:color w:val="auto"/>
          <w:kern w:val="0"/>
          <w:sz w:val="21"/>
          <w:szCs w:val="21"/>
          <w:highlight w:val="none"/>
          <w:u w:val="single"/>
          <w:lang w:val="en-US" w:eastAsia="zh-CN" w:bidi="ar"/>
        </w:rPr>
        <w:t>.796</w:t>
      </w:r>
      <w:r>
        <w:rPr>
          <w:rFonts w:hint="eastAsia" w:ascii="Times New Roman" w:hAnsi="Times New Roman" w:eastAsia="宋体" w:cs="Times New Roman"/>
          <w:color w:val="auto"/>
          <w:kern w:val="0"/>
          <w:sz w:val="21"/>
          <w:szCs w:val="21"/>
          <w:highlight w:val="none"/>
          <w:u w:val="single"/>
          <w:lang w:val="en-US" w:eastAsia="zh-CN" w:bidi="ar"/>
        </w:rPr>
        <w:t>米，设计速度15km/h，标准段道路红线宽度4.5米，路面类型为混凝土路面等，以工程量清单和图纸包含的内容为准。</w:t>
      </w:r>
    </w:p>
    <w:p w14:paraId="42CA67D9">
      <w:pPr>
        <w:keepNext w:val="0"/>
        <w:keepLines w:val="0"/>
        <w:widowControl/>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工程立项批准文号</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 xml:space="preserve">       </w:t>
      </w:r>
    </w:p>
    <w:p w14:paraId="1FAD4FA0">
      <w:pPr>
        <w:keepNext w:val="0"/>
        <w:keepLines w:val="0"/>
        <w:widowControl/>
        <w:suppressLineNumbers w:val="0"/>
        <w:shd w:val="clear"/>
        <w:spacing w:before="0" w:beforeAutospacing="0" w:after="0" w:afterAutospacing="0" w:line="360" w:lineRule="auto"/>
        <w:ind w:left="0" w:right="0" w:firstLine="420" w:firstLineChars="200"/>
        <w:jc w:val="left"/>
        <w:rPr>
          <w:rFonts w:hint="default" w:ascii="宋体" w:hAnsi="宋体" w:eastAsia="宋体" w:cs="宋体"/>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资金来源：</w:t>
      </w:r>
      <w:r>
        <w:rPr>
          <w:rFonts w:hint="eastAsia" w:ascii="宋体" w:hAnsi="宋体" w:cs="宋体"/>
          <w:color w:val="auto"/>
          <w:kern w:val="0"/>
          <w:sz w:val="21"/>
          <w:szCs w:val="21"/>
          <w:highlight w:val="none"/>
          <w:u w:val="single"/>
          <w:lang w:val="en-US" w:eastAsia="zh-CN" w:bidi="ar"/>
        </w:rPr>
        <w:t xml:space="preserve"> 广西壮族自治区财政厅关于下达2025年中央和自治区财政衔接推进乡村振兴补助资金的通知</w:t>
      </w:r>
      <w:r>
        <w:rPr>
          <w:rFonts w:hint="eastAsia" w:ascii="宋体" w:hAnsi="宋体" w:eastAsia="宋体" w:cs="宋体"/>
          <w:color w:val="auto"/>
          <w:kern w:val="0"/>
          <w:sz w:val="21"/>
          <w:szCs w:val="21"/>
          <w:highlight w:val="none"/>
          <w:u w:val="single"/>
          <w:lang w:val="en-US" w:eastAsia="zh-CN" w:bidi="ar"/>
        </w:rPr>
        <w:t>。</w:t>
      </w:r>
    </w:p>
    <w:p w14:paraId="0D30512D">
      <w:pPr>
        <w:keepNext w:val="0"/>
        <w:keepLines w:val="0"/>
        <w:widowControl w:val="0"/>
        <w:suppressLineNumbers w:val="0"/>
        <w:shd w:val="clear"/>
        <w:spacing w:before="0" w:beforeAutospacing="0" w:after="0" w:afterAutospacing="0" w:line="360" w:lineRule="auto"/>
        <w:ind w:left="0" w:right="0" w:firstLine="506" w:firstLineChars="240"/>
        <w:jc w:val="both"/>
        <w:outlineLvl w:val="0"/>
        <w:rPr>
          <w:rFonts w:hint="default" w:ascii="Times New Roman" w:hAnsi="Times New Roman" w:eastAsia="宋体" w:cs="Times New Roman"/>
          <w:b/>
          <w:bCs w:val="0"/>
          <w:color w:val="auto"/>
          <w:sz w:val="21"/>
          <w:szCs w:val="21"/>
          <w:highlight w:val="none"/>
        </w:rPr>
      </w:pPr>
      <w:bookmarkStart w:id="143" w:name="_Toc459738621"/>
      <w:bookmarkEnd w:id="143"/>
      <w:r>
        <w:rPr>
          <w:rFonts w:hint="eastAsia" w:ascii="宋体" w:hAnsi="宋体" w:eastAsia="宋体" w:cs="宋体"/>
          <w:b/>
          <w:bCs w:val="0"/>
          <w:color w:val="auto"/>
          <w:kern w:val="0"/>
          <w:sz w:val="21"/>
          <w:szCs w:val="21"/>
          <w:highlight w:val="none"/>
          <w:lang w:val="en-US" w:eastAsia="zh-CN" w:bidi="ar"/>
        </w:rPr>
        <w:t>二、工程承包范围</w:t>
      </w:r>
    </w:p>
    <w:p w14:paraId="6C465FAC">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承包范围：</w:t>
      </w:r>
      <w:r>
        <w:rPr>
          <w:rFonts w:hint="eastAsia" w:ascii="Times New Roman" w:hAnsi="Times New Roman" w:eastAsia="宋体" w:cs="Times New Roman"/>
          <w:color w:val="auto"/>
          <w:kern w:val="0"/>
          <w:sz w:val="21"/>
          <w:szCs w:val="21"/>
          <w:highlight w:val="none"/>
          <w:u w:val="single"/>
          <w:lang w:val="en-US" w:eastAsia="zh-CN" w:bidi="ar"/>
        </w:rPr>
        <w:t xml:space="preserve"> 本项目位于崇左市扶绥县东门镇，设计范围：那章屯至白尧村，建设内容：道路设计全长1261</w:t>
      </w:r>
      <w:r>
        <w:rPr>
          <w:rFonts w:hint="eastAsia" w:cs="Times New Roman"/>
          <w:color w:val="auto"/>
          <w:kern w:val="0"/>
          <w:sz w:val="21"/>
          <w:szCs w:val="21"/>
          <w:highlight w:val="none"/>
          <w:u w:val="single"/>
          <w:lang w:val="en-US" w:eastAsia="zh-CN" w:bidi="ar"/>
        </w:rPr>
        <w:t>.796</w:t>
      </w:r>
      <w:r>
        <w:rPr>
          <w:rFonts w:hint="eastAsia" w:ascii="Times New Roman" w:hAnsi="Times New Roman" w:eastAsia="宋体" w:cs="Times New Roman"/>
          <w:color w:val="auto"/>
          <w:kern w:val="0"/>
          <w:sz w:val="21"/>
          <w:szCs w:val="21"/>
          <w:highlight w:val="none"/>
          <w:u w:val="single"/>
          <w:lang w:val="en-US" w:eastAsia="zh-CN" w:bidi="ar"/>
        </w:rPr>
        <w:t>米，设计速度15km/h，标准段道路红线宽度4.5米，路面类型为混凝土路面等，以工程量清单和图纸包含的内容为准。</w:t>
      </w:r>
    </w:p>
    <w:p w14:paraId="34920329">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4" w:name="_Toc459738622"/>
      <w:bookmarkEnd w:id="144"/>
      <w:r>
        <w:rPr>
          <w:rFonts w:hint="eastAsia" w:ascii="宋体" w:hAnsi="宋体" w:eastAsia="宋体" w:cs="宋体"/>
          <w:b/>
          <w:bCs w:val="0"/>
          <w:color w:val="auto"/>
          <w:kern w:val="0"/>
          <w:sz w:val="21"/>
          <w:szCs w:val="21"/>
          <w:highlight w:val="none"/>
          <w:lang w:val="en-US" w:eastAsia="zh-CN" w:bidi="ar"/>
        </w:rPr>
        <w:t>三、合同工期</w:t>
      </w:r>
    </w:p>
    <w:p w14:paraId="474CFFC5">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开工日期：</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年</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月</w:t>
      </w:r>
      <w:r>
        <w:rPr>
          <w:rFonts w:hint="eastAsia" w:ascii="宋体" w:hAnsi="宋体" w:cs="宋体"/>
          <w:color w:val="auto"/>
          <w:kern w:val="0"/>
          <w:sz w:val="21"/>
          <w:szCs w:val="21"/>
          <w:highlight w:val="none"/>
          <w:lang w:val="en-US" w:eastAsia="zh-CN" w:bidi="ar"/>
        </w:rPr>
        <w:t xml:space="preserve"> </w:t>
      </w:r>
      <w:r>
        <w:rPr>
          <w:rFonts w:hint="eastAsia"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7873AA01">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竣工日期：</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年 </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 xml:space="preserve">月 </w:t>
      </w:r>
      <w:r>
        <w:rPr>
          <w:rFonts w:hint="eastAsia" w:ascii="宋体" w:hAnsi="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日</w:t>
      </w:r>
    </w:p>
    <w:p w14:paraId="700DFC2E">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合同工期总日历天为</w:t>
      </w:r>
      <w:r>
        <w:rPr>
          <w:rFonts w:hint="eastAsia" w:ascii="宋体" w:hAnsi="宋体" w:cs="宋体"/>
          <w:color w:val="auto"/>
          <w:kern w:val="0"/>
          <w:sz w:val="21"/>
          <w:szCs w:val="21"/>
          <w:highlight w:val="none"/>
          <w:lang w:val="en-US" w:eastAsia="zh-CN" w:bidi="ar"/>
        </w:rPr>
        <w:t>60日历天</w:t>
      </w:r>
      <w:r>
        <w:rPr>
          <w:rFonts w:hint="eastAsia" w:ascii="宋体" w:hAnsi="宋体" w:eastAsia="宋体" w:cs="宋体"/>
          <w:color w:val="auto"/>
          <w:kern w:val="0"/>
          <w:sz w:val="21"/>
          <w:szCs w:val="21"/>
          <w:highlight w:val="none"/>
          <w:lang w:val="en-US" w:eastAsia="zh-CN" w:bidi="ar"/>
        </w:rPr>
        <w:t>。</w:t>
      </w:r>
    </w:p>
    <w:p w14:paraId="6720BE1D">
      <w:pPr>
        <w:pStyle w:val="19"/>
        <w:keepNext w:val="0"/>
        <w:keepLines w:val="0"/>
        <w:widowControl w:val="0"/>
        <w:suppressLineNumbers w:val="0"/>
        <w:shd w:val="clear"/>
        <w:spacing w:before="0" w:beforeAutospacing="0" w:after="0" w:afterAutospacing="0" w:line="360" w:lineRule="auto"/>
        <w:ind w:left="0" w:right="0" w:firstLine="460" w:firstLineChars="200"/>
        <w:jc w:val="left"/>
        <w:rPr>
          <w:rFonts w:hint="eastAsia" w:ascii="宋体" w:hAnsi="Courier New" w:eastAsia="宋体" w:cs="Times New Roman"/>
          <w:bCs/>
          <w:color w:val="auto"/>
          <w:spacing w:val="10"/>
          <w:sz w:val="21"/>
          <w:szCs w:val="21"/>
          <w:highlight w:val="none"/>
        </w:rPr>
      </w:pPr>
      <w:r>
        <w:rPr>
          <w:rFonts w:hint="eastAsia" w:ascii="宋体" w:hAnsi="宋体" w:eastAsia="宋体" w:cs="宋体"/>
          <w:bCs/>
          <w:color w:val="auto"/>
          <w:spacing w:val="10"/>
          <w:kern w:val="0"/>
          <w:sz w:val="21"/>
          <w:szCs w:val="21"/>
          <w:highlight w:val="none"/>
          <w:lang w:val="en-US" w:eastAsia="zh-CN" w:bidi="ar"/>
        </w:rPr>
        <w:t>实际开工日期以发包人签发的开工令为准。</w:t>
      </w:r>
    </w:p>
    <w:p w14:paraId="48528EB9">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5" w:name="_Toc459738623"/>
      <w:bookmarkEnd w:id="145"/>
      <w:r>
        <w:rPr>
          <w:rFonts w:hint="eastAsia" w:ascii="宋体" w:hAnsi="宋体" w:eastAsia="宋体" w:cs="宋体"/>
          <w:b/>
          <w:bCs w:val="0"/>
          <w:color w:val="auto"/>
          <w:kern w:val="0"/>
          <w:sz w:val="21"/>
          <w:szCs w:val="21"/>
          <w:highlight w:val="none"/>
          <w:lang w:val="en-US" w:eastAsia="zh-CN" w:bidi="ar"/>
        </w:rPr>
        <w:t>四、质量标准</w:t>
      </w:r>
    </w:p>
    <w:p w14:paraId="590818CA">
      <w:pPr>
        <w:keepNext w:val="0"/>
        <w:keepLines w:val="0"/>
        <w:widowControl w:val="0"/>
        <w:suppressLineNumbers w:val="0"/>
        <w:shd w:val="clear"/>
        <w:spacing w:before="0" w:beforeAutospacing="0" w:after="0" w:afterAutospacing="0" w:line="360" w:lineRule="auto"/>
        <w:ind w:left="0" w:right="0" w:firstLine="510"/>
        <w:jc w:val="both"/>
        <w:rPr>
          <w:rFonts w:hint="default"/>
          <w:color w:val="auto"/>
          <w:highlight w:val="none"/>
        </w:rPr>
      </w:pPr>
      <w:r>
        <w:rPr>
          <w:rFonts w:hint="eastAsia" w:ascii="宋体" w:hAnsi="宋体" w:eastAsia="宋体" w:cs="宋体"/>
          <w:color w:val="auto"/>
          <w:kern w:val="0"/>
          <w:sz w:val="21"/>
          <w:szCs w:val="21"/>
          <w:highlight w:val="none"/>
          <w:lang w:val="en-US" w:eastAsia="zh-CN" w:bidi="ar"/>
        </w:rPr>
        <w:t>工程质量标准</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bCs/>
          <w:color w:val="auto"/>
          <w:kern w:val="0"/>
          <w:sz w:val="21"/>
          <w:szCs w:val="21"/>
          <w:highlight w:val="none"/>
          <w:u w:val="single"/>
          <w:lang w:val="en-US" w:eastAsia="zh-CN" w:bidi="ar"/>
        </w:rPr>
        <w:t>达到国家竣工验收规范合格标准</w:t>
      </w:r>
      <w:r>
        <w:rPr>
          <w:rFonts w:hint="eastAsia" w:ascii="宋体" w:hAnsi="宋体" w:eastAsia="宋体" w:cs="宋体"/>
          <w:color w:val="auto"/>
          <w:kern w:val="0"/>
          <w:sz w:val="21"/>
          <w:szCs w:val="21"/>
          <w:highlight w:val="none"/>
          <w:u w:val="single"/>
          <w:lang w:val="en-US" w:eastAsia="zh-CN" w:bidi="ar"/>
        </w:rPr>
        <w:t>。</w:t>
      </w:r>
    </w:p>
    <w:p w14:paraId="0B2FE56C">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46" w:name="_Toc459738624"/>
      <w:bookmarkEnd w:id="146"/>
      <w:r>
        <w:rPr>
          <w:rFonts w:hint="eastAsia" w:ascii="宋体" w:hAnsi="宋体" w:eastAsia="宋体" w:cs="宋体"/>
          <w:b/>
          <w:bCs w:val="0"/>
          <w:color w:val="auto"/>
          <w:kern w:val="0"/>
          <w:sz w:val="21"/>
          <w:szCs w:val="21"/>
          <w:highlight w:val="none"/>
          <w:lang w:val="en-US" w:eastAsia="zh-CN" w:bidi="ar"/>
        </w:rPr>
        <w:t>五、合同价款</w:t>
      </w:r>
    </w:p>
    <w:p w14:paraId="0736E041">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金额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Times New Roman" w:eastAsia="宋体" w:cs="Times New Roman"/>
          <w:color w:val="auto"/>
          <w:kern w:val="0"/>
          <w:sz w:val="21"/>
          <w:szCs w:val="21"/>
          <w:highlight w:val="none"/>
          <w:u w:val="single"/>
          <w:lang w:val="en-US" w:eastAsia="zh-CN" w:bidi="ar"/>
        </w:rPr>
        <w:t xml:space="preserve">                                      </w:t>
      </w:r>
    </w:p>
    <w:p w14:paraId="1C194AF6">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color w:val="auto"/>
          <w:highlight w:val="none"/>
        </w:rPr>
      </w:pPr>
      <w:bookmarkStart w:id="147" w:name="_Toc459738625"/>
      <w:bookmarkEnd w:id="147"/>
      <w:r>
        <w:rPr>
          <w:rFonts w:hint="eastAsia" w:ascii="宋体" w:hAnsi="宋体" w:eastAsia="宋体" w:cs="宋体"/>
          <w:b/>
          <w:bCs/>
          <w:color w:val="auto"/>
          <w:kern w:val="0"/>
          <w:sz w:val="21"/>
          <w:szCs w:val="21"/>
          <w:highlight w:val="none"/>
          <w:lang w:val="en-US" w:eastAsia="zh-CN" w:bidi="ar"/>
        </w:rPr>
        <w:t>六、组成合同的文件</w:t>
      </w:r>
    </w:p>
    <w:p w14:paraId="0A7349D8">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组成本合同的文件包括：</w:t>
      </w:r>
    </w:p>
    <w:p w14:paraId="55526A18">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、本合同协议书</w:t>
      </w:r>
    </w:p>
    <w:p w14:paraId="3D13F52C">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、成交通知书</w:t>
      </w:r>
    </w:p>
    <w:p w14:paraId="315381EA">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、响应文件及其附件</w:t>
      </w:r>
    </w:p>
    <w:p w14:paraId="6DA2E285">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、本合同专用条款</w:t>
      </w:r>
    </w:p>
    <w:p w14:paraId="3FB3664B">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、本合同通用条款</w:t>
      </w:r>
    </w:p>
    <w:p w14:paraId="762523E6">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、标准、规范及有关技术文件</w:t>
      </w:r>
    </w:p>
    <w:p w14:paraId="3EB2043B">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、工程量清单</w:t>
      </w:r>
    </w:p>
    <w:p w14:paraId="5F6B9153">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双方有关工程听洽商、变更等书面协议或书面文件视为本合同的组成部分。</w:t>
      </w:r>
    </w:p>
    <w:p w14:paraId="0EAB89D0">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8" w:name="_Toc459738626"/>
      <w:bookmarkEnd w:id="148"/>
      <w:r>
        <w:rPr>
          <w:rFonts w:hint="eastAsia" w:ascii="宋体" w:hAnsi="宋体" w:eastAsia="宋体" w:cs="宋体"/>
          <w:b/>
          <w:bCs w:val="0"/>
          <w:color w:val="auto"/>
          <w:kern w:val="0"/>
          <w:sz w:val="21"/>
          <w:szCs w:val="21"/>
          <w:highlight w:val="none"/>
          <w:lang w:val="en-US" w:eastAsia="zh-CN" w:bidi="ar"/>
        </w:rPr>
        <w:t>七、本协议书中有关词语定义与本合同第二部分《通用条款》中分别赋予它们的定义相同。</w:t>
      </w:r>
    </w:p>
    <w:p w14:paraId="0FD20A91">
      <w:pPr>
        <w:keepNext w:val="0"/>
        <w:keepLines w:val="0"/>
        <w:widowControl w:val="0"/>
        <w:suppressLineNumbers w:val="0"/>
        <w:shd w:val="clear"/>
        <w:spacing w:before="0" w:beforeAutospacing="0" w:after="0" w:afterAutospacing="0" w:line="360" w:lineRule="auto"/>
        <w:ind w:left="0" w:right="0" w:firstLine="520"/>
        <w:jc w:val="both"/>
        <w:outlineLvl w:val="0"/>
        <w:rPr>
          <w:rFonts w:hint="default" w:ascii="Times New Roman" w:hAnsi="Times New Roman" w:eastAsia="宋体" w:cs="Times New Roman"/>
          <w:b/>
          <w:bCs w:val="0"/>
          <w:color w:val="auto"/>
          <w:sz w:val="21"/>
          <w:szCs w:val="21"/>
          <w:highlight w:val="none"/>
        </w:rPr>
      </w:pPr>
      <w:bookmarkStart w:id="149" w:name="_Toc459738627"/>
      <w:bookmarkEnd w:id="149"/>
      <w:r>
        <w:rPr>
          <w:rFonts w:hint="eastAsia" w:ascii="宋体" w:hAnsi="宋体" w:eastAsia="宋体" w:cs="宋体"/>
          <w:b/>
          <w:bCs w:val="0"/>
          <w:color w:val="auto"/>
          <w:kern w:val="0"/>
          <w:sz w:val="21"/>
          <w:szCs w:val="21"/>
          <w:highlight w:val="none"/>
          <w:lang w:val="en-US" w:eastAsia="zh-CN" w:bidi="ar"/>
        </w:rPr>
        <w:t>八、承包人向发包人承诺按照合同约定进行施工、竣工并在质量保修期内承担工程质量保修责任。</w:t>
      </w:r>
    </w:p>
    <w:p w14:paraId="41C89F5D">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50" w:name="_Toc459738628"/>
      <w:bookmarkEnd w:id="150"/>
      <w:r>
        <w:rPr>
          <w:rFonts w:hint="eastAsia" w:ascii="宋体" w:hAnsi="宋体" w:eastAsia="宋体" w:cs="宋体"/>
          <w:b/>
          <w:bCs w:val="0"/>
          <w:color w:val="auto"/>
          <w:kern w:val="0"/>
          <w:sz w:val="21"/>
          <w:szCs w:val="21"/>
          <w:highlight w:val="none"/>
          <w:lang w:val="en-US" w:eastAsia="zh-CN" w:bidi="ar"/>
        </w:rPr>
        <w:t>九、发包人向承包人承诺按照合同约定的期限和方式支付合同价款及其他应当支付的款项。</w:t>
      </w:r>
    </w:p>
    <w:p w14:paraId="4003B85A">
      <w:pPr>
        <w:keepNext w:val="0"/>
        <w:keepLines w:val="0"/>
        <w:widowControl w:val="0"/>
        <w:suppressLineNumbers w:val="0"/>
        <w:shd w:val="clear"/>
        <w:spacing w:before="0" w:beforeAutospacing="0" w:after="0" w:afterAutospacing="0" w:line="360" w:lineRule="auto"/>
        <w:ind w:left="0" w:right="0" w:firstLine="510"/>
        <w:jc w:val="both"/>
        <w:outlineLvl w:val="0"/>
        <w:rPr>
          <w:rFonts w:hint="default" w:ascii="Times New Roman" w:hAnsi="Times New Roman" w:eastAsia="宋体" w:cs="Times New Roman"/>
          <w:b/>
          <w:bCs w:val="0"/>
          <w:color w:val="auto"/>
          <w:sz w:val="21"/>
          <w:szCs w:val="21"/>
          <w:highlight w:val="none"/>
        </w:rPr>
      </w:pPr>
      <w:bookmarkStart w:id="151" w:name="_Toc459738629"/>
      <w:bookmarkEnd w:id="151"/>
      <w:r>
        <w:rPr>
          <w:rFonts w:hint="eastAsia" w:ascii="宋体" w:hAnsi="宋体" w:eastAsia="宋体" w:cs="宋体"/>
          <w:b/>
          <w:bCs w:val="0"/>
          <w:color w:val="auto"/>
          <w:kern w:val="0"/>
          <w:sz w:val="21"/>
          <w:szCs w:val="21"/>
          <w:highlight w:val="none"/>
          <w:lang w:val="en-US" w:eastAsia="zh-CN" w:bidi="ar"/>
        </w:rPr>
        <w:t>十、合同生效</w:t>
      </w:r>
    </w:p>
    <w:p w14:paraId="5EDAF255">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合同订立时间：</w:t>
      </w:r>
      <w:r>
        <w:rPr>
          <w:rFonts w:hint="eastAsia" w:cs="Times New Roman"/>
          <w:color w:val="auto"/>
          <w:kern w:val="0"/>
          <w:sz w:val="21"/>
          <w:szCs w:val="21"/>
          <w:highlight w:val="none"/>
          <w:lang w:val="en-US" w:eastAsia="zh-CN" w:bidi="ar"/>
        </w:rPr>
        <w:t>2025年</w:t>
      </w:r>
      <w:r>
        <w:rPr>
          <w:rFonts w:hint="eastAsia" w:ascii="宋体" w:hAnsi="宋体" w:eastAsia="宋体" w:cs="宋体"/>
          <w:color w:val="auto"/>
          <w:kern w:val="0"/>
          <w:sz w:val="21"/>
          <w:szCs w:val="21"/>
          <w:highlight w:val="none"/>
          <w:lang w:val="en-US" w:eastAsia="zh-CN" w:bidi="ar"/>
        </w:rPr>
        <w:t xml:space="preserve"> 月  日</w:t>
      </w:r>
    </w:p>
    <w:p w14:paraId="11DF5F1B">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合同订立地点：</w:t>
      </w:r>
      <w:r>
        <w:rPr>
          <w:rFonts w:hint="eastAsia" w:ascii="宋体" w:hAnsi="宋体" w:cs="宋体"/>
          <w:color w:val="auto"/>
          <w:kern w:val="0"/>
          <w:sz w:val="21"/>
          <w:szCs w:val="21"/>
          <w:highlight w:val="none"/>
          <w:lang w:val="en-US" w:eastAsia="zh-CN" w:bidi="ar"/>
        </w:rPr>
        <w:t>在广西政府采购云平台上签订电子合同</w:t>
      </w:r>
    </w:p>
    <w:p w14:paraId="6BD68142">
      <w:pPr>
        <w:keepNext w:val="0"/>
        <w:keepLines w:val="0"/>
        <w:widowControl w:val="0"/>
        <w:suppressLineNumbers w:val="0"/>
        <w:shd w:val="clear"/>
        <w:spacing w:before="0" w:beforeAutospacing="0" w:after="0" w:afterAutospacing="0" w:line="360" w:lineRule="auto"/>
        <w:ind w:left="0" w:right="0" w:firstLine="51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本合同双方约定</w:t>
      </w:r>
      <w:r>
        <w:rPr>
          <w:rFonts w:hint="eastAsia" w:ascii="宋体" w:hAnsi="宋体" w:eastAsia="宋体" w:cs="宋体"/>
          <w:color w:val="auto"/>
          <w:kern w:val="0"/>
          <w:sz w:val="21"/>
          <w:szCs w:val="21"/>
          <w:highlight w:val="none"/>
          <w:u w:val="single"/>
          <w:lang w:val="en-US" w:eastAsia="zh-CN" w:bidi="ar"/>
        </w:rPr>
        <w:t>双方法定代表人或其授权代理人签字或盖章并加盖单位公章</w:t>
      </w:r>
      <w:r>
        <w:rPr>
          <w:rFonts w:hint="default" w:ascii="Times New Roman" w:hAnsi="Times New Roman" w:eastAsia="宋体" w:cs="Times New Roman"/>
          <w:color w:val="auto"/>
          <w:kern w:val="0"/>
          <w:sz w:val="21"/>
          <w:szCs w:val="21"/>
          <w:highlight w:val="none"/>
          <w:lang w:val="en-US" w:eastAsia="zh-CN" w:bidi="ar"/>
        </w:rPr>
        <w:t>__</w:t>
      </w:r>
      <w:r>
        <w:rPr>
          <w:rFonts w:hint="eastAsia" w:ascii="宋体" w:hAnsi="宋体" w:eastAsia="宋体" w:cs="宋体"/>
          <w:color w:val="auto"/>
          <w:kern w:val="0"/>
          <w:sz w:val="21"/>
          <w:szCs w:val="21"/>
          <w:highlight w:val="none"/>
          <w:lang w:val="en-US" w:eastAsia="zh-CN" w:bidi="ar"/>
        </w:rPr>
        <w:t>后生效。</w:t>
      </w:r>
      <w:r>
        <w:rPr>
          <w:rFonts w:hint="default" w:ascii="Times New Roman" w:hAnsi="Times New Roman" w:eastAsia="宋体" w:cs="Times New Roman"/>
          <w:color w:val="auto"/>
          <w:kern w:val="0"/>
          <w:sz w:val="21"/>
          <w:szCs w:val="21"/>
          <w:highlight w:val="none"/>
          <w:lang w:val="en-US" w:eastAsia="zh-CN" w:bidi="ar"/>
        </w:rPr>
        <w:t xml:space="preserve"> </w:t>
      </w:r>
    </w:p>
    <w:tbl>
      <w:tblPr>
        <w:tblStyle w:val="24"/>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09076A2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6BA896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c>
          <w:tcPr>
            <w:tcW w:w="4261" w:type="dxa"/>
            <w:tcBorders>
              <w:top w:val="nil"/>
              <w:left w:val="nil"/>
              <w:bottom w:val="nil"/>
              <w:right w:val="nil"/>
            </w:tcBorders>
            <w:shd w:val="clear" w:color="auto" w:fill="auto"/>
            <w:vAlign w:val="top"/>
          </w:tcPr>
          <w:p w14:paraId="4B5FA0B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r>
      <w:tr w14:paraId="486F89B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330BFC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地  址： </w:t>
            </w:r>
          </w:p>
        </w:tc>
        <w:tc>
          <w:tcPr>
            <w:tcW w:w="4261" w:type="dxa"/>
            <w:tcBorders>
              <w:top w:val="nil"/>
              <w:left w:val="nil"/>
              <w:bottom w:val="nil"/>
              <w:right w:val="nil"/>
            </w:tcBorders>
            <w:shd w:val="clear" w:color="auto" w:fill="auto"/>
            <w:vAlign w:val="top"/>
          </w:tcPr>
          <w:p w14:paraId="43299E1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地址</w:t>
            </w:r>
            <w:bookmarkStart w:id="152" w:name="OLE_LINK13"/>
            <w:r>
              <w:rPr>
                <w:rFonts w:hint="eastAsia" w:ascii="宋体" w:hAnsi="宋体" w:eastAsia="宋体" w:cs="宋体"/>
                <w:color w:val="auto"/>
                <w:kern w:val="0"/>
                <w:sz w:val="21"/>
                <w:szCs w:val="21"/>
                <w:highlight w:val="none"/>
                <w:lang w:val="en-US" w:eastAsia="zh-CN" w:bidi="ar"/>
              </w:rPr>
              <w:t>：</w:t>
            </w:r>
            <w:bookmarkEnd w:id="152"/>
          </w:p>
        </w:tc>
      </w:tr>
      <w:tr w14:paraId="3AB995ED">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1E761D1">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c>
          <w:tcPr>
            <w:tcW w:w="4261" w:type="dxa"/>
            <w:tcBorders>
              <w:top w:val="nil"/>
              <w:left w:val="nil"/>
              <w:bottom w:val="nil"/>
              <w:right w:val="nil"/>
            </w:tcBorders>
            <w:shd w:val="clear" w:color="auto" w:fill="auto"/>
            <w:vAlign w:val="top"/>
          </w:tcPr>
          <w:p w14:paraId="7ECF709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r>
      <w:tr w14:paraId="70743CC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0FE22E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c>
          <w:tcPr>
            <w:tcW w:w="4261" w:type="dxa"/>
            <w:tcBorders>
              <w:top w:val="nil"/>
              <w:left w:val="nil"/>
              <w:bottom w:val="nil"/>
              <w:right w:val="nil"/>
            </w:tcBorders>
            <w:shd w:val="clear" w:color="auto" w:fill="auto"/>
            <w:vAlign w:val="top"/>
          </w:tcPr>
          <w:p w14:paraId="7C1990D8">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r>
      <w:tr w14:paraId="7B6613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95E9AA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c>
          <w:tcPr>
            <w:tcW w:w="4261" w:type="dxa"/>
            <w:tcBorders>
              <w:top w:val="nil"/>
              <w:left w:val="nil"/>
              <w:bottom w:val="nil"/>
              <w:right w:val="nil"/>
            </w:tcBorders>
            <w:shd w:val="clear" w:color="auto" w:fill="auto"/>
            <w:vAlign w:val="top"/>
          </w:tcPr>
          <w:p w14:paraId="6DBAC98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r>
      <w:tr w14:paraId="6ECC009F">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AA7F8F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c>
          <w:tcPr>
            <w:tcW w:w="4261" w:type="dxa"/>
            <w:tcBorders>
              <w:top w:val="nil"/>
              <w:left w:val="nil"/>
              <w:bottom w:val="nil"/>
              <w:right w:val="nil"/>
            </w:tcBorders>
            <w:shd w:val="clear" w:color="auto" w:fill="auto"/>
            <w:vAlign w:val="top"/>
          </w:tcPr>
          <w:p w14:paraId="4811BB69">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r>
      <w:tr w14:paraId="6421F6D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ECB025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c>
          <w:tcPr>
            <w:tcW w:w="4261" w:type="dxa"/>
            <w:tcBorders>
              <w:top w:val="nil"/>
              <w:left w:val="nil"/>
              <w:bottom w:val="nil"/>
              <w:right w:val="nil"/>
            </w:tcBorders>
            <w:shd w:val="clear" w:color="auto" w:fill="auto"/>
            <w:vAlign w:val="top"/>
          </w:tcPr>
          <w:p w14:paraId="1700205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r>
      <w:tr w14:paraId="759BA4B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19A44B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0DF582DF">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r w14:paraId="5502F9C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FE2476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r>
              <w:rPr>
                <w:rFonts w:hint="default" w:ascii="Times New Roman" w:hAnsi="Times New Roman" w:eastAsia="宋体" w:cs="Times New Roman"/>
                <w:color w:val="auto"/>
                <w:spacing w:val="-12"/>
                <w:kern w:val="0"/>
                <w:sz w:val="21"/>
                <w:szCs w:val="21"/>
                <w:highlight w:val="none"/>
                <w:lang w:val="en-US" w:eastAsia="zh-CN" w:bidi="ar"/>
              </w:rPr>
              <w:t xml:space="preserve"> </w:t>
            </w:r>
          </w:p>
        </w:tc>
        <w:tc>
          <w:tcPr>
            <w:tcW w:w="4261" w:type="dxa"/>
            <w:tcBorders>
              <w:top w:val="nil"/>
              <w:left w:val="nil"/>
              <w:bottom w:val="nil"/>
              <w:right w:val="nil"/>
            </w:tcBorders>
            <w:shd w:val="clear" w:color="auto" w:fill="auto"/>
            <w:vAlign w:val="top"/>
          </w:tcPr>
          <w:p w14:paraId="07AC5AE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bl>
    <w:p w14:paraId="79DACB5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eastAsia="宋体" w:cs="Times New Roman"/>
          <w:color w:val="auto"/>
          <w:kern w:val="0"/>
          <w:sz w:val="21"/>
          <w:szCs w:val="21"/>
          <w:highlight w:val="none"/>
          <w:lang w:val="en-US" w:eastAsia="zh-CN" w:bidi="ar"/>
        </w:rPr>
        <w:t xml:space="preserve">           </w:t>
      </w:r>
      <w:bookmarkStart w:id="153" w:name="_Toc459738630"/>
      <w:bookmarkEnd w:id="153"/>
      <w:bookmarkStart w:id="154" w:name="_Toc26396"/>
      <w:bookmarkEnd w:id="154"/>
      <w:bookmarkStart w:id="155" w:name="_Toc21163"/>
      <w:bookmarkEnd w:id="155"/>
      <w:bookmarkStart w:id="156" w:name="_Toc134096509"/>
      <w:bookmarkEnd w:id="156"/>
    </w:p>
    <w:p w14:paraId="412B37B4">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5818F55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293B9C9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kern w:val="0"/>
          <w:sz w:val="21"/>
          <w:szCs w:val="21"/>
          <w:highlight w:val="none"/>
          <w:lang w:val="en-US" w:eastAsia="zh-CN" w:bidi="ar"/>
        </w:rPr>
      </w:pPr>
    </w:p>
    <w:p w14:paraId="6B4E4FF9">
      <w:pPr>
        <w:pStyle w:val="4"/>
        <w:widowControl/>
        <w:shd w:val="clear"/>
        <w:jc w:val="center"/>
        <w:rPr>
          <w:rFonts w:hint="eastAsia" w:ascii="Times New Roman" w:hAnsi="宋体" w:eastAsia="宋体" w:cs="黑体"/>
          <w:b/>
          <w:bCs w:val="0"/>
          <w:color w:val="auto"/>
          <w:kern w:val="0"/>
          <w:sz w:val="30"/>
          <w:szCs w:val="30"/>
          <w:highlight w:val="none"/>
        </w:rPr>
      </w:pPr>
      <w:r>
        <w:rPr>
          <w:rFonts w:hint="eastAsia" w:ascii="宋体" w:hAnsi="宋体" w:eastAsia="宋体" w:cs="宋体"/>
          <w:b/>
          <w:bCs w:val="0"/>
          <w:color w:val="auto"/>
          <w:kern w:val="0"/>
          <w:sz w:val="30"/>
          <w:szCs w:val="30"/>
          <w:highlight w:val="none"/>
        </w:rPr>
        <w:t>第二部分：合同通用条款</w:t>
      </w:r>
    </w:p>
    <w:p w14:paraId="44459DD2">
      <w:pPr>
        <w:keepNext w:val="0"/>
        <w:keepLines w:val="0"/>
        <w:widowControl w:val="0"/>
        <w:suppressLineNumbers w:val="0"/>
        <w:shd w:val="clear"/>
        <w:snapToGrid w:val="0"/>
        <w:spacing w:before="0" w:beforeAutospacing="0" w:after="0" w:afterAutospacing="0" w:line="288" w:lineRule="auto"/>
        <w:ind w:left="0" w:right="0"/>
        <w:jc w:val="both"/>
        <w:rPr>
          <w:rFonts w:hint="eastAsia" w:ascii="Times New Roman" w:hAnsi="宋体" w:eastAsia="宋体" w:cs="Times New Roman"/>
          <w:color w:val="auto"/>
          <w:sz w:val="21"/>
          <w:szCs w:val="21"/>
          <w:highlight w:val="none"/>
        </w:rPr>
      </w:pPr>
      <w:r>
        <w:rPr>
          <w:rFonts w:hint="eastAsia"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“合同通用条款”，采用国家工商行政管理局和建设部颁发的《建设工程施工合同（示范文本）》（</w:t>
      </w:r>
      <w:r>
        <w:rPr>
          <w:rFonts w:hint="default" w:ascii="Times New Roman" w:hAnsi="Times New Roman" w:eastAsia="宋体" w:cs="Times New Roman"/>
          <w:color w:val="auto"/>
          <w:kern w:val="0"/>
          <w:sz w:val="21"/>
          <w:szCs w:val="21"/>
          <w:highlight w:val="none"/>
          <w:lang w:val="en-US" w:eastAsia="zh-CN" w:bidi="ar"/>
        </w:rPr>
        <w:t>GF-2017-0201</w:t>
      </w:r>
      <w:r>
        <w:rPr>
          <w:rFonts w:hint="eastAsia" w:ascii="宋体" w:hAnsi="宋体" w:eastAsia="宋体" w:cs="宋体"/>
          <w:color w:val="auto"/>
          <w:kern w:val="0"/>
          <w:sz w:val="21"/>
          <w:szCs w:val="21"/>
          <w:highlight w:val="none"/>
          <w:lang w:val="en-US" w:eastAsia="zh-CN" w:bidi="ar"/>
        </w:rPr>
        <w:t>）的“合同通用条款”。</w:t>
      </w:r>
    </w:p>
    <w:p w14:paraId="04D8B313">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3012763D">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1169DE47">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10AB6757">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宋体" w:eastAsia="宋体" w:cs="Times New Roman"/>
          <w:bCs/>
          <w:color w:val="auto"/>
          <w:spacing w:val="10"/>
          <w:sz w:val="21"/>
          <w:szCs w:val="21"/>
          <w:highlight w:val="none"/>
        </w:rPr>
      </w:pPr>
      <w:r>
        <w:rPr>
          <w:rFonts w:hint="eastAsia" w:ascii="宋体" w:hAnsi="宋体" w:eastAsia="宋体" w:cs="Times New Roman"/>
          <w:bCs/>
          <w:color w:val="auto"/>
          <w:spacing w:val="10"/>
          <w:kern w:val="0"/>
          <w:sz w:val="21"/>
          <w:szCs w:val="21"/>
          <w:highlight w:val="none"/>
          <w:lang w:val="en-US" w:eastAsia="zh-CN" w:bidi="ar"/>
        </w:rPr>
        <w:t xml:space="preserve"> </w:t>
      </w:r>
    </w:p>
    <w:p w14:paraId="0F884055">
      <w:pPr>
        <w:pStyle w:val="2"/>
        <w:keepNext w:val="0"/>
        <w:keepLines w:val="0"/>
        <w:widowControl w:val="0"/>
        <w:suppressLineNumbers w:val="0"/>
        <w:shd w:val="clear"/>
        <w:jc w:val="center"/>
        <w:rPr>
          <w:rFonts w:hint="default" w:ascii="Times New Roman" w:hAnsi="宋体" w:eastAsia="宋体" w:cs="Times New Roman"/>
          <w:b/>
          <w:bCs w:val="0"/>
          <w:color w:val="auto"/>
          <w:kern w:val="0"/>
          <w:sz w:val="30"/>
          <w:szCs w:val="30"/>
          <w:highlight w:val="none"/>
        </w:rPr>
      </w:pPr>
      <w:bookmarkStart w:id="157" w:name="_Toc9850521"/>
      <w:bookmarkEnd w:id="157"/>
      <w:bookmarkStart w:id="158" w:name="_Toc407135193"/>
      <w:bookmarkEnd w:id="158"/>
      <w:bookmarkStart w:id="159" w:name="_Toc389065257"/>
      <w:r>
        <w:rPr>
          <w:rFonts w:hint="eastAsia" w:ascii="宋体" w:hAnsi="宋体" w:eastAsia="宋体" w:cs="宋体"/>
          <w:b/>
          <w:bCs w:val="0"/>
          <w:color w:val="auto"/>
          <w:kern w:val="0"/>
          <w:sz w:val="30"/>
          <w:szCs w:val="30"/>
          <w:highlight w:val="none"/>
        </w:rPr>
        <w:t>第三部分</w:t>
      </w:r>
      <w:bookmarkEnd w:id="159"/>
      <w:r>
        <w:rPr>
          <w:rFonts w:hint="default" w:ascii="Times New Roman" w:hAnsi="Times New Roman" w:eastAsia="宋体" w:cs="Times New Roman"/>
          <w:b/>
          <w:bCs w:val="0"/>
          <w:color w:val="auto"/>
          <w:kern w:val="0"/>
          <w:sz w:val="30"/>
          <w:szCs w:val="30"/>
          <w:highlight w:val="none"/>
        </w:rPr>
        <w:t xml:space="preserve"> </w:t>
      </w:r>
      <w:r>
        <w:rPr>
          <w:rFonts w:hint="eastAsia" w:ascii="宋体" w:hAnsi="宋体" w:eastAsia="宋体" w:cs="宋体"/>
          <w:b/>
          <w:bCs w:val="0"/>
          <w:color w:val="auto"/>
          <w:kern w:val="0"/>
          <w:sz w:val="30"/>
          <w:szCs w:val="30"/>
          <w:highlight w:val="none"/>
        </w:rPr>
        <w:t>专用合同条款</w:t>
      </w:r>
    </w:p>
    <w:p w14:paraId="245B93C0">
      <w:pPr>
        <w:pStyle w:val="3"/>
        <w:widowControl/>
        <w:shd w:val="clear"/>
        <w:rPr>
          <w:rFonts w:hint="default" w:ascii="Arial" w:hAnsi="Arial" w:eastAsia="黑体" w:cs="Times New Roman"/>
          <w:b/>
          <w:bCs w:val="0"/>
          <w:color w:val="auto"/>
          <w:sz w:val="32"/>
          <w:szCs w:val="32"/>
          <w:highlight w:val="none"/>
        </w:rPr>
      </w:pPr>
      <w:bookmarkStart w:id="160" w:name="_Toc373227692"/>
      <w:bookmarkEnd w:id="160"/>
      <w:bookmarkStart w:id="161" w:name="_Toc9850522"/>
      <w:bookmarkEnd w:id="161"/>
      <w:bookmarkStart w:id="162" w:name="_Toc351203633"/>
      <w:bookmarkEnd w:id="162"/>
      <w:bookmarkStart w:id="163" w:name="_Toc407135194"/>
      <w:bookmarkEnd w:id="163"/>
      <w:bookmarkStart w:id="164" w:name="_Toc389065258"/>
      <w:bookmarkEnd w:id="164"/>
      <w:bookmarkStart w:id="165" w:name="_Toc373478339"/>
      <w:r>
        <w:rPr>
          <w:rFonts w:hint="default" w:ascii="Arial" w:hAnsi="Arial" w:eastAsia="黑体" w:cs="Times New Roman"/>
          <w:b/>
          <w:bCs w:val="0"/>
          <w:color w:val="auto"/>
          <w:sz w:val="32"/>
          <w:szCs w:val="32"/>
          <w:highlight w:val="none"/>
        </w:rPr>
        <w:t>1</w:t>
      </w:r>
      <w:bookmarkEnd w:id="165"/>
      <w:bookmarkStart w:id="166" w:name="_Toc297120456"/>
      <w:bookmarkEnd w:id="166"/>
      <w:bookmarkStart w:id="167" w:name="_Toc292559866"/>
      <w:bookmarkEnd w:id="167"/>
      <w:bookmarkStart w:id="168" w:name="_Toc296346657"/>
      <w:bookmarkEnd w:id="168"/>
      <w:bookmarkStart w:id="169" w:name="_Toc296347155"/>
      <w:bookmarkEnd w:id="169"/>
      <w:bookmarkStart w:id="170" w:name="_Toc296890984"/>
      <w:bookmarkEnd w:id="170"/>
      <w:bookmarkStart w:id="171" w:name="_Toc296503156"/>
      <w:bookmarkEnd w:id="171"/>
      <w:bookmarkStart w:id="172" w:name="_Toc296944495"/>
      <w:bookmarkEnd w:id="172"/>
      <w:bookmarkStart w:id="173" w:name="_Toc296891196"/>
      <w:bookmarkEnd w:id="173"/>
      <w:bookmarkStart w:id="174" w:name="_Toc297048342"/>
      <w:bookmarkEnd w:id="174"/>
      <w:bookmarkStart w:id="175" w:name="_Toc292559361"/>
      <w:r>
        <w:rPr>
          <w:rFonts w:hint="default" w:ascii="Arial" w:hAnsi="Arial" w:eastAsia="黑体" w:cs="Times New Roman"/>
          <w:b/>
          <w:bCs w:val="0"/>
          <w:color w:val="auto"/>
          <w:sz w:val="32"/>
          <w:szCs w:val="32"/>
          <w:highlight w:val="none"/>
        </w:rPr>
        <w:t xml:space="preserve">. </w:t>
      </w:r>
      <w:bookmarkEnd w:id="175"/>
      <w:r>
        <w:rPr>
          <w:rFonts w:hint="eastAsia" w:ascii="黑体" w:hAnsi="宋体" w:eastAsia="黑体" w:cs="黑体"/>
          <w:b/>
          <w:bCs w:val="0"/>
          <w:color w:val="auto"/>
          <w:sz w:val="32"/>
          <w:szCs w:val="32"/>
          <w:highlight w:val="none"/>
        </w:rPr>
        <w:t>一般约定</w:t>
      </w:r>
    </w:p>
    <w:p w14:paraId="6492DC29">
      <w:pPr>
        <w:pStyle w:val="4"/>
        <w:widowControl/>
        <w:shd w:val="clear"/>
        <w:rPr>
          <w:rFonts w:hint="default" w:ascii="Times New Roman" w:hAnsi="Times New Roman" w:eastAsia="宋体" w:cs="Times New Roman"/>
          <w:b/>
          <w:bCs/>
          <w:color w:val="auto"/>
          <w:kern w:val="2"/>
          <w:sz w:val="32"/>
          <w:szCs w:val="32"/>
          <w:highlight w:val="none"/>
        </w:rPr>
      </w:pPr>
      <w:bookmarkStart w:id="176" w:name="_Toc9850523"/>
      <w:bookmarkEnd w:id="176"/>
      <w:bookmarkStart w:id="177" w:name="_Toc373227693"/>
      <w:bookmarkEnd w:id="177"/>
      <w:bookmarkStart w:id="178" w:name="_Toc373478340"/>
      <w:bookmarkEnd w:id="178"/>
      <w:bookmarkStart w:id="179" w:name="_Toc389065259"/>
      <w:bookmarkEnd w:id="179"/>
      <w:bookmarkStart w:id="180" w:name="_Toc407135195"/>
      <w:bookmarkEnd w:id="180"/>
      <w:r>
        <w:rPr>
          <w:rFonts w:hint="default" w:ascii="Times New Roman" w:hAnsi="Times New Roman" w:eastAsia="宋体" w:cs="Times New Roman"/>
          <w:b/>
          <w:bCs/>
          <w:color w:val="auto"/>
          <w:kern w:val="2"/>
          <w:sz w:val="32"/>
          <w:szCs w:val="32"/>
          <w:highlight w:val="none"/>
        </w:rPr>
        <w:t xml:space="preserve">1.1 </w:t>
      </w:r>
      <w:r>
        <w:rPr>
          <w:rFonts w:hint="eastAsia" w:ascii="宋体" w:hAnsi="宋体" w:eastAsia="宋体" w:cs="宋体"/>
          <w:b/>
          <w:bCs/>
          <w:color w:val="auto"/>
          <w:kern w:val="2"/>
          <w:sz w:val="32"/>
          <w:szCs w:val="32"/>
          <w:highlight w:val="none"/>
        </w:rPr>
        <w:t>词语定义</w:t>
      </w:r>
    </w:p>
    <w:p w14:paraId="05AA891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 </w:t>
      </w:r>
      <w:r>
        <w:rPr>
          <w:rFonts w:hint="eastAsia" w:ascii="宋体" w:hAnsi="宋体" w:eastAsia="宋体" w:cs="宋体"/>
          <w:color w:val="auto"/>
          <w:kern w:val="0"/>
          <w:sz w:val="21"/>
          <w:szCs w:val="21"/>
          <w:highlight w:val="none"/>
          <w:lang w:val="en-US" w:eastAsia="zh-CN" w:bidi="ar"/>
        </w:rPr>
        <w:t>合同</w:t>
      </w:r>
    </w:p>
    <w:p w14:paraId="7A8A9F5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1.1.1.10 </w:t>
      </w:r>
      <w:r>
        <w:rPr>
          <w:rFonts w:hint="eastAsia" w:ascii="宋体" w:hAnsi="宋体" w:eastAsia="宋体" w:cs="宋体"/>
          <w:color w:val="auto"/>
          <w:kern w:val="0"/>
          <w:sz w:val="21"/>
          <w:szCs w:val="21"/>
          <w:highlight w:val="none"/>
          <w:lang w:val="en-US" w:eastAsia="zh-CN" w:bidi="ar"/>
        </w:rPr>
        <w:t>其他合同文件包括：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采购文件、工程量清单、招标控制价、施工图图纸、工程量清单报价、投标文件、中标通知书、双方签署的合同协议书</w:t>
      </w:r>
      <w:r>
        <w:rPr>
          <w:rFonts w:hint="eastAsia" w:ascii="宋体" w:hAnsi="宋体" w:eastAsia="宋体" w:cs="宋体"/>
          <w:color w:val="auto"/>
          <w:kern w:val="0"/>
          <w:sz w:val="21"/>
          <w:szCs w:val="21"/>
          <w:highlight w:val="none"/>
          <w:lang w:val="en-US" w:eastAsia="zh-CN" w:bidi="ar"/>
        </w:rPr>
        <w:t>。</w:t>
      </w:r>
    </w:p>
    <w:p w14:paraId="1E78EB9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 </w:t>
      </w:r>
      <w:r>
        <w:rPr>
          <w:rFonts w:hint="eastAsia" w:ascii="宋体" w:hAnsi="宋体" w:eastAsia="宋体" w:cs="宋体"/>
          <w:color w:val="auto"/>
          <w:kern w:val="0"/>
          <w:sz w:val="21"/>
          <w:szCs w:val="21"/>
          <w:highlight w:val="none"/>
          <w:lang w:val="en-US" w:eastAsia="zh-CN" w:bidi="ar"/>
        </w:rPr>
        <w:t>合同当事人及其他相关方</w:t>
      </w:r>
    </w:p>
    <w:p w14:paraId="6337A5BE">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1.1.2.4 </w:t>
      </w:r>
      <w:r>
        <w:rPr>
          <w:rFonts w:hint="eastAsia" w:ascii="宋体" w:hAnsi="宋体" w:eastAsia="宋体" w:cs="宋体"/>
          <w:color w:val="auto"/>
          <w:kern w:val="0"/>
          <w:sz w:val="21"/>
          <w:szCs w:val="21"/>
          <w:highlight w:val="none"/>
          <w:lang w:val="en-US" w:eastAsia="zh-CN" w:bidi="ar"/>
        </w:rPr>
        <w:t>监理人：</w:t>
      </w:r>
    </w:p>
    <w:p w14:paraId="2066CBE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名</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称：</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8FD77B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资质类别和等级：</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DE04E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C87435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20B7DC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50C366F">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1.1.2.5 </w:t>
      </w:r>
      <w:r>
        <w:rPr>
          <w:rFonts w:hint="eastAsia" w:ascii="宋体" w:hAnsi="宋体" w:eastAsia="宋体" w:cs="宋体"/>
          <w:color w:val="auto"/>
          <w:kern w:val="0"/>
          <w:sz w:val="21"/>
          <w:szCs w:val="21"/>
          <w:highlight w:val="none"/>
          <w:lang w:val="en-US" w:eastAsia="zh-CN" w:bidi="ar"/>
        </w:rPr>
        <w:t>设计人：</w:t>
      </w:r>
    </w:p>
    <w:p w14:paraId="49D3534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名</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称：</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BAB891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资质类别和等级：</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E7F12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CB33C4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FBCE44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70AF50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 </w:t>
      </w:r>
      <w:r>
        <w:rPr>
          <w:rFonts w:hint="eastAsia" w:ascii="宋体" w:hAnsi="宋体" w:eastAsia="宋体" w:cs="宋体"/>
          <w:color w:val="auto"/>
          <w:kern w:val="0"/>
          <w:sz w:val="21"/>
          <w:szCs w:val="21"/>
          <w:highlight w:val="none"/>
          <w:lang w:val="en-US" w:eastAsia="zh-CN" w:bidi="ar"/>
        </w:rPr>
        <w:t>工程和设备</w:t>
      </w:r>
    </w:p>
    <w:p w14:paraId="0D03359D">
      <w:pPr>
        <w:keepNext w:val="0"/>
        <w:keepLines w:val="0"/>
        <w:widowControl w:val="0"/>
        <w:suppressLineNumbers w:val="0"/>
        <w:shd w:val="clear"/>
        <w:spacing w:before="0" w:beforeAutospacing="0" w:after="0" w:afterAutospacing="0" w:line="360" w:lineRule="auto"/>
        <w:ind w:left="0" w:right="0" w:firstLine="420" w:firstLineChars="200"/>
        <w:jc w:val="both"/>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1.1.3.7 </w:t>
      </w:r>
      <w:r>
        <w:rPr>
          <w:rFonts w:hint="eastAsia" w:ascii="宋体" w:hAnsi="宋体" w:eastAsia="宋体" w:cs="宋体"/>
          <w:color w:val="auto"/>
          <w:kern w:val="0"/>
          <w:sz w:val="21"/>
          <w:szCs w:val="21"/>
          <w:highlight w:val="none"/>
          <w:lang w:val="en-US" w:eastAsia="zh-CN" w:bidi="ar"/>
        </w:rPr>
        <w:t>作为施工现场组成部分的其他场所包括：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7C1FF8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1.1.3.9 </w:t>
      </w:r>
      <w:r>
        <w:rPr>
          <w:rFonts w:hint="eastAsia" w:ascii="宋体" w:hAnsi="宋体" w:eastAsia="宋体" w:cs="宋体"/>
          <w:color w:val="auto"/>
          <w:kern w:val="0"/>
          <w:sz w:val="21"/>
          <w:szCs w:val="21"/>
          <w:highlight w:val="none"/>
          <w:lang w:val="en-US" w:eastAsia="zh-CN" w:bidi="ar"/>
        </w:rPr>
        <w:t>永久占地包括：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E21F34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1.1.3.10 </w:t>
      </w:r>
      <w:r>
        <w:rPr>
          <w:rFonts w:hint="eastAsia" w:ascii="宋体" w:hAnsi="宋体" w:eastAsia="宋体" w:cs="宋体"/>
          <w:color w:val="auto"/>
          <w:kern w:val="0"/>
          <w:sz w:val="21"/>
          <w:szCs w:val="21"/>
          <w:highlight w:val="none"/>
          <w:lang w:val="en-US" w:eastAsia="zh-CN" w:bidi="ar"/>
        </w:rPr>
        <w:t>临时占地包括：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611446E">
      <w:pPr>
        <w:pStyle w:val="4"/>
        <w:widowControl/>
        <w:shd w:val="clear"/>
        <w:rPr>
          <w:rFonts w:hint="default" w:ascii="Times New Roman" w:hAnsi="Times New Roman" w:eastAsia="宋体" w:cs="Times New Roman"/>
          <w:b/>
          <w:bCs/>
          <w:color w:val="auto"/>
          <w:kern w:val="2"/>
          <w:sz w:val="32"/>
          <w:szCs w:val="32"/>
          <w:highlight w:val="none"/>
        </w:rPr>
      </w:pPr>
      <w:bookmarkStart w:id="181" w:name="_Toc373227694"/>
      <w:bookmarkEnd w:id="181"/>
      <w:bookmarkStart w:id="182" w:name="_Toc9850524"/>
      <w:bookmarkEnd w:id="182"/>
      <w:bookmarkStart w:id="183" w:name="_Toc373478341"/>
      <w:bookmarkEnd w:id="183"/>
      <w:bookmarkStart w:id="184" w:name="_Toc389065260"/>
      <w:bookmarkEnd w:id="184"/>
      <w:bookmarkStart w:id="185" w:name="_Toc407135196"/>
      <w:r>
        <w:rPr>
          <w:rFonts w:hint="default" w:ascii="Times New Roman" w:hAnsi="Times New Roman" w:eastAsia="宋体" w:cs="Times New Roman"/>
          <w:b/>
          <w:bCs/>
          <w:color w:val="auto"/>
          <w:kern w:val="2"/>
          <w:sz w:val="32"/>
          <w:szCs w:val="32"/>
          <w:highlight w:val="none"/>
        </w:rPr>
        <w:t xml:space="preserve">1.3 </w:t>
      </w:r>
      <w:bookmarkEnd w:id="185"/>
      <w:r>
        <w:rPr>
          <w:rFonts w:hint="eastAsia" w:ascii="宋体" w:hAnsi="宋体" w:eastAsia="宋体" w:cs="宋体"/>
          <w:b/>
          <w:bCs/>
          <w:color w:val="auto"/>
          <w:kern w:val="2"/>
          <w:sz w:val="32"/>
          <w:szCs w:val="32"/>
          <w:highlight w:val="none"/>
        </w:rPr>
        <w:t>法律</w:t>
      </w:r>
    </w:p>
    <w:p w14:paraId="25552689">
      <w:pPr>
        <w:keepNext w:val="0"/>
        <w:keepLines w:val="0"/>
        <w:widowControl w:val="0"/>
        <w:suppressLineNumbers w:val="0"/>
        <w:shd w:val="clear"/>
        <w:autoSpaceDE w:val="0"/>
        <w:autoSpaceDN w:val="0"/>
        <w:adjustRightInd w:val="0"/>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适用于合同的其他规范性文件：</w:t>
      </w:r>
      <w:r>
        <w:rPr>
          <w:rFonts w:hint="eastAsia" w:ascii="宋体" w:hAnsi="宋体" w:eastAsia="宋体" w:cs="宋体"/>
          <w:color w:val="auto"/>
          <w:kern w:val="0"/>
          <w:sz w:val="22"/>
          <w:szCs w:val="22"/>
          <w:highlight w:val="none"/>
          <w:u w:val="single"/>
          <w:lang w:val="en-US" w:eastAsia="zh-CN" w:bidi="ar"/>
        </w:rPr>
        <w:t>现行的国家法律和行政法规，工程所在地政府的有关法规和规章</w:t>
      </w:r>
      <w:r>
        <w:rPr>
          <w:rFonts w:hint="eastAsia" w:ascii="宋体" w:hAnsi="宋体" w:eastAsia="宋体" w:cs="宋体"/>
          <w:color w:val="auto"/>
          <w:kern w:val="0"/>
          <w:sz w:val="21"/>
          <w:szCs w:val="21"/>
          <w:highlight w:val="none"/>
          <w:lang w:val="en-US" w:eastAsia="zh-CN" w:bidi="ar"/>
        </w:rPr>
        <w:t>。</w:t>
      </w:r>
    </w:p>
    <w:p w14:paraId="0179B49B">
      <w:pPr>
        <w:pStyle w:val="4"/>
        <w:widowControl/>
        <w:shd w:val="clear"/>
        <w:rPr>
          <w:rFonts w:hint="default" w:ascii="Times New Roman" w:hAnsi="Times New Roman" w:eastAsia="宋体" w:cs="Times New Roman"/>
          <w:b/>
          <w:bCs/>
          <w:color w:val="auto"/>
          <w:kern w:val="2"/>
          <w:sz w:val="32"/>
          <w:szCs w:val="32"/>
          <w:highlight w:val="none"/>
        </w:rPr>
      </w:pPr>
      <w:bookmarkStart w:id="186" w:name="_Toc407135197"/>
      <w:bookmarkEnd w:id="186"/>
      <w:bookmarkStart w:id="187" w:name="_Toc373227695"/>
      <w:bookmarkEnd w:id="187"/>
      <w:bookmarkStart w:id="188" w:name="_Toc9850525"/>
      <w:bookmarkEnd w:id="188"/>
      <w:bookmarkStart w:id="189" w:name="_Toc389065261"/>
      <w:bookmarkEnd w:id="189"/>
      <w:bookmarkStart w:id="190" w:name="_Toc373478342"/>
      <w:r>
        <w:rPr>
          <w:rFonts w:hint="default" w:ascii="Times New Roman" w:hAnsi="Times New Roman" w:eastAsia="宋体" w:cs="Times New Roman"/>
          <w:b/>
          <w:bCs/>
          <w:color w:val="auto"/>
          <w:kern w:val="2"/>
          <w:sz w:val="32"/>
          <w:szCs w:val="32"/>
          <w:highlight w:val="none"/>
        </w:rPr>
        <w:t xml:space="preserve">1.4 </w:t>
      </w:r>
      <w:bookmarkEnd w:id="190"/>
      <w:r>
        <w:rPr>
          <w:rFonts w:hint="eastAsia" w:ascii="宋体" w:hAnsi="宋体" w:eastAsia="宋体" w:cs="宋体"/>
          <w:b/>
          <w:bCs/>
          <w:color w:val="auto"/>
          <w:kern w:val="2"/>
          <w:sz w:val="32"/>
          <w:szCs w:val="32"/>
          <w:highlight w:val="none"/>
        </w:rPr>
        <w:t>标准和规范</w:t>
      </w:r>
    </w:p>
    <w:p w14:paraId="43465726">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1.4.1 </w:t>
      </w:r>
      <w:r>
        <w:rPr>
          <w:rFonts w:hint="eastAsia" w:ascii="宋体" w:hAnsi="宋体" w:eastAsia="宋体" w:cs="宋体"/>
          <w:color w:val="auto"/>
          <w:kern w:val="0"/>
          <w:sz w:val="21"/>
          <w:szCs w:val="21"/>
          <w:highlight w:val="none"/>
          <w:lang w:val="en-US" w:eastAsia="zh-CN" w:bidi="ar"/>
        </w:rPr>
        <w:t>适用于工程的标准规范包括：</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现行的国家标准、规范、行业标准、规范等文件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D3B96D7">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1.4.2 </w:t>
      </w:r>
      <w:r>
        <w:rPr>
          <w:rFonts w:hint="eastAsia" w:ascii="宋体" w:hAnsi="宋体" w:eastAsia="宋体" w:cs="宋体"/>
          <w:color w:val="auto"/>
          <w:kern w:val="0"/>
          <w:sz w:val="21"/>
          <w:szCs w:val="21"/>
          <w:highlight w:val="none"/>
          <w:lang w:val="en-US" w:eastAsia="zh-CN" w:bidi="ar"/>
        </w:rPr>
        <w:t>发包人提供国外标准、规范的名称：</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0CDA44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发包人提供国外标准、规范的份数：</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4FC480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发包人提供国外标准、规范的名称：</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3E443CA4">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1.4.3 </w:t>
      </w:r>
      <w:r>
        <w:rPr>
          <w:rFonts w:hint="eastAsia" w:ascii="宋体" w:hAnsi="宋体" w:eastAsia="宋体" w:cs="宋体"/>
          <w:color w:val="auto"/>
          <w:kern w:val="0"/>
          <w:sz w:val="21"/>
          <w:szCs w:val="21"/>
          <w:highlight w:val="none"/>
          <w:lang w:val="en-US" w:eastAsia="zh-CN" w:bidi="ar"/>
        </w:rPr>
        <w:t>发包人对工程的技术标准和功能要求的特殊要求：</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7B473BF">
      <w:pPr>
        <w:pStyle w:val="4"/>
        <w:widowControl/>
        <w:shd w:val="clear"/>
        <w:rPr>
          <w:rFonts w:hint="default" w:ascii="Times New Roman" w:hAnsi="Times New Roman" w:eastAsia="宋体" w:cs="Times New Roman"/>
          <w:b/>
          <w:bCs/>
          <w:color w:val="auto"/>
          <w:kern w:val="2"/>
          <w:sz w:val="32"/>
          <w:szCs w:val="32"/>
          <w:highlight w:val="none"/>
        </w:rPr>
      </w:pPr>
      <w:bookmarkStart w:id="191" w:name="_Toc407135198"/>
      <w:bookmarkEnd w:id="191"/>
      <w:bookmarkStart w:id="192" w:name="_Toc373478343"/>
      <w:bookmarkEnd w:id="192"/>
      <w:bookmarkStart w:id="193" w:name="_Toc373227696"/>
      <w:bookmarkEnd w:id="193"/>
      <w:bookmarkStart w:id="194" w:name="_Toc389065262"/>
      <w:bookmarkEnd w:id="194"/>
      <w:bookmarkStart w:id="195" w:name="_Toc9850526"/>
      <w:r>
        <w:rPr>
          <w:rFonts w:hint="default" w:ascii="Times New Roman" w:hAnsi="Times New Roman" w:eastAsia="宋体" w:cs="Times New Roman"/>
          <w:b/>
          <w:bCs/>
          <w:color w:val="auto"/>
          <w:kern w:val="2"/>
          <w:sz w:val="32"/>
          <w:szCs w:val="32"/>
          <w:highlight w:val="none"/>
        </w:rPr>
        <w:t xml:space="preserve">1.5 </w:t>
      </w:r>
      <w:bookmarkEnd w:id="195"/>
      <w:r>
        <w:rPr>
          <w:rFonts w:hint="eastAsia" w:ascii="宋体" w:hAnsi="宋体" w:eastAsia="宋体" w:cs="宋体"/>
          <w:b/>
          <w:bCs/>
          <w:color w:val="auto"/>
          <w:kern w:val="2"/>
          <w:sz w:val="32"/>
          <w:szCs w:val="32"/>
          <w:highlight w:val="none"/>
        </w:rPr>
        <w:t>合同文件的优先顺序</w:t>
      </w:r>
    </w:p>
    <w:p w14:paraId="3578E1F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合同文件组成及优先顺序为：</w:t>
      </w:r>
    </w:p>
    <w:p w14:paraId="516DF2A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）合同协议书；</w:t>
      </w:r>
    </w:p>
    <w:p w14:paraId="1EE173C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）中标通知书（如有）；</w:t>
      </w:r>
    </w:p>
    <w:p w14:paraId="45EC3F2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）投标函及其附录（如有）；</w:t>
      </w:r>
    </w:p>
    <w:p w14:paraId="36BAA29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）专用合同条款及其附件；</w:t>
      </w:r>
    </w:p>
    <w:p w14:paraId="6BC4E6C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）通用合同条款；</w:t>
      </w:r>
    </w:p>
    <w:p w14:paraId="1F00CD5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技术标准和要求</w:t>
      </w:r>
      <w:r>
        <w:rPr>
          <w:rFonts w:hint="eastAsia" w:ascii="宋体" w:hAnsi="宋体" w:eastAsia="宋体" w:cs="宋体"/>
          <w:color w:val="auto"/>
          <w:kern w:val="0"/>
          <w:sz w:val="21"/>
          <w:szCs w:val="21"/>
          <w:highlight w:val="none"/>
          <w:lang w:val="en-US" w:eastAsia="zh-CN" w:bidi="ar"/>
        </w:rPr>
        <w:t>；</w:t>
      </w:r>
    </w:p>
    <w:p w14:paraId="18B71E1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图纸</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42AA807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已标价工程量清单或预算书</w:t>
      </w:r>
      <w:r>
        <w:rPr>
          <w:rFonts w:hint="eastAsia" w:ascii="宋体" w:hAnsi="宋体" w:eastAsia="宋体" w:cs="宋体"/>
          <w:color w:val="auto"/>
          <w:kern w:val="0"/>
          <w:sz w:val="21"/>
          <w:szCs w:val="21"/>
          <w:highlight w:val="none"/>
          <w:lang w:val="en-US" w:eastAsia="zh-CN" w:bidi="ar"/>
        </w:rPr>
        <w:t>；</w:t>
      </w:r>
    </w:p>
    <w:p w14:paraId="3CAFC48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其他合同文件（如有）</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1C6D608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）《建设工程工程量清单计价规范（</w:t>
      </w:r>
      <w:r>
        <w:rPr>
          <w:rFonts w:hint="default" w:ascii="Times New Roman" w:hAnsi="宋体" w:eastAsia="宋体" w:cs="Times New Roman"/>
          <w:color w:val="auto"/>
          <w:kern w:val="0"/>
          <w:sz w:val="21"/>
          <w:szCs w:val="21"/>
          <w:highlight w:val="none"/>
          <w:lang w:val="en-US" w:eastAsia="zh-CN" w:bidi="ar"/>
        </w:rPr>
        <w:t>GB50500-2013</w:t>
      </w:r>
      <w:r>
        <w:rPr>
          <w:rFonts w:hint="eastAsia" w:ascii="宋体" w:hAnsi="宋体" w:eastAsia="宋体" w:cs="宋体"/>
          <w:color w:val="auto"/>
          <w:kern w:val="0"/>
          <w:sz w:val="21"/>
          <w:szCs w:val="21"/>
          <w:highlight w:val="none"/>
          <w:lang w:val="en-US" w:eastAsia="zh-CN" w:bidi="ar"/>
        </w:rPr>
        <w:t>）》及其广西实施细则及《关于建筑业实施营业税改征增值税后广西壮族自治区建设工程计价依据调整的通知》（桂建标〔</w:t>
      </w:r>
      <w:r>
        <w:rPr>
          <w:rFonts w:hint="default" w:ascii="Times New Roman" w:hAnsi="宋体" w:eastAsia="宋体" w:cs="Times New Roman"/>
          <w:color w:val="auto"/>
          <w:kern w:val="0"/>
          <w:sz w:val="21"/>
          <w:szCs w:val="21"/>
          <w:highlight w:val="none"/>
          <w:lang w:val="en-US" w:eastAsia="zh-CN" w:bidi="ar"/>
        </w:rPr>
        <w:t>2016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17</w:t>
      </w:r>
      <w:r>
        <w:rPr>
          <w:rFonts w:hint="eastAsia" w:ascii="宋体" w:hAnsi="宋体" w:eastAsia="宋体" w:cs="宋体"/>
          <w:color w:val="auto"/>
          <w:kern w:val="0"/>
          <w:sz w:val="21"/>
          <w:szCs w:val="21"/>
          <w:highlight w:val="none"/>
          <w:lang w:val="en-US" w:eastAsia="zh-CN" w:bidi="ar"/>
        </w:rPr>
        <w:t>号）、《自治区住房城乡建设厅关于调整建设工程计价增值税税率的通知》（桂建标〔</w:t>
      </w:r>
      <w:r>
        <w:rPr>
          <w:rFonts w:hint="default" w:ascii="Times New Roman" w:hAnsi="Times New Roman" w:eastAsia="宋体" w:cs="Times New Roman"/>
          <w:color w:val="auto"/>
          <w:kern w:val="0"/>
          <w:sz w:val="21"/>
          <w:szCs w:val="21"/>
          <w:highlight w:val="none"/>
          <w:lang w:val="en-US" w:eastAsia="zh-CN" w:bidi="ar"/>
        </w:rPr>
        <w:t>2018</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号）、《建设工程工程量清单计算规范（</w:t>
      </w:r>
      <w:r>
        <w:rPr>
          <w:rFonts w:hint="default" w:ascii="Times New Roman" w:hAnsi="宋体" w:eastAsia="宋体" w:cs="Times New Roman"/>
          <w:color w:val="auto"/>
          <w:kern w:val="0"/>
          <w:sz w:val="21"/>
          <w:szCs w:val="21"/>
          <w:highlight w:val="none"/>
          <w:lang w:val="en-US" w:eastAsia="zh-CN" w:bidi="ar"/>
        </w:rPr>
        <w:t>GB50854~50862-2013</w:t>
      </w:r>
      <w:r>
        <w:rPr>
          <w:rFonts w:hint="eastAsia" w:ascii="宋体" w:hAnsi="宋体" w:eastAsia="宋体" w:cs="宋体"/>
          <w:color w:val="auto"/>
          <w:kern w:val="0"/>
          <w:sz w:val="21"/>
          <w:szCs w:val="21"/>
          <w:highlight w:val="none"/>
          <w:lang w:val="en-US" w:eastAsia="zh-CN" w:bidi="ar"/>
        </w:rPr>
        <w:t>）》及其广西实施细则（修订本）。</w:t>
      </w:r>
    </w:p>
    <w:p w14:paraId="0A89D8D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说明：（</w:t>
      </w:r>
      <w:r>
        <w:rPr>
          <w:rFonts w:hint="default" w:ascii="Times New Roman" w:hAnsi="宋体"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）填空内容分别限于技术标准和要求、图纸、已标价工程量清单或预算书、其他合同文件四者之一，其优先顺序可根据采取的不同合同方式由双方约定。</w:t>
      </w:r>
    </w:p>
    <w:p w14:paraId="248B9772">
      <w:pPr>
        <w:pStyle w:val="4"/>
        <w:widowControl/>
        <w:shd w:val="clear"/>
        <w:rPr>
          <w:rFonts w:hint="default" w:ascii="Times New Roman" w:hAnsi="Times New Roman" w:eastAsia="宋体" w:cs="Times New Roman"/>
          <w:b/>
          <w:bCs/>
          <w:color w:val="auto"/>
          <w:kern w:val="2"/>
          <w:sz w:val="32"/>
          <w:szCs w:val="32"/>
          <w:highlight w:val="none"/>
        </w:rPr>
      </w:pPr>
      <w:bookmarkStart w:id="196" w:name="_Toc373478344"/>
      <w:bookmarkEnd w:id="196"/>
      <w:bookmarkStart w:id="197" w:name="_Toc9850527"/>
      <w:bookmarkEnd w:id="197"/>
      <w:bookmarkStart w:id="198" w:name="_Toc373227697"/>
      <w:bookmarkEnd w:id="198"/>
      <w:bookmarkStart w:id="199" w:name="_Toc407135199"/>
      <w:bookmarkEnd w:id="199"/>
      <w:bookmarkStart w:id="200" w:name="_Toc389065263"/>
      <w:r>
        <w:rPr>
          <w:rFonts w:hint="default" w:ascii="Times New Roman" w:hAnsi="Times New Roman" w:eastAsia="宋体" w:cs="Times New Roman"/>
          <w:b/>
          <w:bCs/>
          <w:color w:val="auto"/>
          <w:kern w:val="2"/>
          <w:sz w:val="32"/>
          <w:szCs w:val="32"/>
          <w:highlight w:val="none"/>
        </w:rPr>
        <w:t xml:space="preserve">1.6 </w:t>
      </w:r>
      <w:bookmarkEnd w:id="200"/>
      <w:r>
        <w:rPr>
          <w:rFonts w:hint="eastAsia" w:ascii="宋体" w:hAnsi="宋体" w:eastAsia="宋体" w:cs="宋体"/>
          <w:b/>
          <w:bCs/>
          <w:color w:val="auto"/>
          <w:kern w:val="2"/>
          <w:sz w:val="32"/>
          <w:szCs w:val="32"/>
          <w:highlight w:val="none"/>
        </w:rPr>
        <w:t>图纸和承包人文件</w:t>
      </w:r>
      <w:r>
        <w:rPr>
          <w:rFonts w:hint="default" w:ascii="Times New Roman" w:hAnsi="Times New Roman" w:eastAsia="宋体" w:cs="Times New Roman"/>
          <w:b/>
          <w:bCs/>
          <w:color w:val="auto"/>
          <w:kern w:val="2"/>
          <w:sz w:val="32"/>
          <w:szCs w:val="32"/>
          <w:highlight w:val="none"/>
        </w:rPr>
        <w:tab/>
      </w:r>
    </w:p>
    <w:p w14:paraId="03EA439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 </w:t>
      </w:r>
      <w:r>
        <w:rPr>
          <w:rFonts w:hint="eastAsia" w:ascii="宋体" w:hAnsi="宋体" w:eastAsia="宋体" w:cs="宋体"/>
          <w:color w:val="auto"/>
          <w:kern w:val="0"/>
          <w:sz w:val="21"/>
          <w:szCs w:val="21"/>
          <w:highlight w:val="none"/>
          <w:lang w:val="en-US" w:eastAsia="zh-CN" w:bidi="ar"/>
        </w:rPr>
        <w:t>图纸的提供</w:t>
      </w:r>
    </w:p>
    <w:p w14:paraId="4B9A53C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自合同签订之日起</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0FCB85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发包人向承包人提供图纸的数量：</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MingLiU_HKSCS" w:hAnsi="MingLiU_HKSCS" w:eastAsia="MingLiU_HKSCS" w:cs="MingLiU_HKSCS"/>
          <w:color w:val="auto"/>
          <w:kern w:val="0"/>
          <w:sz w:val="21"/>
          <w:szCs w:val="21"/>
          <w:highlight w:val="none"/>
          <w:u w:val="single"/>
          <w:lang w:val="en-US" w:eastAsia="zh-CN" w:bidi="ar"/>
        </w:rPr>
        <w:t>1</w:t>
      </w:r>
      <w:r>
        <w:rPr>
          <w:rFonts w:hint="eastAsia" w:ascii="MingLiU_HKSCS" w:hAnsi="Times New Roman" w:eastAsia="宋体" w:cs="MingLiU_HKSCS"/>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套（承包人需要增加图纸套数的，发包人应代为复制，复制费用由承包人承担）；</w:t>
      </w:r>
    </w:p>
    <w:p w14:paraId="7C62ADF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发包人向承包人提供图纸的内容：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全套施工图图纸</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A63CB0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1.6.4 </w:t>
      </w:r>
      <w:r>
        <w:rPr>
          <w:rFonts w:hint="eastAsia" w:ascii="宋体" w:hAnsi="宋体" w:eastAsia="宋体" w:cs="宋体"/>
          <w:color w:val="auto"/>
          <w:kern w:val="0"/>
          <w:sz w:val="21"/>
          <w:szCs w:val="21"/>
          <w:highlight w:val="none"/>
          <w:lang w:val="en-US" w:eastAsia="zh-CN" w:bidi="ar"/>
        </w:rPr>
        <w:t>承包人文件</w:t>
      </w:r>
    </w:p>
    <w:p w14:paraId="44370C7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需要由承包人提供的文件，包括：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CD09B9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承包人提供的文件的期限为：</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324944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承包人提供的文件的数量为：</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367D40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承包人提供的文件的形式为：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书面形式</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99E18E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发包人审批承包人文件的期限：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接到发包人通知后</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D2525E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1.6.5 </w:t>
      </w:r>
      <w:r>
        <w:rPr>
          <w:rFonts w:hint="eastAsia" w:ascii="宋体" w:hAnsi="宋体" w:eastAsia="宋体" w:cs="宋体"/>
          <w:color w:val="auto"/>
          <w:kern w:val="0"/>
          <w:sz w:val="21"/>
          <w:szCs w:val="21"/>
          <w:highlight w:val="none"/>
          <w:lang w:val="en-US" w:eastAsia="zh-CN" w:bidi="ar"/>
        </w:rPr>
        <w:t>现场图纸准备</w:t>
      </w:r>
    </w:p>
    <w:p w14:paraId="2804456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关于现场图纸准备的约定：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施工期间现场至少保留</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套完整的图纸  。</w:t>
      </w:r>
    </w:p>
    <w:p w14:paraId="08E78ABF">
      <w:pPr>
        <w:pStyle w:val="4"/>
        <w:widowControl/>
        <w:shd w:val="clear"/>
        <w:rPr>
          <w:rFonts w:hint="default" w:ascii="Times New Roman" w:hAnsi="Times New Roman" w:eastAsia="宋体" w:cs="Times New Roman"/>
          <w:b/>
          <w:bCs/>
          <w:color w:val="auto"/>
          <w:kern w:val="2"/>
          <w:sz w:val="32"/>
          <w:szCs w:val="32"/>
          <w:highlight w:val="none"/>
        </w:rPr>
      </w:pPr>
      <w:bookmarkStart w:id="201" w:name="_Toc373478345"/>
      <w:bookmarkEnd w:id="201"/>
      <w:bookmarkStart w:id="202" w:name="_Toc389065264"/>
      <w:bookmarkEnd w:id="202"/>
      <w:bookmarkStart w:id="203" w:name="_Toc407135200"/>
      <w:bookmarkEnd w:id="203"/>
      <w:bookmarkStart w:id="204" w:name="_Toc373227698"/>
      <w:bookmarkEnd w:id="204"/>
      <w:bookmarkStart w:id="205" w:name="_Toc9850528"/>
      <w:r>
        <w:rPr>
          <w:rFonts w:hint="default" w:ascii="Times New Roman" w:hAnsi="Times New Roman" w:eastAsia="宋体" w:cs="Times New Roman"/>
          <w:b/>
          <w:bCs/>
          <w:color w:val="auto"/>
          <w:kern w:val="2"/>
          <w:sz w:val="32"/>
          <w:szCs w:val="32"/>
          <w:highlight w:val="none"/>
        </w:rPr>
        <w:t xml:space="preserve">1.7 </w:t>
      </w:r>
      <w:bookmarkEnd w:id="205"/>
      <w:r>
        <w:rPr>
          <w:rFonts w:hint="eastAsia" w:ascii="宋体" w:hAnsi="宋体" w:eastAsia="宋体" w:cs="宋体"/>
          <w:b/>
          <w:bCs/>
          <w:color w:val="auto"/>
          <w:kern w:val="2"/>
          <w:sz w:val="32"/>
          <w:szCs w:val="32"/>
          <w:highlight w:val="none"/>
        </w:rPr>
        <w:t>联络</w:t>
      </w:r>
    </w:p>
    <w:p w14:paraId="1ADC24B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1.7.1</w:t>
      </w:r>
      <w:r>
        <w:rPr>
          <w:rFonts w:hint="eastAsia" w:ascii="宋体" w:hAnsi="宋体" w:eastAsia="宋体" w:cs="宋体"/>
          <w:color w:val="auto"/>
          <w:kern w:val="0"/>
          <w:sz w:val="21"/>
          <w:szCs w:val="21"/>
          <w:highlight w:val="none"/>
          <w:lang w:val="en-US" w:eastAsia="zh-CN" w:bidi="ar"/>
        </w:rPr>
        <w:t>发包人和承包人应当在</w:t>
      </w:r>
      <w:r>
        <w:rPr>
          <w:rFonts w:hint="default" w:ascii="Times New Roman" w:hAnsi="Times New Roman" w:eastAsia="宋体" w:cs="Times New Roman"/>
          <w:color w:val="auto"/>
          <w:kern w:val="0"/>
          <w:sz w:val="21"/>
          <w:szCs w:val="21"/>
          <w:highlight w:val="none"/>
          <w:u w:val="single"/>
          <w:lang w:val="en-US" w:eastAsia="zh-CN" w:bidi="ar"/>
        </w:rPr>
        <w:t xml:space="preserve"> 1  </w:t>
      </w:r>
      <w:r>
        <w:rPr>
          <w:rFonts w:hint="eastAsia" w:ascii="宋体" w:hAnsi="宋体" w:eastAsia="宋体" w:cs="宋体"/>
          <w:color w:val="auto"/>
          <w:kern w:val="0"/>
          <w:sz w:val="21"/>
          <w:szCs w:val="21"/>
          <w:highlight w:val="none"/>
          <w:lang w:val="en-US" w:eastAsia="zh-CN" w:bidi="ar"/>
        </w:rPr>
        <w:t>天内将与合同有关的通知、批准、证明、证书、指示、指令、要求、请求、同意、意见、确定和决定等书面函件送达对方当事人。</w:t>
      </w:r>
    </w:p>
    <w:p w14:paraId="0004C8ED">
      <w:pPr>
        <w:keepNext w:val="0"/>
        <w:keepLines w:val="0"/>
        <w:widowControl/>
        <w:suppressLineNumbers w:val="0"/>
        <w:shd w:val="clear"/>
        <w:kinsoku w:val="0"/>
        <w:autoSpaceDE w:val="0"/>
        <w:autoSpaceDN w:val="0"/>
        <w:adjustRightInd w:val="0"/>
        <w:snapToGrid w:val="0"/>
        <w:spacing w:before="0" w:beforeAutospacing="0" w:after="0" w:afterAutospacing="0" w:line="480" w:lineRule="auto"/>
        <w:ind w:left="0" w:leftChars="0" w:right="0" w:firstLine="0" w:firstLineChars="0"/>
        <w:jc w:val="both"/>
        <w:textAlignment w:val="baseline"/>
        <w:rPr>
          <w:rFonts w:hint="eastAsia" w:ascii="Times New Roman" w:hAnsi="宋体" w:eastAsia="宋体" w:cs="宋体"/>
          <w:color w:val="auto"/>
          <w:kern w:val="0"/>
          <w:sz w:val="21"/>
          <w:szCs w:val="21"/>
          <w:highlight w:val="none"/>
          <w:vertAlign w:val="baseline"/>
        </w:rPr>
      </w:pPr>
      <w:r>
        <w:rPr>
          <w:rFonts w:hint="default" w:ascii="Times New Roman" w:hAnsi="Times New Roman" w:eastAsia="宋体" w:cs="Times New Roman"/>
          <w:color w:val="auto"/>
          <w:kern w:val="0"/>
          <w:sz w:val="21"/>
          <w:szCs w:val="21"/>
          <w:highlight w:val="none"/>
          <w:vertAlign w:val="baseline"/>
          <w:lang w:val="en-US" w:eastAsia="zh-CN" w:bidi="ar"/>
        </w:rPr>
        <w:t xml:space="preserve">1.7.2 </w:t>
      </w:r>
      <w:r>
        <w:rPr>
          <w:rFonts w:hint="eastAsia" w:ascii="宋体" w:hAnsi="宋体" w:eastAsia="宋体" w:cs="宋体"/>
          <w:color w:val="auto"/>
          <w:kern w:val="0"/>
          <w:sz w:val="21"/>
          <w:szCs w:val="21"/>
          <w:highlight w:val="none"/>
          <w:vertAlign w:val="baseline"/>
          <w:lang w:val="en-US" w:eastAsia="zh-CN" w:bidi="ar"/>
        </w:rPr>
        <w:t>发包人接收文件的地点：</w:t>
      </w:r>
      <w:r>
        <w:rPr>
          <w:rFonts w:hint="eastAsia" w:ascii="宋体" w:hAnsi="宋体" w:cs="宋体"/>
          <w:color w:val="auto"/>
          <w:kern w:val="0"/>
          <w:sz w:val="21"/>
          <w:szCs w:val="21"/>
          <w:highlight w:val="none"/>
          <w:u w:val="single"/>
          <w:vertAlign w:val="baseline"/>
          <w:lang w:val="en-US" w:eastAsia="zh-CN" w:bidi="ar"/>
        </w:rPr>
        <w:t xml:space="preserve">                      </w:t>
      </w:r>
      <w:r>
        <w:rPr>
          <w:rFonts w:hint="eastAsia" w:ascii="宋体" w:hAnsi="宋体" w:eastAsia="宋体" w:cs="宋体"/>
          <w:color w:val="auto"/>
          <w:kern w:val="0"/>
          <w:sz w:val="21"/>
          <w:szCs w:val="21"/>
          <w:highlight w:val="none"/>
          <w:u w:val="single"/>
          <w:vertAlign w:val="baseline"/>
          <w:lang w:val="en-US" w:eastAsia="zh-CN" w:bidi="ar"/>
        </w:rPr>
        <w:t>；</w:t>
      </w:r>
    </w:p>
    <w:p w14:paraId="7B6D0B6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1DEE1F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承包人接收文件的地点：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25E874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8D11A5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监理人接收文件的地点：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856502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监理人指定的接收人为：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C4EBEA4">
      <w:pPr>
        <w:pStyle w:val="4"/>
        <w:widowControl/>
        <w:shd w:val="clear"/>
        <w:rPr>
          <w:rFonts w:hint="default" w:ascii="Times New Roman" w:hAnsi="Times New Roman" w:eastAsia="宋体" w:cs="Times New Roman"/>
          <w:b/>
          <w:bCs/>
          <w:color w:val="auto"/>
          <w:kern w:val="2"/>
          <w:sz w:val="32"/>
          <w:szCs w:val="32"/>
          <w:highlight w:val="none"/>
        </w:rPr>
      </w:pPr>
      <w:bookmarkStart w:id="206" w:name="_Toc373227699"/>
      <w:bookmarkEnd w:id="206"/>
      <w:bookmarkStart w:id="207" w:name="_Toc389065265"/>
      <w:bookmarkEnd w:id="207"/>
      <w:bookmarkStart w:id="208" w:name="_Toc9850529"/>
      <w:bookmarkEnd w:id="208"/>
      <w:bookmarkStart w:id="209" w:name="_Toc373478346"/>
      <w:bookmarkEnd w:id="209"/>
      <w:bookmarkStart w:id="210" w:name="_Toc407135201"/>
      <w:r>
        <w:rPr>
          <w:rFonts w:hint="default" w:ascii="Times New Roman" w:hAnsi="Times New Roman" w:eastAsia="宋体" w:cs="Times New Roman"/>
          <w:b/>
          <w:bCs/>
          <w:color w:val="auto"/>
          <w:kern w:val="2"/>
          <w:sz w:val="32"/>
          <w:szCs w:val="32"/>
          <w:highlight w:val="none"/>
        </w:rPr>
        <w:t xml:space="preserve">1.10 </w:t>
      </w:r>
      <w:bookmarkEnd w:id="210"/>
      <w:r>
        <w:rPr>
          <w:rFonts w:hint="eastAsia" w:ascii="宋体" w:hAnsi="宋体" w:eastAsia="宋体" w:cs="宋体"/>
          <w:b/>
          <w:bCs/>
          <w:color w:val="auto"/>
          <w:kern w:val="2"/>
          <w:sz w:val="32"/>
          <w:szCs w:val="32"/>
          <w:highlight w:val="none"/>
        </w:rPr>
        <w:t>交通运输</w:t>
      </w:r>
    </w:p>
    <w:p w14:paraId="34614EB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211" w:name="_Toc312677986"/>
      <w:bookmarkEnd w:id="211"/>
      <w:bookmarkStart w:id="212" w:name="_Toc303539100"/>
      <w:bookmarkEnd w:id="212"/>
      <w:bookmarkStart w:id="213" w:name="_Toc300934943"/>
      <w:bookmarkEnd w:id="213"/>
      <w:bookmarkStart w:id="214" w:name="_Toc318581155"/>
      <w:bookmarkEnd w:id="214"/>
      <w:bookmarkStart w:id="215" w:name="_Toc304295521"/>
      <w:r>
        <w:rPr>
          <w:rFonts w:hint="default" w:ascii="Times New Roman" w:hAnsi="Times New Roman" w:eastAsia="宋体" w:cs="Times New Roman"/>
          <w:color w:val="auto"/>
          <w:kern w:val="0"/>
          <w:sz w:val="21"/>
          <w:szCs w:val="21"/>
          <w:highlight w:val="none"/>
          <w:lang w:val="en-US" w:eastAsia="zh-CN" w:bidi="ar"/>
        </w:rPr>
        <w:t xml:space="preserve">.10.1 </w:t>
      </w:r>
      <w:bookmarkEnd w:id="215"/>
      <w:r>
        <w:rPr>
          <w:rFonts w:hint="eastAsia" w:ascii="宋体" w:hAnsi="宋体" w:eastAsia="宋体" w:cs="宋体"/>
          <w:color w:val="auto"/>
          <w:kern w:val="0"/>
          <w:sz w:val="21"/>
          <w:szCs w:val="21"/>
          <w:highlight w:val="none"/>
          <w:lang w:val="en-US" w:eastAsia="zh-CN" w:bidi="ar"/>
        </w:rPr>
        <w:t>出入现场的权利</w:t>
      </w:r>
    </w:p>
    <w:p w14:paraId="2B37513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关于出入现场的权利的约定：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28A5D9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216" w:name="_Toc300934944"/>
      <w:bookmarkEnd w:id="216"/>
      <w:bookmarkStart w:id="217" w:name="_Toc303539101"/>
      <w:bookmarkEnd w:id="217"/>
      <w:bookmarkStart w:id="218" w:name="_Toc312677987"/>
      <w:bookmarkEnd w:id="218"/>
      <w:bookmarkStart w:id="219" w:name="_Toc318581156"/>
      <w:bookmarkEnd w:id="219"/>
      <w:bookmarkStart w:id="220" w:name="_Toc304295522"/>
      <w:r>
        <w:rPr>
          <w:rFonts w:hint="default" w:ascii="Times New Roman" w:hAnsi="Times New Roman" w:eastAsia="宋体" w:cs="Times New Roman"/>
          <w:color w:val="auto"/>
          <w:kern w:val="0"/>
          <w:sz w:val="21"/>
          <w:szCs w:val="21"/>
          <w:highlight w:val="none"/>
          <w:lang w:val="en-US" w:eastAsia="zh-CN" w:bidi="ar"/>
        </w:rPr>
        <w:t xml:space="preserve">.10.3 </w:t>
      </w:r>
      <w:bookmarkEnd w:id="220"/>
      <w:r>
        <w:rPr>
          <w:rFonts w:hint="eastAsia" w:ascii="宋体" w:hAnsi="宋体" w:eastAsia="宋体" w:cs="宋体"/>
          <w:color w:val="auto"/>
          <w:kern w:val="0"/>
          <w:sz w:val="21"/>
          <w:szCs w:val="21"/>
          <w:highlight w:val="none"/>
          <w:lang w:val="en-US" w:eastAsia="zh-CN" w:bidi="ar"/>
        </w:rPr>
        <w:t>场内交通</w:t>
      </w:r>
    </w:p>
    <w:p w14:paraId="20BB839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关于场外交通和场内交通的边界的约定：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3D2070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关于发包人向承包人免费提供满足工程施工需要的场内道路和交通设施的约定：</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bookmarkStart w:id="221" w:name="_Toc318581157"/>
      <w:bookmarkEnd w:id="221"/>
    </w:p>
    <w:p w14:paraId="2C75762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1.10.4 </w:t>
      </w:r>
      <w:r>
        <w:rPr>
          <w:rFonts w:hint="eastAsia" w:ascii="宋体" w:hAnsi="宋体" w:eastAsia="宋体" w:cs="宋体"/>
          <w:color w:val="auto"/>
          <w:kern w:val="0"/>
          <w:sz w:val="21"/>
          <w:szCs w:val="21"/>
          <w:highlight w:val="none"/>
          <w:lang w:val="en-US" w:eastAsia="zh-CN" w:bidi="ar"/>
        </w:rPr>
        <w:t>超大件和超重件的运输</w:t>
      </w:r>
    </w:p>
    <w:p w14:paraId="3DF5C2D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运输超大件或超重件所需的道路和桥梁临时加固改造费用和其他有关费用由</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承担。</w:t>
      </w:r>
    </w:p>
    <w:p w14:paraId="0F8E1190">
      <w:pPr>
        <w:pStyle w:val="4"/>
        <w:widowControl/>
        <w:shd w:val="clear"/>
        <w:rPr>
          <w:rFonts w:hint="default" w:ascii="Times New Roman" w:hAnsi="Times New Roman" w:eastAsia="宋体" w:cs="Times New Roman"/>
          <w:b/>
          <w:bCs/>
          <w:color w:val="auto"/>
          <w:kern w:val="2"/>
          <w:sz w:val="32"/>
          <w:szCs w:val="32"/>
          <w:highlight w:val="none"/>
        </w:rPr>
      </w:pPr>
      <w:bookmarkStart w:id="222" w:name="_Toc389065266"/>
      <w:bookmarkEnd w:id="222"/>
      <w:bookmarkStart w:id="223" w:name="_Toc9850530"/>
      <w:bookmarkEnd w:id="223"/>
      <w:bookmarkStart w:id="224" w:name="_Toc373227700"/>
      <w:bookmarkEnd w:id="224"/>
      <w:bookmarkStart w:id="225" w:name="_Toc373478347"/>
      <w:bookmarkEnd w:id="225"/>
      <w:bookmarkStart w:id="226" w:name="_Toc407135202"/>
      <w:r>
        <w:rPr>
          <w:rFonts w:hint="default" w:ascii="Times New Roman" w:hAnsi="Times New Roman" w:eastAsia="宋体" w:cs="Times New Roman"/>
          <w:b/>
          <w:bCs/>
          <w:color w:val="auto"/>
          <w:kern w:val="2"/>
          <w:sz w:val="32"/>
          <w:szCs w:val="32"/>
          <w:highlight w:val="none"/>
        </w:rPr>
        <w:t xml:space="preserve">1.11 </w:t>
      </w:r>
      <w:bookmarkEnd w:id="226"/>
      <w:r>
        <w:rPr>
          <w:rFonts w:hint="eastAsia" w:ascii="宋体" w:hAnsi="宋体" w:eastAsia="宋体" w:cs="宋体"/>
          <w:b/>
          <w:bCs/>
          <w:color w:val="auto"/>
          <w:kern w:val="2"/>
          <w:sz w:val="32"/>
          <w:szCs w:val="32"/>
          <w:highlight w:val="none"/>
        </w:rPr>
        <w:t>知识产权</w:t>
      </w:r>
    </w:p>
    <w:p w14:paraId="5D8D524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1.11.1 </w:t>
      </w:r>
      <w:r>
        <w:rPr>
          <w:rFonts w:hint="eastAsia" w:ascii="宋体" w:hAnsi="宋体" w:eastAsia="宋体" w:cs="宋体"/>
          <w:color w:val="auto"/>
          <w:kern w:val="0"/>
          <w:sz w:val="21"/>
          <w:szCs w:val="21"/>
          <w:highlight w:val="none"/>
          <w:lang w:val="en-US" w:eastAsia="zh-CN" w:bidi="ar"/>
        </w:rPr>
        <w:t>关于发包人提供给承包人的图纸、发包人为实施工程自行编制或委托编制的技术规范以及反映发包人关于合同要求或其他类似性质的文件的著作权的归属：</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发包人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30EA15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关于发包人提供的上述文件的使用限制的要求：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按照通用条款和现行法律法规相关规定执行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F0CE09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1.11.2 </w:t>
      </w:r>
      <w:r>
        <w:rPr>
          <w:rFonts w:hint="eastAsia" w:ascii="宋体" w:hAnsi="宋体" w:eastAsia="宋体" w:cs="宋体"/>
          <w:color w:val="auto"/>
          <w:kern w:val="0"/>
          <w:sz w:val="21"/>
          <w:szCs w:val="21"/>
          <w:highlight w:val="none"/>
          <w:lang w:val="en-US" w:eastAsia="zh-CN" w:bidi="ar"/>
        </w:rPr>
        <w:t>关于承包人为实施工程所编制文件的著作权的归属：</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发包人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167FA0">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关于承包人提供的上述文件的使用限制的要求：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按照通用条款和现行法律法规相关规定执行。</w:t>
      </w:r>
    </w:p>
    <w:p w14:paraId="5DAE625F">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1.11.4 </w:t>
      </w:r>
      <w:r>
        <w:rPr>
          <w:rFonts w:hint="eastAsia" w:ascii="宋体" w:hAnsi="宋体" w:eastAsia="宋体" w:cs="宋体"/>
          <w:color w:val="auto"/>
          <w:kern w:val="0"/>
          <w:sz w:val="21"/>
          <w:szCs w:val="21"/>
          <w:highlight w:val="none"/>
          <w:lang w:val="en-US" w:eastAsia="zh-CN" w:bidi="ar"/>
        </w:rPr>
        <w:t>承包人在施工过程中所采用的专利、专有技术、技术秘密的使用费的承担方式：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12C89AC">
      <w:pPr>
        <w:pStyle w:val="4"/>
        <w:widowControl/>
        <w:shd w:val="clear"/>
        <w:rPr>
          <w:rFonts w:hint="default" w:ascii="Times New Roman" w:hAnsi="Times New Roman" w:eastAsia="宋体" w:cs="Times New Roman"/>
          <w:b/>
          <w:bCs/>
          <w:color w:val="auto"/>
          <w:kern w:val="2"/>
          <w:sz w:val="32"/>
          <w:szCs w:val="32"/>
          <w:highlight w:val="none"/>
        </w:rPr>
      </w:pPr>
      <w:bookmarkStart w:id="227" w:name="_Toc407135203"/>
      <w:bookmarkEnd w:id="227"/>
      <w:bookmarkStart w:id="228" w:name="_Toc9850531"/>
      <w:bookmarkEnd w:id="228"/>
      <w:bookmarkStart w:id="229" w:name="_Toc389065267"/>
      <w:bookmarkEnd w:id="229"/>
      <w:bookmarkStart w:id="230" w:name="_Toc373227701"/>
      <w:bookmarkEnd w:id="230"/>
      <w:bookmarkStart w:id="231" w:name="_Toc373478348"/>
      <w:r>
        <w:rPr>
          <w:rFonts w:hint="default" w:ascii="Times New Roman" w:hAnsi="Times New Roman" w:eastAsia="宋体" w:cs="Times New Roman"/>
          <w:b/>
          <w:bCs/>
          <w:color w:val="auto"/>
          <w:kern w:val="2"/>
          <w:sz w:val="32"/>
          <w:szCs w:val="32"/>
          <w:highlight w:val="none"/>
        </w:rPr>
        <w:t>1.13</w:t>
      </w:r>
      <w:bookmarkEnd w:id="231"/>
      <w:r>
        <w:rPr>
          <w:rFonts w:hint="eastAsia" w:ascii="宋体" w:hAnsi="宋体" w:eastAsia="宋体" w:cs="宋体"/>
          <w:b/>
          <w:bCs/>
          <w:color w:val="auto"/>
          <w:kern w:val="2"/>
          <w:sz w:val="32"/>
          <w:szCs w:val="32"/>
          <w:highlight w:val="none"/>
        </w:rPr>
        <w:t>工程量清单错误的修正</w:t>
      </w:r>
    </w:p>
    <w:p w14:paraId="3562AFD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232" w:name="_Toc389065268"/>
      <w:bookmarkEnd w:id="232"/>
      <w:bookmarkStart w:id="233" w:name="_Toc351203634"/>
      <w:bookmarkEnd w:id="233"/>
      <w:bookmarkStart w:id="234" w:name="_Toc407135204"/>
      <w:bookmarkEnd w:id="234"/>
      <w:bookmarkStart w:id="235" w:name="_Toc9850532"/>
      <w:bookmarkEnd w:id="235"/>
      <w:bookmarkStart w:id="236" w:name="_Toc373478349"/>
      <w:bookmarkEnd w:id="236"/>
      <w:bookmarkStart w:id="237" w:name="_Toc373227702"/>
      <w:r>
        <w:rPr>
          <w:rFonts w:hint="eastAsia" w:ascii="宋体" w:hAnsi="宋体" w:eastAsia="宋体" w:cs="宋体"/>
          <w:color w:val="auto"/>
          <w:kern w:val="0"/>
          <w:sz w:val="21"/>
          <w:szCs w:val="21"/>
          <w:highlight w:val="none"/>
          <w:lang w:val="en-US" w:eastAsia="zh-CN" w:bidi="ar"/>
        </w:rPr>
        <w:t>出现工程量清单工程量偏差时，是否调整合同价格：</w:t>
      </w:r>
      <w:bookmarkEnd w:id="237"/>
      <w:r>
        <w:rPr>
          <w:rFonts w:hint="eastAsia" w:ascii="宋体" w:hAnsi="宋体" w:eastAsia="宋体" w:cs="宋体"/>
          <w:color w:val="auto"/>
          <w:kern w:val="0"/>
          <w:sz w:val="21"/>
          <w:szCs w:val="21"/>
          <w:highlight w:val="none"/>
          <w:u w:val="single"/>
          <w:lang w:val="en-US" w:eastAsia="zh-CN" w:bidi="ar"/>
        </w:rPr>
        <w:t>□允许</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☑不允许</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947F48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允许调整合同价格的工程量偏差范围及其调整办法：</w:t>
      </w:r>
    </w:p>
    <w:p w14:paraId="390619A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除严重不平衡报价外，无论分部分项工程量清单项目中的工程量变化多少均不调整</w:t>
      </w:r>
      <w:r>
        <w:rPr>
          <w:rFonts w:hint="eastAsia" w:ascii="宋体" w:hAnsi="宋体" w:eastAsia="宋体" w:cs="宋体"/>
          <w:color w:val="auto"/>
          <w:kern w:val="0"/>
          <w:sz w:val="21"/>
          <w:szCs w:val="21"/>
          <w:highlight w:val="none"/>
          <w:lang w:val="en-US" w:eastAsia="zh-CN" w:bidi="ar"/>
        </w:rPr>
        <w:t>。</w:t>
      </w:r>
    </w:p>
    <w:p w14:paraId="77AB191D">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Calibri"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承包人实际完成的某单项清单项目工程量与招标工程量清单工程量偏差超过</w:t>
      </w:r>
      <w:r>
        <w:rPr>
          <w:rFonts w:hint="eastAsia" w:ascii="Calibri" w:hAnsi="宋体" w:eastAsia="宋体" w:cs="宋体"/>
          <w:color w:val="auto"/>
          <w:kern w:val="0"/>
          <w:sz w:val="21"/>
          <w:szCs w:val="21"/>
          <w:highlight w:val="none"/>
          <w:u w:val="single"/>
          <w:lang w:val="en-US" w:eastAsia="zh-CN" w:bidi="ar"/>
        </w:rPr>
        <w:t xml:space="preserve">  </w:t>
      </w:r>
      <w:r>
        <w:rPr>
          <w:rFonts w:hint="default" w:ascii="Calibri" w:hAnsi="Calibri" w:eastAsia="宋体" w:cs="Calibri"/>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且该单项清单造价超过合同总价</w:t>
      </w:r>
      <w:r>
        <w:rPr>
          <w:rFonts w:hint="eastAsia" w:ascii="Calibri" w:hAnsi="宋体" w:eastAsia="宋体" w:cs="宋体"/>
          <w:color w:val="auto"/>
          <w:kern w:val="0"/>
          <w:sz w:val="21"/>
          <w:szCs w:val="21"/>
          <w:highlight w:val="none"/>
          <w:u w:val="single"/>
          <w:lang w:val="en-US" w:eastAsia="zh-CN" w:bidi="ar"/>
        </w:rPr>
        <w:t xml:space="preserve">  </w:t>
      </w:r>
      <w:r>
        <w:rPr>
          <w:rFonts w:hint="default" w:ascii="Calibri" w:hAnsi="Calibri" w:eastAsia="宋体" w:cs="Calibri"/>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以上的，超过后增加部分工程量或减少后剩余部分工程量的综合单价按以下方法调整：</w:t>
      </w:r>
      <w:r>
        <w:rPr>
          <w:rFonts w:hint="eastAsia" w:ascii="Calibri"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7BA5D471">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2</w:t>
      </w:r>
      <w:bookmarkStart w:id="238" w:name="_Toc296346658"/>
      <w:bookmarkEnd w:id="238"/>
      <w:bookmarkStart w:id="239" w:name="_Toc296890985"/>
      <w:bookmarkEnd w:id="239"/>
      <w:bookmarkStart w:id="240" w:name="_Toc296891197"/>
      <w:bookmarkEnd w:id="240"/>
      <w:bookmarkStart w:id="241" w:name="_Toc296347156"/>
      <w:bookmarkEnd w:id="241"/>
      <w:bookmarkStart w:id="242" w:name="_Toc292559867"/>
      <w:bookmarkEnd w:id="242"/>
      <w:bookmarkStart w:id="243" w:name="_Toc296944496"/>
      <w:bookmarkEnd w:id="243"/>
      <w:bookmarkStart w:id="244" w:name="_Toc297048343"/>
      <w:bookmarkEnd w:id="244"/>
      <w:bookmarkStart w:id="245" w:name="_Toc297120457"/>
      <w:bookmarkEnd w:id="245"/>
      <w:bookmarkStart w:id="246" w:name="_Toc296503157"/>
      <w:bookmarkEnd w:id="246"/>
      <w:bookmarkStart w:id="247" w:name="_Toc292559362"/>
      <w:r>
        <w:rPr>
          <w:rFonts w:hint="default" w:ascii="Arial" w:hAnsi="Arial" w:eastAsia="黑体" w:cs="Times New Roman"/>
          <w:b/>
          <w:bCs w:val="0"/>
          <w:color w:val="auto"/>
          <w:sz w:val="32"/>
          <w:szCs w:val="32"/>
          <w:highlight w:val="none"/>
        </w:rPr>
        <w:t xml:space="preserve">. </w:t>
      </w:r>
      <w:bookmarkEnd w:id="247"/>
      <w:r>
        <w:rPr>
          <w:rFonts w:hint="eastAsia" w:ascii="黑体" w:hAnsi="宋体" w:eastAsia="黑体" w:cs="黑体"/>
          <w:b/>
          <w:bCs w:val="0"/>
          <w:color w:val="auto"/>
          <w:sz w:val="32"/>
          <w:szCs w:val="32"/>
          <w:highlight w:val="none"/>
        </w:rPr>
        <w:t>发包人</w:t>
      </w:r>
    </w:p>
    <w:p w14:paraId="18E92F4C">
      <w:pPr>
        <w:pStyle w:val="4"/>
        <w:widowControl/>
        <w:shd w:val="clear"/>
        <w:rPr>
          <w:rFonts w:hint="default" w:ascii="Times New Roman" w:hAnsi="Times New Roman" w:eastAsia="宋体" w:cs="Times New Roman"/>
          <w:b/>
          <w:bCs/>
          <w:color w:val="auto"/>
          <w:kern w:val="2"/>
          <w:sz w:val="32"/>
          <w:szCs w:val="32"/>
          <w:highlight w:val="none"/>
        </w:rPr>
      </w:pPr>
      <w:bookmarkStart w:id="248" w:name="_Toc9850533"/>
      <w:bookmarkEnd w:id="248"/>
      <w:bookmarkStart w:id="249" w:name="_Toc373227703"/>
      <w:bookmarkEnd w:id="249"/>
      <w:bookmarkStart w:id="250" w:name="_Toc373478350"/>
      <w:bookmarkEnd w:id="250"/>
      <w:bookmarkStart w:id="251" w:name="_Toc407135205"/>
      <w:bookmarkEnd w:id="251"/>
      <w:bookmarkStart w:id="252" w:name="_Toc389065269"/>
      <w:bookmarkEnd w:id="252"/>
      <w:r>
        <w:rPr>
          <w:rFonts w:hint="default" w:ascii="Times New Roman" w:hAnsi="Times New Roman" w:eastAsia="宋体" w:cs="Times New Roman"/>
          <w:b/>
          <w:bCs/>
          <w:color w:val="auto"/>
          <w:kern w:val="2"/>
          <w:sz w:val="32"/>
          <w:szCs w:val="32"/>
          <w:highlight w:val="none"/>
        </w:rPr>
        <w:t xml:space="preserve">2.2 </w:t>
      </w:r>
      <w:r>
        <w:rPr>
          <w:rFonts w:hint="eastAsia" w:ascii="宋体" w:hAnsi="宋体" w:eastAsia="宋体" w:cs="宋体"/>
          <w:b/>
          <w:bCs/>
          <w:color w:val="auto"/>
          <w:kern w:val="2"/>
          <w:sz w:val="32"/>
          <w:szCs w:val="32"/>
          <w:highlight w:val="none"/>
        </w:rPr>
        <w:t>发包人代表</w:t>
      </w:r>
    </w:p>
    <w:p w14:paraId="218D72D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发包人代表：</w:t>
      </w:r>
    </w:p>
    <w:p w14:paraId="6138A4D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B4F5A1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hAnsi="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523439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职</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务：</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A57A23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8AF632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338DF7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cs="宋体"/>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38D09B6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发包人对发包人代表的授权范围如下：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B27C3D9">
      <w:pPr>
        <w:pStyle w:val="4"/>
        <w:widowControl/>
        <w:shd w:val="clear"/>
        <w:rPr>
          <w:rFonts w:hint="default" w:ascii="Times New Roman" w:hAnsi="Times New Roman" w:eastAsia="宋体" w:cs="Times New Roman"/>
          <w:b/>
          <w:bCs/>
          <w:color w:val="auto"/>
          <w:kern w:val="2"/>
          <w:sz w:val="32"/>
          <w:szCs w:val="32"/>
          <w:highlight w:val="none"/>
        </w:rPr>
      </w:pPr>
      <w:bookmarkStart w:id="253" w:name="_Toc373227704"/>
      <w:bookmarkEnd w:id="253"/>
      <w:bookmarkStart w:id="254" w:name="_Toc407135206"/>
      <w:bookmarkEnd w:id="254"/>
      <w:bookmarkStart w:id="255" w:name="_Toc389065270"/>
      <w:bookmarkEnd w:id="255"/>
      <w:bookmarkStart w:id="256" w:name="_Toc373478351"/>
      <w:bookmarkEnd w:id="256"/>
      <w:bookmarkStart w:id="257" w:name="_Toc9850534"/>
      <w:r>
        <w:rPr>
          <w:rFonts w:hint="default" w:ascii="Times New Roman" w:hAnsi="Times New Roman" w:eastAsia="宋体" w:cs="Times New Roman"/>
          <w:b/>
          <w:bCs/>
          <w:color w:val="auto"/>
          <w:kern w:val="2"/>
          <w:sz w:val="32"/>
          <w:szCs w:val="32"/>
          <w:highlight w:val="none"/>
        </w:rPr>
        <w:t xml:space="preserve">2.4 </w:t>
      </w:r>
      <w:bookmarkEnd w:id="257"/>
      <w:r>
        <w:rPr>
          <w:rFonts w:hint="eastAsia" w:ascii="宋体" w:hAnsi="宋体" w:eastAsia="宋体" w:cs="宋体"/>
          <w:b/>
          <w:bCs/>
          <w:color w:val="auto"/>
          <w:kern w:val="2"/>
          <w:sz w:val="32"/>
          <w:szCs w:val="32"/>
          <w:highlight w:val="none"/>
        </w:rPr>
        <w:t>施工现场、施工条件和基础资料的提供</w:t>
      </w:r>
    </w:p>
    <w:p w14:paraId="5AE4A0D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2.4.1 </w:t>
      </w:r>
      <w:r>
        <w:rPr>
          <w:rFonts w:hint="eastAsia" w:ascii="宋体" w:hAnsi="宋体" w:eastAsia="宋体" w:cs="宋体"/>
          <w:color w:val="auto"/>
          <w:kern w:val="0"/>
          <w:sz w:val="21"/>
          <w:szCs w:val="21"/>
          <w:highlight w:val="none"/>
          <w:lang w:val="en-US" w:eastAsia="zh-CN" w:bidi="ar"/>
        </w:rPr>
        <w:t>提供施工现场</w:t>
      </w:r>
    </w:p>
    <w:p w14:paraId="6177743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关于发包人移交施工现场的期限要求：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在开工日期前</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个工作日</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F32B2D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2.4.2 </w:t>
      </w:r>
      <w:r>
        <w:rPr>
          <w:rFonts w:hint="eastAsia" w:ascii="宋体" w:hAnsi="宋体" w:eastAsia="宋体" w:cs="宋体"/>
          <w:color w:val="auto"/>
          <w:kern w:val="0"/>
          <w:sz w:val="21"/>
          <w:szCs w:val="21"/>
          <w:highlight w:val="none"/>
          <w:lang w:val="en-US" w:eastAsia="zh-CN" w:bidi="ar"/>
        </w:rPr>
        <w:t>提供施工条件</w:t>
      </w:r>
    </w:p>
    <w:p w14:paraId="42EB778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关于发包人应负责提供施工所需要的条件，包括：</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水、电等施工管线在承包人进入工地前由发包人按有关规定提供挂表位置，符合施工要求，并能满足施工期间的需要。</w:t>
      </w:r>
    </w:p>
    <w:p w14:paraId="7B8EF52A">
      <w:pPr>
        <w:pStyle w:val="4"/>
        <w:widowControl/>
        <w:shd w:val="clear"/>
        <w:rPr>
          <w:rFonts w:hint="default" w:ascii="Times New Roman" w:hAnsi="Times New Roman" w:eastAsia="宋体" w:cs="Times New Roman"/>
          <w:b/>
          <w:bCs/>
          <w:color w:val="auto"/>
          <w:kern w:val="2"/>
          <w:sz w:val="32"/>
          <w:szCs w:val="32"/>
          <w:highlight w:val="none"/>
        </w:rPr>
      </w:pPr>
      <w:bookmarkStart w:id="258" w:name="_Toc407135207"/>
      <w:bookmarkEnd w:id="258"/>
      <w:bookmarkStart w:id="259" w:name="_Toc389065271"/>
      <w:bookmarkEnd w:id="259"/>
      <w:bookmarkStart w:id="260" w:name="_Toc373478352"/>
      <w:bookmarkEnd w:id="260"/>
      <w:bookmarkStart w:id="261" w:name="_Toc373227705"/>
      <w:bookmarkEnd w:id="261"/>
      <w:bookmarkStart w:id="262" w:name="_Toc9850535"/>
      <w:r>
        <w:rPr>
          <w:rFonts w:hint="default" w:ascii="Times New Roman" w:hAnsi="Times New Roman" w:eastAsia="宋体" w:cs="Times New Roman"/>
          <w:b/>
          <w:bCs/>
          <w:color w:val="auto"/>
          <w:kern w:val="2"/>
          <w:sz w:val="32"/>
          <w:szCs w:val="32"/>
          <w:highlight w:val="none"/>
        </w:rPr>
        <w:t xml:space="preserve">2.5 </w:t>
      </w:r>
      <w:bookmarkEnd w:id="262"/>
      <w:r>
        <w:rPr>
          <w:rFonts w:hint="eastAsia" w:ascii="宋体" w:hAnsi="宋体" w:eastAsia="宋体" w:cs="宋体"/>
          <w:b/>
          <w:bCs/>
          <w:color w:val="auto"/>
          <w:kern w:val="2"/>
          <w:sz w:val="32"/>
          <w:szCs w:val="32"/>
          <w:highlight w:val="none"/>
        </w:rPr>
        <w:t>资金来源证明及支付担保</w:t>
      </w:r>
    </w:p>
    <w:p w14:paraId="069B790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发包人提供资金来源证明的期限要求：</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656F57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发包人是否提供支付担保：</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不提供</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32B04A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发包人提供支付担保的形式：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D2661A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发包人提供的支付担保格式见合同附件</w:t>
      </w:r>
      <w:r>
        <w:rPr>
          <w:rFonts w:hint="default" w:ascii="Times New Roman" w:hAnsi="Times New Roman"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w:t>
      </w:r>
    </w:p>
    <w:p w14:paraId="63711C14">
      <w:pPr>
        <w:pStyle w:val="3"/>
        <w:widowControl/>
        <w:shd w:val="clear"/>
        <w:rPr>
          <w:rFonts w:hint="default" w:ascii="Arial" w:hAnsi="Arial" w:eastAsia="黑体" w:cs="Times New Roman"/>
          <w:b/>
          <w:bCs w:val="0"/>
          <w:color w:val="auto"/>
          <w:sz w:val="32"/>
          <w:szCs w:val="32"/>
          <w:highlight w:val="none"/>
        </w:rPr>
      </w:pPr>
      <w:bookmarkStart w:id="263" w:name="_Toc373227706"/>
      <w:bookmarkEnd w:id="263"/>
      <w:bookmarkStart w:id="264" w:name="_Toc373478353"/>
      <w:bookmarkEnd w:id="264"/>
      <w:bookmarkStart w:id="265" w:name="_Toc9850536"/>
      <w:bookmarkEnd w:id="265"/>
      <w:bookmarkStart w:id="266" w:name="_Toc389065272"/>
      <w:bookmarkEnd w:id="266"/>
      <w:bookmarkStart w:id="267" w:name="_Toc351203635"/>
      <w:bookmarkEnd w:id="267"/>
      <w:bookmarkStart w:id="268" w:name="_Toc407135208"/>
      <w:r>
        <w:rPr>
          <w:rFonts w:hint="default" w:ascii="Arial" w:hAnsi="Arial" w:eastAsia="黑体" w:cs="Times New Roman"/>
          <w:b/>
          <w:bCs w:val="0"/>
          <w:color w:val="auto"/>
          <w:sz w:val="32"/>
          <w:szCs w:val="32"/>
          <w:highlight w:val="none"/>
        </w:rPr>
        <w:t>3</w:t>
      </w:r>
      <w:bookmarkEnd w:id="268"/>
      <w:bookmarkStart w:id="269" w:name="_Toc296346659"/>
      <w:bookmarkEnd w:id="269"/>
      <w:bookmarkStart w:id="270" w:name="_Toc296944497"/>
      <w:bookmarkEnd w:id="270"/>
      <w:bookmarkStart w:id="271" w:name="_Toc297048344"/>
      <w:bookmarkEnd w:id="271"/>
      <w:bookmarkStart w:id="272" w:name="_Toc296347157"/>
      <w:bookmarkEnd w:id="272"/>
      <w:bookmarkStart w:id="273" w:name="_Toc292559868"/>
      <w:bookmarkEnd w:id="273"/>
      <w:bookmarkStart w:id="274" w:name="_Toc296503158"/>
      <w:bookmarkEnd w:id="274"/>
      <w:bookmarkStart w:id="275" w:name="_Toc292559363"/>
      <w:bookmarkEnd w:id="275"/>
      <w:bookmarkStart w:id="276" w:name="_Toc296890986"/>
      <w:bookmarkEnd w:id="276"/>
      <w:bookmarkStart w:id="277" w:name="_Toc297120458"/>
      <w:bookmarkEnd w:id="277"/>
      <w:bookmarkStart w:id="278" w:name="_Toc296891198"/>
      <w:r>
        <w:rPr>
          <w:rFonts w:hint="default" w:ascii="Arial" w:hAnsi="Arial" w:eastAsia="黑体" w:cs="Times New Roman"/>
          <w:b/>
          <w:bCs w:val="0"/>
          <w:color w:val="auto"/>
          <w:sz w:val="32"/>
          <w:szCs w:val="32"/>
          <w:highlight w:val="none"/>
        </w:rPr>
        <w:t xml:space="preserve">. </w:t>
      </w:r>
      <w:bookmarkEnd w:id="278"/>
      <w:r>
        <w:rPr>
          <w:rFonts w:hint="eastAsia" w:ascii="黑体" w:hAnsi="宋体" w:eastAsia="黑体" w:cs="黑体"/>
          <w:b/>
          <w:bCs w:val="0"/>
          <w:color w:val="auto"/>
          <w:sz w:val="32"/>
          <w:szCs w:val="32"/>
          <w:highlight w:val="none"/>
        </w:rPr>
        <w:t>承包人</w:t>
      </w:r>
    </w:p>
    <w:p w14:paraId="713CFAD9">
      <w:pPr>
        <w:pStyle w:val="4"/>
        <w:widowControl/>
        <w:shd w:val="clear"/>
        <w:rPr>
          <w:rFonts w:hint="default" w:ascii="Times New Roman" w:hAnsi="Times New Roman" w:eastAsia="宋体" w:cs="Times New Roman"/>
          <w:b/>
          <w:bCs/>
          <w:color w:val="auto"/>
          <w:kern w:val="2"/>
          <w:sz w:val="32"/>
          <w:szCs w:val="32"/>
          <w:highlight w:val="none"/>
        </w:rPr>
      </w:pPr>
      <w:bookmarkStart w:id="279" w:name="_Toc9850537"/>
      <w:bookmarkEnd w:id="279"/>
      <w:bookmarkStart w:id="280" w:name="_Toc373227707"/>
      <w:bookmarkEnd w:id="280"/>
      <w:bookmarkStart w:id="281" w:name="_Toc389065273"/>
      <w:bookmarkEnd w:id="281"/>
      <w:bookmarkStart w:id="282" w:name="_Toc373478354"/>
      <w:bookmarkEnd w:id="282"/>
      <w:bookmarkStart w:id="283" w:name="_Toc407135209"/>
      <w:bookmarkEnd w:id="283"/>
      <w:r>
        <w:rPr>
          <w:rFonts w:hint="default" w:ascii="Times New Roman" w:hAnsi="Times New Roman" w:eastAsia="宋体" w:cs="Times New Roman"/>
          <w:b/>
          <w:bCs/>
          <w:color w:val="auto"/>
          <w:kern w:val="2"/>
          <w:sz w:val="32"/>
          <w:szCs w:val="32"/>
          <w:highlight w:val="none"/>
        </w:rPr>
        <w:t xml:space="preserve">3.1 </w:t>
      </w:r>
      <w:r>
        <w:rPr>
          <w:rFonts w:hint="eastAsia" w:ascii="宋体" w:hAnsi="宋体" w:eastAsia="宋体" w:cs="宋体"/>
          <w:b/>
          <w:bCs/>
          <w:color w:val="auto"/>
          <w:kern w:val="2"/>
          <w:sz w:val="32"/>
          <w:szCs w:val="32"/>
          <w:highlight w:val="none"/>
        </w:rPr>
        <w:t>承包人的一般义务</w:t>
      </w:r>
    </w:p>
    <w:p w14:paraId="104A1B41">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val="en-US" w:eastAsia="zh-CN" w:bidi="ar"/>
        </w:rPr>
        <w:t>）承包人提交的竣工资料的内容：</w:t>
      </w:r>
      <w:r>
        <w:rPr>
          <w:rFonts w:hint="eastAsia" w:ascii="宋体" w:hAnsi="宋体" w:eastAsia="宋体" w:cs="宋体"/>
          <w:color w:val="auto"/>
          <w:kern w:val="0"/>
          <w:sz w:val="24"/>
          <w:szCs w:val="24"/>
          <w:highlight w:val="none"/>
          <w:lang w:val="en-US" w:eastAsia="zh-CN" w:bidi="ar"/>
        </w:rPr>
        <w:t>按</w:t>
      </w:r>
      <w:r>
        <w:rPr>
          <w:rFonts w:hint="eastAsia" w:ascii="宋体" w:hAnsi="宋体" w:eastAsia="宋体" w:cs="宋体"/>
          <w:color w:val="auto"/>
          <w:kern w:val="0"/>
          <w:sz w:val="24"/>
          <w:szCs w:val="24"/>
          <w:highlight w:val="none"/>
          <w:u w:val="single"/>
          <w:lang w:val="en-US" w:eastAsia="zh-CN" w:bidi="ar"/>
        </w:rPr>
        <w:t>国家有关规范要求执行，包括与本工程有</w:t>
      </w:r>
    </w:p>
    <w:p w14:paraId="62940345">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4"/>
          <w:szCs w:val="24"/>
          <w:highlight w:val="none"/>
          <w:u w:val="single"/>
          <w:lang w:val="en-US" w:eastAsia="zh-CN" w:bidi="ar"/>
        </w:rPr>
        <w:t>关的所有竣工图纸、变更、结算书等</w:t>
      </w:r>
      <w:r>
        <w:rPr>
          <w:rFonts w:hint="eastAsia" w:ascii="宋体" w:hAnsi="宋体" w:eastAsia="宋体" w:cs="宋体"/>
          <w:color w:val="auto"/>
          <w:kern w:val="0"/>
          <w:sz w:val="21"/>
          <w:szCs w:val="21"/>
          <w:highlight w:val="none"/>
          <w:lang w:val="en-US" w:eastAsia="zh-CN" w:bidi="ar"/>
        </w:rPr>
        <w:t>。</w:t>
      </w:r>
    </w:p>
    <w:p w14:paraId="1F1DD92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承包人需要提交的竣工资料套数：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套，如发包人有需要另行约定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C374C16">
      <w:pPr>
        <w:keepNext w:val="0"/>
        <w:keepLines w:val="0"/>
        <w:widowControl w:val="0"/>
        <w:suppressLineNumbers w:val="0"/>
        <w:shd w:val="clear"/>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承包人提交的竣工资料的费用承担：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承包人自行承担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58BA32B">
      <w:pPr>
        <w:keepNext w:val="0"/>
        <w:keepLines w:val="0"/>
        <w:widowControl w:val="0"/>
        <w:suppressLineNumbers w:val="0"/>
        <w:shd w:val="clear"/>
        <w:spacing w:before="0" w:beforeAutospacing="0" w:after="0" w:afterAutospacing="0" w:line="360" w:lineRule="auto"/>
        <w:ind w:left="404" w:leftChars="202"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承包人提交的竣工资料移交时间：</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竣工结束后</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19CF8A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承包人提交的竣工资料形式要求：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书面形式和可编辑的电子版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5771DF1">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）承包人应履行的其他义务：</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）承包人应采取一切合理的预防措施，防止人员伤亡、财产损失事故，且为本项目施工的工作人员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工人购买工伤保险或足额的雇主责任保险，如承包人违反该约定发生人员伤亡、财产损失等事故导致赔偿的，赔偿费用由承包人承担。</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承包人施工时应探明并负责保护且承担费用，施工时如损坏地下管线、邻近建筑物、构筑物，所发生费用由承包人承担。</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由于施工造成的环境污染，其责任和费用均由承包人承担。（</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）配合发包人取得本工程施工所需临时用水、临时用电、</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中断道路交通、临时占用土地（不包括发包人指定的取土场和弃土场）等使用权。</w:t>
      </w:r>
    </w:p>
    <w:p w14:paraId="534524C7">
      <w:pPr>
        <w:pStyle w:val="4"/>
        <w:widowControl/>
        <w:shd w:val="clear"/>
        <w:rPr>
          <w:rFonts w:hint="default" w:ascii="Times New Roman" w:hAnsi="Times New Roman" w:eastAsia="宋体" w:cs="Times New Roman"/>
          <w:b/>
          <w:bCs/>
          <w:color w:val="auto"/>
          <w:kern w:val="2"/>
          <w:sz w:val="32"/>
          <w:szCs w:val="32"/>
          <w:highlight w:val="none"/>
        </w:rPr>
      </w:pPr>
      <w:bookmarkStart w:id="284" w:name="_Toc407135210"/>
      <w:bookmarkEnd w:id="284"/>
      <w:bookmarkStart w:id="285" w:name="_Toc373478355"/>
      <w:bookmarkEnd w:id="285"/>
      <w:bookmarkStart w:id="286" w:name="_Toc373227708"/>
      <w:bookmarkEnd w:id="286"/>
      <w:bookmarkStart w:id="287" w:name="_Toc389065274"/>
      <w:bookmarkEnd w:id="287"/>
      <w:bookmarkStart w:id="288" w:name="_Toc9850538"/>
      <w:r>
        <w:rPr>
          <w:rFonts w:hint="default" w:ascii="Times New Roman" w:hAnsi="Times New Roman" w:eastAsia="宋体" w:cs="Times New Roman"/>
          <w:b/>
          <w:bCs/>
          <w:color w:val="auto"/>
          <w:kern w:val="2"/>
          <w:sz w:val="32"/>
          <w:szCs w:val="32"/>
          <w:highlight w:val="none"/>
        </w:rPr>
        <w:t xml:space="preserve">3.2 </w:t>
      </w:r>
      <w:bookmarkEnd w:id="288"/>
      <w:r>
        <w:rPr>
          <w:rFonts w:hint="eastAsia" w:ascii="宋体" w:hAnsi="宋体" w:eastAsia="宋体" w:cs="宋体"/>
          <w:b/>
          <w:bCs/>
          <w:color w:val="auto"/>
          <w:kern w:val="2"/>
          <w:sz w:val="32"/>
          <w:szCs w:val="32"/>
          <w:highlight w:val="none"/>
        </w:rPr>
        <w:t>项目经理</w:t>
      </w:r>
    </w:p>
    <w:p w14:paraId="5F540CF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3.2.1 </w:t>
      </w:r>
      <w:r>
        <w:rPr>
          <w:rFonts w:hint="eastAsia" w:ascii="宋体" w:hAnsi="宋体" w:eastAsia="宋体" w:cs="宋体"/>
          <w:color w:val="auto"/>
          <w:kern w:val="0"/>
          <w:sz w:val="21"/>
          <w:szCs w:val="21"/>
          <w:highlight w:val="none"/>
          <w:lang w:val="en-US" w:eastAsia="zh-CN" w:bidi="ar"/>
        </w:rPr>
        <w:t>项目经理：</w:t>
      </w:r>
    </w:p>
    <w:p w14:paraId="2E18CFC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5146197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身份证号：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1EEEB2A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建造师执业资格等级：</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8FD12A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建造师注册证书号：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044506F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建造师执业印章号：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540A1776">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安全生产考核合格证书号：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9455E8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691BA43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6A08EA5B">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3A83DE9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承包人对项目经理的授权范围如下：</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）对本工程的施工进行全面管理包括对工程质量、进度、安全、成本等进行管理，行使施工合同约定的权利，履行施工合同约定的义务；（</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）经发包人同意分包的专业工程，项目经理参与选择并使用具有相应资质的分包人（由发包人指定的分包人除外）；</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）施工合同约定由承包人采购的材料、工程设备，项目经理参与选择物资供应单位；</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）代表承包人应工程施工中的相关事务（本授权第一项约定的事务</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进行协商，代表承包人参加发包人组织与本工程有关会议；（</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）负责与发包人、监理人办理设计</w:t>
      </w:r>
      <w:r>
        <w:rPr>
          <w:rFonts w:hint="eastAsia" w:ascii="宋体" w:hAnsi="宋体" w:cs="宋体"/>
          <w:color w:val="auto"/>
          <w:kern w:val="0"/>
          <w:sz w:val="21"/>
          <w:szCs w:val="21"/>
          <w:highlight w:val="none"/>
          <w:u w:val="single"/>
          <w:lang w:val="en-US" w:eastAsia="zh-CN" w:bidi="ar"/>
        </w:rPr>
        <w:t>变</w:t>
      </w:r>
      <w:r>
        <w:rPr>
          <w:rFonts w:hint="eastAsia" w:ascii="宋体" w:hAnsi="宋体" w:eastAsia="宋体" w:cs="宋体"/>
          <w:color w:val="auto"/>
          <w:kern w:val="0"/>
          <w:sz w:val="21"/>
          <w:szCs w:val="21"/>
          <w:highlight w:val="none"/>
          <w:u w:val="single"/>
          <w:lang w:val="en-US" w:eastAsia="zh-CN" w:bidi="ar"/>
        </w:rPr>
        <w:t>更、现场签证等手续，及时办理本工程相关索赔；（</w:t>
      </w:r>
      <w:r>
        <w:rPr>
          <w:rFonts w:hint="default" w:ascii="Times New Roman" w:hAnsi="Times New Roman" w:eastAsia="宋体" w:cs="Times New Roman"/>
          <w:color w:val="auto"/>
          <w:kern w:val="0"/>
          <w:sz w:val="21"/>
          <w:szCs w:val="21"/>
          <w:highlight w:val="none"/>
          <w:u w:val="single"/>
          <w:lang w:val="en-US" w:eastAsia="zh-CN" w:bidi="ar"/>
        </w:rPr>
        <w:t>6</w:t>
      </w:r>
      <w:r>
        <w:rPr>
          <w:rFonts w:hint="eastAsia" w:ascii="宋体" w:hAnsi="宋体" w:eastAsia="宋体" w:cs="宋体"/>
          <w:color w:val="auto"/>
          <w:kern w:val="0"/>
          <w:sz w:val="21"/>
          <w:szCs w:val="21"/>
          <w:highlight w:val="none"/>
          <w:u w:val="single"/>
          <w:lang w:val="en-US" w:eastAsia="zh-CN" w:bidi="ar"/>
        </w:rPr>
        <w:t>）负责签收发包人、监理人往往来函件，承包人的要求、通知均应以书面形式由承包人项目经理签字并加盖承包人公司公章递交发包人；（</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代表承包人接受监理工程师或发包人现场代表发出的指示和指令。但未经承包人盖章同意不得以承包人（或本工程项目部》名义向外融资、采购材料设备、租用建筑周转材料、雇佣劳动力、签订分包合同等从事一切为承包人设立义务或责任的行为。</w:t>
      </w:r>
    </w:p>
    <w:p w14:paraId="4C82C1EC">
      <w:pPr>
        <w:keepNext w:val="0"/>
        <w:keepLines w:val="0"/>
        <w:widowControl w:val="0"/>
        <w:suppressLineNumbers w:val="0"/>
        <w:shd w:val="clear"/>
        <w:spacing w:before="0" w:beforeAutospacing="0" w:after="0" w:afterAutospacing="0" w:line="300" w:lineRule="exact"/>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关于项目经理每月在施工现场的时间要求：</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项目经理须常驻现场，且在施工现场的时间不得少于合同约定的合同工期数。</w:t>
      </w:r>
    </w:p>
    <w:p w14:paraId="1402B453">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承包人未提交劳动合同，以及没有为项目经理缴纳社会保险证明的违约责任：</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按照通用条款和现行法律法规要求承担违约责任</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7D9B72D">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项目经理未经批准，擅自离开施工现场的违约责任：</w:t>
      </w:r>
      <w:r>
        <w:rPr>
          <w:rFonts w:hint="eastAsia" w:ascii="宋体" w:hAnsi="宋体" w:eastAsia="宋体" w:cs="宋体"/>
          <w:color w:val="auto"/>
          <w:kern w:val="0"/>
          <w:sz w:val="21"/>
          <w:szCs w:val="21"/>
          <w:highlight w:val="none"/>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的，少在岗带班一天，发包人有权处违约金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日（人民币）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DA8586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项目经理未经批准，擅自离开施工现场的违约责任：</w:t>
      </w:r>
      <w:r>
        <w:rPr>
          <w:rFonts w:hint="eastAsia" w:ascii="宋体" w:hAnsi="宋体" w:eastAsia="宋体" w:cs="宋体"/>
          <w:color w:val="auto"/>
          <w:kern w:val="0"/>
          <w:sz w:val="21"/>
          <w:szCs w:val="21"/>
          <w:highlight w:val="none"/>
          <w:u w:val="single"/>
          <w:lang w:val="en-US" w:eastAsia="zh-CN" w:bidi="ar"/>
        </w:rPr>
        <w:t>项目经理每月在岗带班时间不得少于当月施工时间的</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。未经发包人同意或正当理由，项目经理每月在岗带班时间少于当月施工时间</w:t>
      </w:r>
      <w:r>
        <w:rPr>
          <w:rFonts w:hint="default" w:ascii="Times New Roman" w:hAnsi="宋体" w:eastAsia="宋体" w:cs="Times New Roman"/>
          <w:color w:val="auto"/>
          <w:kern w:val="0"/>
          <w:sz w:val="21"/>
          <w:szCs w:val="21"/>
          <w:highlight w:val="none"/>
          <w:u w:val="single"/>
          <w:lang w:val="en-US" w:eastAsia="zh-CN" w:bidi="ar"/>
        </w:rPr>
        <w:t>80%</w:t>
      </w:r>
      <w:r>
        <w:rPr>
          <w:rFonts w:hint="eastAsia" w:ascii="宋体" w:hAnsi="宋体" w:eastAsia="宋体" w:cs="宋体"/>
          <w:color w:val="auto"/>
          <w:kern w:val="0"/>
          <w:sz w:val="21"/>
          <w:szCs w:val="21"/>
          <w:highlight w:val="none"/>
          <w:u w:val="single"/>
          <w:lang w:val="en-US" w:eastAsia="zh-CN" w:bidi="ar"/>
        </w:rPr>
        <w:t>的，少在岗带班一天，发包人有权处违约金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2000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日（人民币）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BADEAC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3.2.3 </w:t>
      </w:r>
      <w:r>
        <w:rPr>
          <w:rFonts w:hint="eastAsia" w:ascii="宋体" w:hAnsi="宋体" w:eastAsia="宋体" w:cs="宋体"/>
          <w:color w:val="auto"/>
          <w:kern w:val="0"/>
          <w:sz w:val="21"/>
          <w:szCs w:val="21"/>
          <w:highlight w:val="none"/>
          <w:lang w:val="en-US" w:eastAsia="zh-CN" w:bidi="ar"/>
        </w:rPr>
        <w:t>承包人擅自更换项目经理的违约责任：</w:t>
      </w:r>
      <w:r>
        <w:rPr>
          <w:rFonts w:hint="eastAsia" w:ascii="宋体" w:hAnsi="宋体" w:eastAsia="宋体" w:cs="宋体"/>
          <w:color w:val="auto"/>
          <w:kern w:val="0"/>
          <w:sz w:val="21"/>
          <w:szCs w:val="21"/>
          <w:highlight w:val="none"/>
          <w:u w:val="single"/>
          <w:lang w:val="en-US" w:eastAsia="zh-CN" w:bidi="ar"/>
        </w:rPr>
        <w:t>承包人项目经理必须与承包人投标时所承诺的人员一致，并在</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（开工日期）</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前到任。在监理人向承包人颁发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（竣工证明材料名称）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前，项目经理不得同时兼任其他任何项目的项目经理（符合桂建管﹝</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17</w:t>
      </w:r>
      <w:r>
        <w:rPr>
          <w:rFonts w:hint="eastAsia" w:ascii="宋体" w:hAnsi="宋体" w:eastAsia="宋体" w:cs="宋体"/>
          <w:color w:val="auto"/>
          <w:kern w:val="0"/>
          <w:sz w:val="21"/>
          <w:szCs w:val="21"/>
          <w:highlight w:val="none"/>
          <w:u w:val="single"/>
          <w:lang w:val="en-US" w:eastAsia="zh-CN" w:bidi="ar"/>
        </w:rPr>
        <w:t>号和桂建管﹝</w:t>
      </w:r>
      <w:r>
        <w:rPr>
          <w:rFonts w:hint="default" w:ascii="Times New Roman" w:hAnsi="Times New Roman" w:eastAsia="宋体" w:cs="Times New Roman"/>
          <w:color w:val="auto"/>
          <w:kern w:val="0"/>
          <w:sz w:val="21"/>
          <w:szCs w:val="21"/>
          <w:highlight w:val="none"/>
          <w:u w:val="single"/>
          <w:lang w:val="en-US" w:eastAsia="zh-CN" w:bidi="ar"/>
        </w:rPr>
        <w:t>2014</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25</w:t>
      </w:r>
      <w:r>
        <w:rPr>
          <w:rFonts w:hint="eastAsia" w:ascii="宋体" w:hAnsi="宋体" w:eastAsia="宋体" w:cs="宋体"/>
          <w:color w:val="auto"/>
          <w:kern w:val="0"/>
          <w:sz w:val="21"/>
          <w:szCs w:val="21"/>
          <w:highlight w:val="none"/>
          <w:u w:val="single"/>
          <w:lang w:val="en-US" w:eastAsia="zh-CN" w:bidi="ar"/>
        </w:rPr>
        <w:t>号文除外）。未经发包人书面同意，承包人擅自更换项目经理的视为违约，发包人有权处违约金</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16DEBEE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1"/>
          <w:szCs w:val="21"/>
          <w:highlight w:val="none"/>
          <w:lang w:val="en-US" w:eastAsia="zh-CN" w:bidi="ar"/>
        </w:rPr>
        <w:t xml:space="preserve">3.2.4 </w:t>
      </w:r>
      <w:r>
        <w:rPr>
          <w:rFonts w:hint="eastAsia" w:ascii="宋体" w:hAnsi="宋体" w:eastAsia="宋体" w:cs="宋体"/>
          <w:color w:val="auto"/>
          <w:kern w:val="0"/>
          <w:sz w:val="21"/>
          <w:szCs w:val="21"/>
          <w:highlight w:val="none"/>
          <w:lang w:val="en-US" w:eastAsia="zh-CN" w:bidi="ar"/>
        </w:rPr>
        <w:t>承包人无正当理由拒绝更换项目经理的违约责任：</w:t>
      </w:r>
      <w:r>
        <w:rPr>
          <w:rFonts w:hint="eastAsia" w:ascii="宋体" w:hAnsi="宋体" w:eastAsia="宋体" w:cs="宋体"/>
          <w:color w:val="auto"/>
          <w:kern w:val="0"/>
          <w:sz w:val="21"/>
          <w:szCs w:val="21"/>
          <w:highlight w:val="none"/>
          <w:u w:val="single"/>
          <w:lang w:val="en-US" w:eastAsia="zh-CN" w:bidi="ar"/>
        </w:rPr>
        <w:t>因承包人项目经理不称职，发包人要求调换而未及时调换的，视为承包人违约，发包人有权处违约金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1000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2C97CA8F">
      <w:pPr>
        <w:pStyle w:val="4"/>
        <w:widowControl/>
        <w:shd w:val="clear"/>
        <w:rPr>
          <w:rFonts w:hint="default" w:ascii="Times New Roman" w:hAnsi="Times New Roman" w:eastAsia="宋体" w:cs="Times New Roman"/>
          <w:b/>
          <w:bCs/>
          <w:color w:val="auto"/>
          <w:kern w:val="2"/>
          <w:sz w:val="32"/>
          <w:szCs w:val="32"/>
          <w:highlight w:val="none"/>
        </w:rPr>
      </w:pPr>
      <w:bookmarkStart w:id="289" w:name="_Toc407135211"/>
      <w:bookmarkEnd w:id="289"/>
      <w:bookmarkStart w:id="290" w:name="_Toc373227709"/>
      <w:bookmarkEnd w:id="290"/>
      <w:bookmarkStart w:id="291" w:name="_Toc373478356"/>
      <w:bookmarkEnd w:id="291"/>
      <w:bookmarkStart w:id="292" w:name="_Toc9850539"/>
      <w:bookmarkEnd w:id="292"/>
      <w:bookmarkStart w:id="293" w:name="_Toc389065275"/>
      <w:r>
        <w:rPr>
          <w:rFonts w:hint="default" w:ascii="Times New Roman" w:hAnsi="Times New Roman" w:eastAsia="宋体" w:cs="Times New Roman"/>
          <w:b/>
          <w:bCs/>
          <w:color w:val="auto"/>
          <w:kern w:val="2"/>
          <w:sz w:val="32"/>
          <w:szCs w:val="32"/>
          <w:highlight w:val="none"/>
        </w:rPr>
        <w:t xml:space="preserve">3.3 </w:t>
      </w:r>
      <w:bookmarkEnd w:id="293"/>
      <w:r>
        <w:rPr>
          <w:rFonts w:hint="eastAsia" w:ascii="宋体" w:hAnsi="宋体" w:eastAsia="宋体" w:cs="宋体"/>
          <w:b/>
          <w:bCs/>
          <w:color w:val="auto"/>
          <w:kern w:val="2"/>
          <w:sz w:val="32"/>
          <w:szCs w:val="32"/>
          <w:highlight w:val="none"/>
        </w:rPr>
        <w:t>承包人人员</w:t>
      </w:r>
    </w:p>
    <w:p w14:paraId="6FF51E3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294" w:name="_Toc373478357"/>
      <w:bookmarkEnd w:id="294"/>
      <w:bookmarkStart w:id="295" w:name="_Toc389065276"/>
      <w:bookmarkEnd w:id="295"/>
      <w:bookmarkStart w:id="296" w:name="_Toc373227710"/>
      <w:bookmarkEnd w:id="296"/>
      <w:bookmarkStart w:id="297" w:name="_Toc407135212"/>
      <w:bookmarkEnd w:id="297"/>
      <w:bookmarkStart w:id="298" w:name="_Toc9850540"/>
      <w:r>
        <w:rPr>
          <w:rFonts w:hint="default" w:ascii="Times New Roman" w:hAnsi="Times New Roman" w:eastAsia="宋体" w:cs="Times New Roman"/>
          <w:color w:val="auto"/>
          <w:kern w:val="0"/>
          <w:sz w:val="21"/>
          <w:szCs w:val="21"/>
          <w:highlight w:val="none"/>
          <w:lang w:val="en-US" w:eastAsia="zh-CN" w:bidi="ar"/>
        </w:rPr>
        <w:t xml:space="preserve">3.3.1 </w:t>
      </w:r>
      <w:bookmarkEnd w:id="298"/>
      <w:r>
        <w:rPr>
          <w:rFonts w:hint="eastAsia" w:ascii="宋体" w:hAnsi="宋体" w:eastAsia="宋体" w:cs="宋体"/>
          <w:color w:val="auto"/>
          <w:kern w:val="0"/>
          <w:sz w:val="21"/>
          <w:szCs w:val="21"/>
          <w:highlight w:val="none"/>
          <w:lang w:val="en-US" w:eastAsia="zh-CN" w:bidi="ar"/>
        </w:rPr>
        <w:t>承包人提交项目管理机构及施工现场管理人员安排报告（格式见合同附件</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接到开工令的七日内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C74223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3.3.3 </w:t>
      </w:r>
      <w:r>
        <w:rPr>
          <w:rFonts w:hint="eastAsia" w:ascii="宋体" w:hAnsi="宋体" w:eastAsia="宋体" w:cs="宋体"/>
          <w:color w:val="auto"/>
          <w:kern w:val="0"/>
          <w:sz w:val="21"/>
          <w:szCs w:val="21"/>
          <w:highlight w:val="none"/>
          <w:lang w:val="en-US" w:eastAsia="zh-CN" w:bidi="ar"/>
        </w:rPr>
        <w:t>承包人无正当理由拒绝撤换主要施工管理人员的违约责任：</w:t>
      </w:r>
      <w:r>
        <w:rPr>
          <w:rFonts w:hint="eastAsia" w:ascii="宋体" w:hAnsi="宋体" w:eastAsia="宋体" w:cs="宋体"/>
          <w:color w:val="auto"/>
          <w:kern w:val="0"/>
          <w:sz w:val="21"/>
          <w:szCs w:val="21"/>
          <w:highlight w:val="none"/>
          <w:u w:val="single"/>
          <w:lang w:val="en-US" w:eastAsia="zh-CN" w:bidi="ar"/>
        </w:rPr>
        <w:t>因承包人主要施工管理人员不称职，发包人要求调换而无正当理由拒绝撤换或未及时调换的，视为承包人违约，发包人有权处</w:t>
      </w:r>
      <w:r>
        <w:rPr>
          <w:rFonts w:hint="eastAsia" w:ascii="宋体" w:hAnsi="宋体" w:eastAsia="宋体" w:cs="宋体"/>
          <w:color w:val="auto"/>
          <w:kern w:val="0"/>
          <w:sz w:val="21"/>
          <w:szCs w:val="21"/>
          <w:highlight w:val="none"/>
          <w:lang w:val="en-US" w:eastAsia="zh-CN" w:bidi="ar"/>
        </w:rPr>
        <w:t>承包人</w:t>
      </w:r>
      <w:r>
        <w:rPr>
          <w:rFonts w:hint="eastAsia" w:ascii="宋体" w:hAnsi="宋体" w:eastAsia="宋体" w:cs="宋体"/>
          <w:color w:val="auto"/>
          <w:kern w:val="0"/>
          <w:sz w:val="21"/>
          <w:szCs w:val="21"/>
          <w:highlight w:val="none"/>
          <w:u w:val="single"/>
          <w:lang w:val="en-US" w:eastAsia="zh-CN" w:bidi="ar"/>
        </w:rPr>
        <w:t>违约金，处违约金标准：技术负责人</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次（人民币）；专业工程师</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6AB7C98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 xml:space="preserve">3.3.4 </w:t>
      </w:r>
      <w:r>
        <w:rPr>
          <w:rFonts w:hint="eastAsia" w:ascii="宋体" w:hAnsi="宋体" w:eastAsia="宋体" w:cs="宋体"/>
          <w:color w:val="auto"/>
          <w:kern w:val="0"/>
          <w:sz w:val="21"/>
          <w:szCs w:val="21"/>
          <w:highlight w:val="none"/>
          <w:lang w:val="en-US" w:eastAsia="zh-CN" w:bidi="ar"/>
        </w:rPr>
        <w:t>承包人主要施工管理人员离开施工现场的批准要求：</w:t>
      </w:r>
      <w:r>
        <w:rPr>
          <w:rFonts w:hint="eastAsia" w:ascii="宋体" w:hAnsi="宋体" w:eastAsia="宋体" w:cs="宋体"/>
          <w:color w:val="auto"/>
          <w:kern w:val="0"/>
          <w:sz w:val="21"/>
          <w:szCs w:val="21"/>
          <w:highlight w:val="none"/>
          <w:u w:val="single"/>
          <w:lang w:val="en-US" w:eastAsia="zh-CN" w:bidi="ar"/>
        </w:rPr>
        <w:t>必须以书面形式提出且经发包人同意后</w:t>
      </w:r>
      <w:r>
        <w:rPr>
          <w:rFonts w:hint="eastAsia" w:ascii="宋体" w:hAnsi="宋体" w:eastAsia="宋体" w:cs="宋体"/>
          <w:color w:val="auto"/>
          <w:kern w:val="0"/>
          <w:sz w:val="21"/>
          <w:szCs w:val="21"/>
          <w:highlight w:val="none"/>
          <w:lang w:val="en-US" w:eastAsia="zh-CN" w:bidi="ar"/>
        </w:rPr>
        <w:t>。</w:t>
      </w:r>
    </w:p>
    <w:p w14:paraId="56BF070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3.3.5 </w:t>
      </w:r>
      <w:r>
        <w:rPr>
          <w:rFonts w:hint="eastAsia" w:ascii="宋体" w:hAnsi="宋体" w:eastAsia="宋体" w:cs="宋体"/>
          <w:color w:val="auto"/>
          <w:kern w:val="0"/>
          <w:sz w:val="21"/>
          <w:szCs w:val="21"/>
          <w:highlight w:val="none"/>
          <w:lang w:val="en-US" w:eastAsia="zh-CN" w:bidi="ar"/>
        </w:rPr>
        <w:t>承包人擅自更换主要施工管理人员的违约责任：</w:t>
      </w:r>
      <w:r>
        <w:rPr>
          <w:rFonts w:hint="eastAsia" w:ascii="宋体" w:hAnsi="宋体" w:eastAsia="宋体" w:cs="宋体"/>
          <w:color w:val="auto"/>
          <w:kern w:val="0"/>
          <w:sz w:val="21"/>
          <w:szCs w:val="21"/>
          <w:highlight w:val="none"/>
          <w:u w:val="single"/>
          <w:lang w:val="en-US" w:eastAsia="zh-CN" w:bidi="ar"/>
        </w:rPr>
        <w:t>项目技术负责人、专职安全员及其承诺的其它在场管理人员未经发包人书面同意不准擅自更换，擅自更换项目技术负责人处</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次（人民币）违约金；擅自更换专职安全员处</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次（人民币）违约金；擅自更换其它在场管理人员处</w:t>
      </w:r>
      <w:r>
        <w:rPr>
          <w:rFonts w:hint="default" w:ascii="Times New Roman" w:hAnsi="Times New Roman" w:eastAsia="宋体" w:cs="Times New Roman"/>
          <w:color w:val="auto"/>
          <w:kern w:val="0"/>
          <w:sz w:val="21"/>
          <w:szCs w:val="21"/>
          <w:highlight w:val="none"/>
          <w:u w:val="single"/>
          <w:lang w:val="en-US" w:eastAsia="zh-CN" w:bidi="ar"/>
        </w:rPr>
        <w:t xml:space="preserve">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次（人民币）违约金</w:t>
      </w:r>
      <w:r>
        <w:rPr>
          <w:rFonts w:hint="eastAsia" w:ascii="宋体" w:hAnsi="宋体" w:eastAsia="宋体" w:cs="宋体"/>
          <w:color w:val="auto"/>
          <w:kern w:val="0"/>
          <w:sz w:val="21"/>
          <w:szCs w:val="21"/>
          <w:highlight w:val="none"/>
          <w:lang w:val="en-US" w:eastAsia="zh-CN" w:bidi="ar"/>
        </w:rPr>
        <w:t>。</w:t>
      </w:r>
    </w:p>
    <w:p w14:paraId="543C4EA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承包人主要施工管理人员擅自离开施工现场的违约责任：</w:t>
      </w:r>
      <w:r>
        <w:rPr>
          <w:rFonts w:hint="eastAsia" w:ascii="宋体" w:hAnsi="宋体" w:eastAsia="宋体" w:cs="宋体"/>
          <w:color w:val="auto"/>
          <w:kern w:val="0"/>
          <w:sz w:val="21"/>
          <w:szCs w:val="21"/>
          <w:highlight w:val="none"/>
          <w:u w:val="single"/>
          <w:lang w:val="en-US" w:eastAsia="zh-CN" w:bidi="ar"/>
        </w:rPr>
        <w:t>未经发包人同意，项目技术负责人擅自离岗的，视为承包人违约，发包人有权处违约金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次（人民币）；未经发包人同意，专职安全员擅自离岗的，视为承包人违约，发包人有权处违约金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次（人民币）；其它在场管理人员擅自离岗的，视为承包人违约，发包人有权处违约金</w:t>
      </w:r>
      <w:r>
        <w:rPr>
          <w:rFonts w:hint="default" w:ascii="Times New Roman" w:hAnsi="Times New Roman" w:eastAsia="宋体" w:cs="Times New Roman"/>
          <w:color w:val="auto"/>
          <w:kern w:val="0"/>
          <w:sz w:val="21"/>
          <w:szCs w:val="21"/>
          <w:highlight w:val="none"/>
          <w:u w:val="single"/>
          <w:lang w:val="en-US" w:eastAsia="zh-CN" w:bidi="ar"/>
        </w:rPr>
        <w:t xml:space="preserve">   500 </w:t>
      </w:r>
      <w:r>
        <w:rPr>
          <w:rFonts w:hint="eastAsia" w:ascii="宋体" w:hAnsi="宋体" w:eastAsia="宋体" w:cs="宋体"/>
          <w:color w:val="auto"/>
          <w:kern w:val="0"/>
          <w:sz w:val="21"/>
          <w:szCs w:val="21"/>
          <w:highlight w:val="none"/>
          <w:u w:val="single"/>
          <w:lang w:val="en-US" w:eastAsia="zh-CN" w:bidi="ar"/>
        </w:rPr>
        <w:t>元</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人</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次（人民币）</w:t>
      </w:r>
      <w:r>
        <w:rPr>
          <w:rFonts w:hint="eastAsia" w:ascii="宋体" w:hAnsi="宋体" w:eastAsia="宋体" w:cs="宋体"/>
          <w:color w:val="auto"/>
          <w:kern w:val="0"/>
          <w:sz w:val="21"/>
          <w:szCs w:val="21"/>
          <w:highlight w:val="none"/>
          <w:lang w:val="en-US" w:eastAsia="zh-CN" w:bidi="ar"/>
        </w:rPr>
        <w:t>。</w:t>
      </w:r>
    </w:p>
    <w:p w14:paraId="1F6A8D6D">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3</w:t>
      </w:r>
      <w:bookmarkStart w:id="299" w:name="_Toc312677988"/>
      <w:bookmarkEnd w:id="299"/>
      <w:bookmarkStart w:id="300" w:name="_Toc303539102"/>
      <w:bookmarkEnd w:id="300"/>
      <w:bookmarkStart w:id="301" w:name="_Toc297123492"/>
      <w:bookmarkEnd w:id="301"/>
      <w:bookmarkStart w:id="302" w:name="_Toc297048345"/>
      <w:bookmarkEnd w:id="302"/>
      <w:bookmarkStart w:id="303" w:name="_Toc292559364"/>
      <w:bookmarkEnd w:id="303"/>
      <w:bookmarkStart w:id="304" w:name="_Toc297216151"/>
      <w:bookmarkEnd w:id="304"/>
      <w:bookmarkStart w:id="305" w:name="_Toc297120459"/>
      <w:bookmarkEnd w:id="305"/>
      <w:bookmarkStart w:id="306" w:name="_Toc304295523"/>
      <w:bookmarkEnd w:id="306"/>
      <w:bookmarkStart w:id="307" w:name="_Toc296944498"/>
      <w:bookmarkEnd w:id="307"/>
      <w:bookmarkStart w:id="308" w:name="_Toc292559869"/>
      <w:bookmarkEnd w:id="308"/>
      <w:bookmarkStart w:id="309" w:name="_Toc296890987"/>
      <w:bookmarkEnd w:id="309"/>
      <w:bookmarkStart w:id="310" w:name="_Toc296891199"/>
      <w:bookmarkEnd w:id="310"/>
      <w:bookmarkStart w:id="311" w:name="_Toc300934945"/>
      <w:bookmarkEnd w:id="311"/>
      <w:bookmarkStart w:id="312" w:name="_Toc296503159"/>
      <w:bookmarkEnd w:id="312"/>
      <w:bookmarkStart w:id="313" w:name="_Toc296346660"/>
      <w:bookmarkEnd w:id="313"/>
      <w:bookmarkStart w:id="314" w:name="_Toc296347158"/>
      <w:r>
        <w:rPr>
          <w:rFonts w:hint="default" w:ascii="Times New Roman" w:hAnsi="Times New Roman" w:eastAsia="宋体" w:cs="Times New Roman"/>
          <w:b/>
          <w:bCs/>
          <w:color w:val="auto"/>
          <w:kern w:val="2"/>
          <w:sz w:val="32"/>
          <w:szCs w:val="32"/>
          <w:highlight w:val="none"/>
        </w:rPr>
        <w:t xml:space="preserve">.5 </w:t>
      </w:r>
      <w:bookmarkEnd w:id="314"/>
      <w:r>
        <w:rPr>
          <w:rFonts w:hint="eastAsia" w:ascii="宋体" w:hAnsi="宋体" w:eastAsia="宋体" w:cs="宋体"/>
          <w:b/>
          <w:bCs/>
          <w:color w:val="auto"/>
          <w:kern w:val="2"/>
          <w:sz w:val="32"/>
          <w:szCs w:val="32"/>
          <w:highlight w:val="none"/>
        </w:rPr>
        <w:t>分包</w:t>
      </w:r>
    </w:p>
    <w:p w14:paraId="3A29503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bookmarkStart w:id="315" w:name="_Toc297048346"/>
      <w:bookmarkEnd w:id="315"/>
      <w:bookmarkStart w:id="316" w:name="_Toc318581158"/>
      <w:bookmarkEnd w:id="316"/>
      <w:bookmarkStart w:id="317" w:name="_Toc297216152"/>
      <w:bookmarkEnd w:id="317"/>
      <w:bookmarkStart w:id="318" w:name="_Toc296890988"/>
      <w:bookmarkEnd w:id="318"/>
      <w:bookmarkStart w:id="319" w:name="_Toc296503160"/>
      <w:bookmarkEnd w:id="319"/>
      <w:bookmarkStart w:id="320" w:name="_Toc297123493"/>
      <w:bookmarkEnd w:id="320"/>
      <w:bookmarkStart w:id="321" w:name="_Toc296944499"/>
      <w:bookmarkEnd w:id="321"/>
      <w:bookmarkStart w:id="322" w:name="_Toc303539103"/>
      <w:bookmarkEnd w:id="322"/>
      <w:bookmarkStart w:id="323" w:name="_Toc296347159"/>
      <w:bookmarkEnd w:id="323"/>
      <w:bookmarkStart w:id="324" w:name="_Toc300934946"/>
      <w:bookmarkEnd w:id="324"/>
      <w:bookmarkStart w:id="325" w:name="_Toc296346661"/>
      <w:bookmarkEnd w:id="325"/>
      <w:bookmarkStart w:id="326" w:name="_Toc292559870"/>
      <w:bookmarkEnd w:id="326"/>
      <w:bookmarkStart w:id="327" w:name="_Toc296891200"/>
      <w:bookmarkEnd w:id="327"/>
      <w:bookmarkStart w:id="328" w:name="_Toc292559365"/>
      <w:bookmarkEnd w:id="328"/>
      <w:bookmarkStart w:id="329" w:name="_Toc304295524"/>
      <w:bookmarkEnd w:id="329"/>
      <w:bookmarkStart w:id="330" w:name="_Toc312677989"/>
      <w:bookmarkEnd w:id="330"/>
      <w:bookmarkStart w:id="331" w:name="_Toc297120460"/>
      <w:r>
        <w:rPr>
          <w:rFonts w:hint="default" w:ascii="Times New Roman" w:hAnsi="Times New Roman" w:eastAsia="宋体" w:cs="Times New Roman"/>
          <w:color w:val="auto"/>
          <w:kern w:val="0"/>
          <w:sz w:val="21"/>
          <w:szCs w:val="21"/>
          <w:highlight w:val="none"/>
          <w:lang w:val="en-US" w:eastAsia="zh-CN" w:bidi="ar"/>
        </w:rPr>
        <w:t xml:space="preserve">.5.1 </w:t>
      </w:r>
      <w:bookmarkEnd w:id="331"/>
      <w:r>
        <w:rPr>
          <w:rFonts w:hint="eastAsia" w:ascii="宋体" w:hAnsi="宋体" w:eastAsia="宋体" w:cs="宋体"/>
          <w:color w:val="auto"/>
          <w:kern w:val="0"/>
          <w:sz w:val="21"/>
          <w:szCs w:val="21"/>
          <w:highlight w:val="none"/>
          <w:lang w:val="en-US" w:eastAsia="zh-CN" w:bidi="ar"/>
        </w:rPr>
        <w:t>分包的一般约定</w:t>
      </w:r>
    </w:p>
    <w:p w14:paraId="4330F51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禁止分包的工程包括：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本工程不允许分包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C2EC9F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主体结构、关键性工作的范围：</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F4C954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bookmarkStart w:id="332" w:name="_Toc318581159"/>
      <w:bookmarkEnd w:id="332"/>
      <w:bookmarkStart w:id="333" w:name="_Toc312677990"/>
      <w:r>
        <w:rPr>
          <w:rFonts w:hint="default" w:ascii="Times New Roman" w:hAnsi="Times New Roman" w:eastAsia="宋体" w:cs="Times New Roman"/>
          <w:color w:val="auto"/>
          <w:kern w:val="0"/>
          <w:sz w:val="21"/>
          <w:szCs w:val="21"/>
          <w:highlight w:val="none"/>
          <w:lang w:val="en-US" w:eastAsia="zh-CN" w:bidi="ar"/>
        </w:rPr>
        <w:t xml:space="preserve">.5.2 </w:t>
      </w:r>
      <w:bookmarkEnd w:id="333"/>
      <w:r>
        <w:rPr>
          <w:rFonts w:hint="eastAsia" w:ascii="宋体" w:hAnsi="宋体" w:eastAsia="宋体" w:cs="宋体"/>
          <w:color w:val="auto"/>
          <w:kern w:val="0"/>
          <w:sz w:val="21"/>
          <w:szCs w:val="21"/>
          <w:highlight w:val="none"/>
          <w:lang w:val="en-US" w:eastAsia="zh-CN" w:bidi="ar"/>
        </w:rPr>
        <w:t>分包的确定</w:t>
      </w:r>
    </w:p>
    <w:p w14:paraId="3784D2D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允许分包的专业工程包括：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F1D34C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其他关于分包的约定：</w:t>
      </w:r>
    </w:p>
    <w:p w14:paraId="4194F86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除前款约定的分包内容外，经过发包人和监理人书面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p>
    <w:p w14:paraId="1D42D0A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）在相关分包合同签订并报送有关建设行政主管部门备案后</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天内，承包人应当将一份副本提交给监理人，承包人应保障分包工作不得再次分包。</w:t>
      </w:r>
    </w:p>
    <w:p w14:paraId="36B4C294">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）未经发包人和监理人审批同意的分包工程和分包人，发包人有权拒绝验收分包工程和支付相应款项，由此引起的承包人费用增加和</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延误的工期由承包人承担。</w:t>
      </w:r>
    </w:p>
    <w:p w14:paraId="665C6886">
      <w:pPr>
        <w:pStyle w:val="19"/>
        <w:keepNext w:val="0"/>
        <w:keepLines w:val="0"/>
        <w:widowControl w:val="0"/>
        <w:suppressLineNumbers w:val="0"/>
        <w:shd w:val="clear"/>
        <w:spacing w:before="0" w:beforeAutospacing="0" w:after="0" w:afterAutospacing="0" w:line="360" w:lineRule="auto"/>
        <w:ind w:left="0" w:right="0" w:firstLine="440" w:firstLineChars="20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w:t>
      </w:r>
      <w:r>
        <w:rPr>
          <w:rFonts w:hint="default" w:ascii="Times New Roman" w:hAnsi="Times New Roman" w:eastAsia="宋体" w:cs="Times New Roman"/>
          <w:color w:val="auto"/>
          <w:kern w:val="0"/>
          <w:sz w:val="22"/>
          <w:szCs w:val="22"/>
          <w:highlight w:val="none"/>
          <w:lang w:val="en-US" w:eastAsia="zh-CN" w:bidi="ar"/>
        </w:rPr>
        <w:t>4</w:t>
      </w:r>
      <w:r>
        <w:rPr>
          <w:rFonts w:hint="eastAsia" w:ascii="宋体" w:hAnsi="宋体" w:eastAsia="宋体" w:cs="宋体"/>
          <w:color w:val="auto"/>
          <w:kern w:val="0"/>
          <w:sz w:val="22"/>
          <w:szCs w:val="22"/>
          <w:highlight w:val="none"/>
          <w:lang w:val="en-US" w:eastAsia="zh-CN" w:bidi="ar"/>
        </w:rPr>
        <w:t>）承包人有以下情况之一者，发包人有权解除合同，并视情况扣除其履约保证金：</w:t>
      </w:r>
    </w:p>
    <w:p w14:paraId="589C5AB0">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①个人承包工程，包括本人单位及外单位人员承包，发包人不承认其个人拥有任何资质等级及营业许可资格。没收全部履约保证金。</w:t>
      </w:r>
    </w:p>
    <w:p w14:paraId="50FA419F">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②几个人联合承包工程，就地组织暗分包队伍，不具备完成本工程的技术、机械能力，被发包人判定为没有能力履行的承包人。没收全部履约保证金。</w:t>
      </w:r>
    </w:p>
    <w:p w14:paraId="53D3CA7D">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eastAsia" w:ascii="宋体" w:hAnsi="宋体" w:eastAsia="宋体" w:cs="宋体"/>
          <w:color w:val="auto"/>
          <w:kern w:val="0"/>
          <w:sz w:val="22"/>
          <w:szCs w:val="22"/>
          <w:highlight w:val="none"/>
          <w:lang w:val="en-US" w:eastAsia="zh-CN" w:bidi="ar"/>
        </w:rPr>
        <w:t>③就地转包全部的工程，以谋取高额转让费、管理费的承包人。没收全部履约保证金。</w:t>
      </w:r>
    </w:p>
    <w:p w14:paraId="2DC2FE5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④承包人有部分分包现象（其中包括冒充承包人下属单位的挂勾单位，凭口头协议参与施工的分包人及其他暗分包个体户），一经核实，发包人将采取驱逐该暗分包人措施。没收全部履约保证金。</w:t>
      </w:r>
    </w:p>
    <w:p w14:paraId="551FE22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3.5.4 </w:t>
      </w:r>
      <w:r>
        <w:rPr>
          <w:rFonts w:hint="eastAsia" w:ascii="宋体" w:hAnsi="宋体" w:eastAsia="宋体" w:cs="宋体"/>
          <w:color w:val="auto"/>
          <w:kern w:val="0"/>
          <w:sz w:val="21"/>
          <w:szCs w:val="21"/>
          <w:highlight w:val="none"/>
          <w:lang w:val="en-US" w:eastAsia="zh-CN" w:bidi="ar"/>
        </w:rPr>
        <w:t>分包合同价款</w:t>
      </w:r>
    </w:p>
    <w:p w14:paraId="627A1B12">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highlight w:val="none"/>
        </w:rPr>
      </w:pPr>
      <w:bookmarkStart w:id="334" w:name="_Toc373478358"/>
      <w:bookmarkEnd w:id="334"/>
      <w:bookmarkStart w:id="335" w:name="_Toc389065277"/>
      <w:bookmarkEnd w:id="335"/>
      <w:bookmarkStart w:id="336" w:name="_Toc373227711"/>
      <w:r>
        <w:rPr>
          <w:rFonts w:hint="eastAsia" w:ascii="宋体" w:hAnsi="宋体" w:eastAsia="宋体" w:cs="宋体"/>
          <w:color w:val="auto"/>
          <w:kern w:val="0"/>
          <w:sz w:val="21"/>
          <w:szCs w:val="21"/>
          <w:highlight w:val="none"/>
          <w:lang w:val="en-US" w:eastAsia="zh-CN" w:bidi="ar"/>
        </w:rPr>
        <w:t>关于分包合同价款支付的约定：</w:t>
      </w:r>
      <w:bookmarkEnd w:id="336"/>
      <w:r>
        <w:rPr>
          <w:rFonts w:hint="eastAsia" w:ascii="宋体" w:hAnsi="宋体" w:eastAsia="宋体" w:cs="宋体"/>
          <w:color w:val="auto"/>
          <w:kern w:val="0"/>
          <w:sz w:val="21"/>
          <w:szCs w:val="21"/>
          <w:highlight w:val="none"/>
          <w:u w:val="single"/>
          <w:lang w:val="en-US" w:eastAsia="zh-CN" w:bidi="ar"/>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w:t>
      </w:r>
      <w:r>
        <w:rPr>
          <w:rFonts w:hint="eastAsia" w:ascii="宋体" w:hAnsi="宋体" w:eastAsia="宋体" w:cs="宋体"/>
          <w:color w:val="auto"/>
          <w:kern w:val="0"/>
          <w:sz w:val="24"/>
          <w:szCs w:val="24"/>
          <w:highlight w:val="none"/>
          <w:u w:val="single"/>
          <w:lang w:val="en-US" w:eastAsia="zh-CN" w:bidi="ar"/>
        </w:rPr>
        <w:t>工程款项而影响承包人工作的，所造成的承包人费用增加和（或）延误的工期由发包人承担。</w:t>
      </w:r>
    </w:p>
    <w:p w14:paraId="72A075FA">
      <w:pPr>
        <w:pStyle w:val="4"/>
        <w:widowControl/>
        <w:shd w:val="clear"/>
        <w:spacing w:line="360" w:lineRule="auto"/>
        <w:rPr>
          <w:rFonts w:hint="default" w:ascii="Times New Roman" w:hAnsi="Times New Roman" w:eastAsia="宋体" w:cs="Times New Roman"/>
          <w:b/>
          <w:bCs/>
          <w:color w:val="auto"/>
          <w:kern w:val="2"/>
          <w:sz w:val="32"/>
          <w:szCs w:val="32"/>
          <w:highlight w:val="none"/>
        </w:rPr>
      </w:pPr>
      <w:bookmarkStart w:id="337" w:name="_Toc407135213"/>
      <w:bookmarkEnd w:id="337"/>
      <w:bookmarkStart w:id="338" w:name="_Toc9850541"/>
      <w:r>
        <w:rPr>
          <w:rFonts w:hint="default" w:ascii="Times New Roman" w:hAnsi="Times New Roman" w:eastAsia="宋体" w:cs="Times New Roman"/>
          <w:b/>
          <w:bCs/>
          <w:color w:val="auto"/>
          <w:kern w:val="2"/>
          <w:sz w:val="32"/>
          <w:szCs w:val="32"/>
          <w:highlight w:val="none"/>
        </w:rPr>
        <w:t xml:space="preserve">3.6 </w:t>
      </w:r>
      <w:bookmarkEnd w:id="338"/>
      <w:r>
        <w:rPr>
          <w:rFonts w:hint="eastAsia" w:ascii="宋体" w:hAnsi="宋体" w:eastAsia="宋体" w:cs="宋体"/>
          <w:b/>
          <w:bCs/>
          <w:color w:val="auto"/>
          <w:kern w:val="2"/>
          <w:sz w:val="32"/>
          <w:szCs w:val="32"/>
          <w:highlight w:val="none"/>
        </w:rPr>
        <w:t>工程照管与成品、半成品保护</w:t>
      </w:r>
    </w:p>
    <w:p w14:paraId="16D212B2">
      <w:pPr>
        <w:keepNext w:val="0"/>
        <w:keepLines w:val="0"/>
        <w:widowControl w:val="0"/>
        <w:suppressLineNumbers w:val="0"/>
        <w:shd w:val="clear"/>
        <w:spacing w:before="120" w:beforeAutospacing="0" w:after="120" w:afterAutospacing="0" w:line="360" w:lineRule="auto"/>
        <w:ind w:left="0" w:right="0" w:firstLine="420" w:firstLineChars="200"/>
        <w:jc w:val="both"/>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1"/>
          <w:szCs w:val="21"/>
          <w:highlight w:val="none"/>
          <w:lang w:val="en-US" w:eastAsia="zh-CN" w:bidi="ar"/>
        </w:rPr>
        <w:t>承包人负责照管工程及工程相关的材料、工程设备的起始时间：</w:t>
      </w:r>
      <w:r>
        <w:rPr>
          <w:rFonts w:hint="eastAsia" w:ascii="宋体" w:hAnsi="宋体" w:eastAsia="宋体" w:cs="宋体"/>
          <w:color w:val="auto"/>
          <w:kern w:val="0"/>
          <w:sz w:val="21"/>
          <w:szCs w:val="21"/>
          <w:highlight w:val="none"/>
          <w:u w:val="single"/>
          <w:lang w:val="en-US" w:eastAsia="zh-CN" w:bidi="ar"/>
        </w:rPr>
        <w:t>从开工之日起承包人应全面负责照管本合同工程及将用于施工在本合同工程中的成品、半成品、材料、设备等直到本合同工程《质量保修书》签发之日为止，并承担此期间发生的相关费用，发包人不再另行签证费用。发包人要求采取特殊措施保护的工程部位（此为非正常施工程序所需采取的特别保护，不含发包人指定的分包方进场施工过程中承包人所需采取的必要配合保护)，所发生费用经发包人确认后由发包人承担。</w:t>
      </w:r>
    </w:p>
    <w:p w14:paraId="50D2A1BD">
      <w:pPr>
        <w:pStyle w:val="4"/>
        <w:widowControl/>
        <w:shd w:val="clear"/>
        <w:rPr>
          <w:rFonts w:hint="default" w:ascii="Times New Roman" w:hAnsi="Times New Roman" w:eastAsia="宋体" w:cs="Times New Roman"/>
          <w:b/>
          <w:bCs/>
          <w:color w:val="auto"/>
          <w:kern w:val="2"/>
          <w:sz w:val="32"/>
          <w:szCs w:val="32"/>
          <w:highlight w:val="none"/>
        </w:rPr>
      </w:pPr>
      <w:bookmarkStart w:id="339" w:name="_Toc389065278"/>
      <w:bookmarkEnd w:id="339"/>
      <w:bookmarkStart w:id="340" w:name="_Toc373227712"/>
      <w:bookmarkEnd w:id="340"/>
      <w:bookmarkStart w:id="341" w:name="_Toc373478359"/>
      <w:bookmarkEnd w:id="341"/>
      <w:bookmarkStart w:id="342" w:name="_Toc9850542"/>
      <w:bookmarkEnd w:id="342"/>
      <w:bookmarkStart w:id="343" w:name="_Toc407135214"/>
      <w:r>
        <w:rPr>
          <w:rFonts w:hint="default" w:ascii="Times New Roman" w:hAnsi="Times New Roman" w:eastAsia="宋体" w:cs="Times New Roman"/>
          <w:b/>
          <w:bCs/>
          <w:color w:val="auto"/>
          <w:kern w:val="2"/>
          <w:sz w:val="32"/>
          <w:szCs w:val="32"/>
          <w:highlight w:val="none"/>
        </w:rPr>
        <w:t xml:space="preserve">3.7 </w:t>
      </w:r>
      <w:bookmarkEnd w:id="343"/>
      <w:r>
        <w:rPr>
          <w:rFonts w:hint="eastAsia" w:ascii="宋体" w:hAnsi="宋体" w:eastAsia="宋体" w:cs="宋体"/>
          <w:b/>
          <w:bCs/>
          <w:color w:val="auto"/>
          <w:kern w:val="2"/>
          <w:sz w:val="32"/>
          <w:szCs w:val="32"/>
          <w:highlight w:val="none"/>
        </w:rPr>
        <w:t>履约保证金</w:t>
      </w:r>
    </w:p>
    <w:p w14:paraId="2F57866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u w:val="single"/>
        </w:rPr>
      </w:pPr>
      <w:bookmarkStart w:id="344" w:name="_Toc373227713"/>
      <w:bookmarkEnd w:id="344"/>
      <w:bookmarkStart w:id="345" w:name="_Toc351203636"/>
      <w:bookmarkEnd w:id="345"/>
      <w:bookmarkStart w:id="346" w:name="_Toc373478360"/>
      <w:bookmarkEnd w:id="346"/>
      <w:bookmarkStart w:id="347" w:name="_Toc389065279"/>
      <w:r>
        <w:rPr>
          <w:rFonts w:hint="eastAsia" w:ascii="宋体" w:hAnsi="宋体" w:eastAsia="宋体" w:cs="宋体"/>
          <w:color w:val="auto"/>
          <w:kern w:val="0"/>
          <w:sz w:val="21"/>
          <w:szCs w:val="21"/>
          <w:highlight w:val="none"/>
          <w:lang w:val="en-US" w:eastAsia="zh-CN" w:bidi="ar"/>
        </w:rPr>
        <w:t>承包人提供履约担保的形式、金额及期限的：</w:t>
      </w:r>
      <w:bookmarkEnd w:id="347"/>
      <w:r>
        <w:rPr>
          <w:rFonts w:hint="eastAsia" w:ascii="宋体" w:hAnsi="宋体" w:eastAsia="宋体" w:cs="宋体"/>
          <w:color w:val="auto"/>
          <w:kern w:val="0"/>
          <w:sz w:val="21"/>
          <w:szCs w:val="21"/>
          <w:highlight w:val="none"/>
          <w:u w:val="single"/>
          <w:lang w:val="en-US" w:eastAsia="zh-CN" w:bidi="ar"/>
        </w:rPr>
        <w:t>承包人在收到中标通知书后，须在</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日内向发包人提交合同价款扣除发包人材料设备价款、暂估专业工程、暂列金额后的</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的履约担保（格式见合同附件</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）。履约担保的有效期应当自本合同生效之日起至发包人签字盖章确认并由监理人向承包人出具（竣工证明材料名称）之日止。如果承包人无法获得一份不带具体截止日期的担保，履约担保中应当有</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变更工程竣工日期的，保证期间按照变更后的竣工日期做相应调整</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或类似约定的条款。</w:t>
      </w:r>
    </w:p>
    <w:p w14:paraId="737278E5">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工程竣工验收合格并对验收发现的问题完成整改后的</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个日历天内，发包人支付履约保证金的</w:t>
      </w:r>
      <w:r>
        <w:rPr>
          <w:rFonts w:hint="default" w:ascii="Times New Roman" w:hAnsi="Times New Roman" w:eastAsia="宋体" w:cs="Times New Roman"/>
          <w:color w:val="auto"/>
          <w:kern w:val="0"/>
          <w:sz w:val="21"/>
          <w:szCs w:val="21"/>
          <w:highlight w:val="none"/>
          <w:u w:val="single"/>
          <w:lang w:val="en-US" w:eastAsia="zh-CN" w:bidi="ar"/>
        </w:rPr>
        <w:t>50%</w:t>
      </w:r>
      <w:r>
        <w:rPr>
          <w:rFonts w:hint="eastAsia" w:ascii="宋体" w:hAnsi="宋体" w:eastAsia="宋体" w:cs="宋体"/>
          <w:color w:val="auto"/>
          <w:kern w:val="0"/>
          <w:sz w:val="21"/>
          <w:szCs w:val="21"/>
          <w:highlight w:val="none"/>
          <w:u w:val="single"/>
          <w:lang w:val="en-US" w:eastAsia="zh-CN" w:bidi="ar"/>
        </w:rPr>
        <w:t>；承包人向发包人完成（施工）竣工资料移交手续后，可向发包人申请退还剩余履约保证金，发包人应在收到申请之日起</w:t>
      </w:r>
      <w:r>
        <w:rPr>
          <w:rFonts w:hint="default" w:ascii="Times New Roman" w:hAnsi="Times New Roman" w:eastAsia="宋体" w:cs="Times New Roman"/>
          <w:color w:val="auto"/>
          <w:kern w:val="0"/>
          <w:sz w:val="21"/>
          <w:szCs w:val="21"/>
          <w:highlight w:val="none"/>
          <w:u w:val="single"/>
          <w:lang w:val="en-US" w:eastAsia="zh-CN" w:bidi="ar"/>
        </w:rPr>
        <w:t>28</w:t>
      </w:r>
      <w:r>
        <w:rPr>
          <w:rFonts w:hint="eastAsia" w:ascii="宋体" w:hAnsi="宋体" w:eastAsia="宋体" w:cs="宋体"/>
          <w:color w:val="auto"/>
          <w:kern w:val="0"/>
          <w:sz w:val="21"/>
          <w:szCs w:val="21"/>
          <w:highlight w:val="none"/>
          <w:u w:val="single"/>
          <w:lang w:val="en-US" w:eastAsia="zh-CN" w:bidi="ar"/>
        </w:rPr>
        <w:t>个日历天内扣减承包人赔偿金和其他应从承包人扣回的款项后，将履约保证金的余额无息退还给承包人。</w:t>
      </w:r>
    </w:p>
    <w:p w14:paraId="00B67E19">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承包人在中标后</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个工作日内，按崇左市住房城乡建设行政主管部门规定将农民工工资保障金存入账户。工程竣工验收结算经审定后，按照规定程序，将农民工工资保障金没有使用或剩余的金额退还给承包人。</w:t>
      </w:r>
    </w:p>
    <w:p w14:paraId="7A88F88A">
      <w:pPr>
        <w:pStyle w:val="3"/>
        <w:widowControl/>
        <w:shd w:val="clear"/>
        <w:rPr>
          <w:rFonts w:hint="default" w:ascii="Arial" w:hAnsi="Arial" w:eastAsia="黑体" w:cs="Times New Roman"/>
          <w:b/>
          <w:bCs w:val="0"/>
          <w:color w:val="auto"/>
          <w:sz w:val="32"/>
          <w:szCs w:val="32"/>
          <w:highlight w:val="none"/>
        </w:rPr>
      </w:pPr>
      <w:bookmarkStart w:id="348" w:name="_Toc9850543"/>
      <w:bookmarkEnd w:id="348"/>
      <w:bookmarkStart w:id="349" w:name="_Toc407135215"/>
      <w:r>
        <w:rPr>
          <w:rFonts w:hint="default" w:ascii="Arial" w:hAnsi="Arial" w:eastAsia="黑体" w:cs="Times New Roman"/>
          <w:b/>
          <w:bCs w:val="0"/>
          <w:color w:val="auto"/>
          <w:sz w:val="32"/>
          <w:szCs w:val="32"/>
          <w:highlight w:val="none"/>
        </w:rPr>
        <w:t>4</w:t>
      </w:r>
      <w:bookmarkEnd w:id="349"/>
      <w:bookmarkStart w:id="350" w:name="_Toc297048348"/>
      <w:bookmarkEnd w:id="350"/>
      <w:bookmarkStart w:id="351" w:name="_Toc296346663"/>
      <w:bookmarkEnd w:id="351"/>
      <w:bookmarkStart w:id="352" w:name="_Toc296891202"/>
      <w:bookmarkEnd w:id="352"/>
      <w:bookmarkStart w:id="353" w:name="_Toc297120462"/>
      <w:bookmarkEnd w:id="353"/>
      <w:bookmarkStart w:id="354" w:name="_Toc296503162"/>
      <w:bookmarkEnd w:id="354"/>
      <w:bookmarkStart w:id="355" w:name="_Toc296347161"/>
      <w:bookmarkEnd w:id="355"/>
      <w:bookmarkStart w:id="356" w:name="_Toc296944501"/>
      <w:bookmarkEnd w:id="356"/>
      <w:bookmarkStart w:id="357" w:name="_Toc292559366"/>
      <w:bookmarkEnd w:id="357"/>
      <w:bookmarkStart w:id="358" w:name="_Toc267251413"/>
      <w:bookmarkEnd w:id="358"/>
      <w:bookmarkStart w:id="359" w:name="_Toc292559871"/>
      <w:bookmarkEnd w:id="359"/>
      <w:bookmarkStart w:id="360" w:name="_Toc296890990"/>
      <w:r>
        <w:rPr>
          <w:rFonts w:hint="default" w:ascii="Arial" w:hAnsi="Arial" w:eastAsia="黑体" w:cs="Times New Roman"/>
          <w:b/>
          <w:bCs w:val="0"/>
          <w:color w:val="auto"/>
          <w:sz w:val="32"/>
          <w:szCs w:val="32"/>
          <w:highlight w:val="none"/>
        </w:rPr>
        <w:t xml:space="preserve">. </w:t>
      </w:r>
      <w:bookmarkEnd w:id="360"/>
      <w:r>
        <w:rPr>
          <w:rFonts w:hint="eastAsia" w:ascii="黑体" w:hAnsi="宋体" w:eastAsia="黑体" w:cs="黑体"/>
          <w:b/>
          <w:bCs w:val="0"/>
          <w:color w:val="auto"/>
          <w:sz w:val="32"/>
          <w:szCs w:val="32"/>
          <w:highlight w:val="none"/>
        </w:rPr>
        <w:t>监理人</w:t>
      </w:r>
    </w:p>
    <w:p w14:paraId="29EC7AB1">
      <w:pPr>
        <w:pStyle w:val="4"/>
        <w:widowControl/>
        <w:shd w:val="clear"/>
        <w:rPr>
          <w:rFonts w:hint="default" w:ascii="Times New Roman" w:hAnsi="Times New Roman" w:eastAsia="宋体" w:cs="Times New Roman"/>
          <w:b/>
          <w:bCs/>
          <w:color w:val="auto"/>
          <w:kern w:val="2"/>
          <w:sz w:val="32"/>
          <w:szCs w:val="32"/>
          <w:highlight w:val="none"/>
        </w:rPr>
      </w:pPr>
      <w:bookmarkStart w:id="361" w:name="_Toc9850544"/>
      <w:bookmarkEnd w:id="361"/>
      <w:bookmarkStart w:id="362" w:name="_Toc389065280"/>
      <w:bookmarkEnd w:id="362"/>
      <w:bookmarkStart w:id="363" w:name="_Toc373227714"/>
      <w:bookmarkEnd w:id="363"/>
      <w:bookmarkStart w:id="364" w:name="_Toc407135216"/>
      <w:bookmarkEnd w:id="364"/>
      <w:bookmarkStart w:id="365" w:name="_Toc373478361"/>
      <w:r>
        <w:rPr>
          <w:rFonts w:hint="default" w:ascii="Times New Roman" w:hAnsi="Times New Roman" w:eastAsia="宋体" w:cs="Times New Roman"/>
          <w:b/>
          <w:bCs/>
          <w:color w:val="auto"/>
          <w:kern w:val="2"/>
          <w:sz w:val="32"/>
          <w:szCs w:val="32"/>
          <w:highlight w:val="none"/>
        </w:rPr>
        <w:t xml:space="preserve">4.1 </w:t>
      </w:r>
      <w:bookmarkEnd w:id="365"/>
      <w:r>
        <w:rPr>
          <w:rFonts w:hint="eastAsia" w:ascii="宋体" w:hAnsi="宋体" w:eastAsia="宋体" w:cs="宋体"/>
          <w:b/>
          <w:bCs/>
          <w:color w:val="auto"/>
          <w:kern w:val="2"/>
          <w:sz w:val="32"/>
          <w:szCs w:val="32"/>
          <w:highlight w:val="none"/>
        </w:rPr>
        <w:t>监理人的一般规定</w:t>
      </w:r>
    </w:p>
    <w:p w14:paraId="58CB1C8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关于监理人的监理内容：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按照发包人与监理人约定的内容为准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104E33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关于监理人的监理权限：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按照发包人与监理人约定的内容为准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p>
    <w:p w14:paraId="377C5E69">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关于监理人在施工现场的办公场所、生活场所的提供和费用承担的约定：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8BBC762">
      <w:pPr>
        <w:pStyle w:val="4"/>
        <w:widowControl/>
        <w:shd w:val="clear"/>
        <w:rPr>
          <w:rFonts w:hint="default" w:ascii="Times New Roman" w:hAnsi="Times New Roman" w:eastAsia="宋体" w:cs="Times New Roman"/>
          <w:b/>
          <w:bCs/>
          <w:color w:val="auto"/>
          <w:kern w:val="2"/>
          <w:sz w:val="32"/>
          <w:szCs w:val="32"/>
          <w:highlight w:val="none"/>
        </w:rPr>
      </w:pPr>
      <w:bookmarkStart w:id="366" w:name="_Toc373478362"/>
      <w:bookmarkEnd w:id="366"/>
      <w:bookmarkStart w:id="367" w:name="_Toc389065281"/>
      <w:bookmarkEnd w:id="367"/>
      <w:bookmarkStart w:id="368" w:name="_Toc9850545"/>
      <w:bookmarkEnd w:id="368"/>
      <w:bookmarkStart w:id="369" w:name="_Toc407135217"/>
      <w:bookmarkEnd w:id="369"/>
      <w:bookmarkStart w:id="370" w:name="_Toc373227715"/>
      <w:r>
        <w:rPr>
          <w:rFonts w:hint="default" w:ascii="Times New Roman" w:hAnsi="Times New Roman" w:eastAsia="宋体" w:cs="Times New Roman"/>
          <w:b/>
          <w:bCs/>
          <w:color w:val="auto"/>
          <w:kern w:val="2"/>
          <w:sz w:val="32"/>
          <w:szCs w:val="32"/>
          <w:highlight w:val="none"/>
        </w:rPr>
        <w:t xml:space="preserve">4.2 </w:t>
      </w:r>
      <w:bookmarkEnd w:id="370"/>
      <w:r>
        <w:rPr>
          <w:rFonts w:hint="eastAsia" w:ascii="宋体" w:hAnsi="宋体" w:eastAsia="宋体" w:cs="宋体"/>
          <w:b/>
          <w:bCs/>
          <w:color w:val="auto"/>
          <w:kern w:val="2"/>
          <w:sz w:val="32"/>
          <w:szCs w:val="32"/>
          <w:highlight w:val="none"/>
        </w:rPr>
        <w:t>监理人员</w:t>
      </w:r>
    </w:p>
    <w:p w14:paraId="66E52F6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总监理工程师：</w:t>
      </w:r>
    </w:p>
    <w:p w14:paraId="6D768530">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姓</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名：</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3F59883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职</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务：</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ABAAED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监理工程师执业资格证书号：</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7AE630A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联系电话：</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012947A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电子信箱：</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BF3BCFA">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通信地址：</w:t>
      </w:r>
      <w:r>
        <w:rPr>
          <w:rFonts w:hint="eastAsia" w:ascii="宋体" w:hAnsi="宋体" w:eastAsia="宋体" w:cs="宋体"/>
          <w:color w:val="auto"/>
          <w:kern w:val="0"/>
          <w:sz w:val="21"/>
          <w:szCs w:val="21"/>
          <w:highlight w:val="none"/>
          <w:u w:val="single"/>
          <w:lang w:val="en-US" w:eastAsia="zh-CN" w:bidi="ar"/>
        </w:rPr>
        <w:t></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58D4CF4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关于监理人的其他约定：</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lang w:val="en-US" w:eastAsia="zh-CN" w:bidi="ar"/>
        </w:rPr>
        <w:t>。</w:t>
      </w:r>
    </w:p>
    <w:p w14:paraId="47DFCD9C">
      <w:pPr>
        <w:pStyle w:val="4"/>
        <w:widowControl/>
        <w:shd w:val="clear"/>
        <w:rPr>
          <w:rFonts w:hint="default" w:ascii="Times New Roman" w:hAnsi="Times New Roman" w:eastAsia="宋体" w:cs="Times New Roman"/>
          <w:b/>
          <w:bCs/>
          <w:color w:val="auto"/>
          <w:kern w:val="2"/>
          <w:sz w:val="32"/>
          <w:szCs w:val="32"/>
          <w:highlight w:val="none"/>
        </w:rPr>
      </w:pPr>
      <w:bookmarkStart w:id="371" w:name="_Toc373478363"/>
      <w:bookmarkEnd w:id="371"/>
      <w:bookmarkStart w:id="372" w:name="_Toc9850546"/>
      <w:bookmarkEnd w:id="372"/>
      <w:bookmarkStart w:id="373" w:name="_Toc389065282"/>
      <w:bookmarkEnd w:id="373"/>
      <w:bookmarkStart w:id="374" w:name="_Toc407135218"/>
      <w:bookmarkEnd w:id="374"/>
      <w:bookmarkStart w:id="375" w:name="_Toc373227716"/>
      <w:r>
        <w:rPr>
          <w:rFonts w:hint="default" w:ascii="Times New Roman" w:hAnsi="Times New Roman" w:eastAsia="宋体" w:cs="Times New Roman"/>
          <w:b/>
          <w:bCs/>
          <w:color w:val="auto"/>
          <w:kern w:val="2"/>
          <w:sz w:val="32"/>
          <w:szCs w:val="32"/>
          <w:highlight w:val="none"/>
        </w:rPr>
        <w:t xml:space="preserve">4.4 </w:t>
      </w:r>
      <w:bookmarkEnd w:id="375"/>
      <w:r>
        <w:rPr>
          <w:rFonts w:hint="eastAsia" w:ascii="宋体" w:hAnsi="宋体" w:eastAsia="宋体" w:cs="宋体"/>
          <w:b/>
          <w:bCs/>
          <w:color w:val="auto"/>
          <w:kern w:val="2"/>
          <w:sz w:val="32"/>
          <w:szCs w:val="32"/>
          <w:highlight w:val="none"/>
        </w:rPr>
        <w:t>商定或确定</w:t>
      </w:r>
    </w:p>
    <w:p w14:paraId="270CF43B">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376" w:name="_Toc267251418"/>
      <w:bookmarkEnd w:id="376"/>
      <w:r>
        <w:rPr>
          <w:rFonts w:hint="eastAsia" w:ascii="宋体" w:hAnsi="宋体" w:eastAsia="宋体" w:cs="宋体"/>
          <w:color w:val="auto"/>
          <w:kern w:val="0"/>
          <w:sz w:val="21"/>
          <w:szCs w:val="21"/>
          <w:highlight w:val="none"/>
          <w:lang w:val="en-US" w:eastAsia="zh-CN" w:bidi="ar"/>
        </w:rPr>
        <w:t>在发包人和承包人不能通过协商达成一致意见时，发包人授权监理人对以下事项进行确定：</w:t>
      </w:r>
    </w:p>
    <w:p w14:paraId="6191B46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E9001E0">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17FCA42">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4084CF9">
      <w:pPr>
        <w:pStyle w:val="3"/>
        <w:widowControl/>
        <w:shd w:val="clear"/>
        <w:rPr>
          <w:rFonts w:hint="default" w:ascii="Arial" w:hAnsi="Arial" w:eastAsia="黑体" w:cs="Times New Roman"/>
          <w:b/>
          <w:bCs w:val="0"/>
          <w:color w:val="auto"/>
          <w:sz w:val="32"/>
          <w:szCs w:val="32"/>
          <w:highlight w:val="none"/>
        </w:rPr>
      </w:pPr>
      <w:bookmarkStart w:id="377" w:name="_Toc407135219"/>
      <w:bookmarkEnd w:id="377"/>
      <w:bookmarkStart w:id="378" w:name="_Toc373227717"/>
      <w:bookmarkEnd w:id="378"/>
      <w:bookmarkStart w:id="379" w:name="_Toc9850547"/>
      <w:bookmarkEnd w:id="379"/>
      <w:bookmarkStart w:id="380" w:name="_Toc389065283"/>
      <w:bookmarkEnd w:id="380"/>
      <w:bookmarkStart w:id="381" w:name="_Toc351203637"/>
      <w:bookmarkEnd w:id="381"/>
      <w:bookmarkStart w:id="382" w:name="_Toc373478364"/>
      <w:r>
        <w:rPr>
          <w:rFonts w:hint="default" w:ascii="Arial" w:hAnsi="Arial" w:eastAsia="黑体" w:cs="Times New Roman"/>
          <w:b/>
          <w:bCs w:val="0"/>
          <w:color w:val="auto"/>
          <w:sz w:val="32"/>
          <w:szCs w:val="32"/>
          <w:highlight w:val="none"/>
        </w:rPr>
        <w:t>5</w:t>
      </w:r>
      <w:bookmarkEnd w:id="382"/>
      <w:bookmarkStart w:id="383" w:name="_Toc296346664"/>
      <w:bookmarkEnd w:id="383"/>
      <w:bookmarkStart w:id="384" w:name="_Toc296944502"/>
      <w:bookmarkEnd w:id="384"/>
      <w:bookmarkStart w:id="385" w:name="_Toc296890991"/>
      <w:bookmarkEnd w:id="385"/>
      <w:bookmarkStart w:id="386" w:name="_Toc292559367"/>
      <w:bookmarkEnd w:id="386"/>
      <w:bookmarkStart w:id="387" w:name="_Toc296503163"/>
      <w:bookmarkEnd w:id="387"/>
      <w:bookmarkStart w:id="388" w:name="_Toc296347162"/>
      <w:bookmarkEnd w:id="388"/>
      <w:bookmarkStart w:id="389" w:name="_Toc297048349"/>
      <w:bookmarkEnd w:id="389"/>
      <w:bookmarkStart w:id="390" w:name="_Toc297120463"/>
      <w:bookmarkEnd w:id="390"/>
      <w:bookmarkStart w:id="391" w:name="_Toc292559872"/>
      <w:bookmarkEnd w:id="391"/>
      <w:bookmarkStart w:id="392" w:name="_Toc296891203"/>
      <w:r>
        <w:rPr>
          <w:rFonts w:hint="default" w:ascii="Arial" w:hAnsi="Arial" w:eastAsia="黑体" w:cs="Times New Roman"/>
          <w:b/>
          <w:bCs w:val="0"/>
          <w:color w:val="auto"/>
          <w:sz w:val="32"/>
          <w:szCs w:val="32"/>
          <w:highlight w:val="none"/>
        </w:rPr>
        <w:t xml:space="preserve">. </w:t>
      </w:r>
      <w:bookmarkEnd w:id="392"/>
      <w:r>
        <w:rPr>
          <w:rFonts w:hint="eastAsia" w:ascii="黑体" w:hAnsi="宋体" w:eastAsia="黑体" w:cs="黑体"/>
          <w:b/>
          <w:bCs w:val="0"/>
          <w:color w:val="auto"/>
          <w:sz w:val="32"/>
          <w:szCs w:val="32"/>
          <w:highlight w:val="none"/>
        </w:rPr>
        <w:t>工程质量</w:t>
      </w:r>
    </w:p>
    <w:p w14:paraId="1BBE472B">
      <w:pPr>
        <w:pStyle w:val="4"/>
        <w:widowControl/>
        <w:shd w:val="clear"/>
        <w:rPr>
          <w:rFonts w:hint="default" w:ascii="Times New Roman" w:hAnsi="Times New Roman" w:eastAsia="宋体" w:cs="Times New Roman"/>
          <w:b/>
          <w:bCs/>
          <w:color w:val="auto"/>
          <w:kern w:val="2"/>
          <w:sz w:val="32"/>
          <w:szCs w:val="32"/>
          <w:highlight w:val="none"/>
        </w:rPr>
      </w:pPr>
      <w:bookmarkStart w:id="393" w:name="_Toc373227718"/>
      <w:bookmarkEnd w:id="393"/>
      <w:bookmarkStart w:id="394" w:name="_Toc9850548"/>
      <w:bookmarkEnd w:id="394"/>
      <w:bookmarkStart w:id="395" w:name="_Toc389065284"/>
      <w:bookmarkEnd w:id="395"/>
      <w:bookmarkStart w:id="396" w:name="_Toc373478365"/>
      <w:bookmarkEnd w:id="396"/>
      <w:bookmarkStart w:id="397" w:name="_Toc407135220"/>
      <w:r>
        <w:rPr>
          <w:rFonts w:hint="default" w:ascii="Times New Roman" w:hAnsi="Times New Roman" w:eastAsia="宋体" w:cs="Times New Roman"/>
          <w:b/>
          <w:bCs/>
          <w:color w:val="auto"/>
          <w:kern w:val="2"/>
          <w:sz w:val="32"/>
          <w:szCs w:val="32"/>
          <w:highlight w:val="none"/>
        </w:rPr>
        <w:t xml:space="preserve">5.1 </w:t>
      </w:r>
      <w:bookmarkEnd w:id="397"/>
      <w:r>
        <w:rPr>
          <w:rFonts w:hint="eastAsia" w:ascii="宋体" w:hAnsi="宋体" w:eastAsia="宋体" w:cs="宋体"/>
          <w:b/>
          <w:bCs/>
          <w:color w:val="auto"/>
          <w:kern w:val="2"/>
          <w:sz w:val="32"/>
          <w:szCs w:val="32"/>
          <w:highlight w:val="none"/>
        </w:rPr>
        <w:t>质量要求</w:t>
      </w:r>
    </w:p>
    <w:p w14:paraId="08DB60A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5</w:t>
      </w:r>
      <w:bookmarkStart w:id="398" w:name="_Toc303539106"/>
      <w:bookmarkEnd w:id="398"/>
      <w:bookmarkStart w:id="399" w:name="_Toc318581164"/>
      <w:bookmarkEnd w:id="399"/>
      <w:bookmarkStart w:id="400" w:name="_Toc300934949"/>
      <w:bookmarkEnd w:id="400"/>
      <w:bookmarkStart w:id="401" w:name="_Toc304295527"/>
      <w:bookmarkEnd w:id="401"/>
      <w:bookmarkStart w:id="402" w:name="_Toc312677997"/>
      <w:bookmarkEnd w:id="402"/>
      <w:bookmarkStart w:id="403" w:name="_Toc297216155"/>
      <w:bookmarkEnd w:id="403"/>
      <w:bookmarkStart w:id="404" w:name="_Toc297123496"/>
      <w:r>
        <w:rPr>
          <w:rFonts w:hint="default" w:ascii="Times New Roman" w:hAnsi="Times New Roman" w:eastAsia="宋体" w:cs="Times New Roman"/>
          <w:color w:val="auto"/>
          <w:kern w:val="0"/>
          <w:sz w:val="21"/>
          <w:szCs w:val="21"/>
          <w:highlight w:val="none"/>
          <w:lang w:val="en-US" w:eastAsia="zh-CN" w:bidi="ar"/>
        </w:rPr>
        <w:t xml:space="preserve">.1.1 </w:t>
      </w:r>
      <w:bookmarkEnd w:id="404"/>
      <w:r>
        <w:rPr>
          <w:rFonts w:hint="eastAsia" w:ascii="宋体" w:hAnsi="宋体" w:eastAsia="宋体" w:cs="宋体"/>
          <w:color w:val="auto"/>
          <w:kern w:val="0"/>
          <w:sz w:val="21"/>
          <w:szCs w:val="21"/>
          <w:highlight w:val="none"/>
          <w:lang w:val="en-US" w:eastAsia="zh-CN" w:bidi="ar"/>
        </w:rPr>
        <w:t>特殊质量标准和要求：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另行约定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02CB02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关于工程奖项的约定：</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如果工程获得</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（奖项名称）</w:t>
      </w:r>
      <w:r>
        <w:rPr>
          <w:rFonts w:hint="eastAsia" w:ascii="宋体" w:hAnsi="宋体" w:eastAsia="宋体" w:cs="宋体"/>
          <w:color w:val="auto"/>
          <w:kern w:val="0"/>
          <w:sz w:val="21"/>
          <w:szCs w:val="21"/>
          <w:highlight w:val="none"/>
          <w:lang w:val="en-US" w:eastAsia="zh-CN" w:bidi="ar"/>
        </w:rPr>
        <w:t>，给予承包人合同价</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的奖励。</w:t>
      </w:r>
    </w:p>
    <w:p w14:paraId="7E482DF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5.3 </w:t>
      </w:r>
      <w:r>
        <w:rPr>
          <w:rFonts w:hint="eastAsia" w:ascii="宋体" w:hAnsi="宋体" w:eastAsia="宋体" w:cs="宋体"/>
          <w:color w:val="auto"/>
          <w:kern w:val="0"/>
          <w:sz w:val="21"/>
          <w:szCs w:val="21"/>
          <w:highlight w:val="none"/>
          <w:lang w:val="en-US" w:eastAsia="zh-CN" w:bidi="ar"/>
        </w:rPr>
        <w:t>隐蔽工程检查</w:t>
      </w:r>
    </w:p>
    <w:p w14:paraId="71D3969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5.3.2</w:t>
      </w:r>
      <w:r>
        <w:rPr>
          <w:rFonts w:hint="eastAsia" w:ascii="宋体" w:hAnsi="宋体" w:eastAsia="宋体" w:cs="宋体"/>
          <w:color w:val="auto"/>
          <w:kern w:val="0"/>
          <w:sz w:val="21"/>
          <w:szCs w:val="21"/>
          <w:highlight w:val="none"/>
          <w:lang w:val="en-US" w:eastAsia="zh-CN" w:bidi="ar"/>
        </w:rPr>
        <w:t>承包人提前通知监理人隐蔽工程检查的期限的约定：工程隐蔽或中间验收前</w:t>
      </w:r>
      <w:r>
        <w:rPr>
          <w:rFonts w:hint="default" w:ascii="Times New Roman" w:hAnsi="Times New Roman" w:eastAsia="宋体" w:cs="Times New Roman"/>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小时以书面形式通知发包人和监理工程师验收的内容、时间、地点，承包人准备验收记录单（最好是印制的表格）由双方签证。验收合格，承包人可进行隐蔽和继续施工；验收不合格，双方商定时限内修改后按上述顺序重新验收。</w:t>
      </w:r>
    </w:p>
    <w:p w14:paraId="5545E16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监理人不能按时进行检查时，应提前</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小时提交书面延期要求。</w:t>
      </w:r>
    </w:p>
    <w:p w14:paraId="5D48420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关于延期最长不得超过：</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w:t>
      </w:r>
    </w:p>
    <w:p w14:paraId="423CAC49">
      <w:pPr>
        <w:pStyle w:val="3"/>
        <w:widowControl/>
        <w:shd w:val="clear"/>
        <w:rPr>
          <w:rFonts w:hint="default" w:ascii="Arial" w:hAnsi="Arial" w:eastAsia="黑体" w:cs="Times New Roman"/>
          <w:b/>
          <w:bCs w:val="0"/>
          <w:color w:val="auto"/>
          <w:sz w:val="32"/>
          <w:szCs w:val="32"/>
          <w:highlight w:val="none"/>
        </w:rPr>
      </w:pPr>
      <w:bookmarkStart w:id="405" w:name="_Toc373478366"/>
      <w:bookmarkEnd w:id="405"/>
      <w:bookmarkStart w:id="406" w:name="_Toc351203638"/>
      <w:bookmarkEnd w:id="406"/>
      <w:bookmarkStart w:id="407" w:name="_Toc407135221"/>
      <w:bookmarkEnd w:id="407"/>
      <w:bookmarkStart w:id="408" w:name="_Toc373227719"/>
      <w:bookmarkEnd w:id="408"/>
      <w:bookmarkStart w:id="409" w:name="_Toc389065285"/>
      <w:bookmarkEnd w:id="409"/>
      <w:bookmarkStart w:id="410" w:name="_Toc9850549"/>
      <w:r>
        <w:rPr>
          <w:rFonts w:hint="default" w:ascii="Arial" w:hAnsi="Arial" w:eastAsia="黑体" w:cs="Times New Roman"/>
          <w:b/>
          <w:bCs w:val="0"/>
          <w:color w:val="auto"/>
          <w:sz w:val="32"/>
          <w:szCs w:val="32"/>
          <w:highlight w:val="none"/>
        </w:rPr>
        <w:t xml:space="preserve">6. </w:t>
      </w:r>
      <w:bookmarkEnd w:id="410"/>
      <w:r>
        <w:rPr>
          <w:rFonts w:hint="eastAsia" w:ascii="黑体" w:hAnsi="宋体" w:eastAsia="黑体" w:cs="黑体"/>
          <w:b/>
          <w:bCs w:val="0"/>
          <w:color w:val="auto"/>
          <w:sz w:val="32"/>
          <w:szCs w:val="32"/>
          <w:highlight w:val="none"/>
        </w:rPr>
        <w:t>安全文明施工与环境保护</w:t>
      </w:r>
    </w:p>
    <w:p w14:paraId="2CDA3850">
      <w:pPr>
        <w:pStyle w:val="4"/>
        <w:widowControl/>
        <w:shd w:val="clear"/>
        <w:rPr>
          <w:rFonts w:hint="default" w:ascii="Times New Roman" w:hAnsi="Times New Roman" w:eastAsia="宋体" w:cs="Times New Roman"/>
          <w:b/>
          <w:bCs/>
          <w:color w:val="auto"/>
          <w:kern w:val="2"/>
          <w:sz w:val="32"/>
          <w:szCs w:val="32"/>
          <w:highlight w:val="none"/>
        </w:rPr>
      </w:pPr>
      <w:bookmarkStart w:id="411" w:name="_Toc373227720"/>
      <w:bookmarkEnd w:id="411"/>
      <w:bookmarkStart w:id="412" w:name="_Toc407135222"/>
      <w:bookmarkEnd w:id="412"/>
      <w:bookmarkStart w:id="413" w:name="_Toc373478367"/>
      <w:bookmarkEnd w:id="413"/>
      <w:bookmarkStart w:id="414" w:name="_Toc9850550"/>
      <w:bookmarkEnd w:id="414"/>
      <w:bookmarkStart w:id="415" w:name="_Toc389065286"/>
      <w:r>
        <w:rPr>
          <w:rFonts w:hint="default" w:ascii="Times New Roman" w:hAnsi="Times New Roman" w:eastAsia="宋体" w:cs="Times New Roman"/>
          <w:b/>
          <w:bCs/>
          <w:color w:val="auto"/>
          <w:kern w:val="2"/>
          <w:sz w:val="32"/>
          <w:szCs w:val="32"/>
          <w:highlight w:val="none"/>
        </w:rPr>
        <w:t xml:space="preserve">6.1 </w:t>
      </w:r>
      <w:bookmarkEnd w:id="415"/>
      <w:r>
        <w:rPr>
          <w:rFonts w:hint="eastAsia" w:ascii="宋体" w:hAnsi="宋体" w:eastAsia="宋体" w:cs="宋体"/>
          <w:b/>
          <w:bCs/>
          <w:color w:val="auto"/>
          <w:kern w:val="2"/>
          <w:sz w:val="32"/>
          <w:szCs w:val="32"/>
          <w:highlight w:val="none"/>
        </w:rPr>
        <w:t>安全文明施工</w:t>
      </w:r>
    </w:p>
    <w:p w14:paraId="2DA9F7FA">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1"/>
          <w:szCs w:val="21"/>
          <w:highlight w:val="none"/>
        </w:rPr>
      </w:pPr>
      <w:bookmarkStart w:id="416" w:name="_Toc373227721"/>
      <w:bookmarkEnd w:id="416"/>
      <w:bookmarkStart w:id="417" w:name="_Toc9850551"/>
      <w:bookmarkEnd w:id="417"/>
      <w:bookmarkStart w:id="418" w:name="_Toc373478368"/>
      <w:bookmarkEnd w:id="418"/>
      <w:bookmarkStart w:id="419" w:name="_Toc407135223"/>
      <w:bookmarkEnd w:id="419"/>
      <w:bookmarkStart w:id="420" w:name="_Toc389065287"/>
      <w:r>
        <w:rPr>
          <w:rFonts w:hint="default" w:ascii="Times New Roman" w:hAnsi="Times New Roman" w:eastAsia="宋体" w:cs="Times New Roman"/>
          <w:color w:val="auto"/>
          <w:kern w:val="0"/>
          <w:sz w:val="21"/>
          <w:szCs w:val="21"/>
          <w:highlight w:val="none"/>
          <w:lang w:val="en-US" w:eastAsia="zh-CN" w:bidi="ar"/>
        </w:rPr>
        <w:t xml:space="preserve">6.1.1 </w:t>
      </w:r>
      <w:bookmarkEnd w:id="420"/>
      <w:r>
        <w:rPr>
          <w:rFonts w:hint="eastAsia" w:ascii="宋体" w:hAnsi="宋体" w:eastAsia="宋体" w:cs="宋体"/>
          <w:color w:val="auto"/>
          <w:kern w:val="0"/>
          <w:sz w:val="21"/>
          <w:szCs w:val="21"/>
          <w:highlight w:val="none"/>
          <w:lang w:val="en-US" w:eastAsia="zh-CN" w:bidi="ar"/>
        </w:rPr>
        <w:t>项目安全生产的达标目标及相应事项的约定：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按通用条款及崇左市有关规定执行</w:t>
      </w:r>
      <w:r>
        <w:rPr>
          <w:rFonts w:hint="eastAsia" w:ascii="宋体" w:hAnsi="宋体" w:eastAsia="宋体" w:cs="宋体"/>
          <w:color w:val="auto"/>
          <w:kern w:val="0"/>
          <w:sz w:val="21"/>
          <w:szCs w:val="21"/>
          <w:highlight w:val="none"/>
          <w:lang w:val="en-US" w:eastAsia="zh-CN" w:bidi="ar"/>
        </w:rPr>
        <w:t>。</w:t>
      </w:r>
    </w:p>
    <w:p w14:paraId="2CFB273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6.1.4 关于治安保卫的特别约定：</w:t>
      </w:r>
      <w:r>
        <w:rPr>
          <w:rFonts w:hint="eastAsia" w:ascii="宋体" w:hAnsi="宋体" w:eastAsia="宋体" w:cs="宋体"/>
          <w:color w:val="auto"/>
          <w:kern w:val="0"/>
          <w:sz w:val="21"/>
          <w:szCs w:val="21"/>
          <w:highlight w:val="none"/>
          <w:u w:val="single"/>
          <w:lang w:val="en-US" w:eastAsia="zh-CN" w:bidi="ar"/>
        </w:rPr>
        <w:t xml:space="preserve"> 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 xml:space="preserve">工人购买工伤保险或足额的雇主责任保险，如承包人违反该约定发生人员伤亡、财产损失等事故导致赔偿的，赔偿费用由承包人承担。承包人生活设施及施工场应自费配备消防设备，防止火灾发生 </w:t>
      </w:r>
      <w:r>
        <w:rPr>
          <w:rFonts w:hint="eastAsia" w:ascii="宋体" w:hAnsi="宋体" w:eastAsia="宋体" w:cs="宋体"/>
          <w:color w:val="auto"/>
          <w:kern w:val="0"/>
          <w:sz w:val="21"/>
          <w:szCs w:val="21"/>
          <w:highlight w:val="none"/>
          <w:lang w:val="en-US" w:eastAsia="zh-CN" w:bidi="ar"/>
        </w:rPr>
        <w:t>。</w:t>
      </w:r>
    </w:p>
    <w:p w14:paraId="05B4432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关于安全文明施工奖项的约定：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按通用条款及崇左市有关规定执行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BB57E9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 xml:space="preserve">6.1.4 </w:t>
      </w:r>
      <w:r>
        <w:rPr>
          <w:rFonts w:hint="eastAsia" w:ascii="宋体" w:hAnsi="宋体" w:eastAsia="宋体" w:cs="宋体"/>
          <w:color w:val="auto"/>
          <w:kern w:val="0"/>
          <w:sz w:val="21"/>
          <w:szCs w:val="21"/>
          <w:highlight w:val="none"/>
          <w:lang w:val="en-US" w:eastAsia="zh-CN" w:bidi="ar"/>
        </w:rPr>
        <w:t>关于治安保卫的特别约定：</w:t>
      </w:r>
      <w:r>
        <w:rPr>
          <w:rFonts w:hint="eastAsia" w:ascii="宋体" w:hAnsi="宋体" w:eastAsia="宋体" w:cs="宋体"/>
          <w:color w:val="auto"/>
          <w:kern w:val="0"/>
          <w:sz w:val="21"/>
          <w:szCs w:val="21"/>
          <w:highlight w:val="none"/>
          <w:u w:val="single"/>
          <w:lang w:val="en-US" w:eastAsia="zh-CN" w:bidi="ar"/>
        </w:rPr>
        <w:t>承包人应承担施工安全保卫工作，夜间及非夜间施工照明的责任，承包人应采取一切合理的预防措施，防止人员伤亡、财产损失事故，且承包人应为本项目施工的工作人员</w:t>
      </w:r>
      <w:r>
        <w:rPr>
          <w:rFonts w:hint="default" w:ascii="Times New Roman" w:hAnsi="Times New Roman" w:eastAsia="宋体" w:cs="Times New Roman"/>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工人购买工伤保险或足额的雇主责任保险，如承包人违反该约定发生人员伤亡、财产损失等事故导致赔偿的，赔偿费用由承包人承担。承包人生活设施及施工场应自费配备消防设备，防止火灾发生。</w:t>
      </w:r>
    </w:p>
    <w:p w14:paraId="7F09F1D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关于编制施工场地治安管理计划的约定：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由承包人按照固定编制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29E9DA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6.1.5 </w:t>
      </w:r>
      <w:r>
        <w:rPr>
          <w:rFonts w:hint="eastAsia" w:ascii="宋体" w:hAnsi="宋体" w:eastAsia="宋体" w:cs="宋体"/>
          <w:color w:val="auto"/>
          <w:kern w:val="0"/>
          <w:sz w:val="21"/>
          <w:szCs w:val="21"/>
          <w:highlight w:val="none"/>
          <w:lang w:val="en-US" w:eastAsia="zh-CN" w:bidi="ar"/>
        </w:rPr>
        <w:t>文明施工</w:t>
      </w:r>
    </w:p>
    <w:p w14:paraId="5C3FF2A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合同当事人对文明施工的要求：</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61B428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6.1.6</w:t>
      </w:r>
      <w:r>
        <w:rPr>
          <w:rFonts w:hint="eastAsia" w:ascii="宋体" w:hAnsi="宋体" w:eastAsia="宋体" w:cs="宋体"/>
          <w:color w:val="auto"/>
          <w:kern w:val="0"/>
          <w:sz w:val="21"/>
          <w:szCs w:val="21"/>
          <w:highlight w:val="none"/>
          <w:lang w:val="en-US" w:eastAsia="zh-CN" w:bidi="ar"/>
        </w:rPr>
        <w:t>关于安全生产费总额、支付比例、支付期限、转入和结余收回的约定：</w:t>
      </w:r>
    </w:p>
    <w:p w14:paraId="38CB741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）本合同价款已包含安全文明施工费</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元。</w:t>
      </w:r>
    </w:p>
    <w:p w14:paraId="34BF2BC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）使用要求：专款专用。具体按</w:t>
      </w:r>
      <w:r>
        <w:rPr>
          <w:rFonts w:hint="eastAsia" w:ascii="宋体" w:hAnsi="宋体" w:eastAsia="宋体" w:cs="宋体"/>
          <w:color w:val="auto"/>
          <w:kern w:val="0"/>
          <w:sz w:val="21"/>
          <w:szCs w:val="21"/>
          <w:highlight w:val="none"/>
          <w:u w:val="single"/>
          <w:lang w:val="en-US" w:eastAsia="zh-CN" w:bidi="ar"/>
        </w:rPr>
        <w:t>《广西壮族自治区建设工程安全文明施工费使用管理细则》（桂建质〔</w:t>
      </w:r>
      <w:r>
        <w:rPr>
          <w:rFonts w:hint="default" w:ascii="Times New Roman" w:hAnsi="宋体" w:eastAsia="宋体" w:cs="Times New Roman"/>
          <w:color w:val="auto"/>
          <w:kern w:val="0"/>
          <w:sz w:val="21"/>
          <w:szCs w:val="21"/>
          <w:highlight w:val="none"/>
          <w:u w:val="single"/>
          <w:lang w:val="en-US" w:eastAsia="zh-CN" w:bidi="ar"/>
        </w:rPr>
        <w:t>2015</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16</w:t>
      </w:r>
      <w:r>
        <w:rPr>
          <w:rFonts w:hint="eastAsia" w:ascii="宋体" w:hAnsi="宋体" w:eastAsia="宋体" w:cs="宋体"/>
          <w:color w:val="auto"/>
          <w:kern w:val="0"/>
          <w:sz w:val="21"/>
          <w:szCs w:val="21"/>
          <w:highlight w:val="none"/>
          <w:u w:val="single"/>
          <w:lang w:val="en-US" w:eastAsia="zh-CN" w:bidi="ar"/>
        </w:rPr>
        <w:t>号）</w:t>
      </w:r>
      <w:r>
        <w:rPr>
          <w:rFonts w:hint="eastAsia" w:ascii="宋体" w:hAnsi="宋体" w:eastAsia="宋体" w:cs="宋体"/>
          <w:color w:val="auto"/>
          <w:kern w:val="0"/>
          <w:sz w:val="21"/>
          <w:szCs w:val="21"/>
          <w:highlight w:val="none"/>
          <w:lang w:val="en-US" w:eastAsia="zh-CN" w:bidi="ar"/>
        </w:rPr>
        <w:t>和</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崇左</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市相关规定执行。</w:t>
      </w:r>
    </w:p>
    <w:p w14:paraId="5019A4D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）支付约定：在本合同签订后</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个工作日内，预付安全文明施工费总额的</w:t>
      </w:r>
      <w:r>
        <w:rPr>
          <w:rFonts w:hint="eastAsia" w:ascii="Times New Roman" w:hAnsi="Times New Roman"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30</w:t>
      </w:r>
      <w:r>
        <w:rPr>
          <w:rFonts w:hint="eastAsia" w:ascii="Times New Roman" w:hAnsi="Times New Roman" w:eastAsia="宋体" w:cs="宋体"/>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 xml:space="preserve">，其余部分与进度款同期支付，安全文明施工费预付款在工程进度款累计金额超过合同价的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时开始起扣，每月从支付给承包商的工程款内按安全文明预付款占合同总价的同一百分比扣回。</w:t>
      </w:r>
    </w:p>
    <w:p w14:paraId="4A577146">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）建设单位按规定将安全生产费用转入施工单位设立的安全生产费用专户。</w:t>
      </w:r>
    </w:p>
    <w:p w14:paraId="7A72B2C8">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）工程施工完成后安全生产费用尚有结余的，结余部分由建设单位收回。</w:t>
      </w:r>
    </w:p>
    <w:p w14:paraId="1ACA4EB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）施工单位将安全生产费用使用情况定期报告建设单位和监理单位，并提供相应的材料接受建设行政主管部门对此事项监管。</w:t>
      </w:r>
    </w:p>
    <w:p w14:paraId="6D8AFA1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）安全生产费用专户：××××公司安全生产费用专户。账号：                 。</w:t>
      </w:r>
    </w:p>
    <w:p w14:paraId="54295928">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6.3 </w:t>
      </w:r>
      <w:r>
        <w:rPr>
          <w:rFonts w:hint="eastAsia" w:ascii="宋体" w:hAnsi="宋体" w:eastAsia="宋体" w:cs="宋体"/>
          <w:b/>
          <w:bCs/>
          <w:color w:val="auto"/>
          <w:kern w:val="2"/>
          <w:sz w:val="32"/>
          <w:szCs w:val="32"/>
          <w:highlight w:val="none"/>
        </w:rPr>
        <w:t>环境保护</w:t>
      </w:r>
    </w:p>
    <w:p w14:paraId="5597A38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因施工需要，经发包人批准，由承包人办理有关施工场地交通、环卫和施工噪音管理等手续，费用由承包人负责。</w:t>
      </w:r>
    </w:p>
    <w:p w14:paraId="43B6686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经过城市道路的施工车辆，必须按交警、城管、运输等部门相关规定执行。由于施工车辆造成的道路、环境等污染，其责任和费用均由承包人承担。</w:t>
      </w:r>
    </w:p>
    <w:p w14:paraId="0BA3744E">
      <w:pPr>
        <w:pStyle w:val="3"/>
        <w:widowControl/>
        <w:shd w:val="clear"/>
        <w:rPr>
          <w:rFonts w:hint="default" w:ascii="Arial" w:hAnsi="Arial" w:eastAsia="黑体" w:cs="Times New Roman"/>
          <w:b/>
          <w:bCs w:val="0"/>
          <w:color w:val="auto"/>
          <w:sz w:val="32"/>
          <w:szCs w:val="32"/>
          <w:highlight w:val="none"/>
        </w:rPr>
      </w:pPr>
      <w:bookmarkStart w:id="421" w:name="_Toc9850552"/>
      <w:bookmarkEnd w:id="421"/>
      <w:bookmarkStart w:id="422" w:name="_Toc351203639"/>
      <w:bookmarkEnd w:id="422"/>
      <w:bookmarkStart w:id="423" w:name="_Toc407135224"/>
      <w:bookmarkEnd w:id="423"/>
      <w:bookmarkStart w:id="424" w:name="_Toc373478369"/>
      <w:bookmarkEnd w:id="424"/>
      <w:bookmarkStart w:id="425" w:name="_Toc389065288"/>
      <w:bookmarkEnd w:id="425"/>
      <w:bookmarkStart w:id="426" w:name="_Toc373227722"/>
      <w:bookmarkEnd w:id="426"/>
      <w:r>
        <w:rPr>
          <w:rFonts w:hint="default" w:ascii="Arial" w:hAnsi="Arial" w:eastAsia="黑体" w:cs="Times New Roman"/>
          <w:b/>
          <w:bCs w:val="0"/>
          <w:color w:val="auto"/>
          <w:sz w:val="32"/>
          <w:szCs w:val="32"/>
          <w:highlight w:val="none"/>
        </w:rPr>
        <w:t xml:space="preserve">7. </w:t>
      </w:r>
      <w:r>
        <w:rPr>
          <w:rFonts w:hint="eastAsia" w:ascii="黑体" w:hAnsi="宋体" w:eastAsia="黑体" w:cs="黑体"/>
          <w:b/>
          <w:bCs w:val="0"/>
          <w:color w:val="auto"/>
          <w:sz w:val="32"/>
          <w:szCs w:val="32"/>
          <w:highlight w:val="none"/>
        </w:rPr>
        <w:t>工期和进度</w:t>
      </w:r>
    </w:p>
    <w:p w14:paraId="6CDCDD39">
      <w:pPr>
        <w:pStyle w:val="4"/>
        <w:widowControl/>
        <w:shd w:val="clear"/>
        <w:rPr>
          <w:rFonts w:hint="default" w:ascii="Times New Roman" w:hAnsi="Times New Roman" w:eastAsia="宋体" w:cs="Times New Roman"/>
          <w:b/>
          <w:bCs/>
          <w:color w:val="auto"/>
          <w:kern w:val="2"/>
          <w:sz w:val="32"/>
          <w:szCs w:val="32"/>
          <w:highlight w:val="none"/>
        </w:rPr>
      </w:pPr>
      <w:bookmarkStart w:id="427" w:name="_Toc373478370"/>
      <w:bookmarkEnd w:id="427"/>
      <w:bookmarkStart w:id="428" w:name="_Toc389065289"/>
      <w:bookmarkEnd w:id="428"/>
      <w:bookmarkStart w:id="429" w:name="_Toc407135225"/>
      <w:bookmarkEnd w:id="429"/>
      <w:bookmarkStart w:id="430" w:name="_Toc373227723"/>
      <w:bookmarkEnd w:id="430"/>
      <w:bookmarkStart w:id="431" w:name="_Toc9850553"/>
      <w:r>
        <w:rPr>
          <w:rFonts w:hint="default" w:ascii="Times New Roman" w:hAnsi="Times New Roman" w:eastAsia="宋体" w:cs="Times New Roman"/>
          <w:b/>
          <w:bCs/>
          <w:color w:val="auto"/>
          <w:kern w:val="2"/>
          <w:sz w:val="32"/>
          <w:szCs w:val="32"/>
          <w:highlight w:val="none"/>
        </w:rPr>
        <w:t xml:space="preserve">7.1 </w:t>
      </w:r>
      <w:bookmarkEnd w:id="431"/>
      <w:r>
        <w:rPr>
          <w:rFonts w:hint="eastAsia" w:ascii="宋体" w:hAnsi="宋体" w:eastAsia="宋体" w:cs="宋体"/>
          <w:b/>
          <w:bCs/>
          <w:color w:val="auto"/>
          <w:kern w:val="2"/>
          <w:sz w:val="32"/>
          <w:szCs w:val="32"/>
          <w:highlight w:val="none"/>
        </w:rPr>
        <w:t>施工组织设计</w:t>
      </w:r>
    </w:p>
    <w:p w14:paraId="6EE71C2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bookmarkStart w:id="432" w:name="_Toc407135226"/>
      <w:bookmarkEnd w:id="432"/>
      <w:bookmarkStart w:id="433" w:name="_Toc389065290"/>
      <w:bookmarkEnd w:id="433"/>
      <w:bookmarkStart w:id="434" w:name="_Toc9850554"/>
      <w:bookmarkEnd w:id="434"/>
      <w:bookmarkStart w:id="435" w:name="_Toc373227724"/>
      <w:bookmarkEnd w:id="435"/>
      <w:bookmarkStart w:id="436" w:name="_Toc373478371"/>
      <w:r>
        <w:rPr>
          <w:rFonts w:hint="default" w:ascii="Times New Roman" w:hAnsi="Times New Roman" w:eastAsia="宋体" w:cs="Times New Roman"/>
          <w:color w:val="auto"/>
          <w:kern w:val="0"/>
          <w:sz w:val="21"/>
          <w:szCs w:val="21"/>
          <w:highlight w:val="none"/>
          <w:lang w:val="en-US" w:eastAsia="zh-CN" w:bidi="ar"/>
        </w:rPr>
        <w:t xml:space="preserve">7.1.1 </w:t>
      </w:r>
      <w:bookmarkEnd w:id="436"/>
      <w:r>
        <w:rPr>
          <w:rFonts w:hint="eastAsia" w:ascii="宋体" w:hAnsi="宋体" w:eastAsia="宋体" w:cs="宋体"/>
          <w:color w:val="auto"/>
          <w:kern w:val="0"/>
          <w:sz w:val="21"/>
          <w:szCs w:val="21"/>
          <w:highlight w:val="none"/>
          <w:lang w:val="en-US" w:eastAsia="zh-CN" w:bidi="ar"/>
        </w:rPr>
        <w:t>合同当事人约定的施工组织设计应包括的其他内容：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1、施工组织设计；2</w:t>
      </w:r>
    </w:p>
    <w:p w14:paraId="328BA36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val="en-US" w:eastAsia="zh-CN" w:bidi="ar"/>
        </w:rPr>
        <w:t>工程进度计划；3、管理人员名单、职称、职务、上岗证等；4、安全文明施工措施；5质量保证体系；6、专项施工方案及其它。</w:t>
      </w:r>
    </w:p>
    <w:p w14:paraId="58D48A1E">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7.1.2 </w:t>
      </w:r>
      <w:r>
        <w:rPr>
          <w:rFonts w:hint="eastAsia" w:ascii="宋体" w:hAnsi="宋体" w:eastAsia="宋体" w:cs="宋体"/>
          <w:color w:val="auto"/>
          <w:kern w:val="0"/>
          <w:sz w:val="21"/>
          <w:szCs w:val="21"/>
          <w:highlight w:val="none"/>
          <w:lang w:val="en-US" w:eastAsia="zh-CN" w:bidi="ar"/>
        </w:rPr>
        <w:t>施工组织设计的提交和修改</w:t>
      </w:r>
    </w:p>
    <w:p w14:paraId="340DF3E3">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承包人提交详细施工组织设计的期限的约定：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在图纸会审后7天内，提交详细的符合本合同工期及发包人要求的施工组织设计和进度计划等专项施工方案(工程招标时采用的施工组织设计不作为结算依据）。</w:t>
      </w:r>
    </w:p>
    <w:p w14:paraId="5FE10EC7">
      <w:pPr>
        <w:pStyle w:val="4"/>
        <w:widowControl/>
        <w:shd w:val="clear"/>
        <w:ind w:left="0" w:firstLine="420" w:firstLineChars="200"/>
        <w:rPr>
          <w:rFonts w:hint="eastAsia" w:ascii="宋体" w:hAnsi="宋体" w:eastAsia="宋体" w:cs="宋体"/>
          <w:b w:val="0"/>
          <w:bCs w:val="0"/>
          <w:color w:val="auto"/>
          <w:kern w:val="0"/>
          <w:sz w:val="21"/>
          <w:szCs w:val="21"/>
          <w:highlight w:val="none"/>
          <w:u w:val="single"/>
        </w:rPr>
      </w:pPr>
      <w:r>
        <w:rPr>
          <w:rFonts w:hint="eastAsia" w:ascii="宋体" w:hAnsi="宋体" w:eastAsia="宋体" w:cs="宋体"/>
          <w:b w:val="0"/>
          <w:bCs w:val="0"/>
          <w:color w:val="auto"/>
          <w:kern w:val="0"/>
          <w:sz w:val="21"/>
          <w:szCs w:val="21"/>
          <w:highlight w:val="none"/>
          <w:u w:val="single"/>
        </w:rPr>
        <w:t>发包人和监理人在收到详细的施工组织设计后确认或提出修改意见的期限： 收到上述文件后7天内，审查批准或提出修改意见</w:t>
      </w:r>
    </w:p>
    <w:p w14:paraId="6771FB20">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7</w:t>
      </w:r>
      <w:bookmarkStart w:id="437" w:name="_Toc297123514"/>
      <w:bookmarkEnd w:id="437"/>
      <w:bookmarkStart w:id="438" w:name="_Toc304295541"/>
      <w:bookmarkEnd w:id="438"/>
      <w:bookmarkStart w:id="439" w:name="_Toc297216173"/>
      <w:bookmarkEnd w:id="439"/>
      <w:bookmarkStart w:id="440" w:name="_Toc303539123"/>
      <w:bookmarkEnd w:id="440"/>
      <w:bookmarkStart w:id="441" w:name="_Toc312678005"/>
      <w:bookmarkEnd w:id="441"/>
      <w:bookmarkStart w:id="442" w:name="_Toc312677479"/>
      <w:bookmarkEnd w:id="442"/>
      <w:bookmarkStart w:id="443" w:name="_Toc300934966"/>
      <w:r>
        <w:rPr>
          <w:rFonts w:hint="default" w:ascii="Times New Roman" w:hAnsi="Times New Roman" w:eastAsia="宋体" w:cs="Times New Roman"/>
          <w:b/>
          <w:bCs/>
          <w:color w:val="auto"/>
          <w:kern w:val="2"/>
          <w:sz w:val="32"/>
          <w:szCs w:val="32"/>
          <w:highlight w:val="none"/>
        </w:rPr>
        <w:t xml:space="preserve">.2 </w:t>
      </w:r>
      <w:bookmarkEnd w:id="443"/>
      <w:r>
        <w:rPr>
          <w:rFonts w:hint="eastAsia" w:ascii="宋体" w:hAnsi="宋体" w:eastAsia="宋体" w:cs="宋体"/>
          <w:b/>
          <w:bCs/>
          <w:color w:val="auto"/>
          <w:kern w:val="2"/>
          <w:sz w:val="32"/>
          <w:szCs w:val="32"/>
          <w:highlight w:val="none"/>
        </w:rPr>
        <w:t>施工进度计划</w:t>
      </w:r>
    </w:p>
    <w:p w14:paraId="7B7CD62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7.2.2 </w:t>
      </w:r>
      <w:r>
        <w:rPr>
          <w:rFonts w:hint="eastAsia" w:ascii="宋体" w:hAnsi="宋体" w:eastAsia="宋体" w:cs="宋体"/>
          <w:color w:val="auto"/>
          <w:kern w:val="0"/>
          <w:sz w:val="21"/>
          <w:szCs w:val="21"/>
          <w:highlight w:val="none"/>
          <w:lang w:val="en-US" w:eastAsia="zh-CN" w:bidi="ar"/>
        </w:rPr>
        <w:t>施工进度计划的修订</w:t>
      </w:r>
    </w:p>
    <w:p w14:paraId="7FE035F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发包人和监理人在收到修订的施工进度计划后确认或提出修改意见的期限：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收到承包人提交的施工进度计划后7天内审查批准或提出修改意见</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B3755CA">
      <w:pPr>
        <w:pStyle w:val="4"/>
        <w:widowControl/>
        <w:shd w:val="clear"/>
        <w:rPr>
          <w:rFonts w:hint="default" w:ascii="Times New Roman" w:hAnsi="Times New Roman" w:eastAsia="宋体" w:cs="Times New Roman"/>
          <w:b/>
          <w:bCs/>
          <w:color w:val="auto"/>
          <w:kern w:val="2"/>
          <w:sz w:val="32"/>
          <w:szCs w:val="32"/>
          <w:highlight w:val="none"/>
        </w:rPr>
      </w:pPr>
      <w:bookmarkStart w:id="444" w:name="_Toc373227725"/>
      <w:bookmarkEnd w:id="444"/>
      <w:bookmarkStart w:id="445" w:name="_Toc389065291"/>
      <w:bookmarkEnd w:id="445"/>
      <w:bookmarkStart w:id="446" w:name="_Toc407135227"/>
      <w:bookmarkEnd w:id="446"/>
      <w:bookmarkStart w:id="447" w:name="_Toc9850555"/>
      <w:bookmarkEnd w:id="447"/>
      <w:bookmarkStart w:id="448" w:name="_Toc373478372"/>
      <w:r>
        <w:rPr>
          <w:rFonts w:hint="default" w:ascii="Times New Roman" w:hAnsi="Times New Roman" w:eastAsia="宋体" w:cs="Times New Roman"/>
          <w:b/>
          <w:bCs/>
          <w:color w:val="auto"/>
          <w:kern w:val="2"/>
          <w:sz w:val="32"/>
          <w:szCs w:val="32"/>
          <w:highlight w:val="none"/>
        </w:rPr>
        <w:t xml:space="preserve">7.3 </w:t>
      </w:r>
      <w:bookmarkEnd w:id="448"/>
      <w:r>
        <w:rPr>
          <w:rFonts w:hint="eastAsia" w:ascii="宋体" w:hAnsi="宋体" w:eastAsia="宋体" w:cs="宋体"/>
          <w:b/>
          <w:bCs/>
          <w:color w:val="auto"/>
          <w:kern w:val="2"/>
          <w:sz w:val="32"/>
          <w:szCs w:val="32"/>
          <w:highlight w:val="none"/>
        </w:rPr>
        <w:t>开工</w:t>
      </w:r>
    </w:p>
    <w:p w14:paraId="0212A84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7.3.1 </w:t>
      </w:r>
      <w:r>
        <w:rPr>
          <w:rFonts w:hint="eastAsia" w:ascii="宋体" w:hAnsi="宋体" w:eastAsia="宋体" w:cs="宋体"/>
          <w:color w:val="auto"/>
          <w:kern w:val="0"/>
          <w:sz w:val="21"/>
          <w:szCs w:val="21"/>
          <w:highlight w:val="none"/>
          <w:lang w:val="en-US" w:eastAsia="zh-CN" w:bidi="ar"/>
        </w:rPr>
        <w:t>开工准备</w:t>
      </w:r>
    </w:p>
    <w:p w14:paraId="6DDC66C5">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关于承包人提交工程开工报审表的期限：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E19B174">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关于发包人应完成的其他开工准备工作及期限：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9125B2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关于承包人应完成的其他开工准备工作及期限：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26EAB2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7.3.2 </w:t>
      </w:r>
      <w:r>
        <w:rPr>
          <w:rFonts w:hint="eastAsia" w:ascii="宋体" w:hAnsi="宋体" w:eastAsia="宋体" w:cs="宋体"/>
          <w:color w:val="auto"/>
          <w:kern w:val="0"/>
          <w:sz w:val="21"/>
          <w:szCs w:val="21"/>
          <w:highlight w:val="none"/>
          <w:lang w:val="en-US" w:eastAsia="zh-CN" w:bidi="ar"/>
        </w:rPr>
        <w:t>开工通知</w:t>
      </w:r>
    </w:p>
    <w:p w14:paraId="451D007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因发包人无正当理由造成监理人未能在计划开工日期之日起</w:t>
      </w:r>
      <w:r>
        <w:rPr>
          <w:rFonts w:hint="default" w:ascii="Times New Roman" w:hAnsi="Times New Roman" w:eastAsia="宋体" w:cs="Times New Roman"/>
          <w:color w:val="auto"/>
          <w:kern w:val="0"/>
          <w:sz w:val="21"/>
          <w:szCs w:val="21"/>
          <w:highlight w:val="none"/>
          <w:u w:val="single"/>
          <w:lang w:val="en-US" w:eastAsia="zh-CN" w:bidi="ar"/>
        </w:rPr>
        <w:t xml:space="preserve"> 7 </w:t>
      </w:r>
      <w:r>
        <w:rPr>
          <w:rFonts w:hint="eastAsia" w:ascii="宋体" w:hAnsi="宋体" w:eastAsia="宋体" w:cs="宋体"/>
          <w:color w:val="auto"/>
          <w:kern w:val="0"/>
          <w:sz w:val="21"/>
          <w:szCs w:val="21"/>
          <w:highlight w:val="none"/>
          <w:lang w:val="en-US" w:eastAsia="zh-CN" w:bidi="ar"/>
        </w:rPr>
        <w:t>天内发出开工通知的，承包人有权提出价格调整要求，或者解除合同。</w:t>
      </w:r>
    </w:p>
    <w:p w14:paraId="1CEECC41">
      <w:pPr>
        <w:pStyle w:val="4"/>
        <w:widowControl/>
        <w:shd w:val="clear"/>
        <w:rPr>
          <w:rFonts w:hint="default" w:ascii="Times New Roman" w:hAnsi="Times New Roman" w:eastAsia="宋体" w:cs="Times New Roman"/>
          <w:b/>
          <w:bCs/>
          <w:color w:val="auto"/>
          <w:kern w:val="2"/>
          <w:sz w:val="32"/>
          <w:szCs w:val="32"/>
          <w:highlight w:val="none"/>
        </w:rPr>
      </w:pPr>
      <w:bookmarkStart w:id="449" w:name="_Toc389065292"/>
      <w:bookmarkEnd w:id="449"/>
      <w:bookmarkStart w:id="450" w:name="_Toc373478373"/>
      <w:bookmarkEnd w:id="450"/>
      <w:bookmarkStart w:id="451" w:name="_Toc9850556"/>
      <w:bookmarkEnd w:id="451"/>
      <w:bookmarkStart w:id="452" w:name="_Toc407135228"/>
      <w:bookmarkEnd w:id="452"/>
      <w:bookmarkStart w:id="453" w:name="_Toc373227726"/>
      <w:bookmarkEnd w:id="453"/>
      <w:r>
        <w:rPr>
          <w:rFonts w:hint="default" w:ascii="Times New Roman" w:hAnsi="Times New Roman" w:eastAsia="宋体" w:cs="Times New Roman"/>
          <w:b/>
          <w:bCs/>
          <w:color w:val="auto"/>
          <w:kern w:val="2"/>
          <w:sz w:val="32"/>
          <w:szCs w:val="32"/>
          <w:highlight w:val="none"/>
        </w:rPr>
        <w:t xml:space="preserve">7.4 </w:t>
      </w:r>
      <w:r>
        <w:rPr>
          <w:rFonts w:hint="eastAsia" w:ascii="宋体" w:hAnsi="宋体" w:eastAsia="宋体" w:cs="宋体"/>
          <w:b/>
          <w:bCs/>
          <w:color w:val="auto"/>
          <w:kern w:val="2"/>
          <w:sz w:val="32"/>
          <w:szCs w:val="32"/>
          <w:highlight w:val="none"/>
        </w:rPr>
        <w:t>测量放线</w:t>
      </w:r>
    </w:p>
    <w:p w14:paraId="23EDBC0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7.4.1</w:t>
      </w:r>
      <w:r>
        <w:rPr>
          <w:rFonts w:hint="eastAsia" w:ascii="宋体" w:hAnsi="宋体" w:eastAsia="宋体" w:cs="宋体"/>
          <w:color w:val="auto"/>
          <w:kern w:val="0"/>
          <w:sz w:val="21"/>
          <w:szCs w:val="21"/>
          <w:highlight w:val="none"/>
          <w:lang w:val="en-US" w:eastAsia="zh-CN" w:bidi="ar"/>
        </w:rPr>
        <w:t>发包人通过监理人向承包人提供测量基准点、基准线和水准点及其书面资料的期限：</w:t>
      </w:r>
    </w:p>
    <w:p w14:paraId="702C6FE1">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自合同签订之日起</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4D1C85E">
      <w:pPr>
        <w:pStyle w:val="4"/>
        <w:widowControl/>
        <w:shd w:val="clear"/>
        <w:rPr>
          <w:rFonts w:hint="default" w:ascii="Times New Roman" w:hAnsi="Times New Roman" w:eastAsia="宋体" w:cs="Times New Roman"/>
          <w:b/>
          <w:bCs/>
          <w:color w:val="auto"/>
          <w:kern w:val="2"/>
          <w:sz w:val="32"/>
          <w:szCs w:val="32"/>
          <w:highlight w:val="none"/>
        </w:rPr>
      </w:pPr>
      <w:bookmarkStart w:id="454" w:name="_Toc373478374"/>
      <w:bookmarkEnd w:id="454"/>
      <w:bookmarkStart w:id="455" w:name="_Toc407135229"/>
      <w:bookmarkEnd w:id="455"/>
      <w:bookmarkStart w:id="456" w:name="_Toc389065293"/>
      <w:bookmarkEnd w:id="456"/>
      <w:bookmarkStart w:id="457" w:name="_Toc373227727"/>
      <w:bookmarkEnd w:id="457"/>
      <w:bookmarkStart w:id="458" w:name="_Toc9850557"/>
      <w:r>
        <w:rPr>
          <w:rFonts w:hint="default" w:ascii="Times New Roman" w:hAnsi="Times New Roman" w:eastAsia="宋体" w:cs="Times New Roman"/>
          <w:b/>
          <w:bCs/>
          <w:color w:val="auto"/>
          <w:kern w:val="2"/>
          <w:sz w:val="32"/>
          <w:szCs w:val="32"/>
          <w:highlight w:val="none"/>
        </w:rPr>
        <w:t>7</w:t>
      </w:r>
      <w:bookmarkEnd w:id="458"/>
      <w:bookmarkStart w:id="459" w:name="_Toc300934968"/>
      <w:bookmarkEnd w:id="459"/>
      <w:bookmarkStart w:id="460" w:name="_Toc304295546"/>
      <w:bookmarkEnd w:id="460"/>
      <w:bookmarkStart w:id="461" w:name="_Toc312677484"/>
      <w:bookmarkEnd w:id="461"/>
      <w:bookmarkStart w:id="462" w:name="_Toc297216175"/>
      <w:bookmarkEnd w:id="462"/>
      <w:bookmarkStart w:id="463" w:name="_Toc312678010"/>
      <w:bookmarkEnd w:id="463"/>
      <w:bookmarkStart w:id="464" w:name="_Toc303539125"/>
      <w:bookmarkEnd w:id="464"/>
      <w:bookmarkStart w:id="465" w:name="_Toc297123516"/>
      <w:r>
        <w:rPr>
          <w:rFonts w:hint="default" w:ascii="Times New Roman" w:hAnsi="Times New Roman" w:eastAsia="宋体" w:cs="Times New Roman"/>
          <w:b/>
          <w:bCs/>
          <w:color w:val="auto"/>
          <w:kern w:val="2"/>
          <w:sz w:val="32"/>
          <w:szCs w:val="32"/>
          <w:highlight w:val="none"/>
        </w:rPr>
        <w:t xml:space="preserve">.5 </w:t>
      </w:r>
      <w:bookmarkEnd w:id="465"/>
      <w:r>
        <w:rPr>
          <w:rFonts w:hint="eastAsia" w:ascii="宋体" w:hAnsi="宋体" w:eastAsia="宋体" w:cs="宋体"/>
          <w:b/>
          <w:bCs/>
          <w:color w:val="auto"/>
          <w:kern w:val="2"/>
          <w:sz w:val="32"/>
          <w:szCs w:val="32"/>
          <w:highlight w:val="none"/>
        </w:rPr>
        <w:t>工期延误</w:t>
      </w:r>
    </w:p>
    <w:p w14:paraId="3272F6C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466" w:name="_Toc373478375"/>
      <w:bookmarkEnd w:id="466"/>
      <w:bookmarkStart w:id="467" w:name="_Toc373227728"/>
      <w:bookmarkEnd w:id="467"/>
      <w:bookmarkStart w:id="468" w:name="_Toc389065294"/>
      <w:bookmarkEnd w:id="468"/>
      <w:bookmarkStart w:id="469" w:name="_Toc407135230"/>
      <w:bookmarkEnd w:id="469"/>
      <w:bookmarkStart w:id="470" w:name="_Toc9850558"/>
      <w:bookmarkEnd w:id="470"/>
      <w:r>
        <w:rPr>
          <w:rFonts w:hint="default" w:ascii="Times New Roman" w:hAnsi="Times New Roman" w:eastAsia="宋体" w:cs="Times New Roman"/>
          <w:color w:val="auto"/>
          <w:kern w:val="0"/>
          <w:sz w:val="21"/>
          <w:szCs w:val="21"/>
          <w:highlight w:val="none"/>
          <w:lang w:val="en-US" w:eastAsia="zh-CN" w:bidi="ar"/>
        </w:rPr>
        <w:t xml:space="preserve">7.5.1 </w:t>
      </w:r>
      <w:r>
        <w:rPr>
          <w:rFonts w:hint="eastAsia" w:ascii="宋体" w:hAnsi="宋体" w:eastAsia="宋体" w:cs="宋体"/>
          <w:color w:val="auto"/>
          <w:kern w:val="0"/>
          <w:sz w:val="21"/>
          <w:szCs w:val="21"/>
          <w:highlight w:val="none"/>
          <w:lang w:val="en-US" w:eastAsia="zh-CN" w:bidi="ar"/>
        </w:rPr>
        <w:t>因发包人原因导致工期延误</w:t>
      </w:r>
    </w:p>
    <w:p w14:paraId="33F2455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）因发包人原因导致工期延误的其他情形：</w:t>
      </w:r>
      <w:r>
        <w:rPr>
          <w:rFonts w:hint="eastAsia" w:ascii="宋体" w:hAnsi="宋体" w:eastAsia="宋体" w:cs="宋体"/>
          <w:color w:val="auto"/>
          <w:kern w:val="0"/>
          <w:sz w:val="21"/>
          <w:szCs w:val="21"/>
          <w:highlight w:val="none"/>
          <w:u w:val="single"/>
          <w:lang w:val="en-US" w:eastAsia="zh-CN" w:bidi="ar"/>
        </w:rPr>
        <w:t>①重大图纸变更影响关键线路工序施工；②施工期间如因停电、停水连续8小时以上或一周内间歇性停水、停电累计8小时（含8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int="default"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。发生以上情形应由发包人、监理人、承包人签证确认方为有效。</w:t>
      </w:r>
    </w:p>
    <w:p w14:paraId="3FB9CCA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w:t>
      </w:r>
      <w:bookmarkStart w:id="471" w:name="_Toc303539127"/>
      <w:bookmarkEnd w:id="471"/>
      <w:bookmarkStart w:id="472" w:name="_Toc312677486"/>
      <w:bookmarkEnd w:id="472"/>
      <w:bookmarkStart w:id="473" w:name="_Toc297216177"/>
      <w:bookmarkEnd w:id="473"/>
      <w:bookmarkStart w:id="474" w:name="_Toc318581169"/>
      <w:bookmarkEnd w:id="474"/>
      <w:bookmarkStart w:id="475" w:name="_Toc300934970"/>
      <w:bookmarkEnd w:id="475"/>
      <w:bookmarkStart w:id="476" w:name="_Toc312678012"/>
      <w:bookmarkEnd w:id="476"/>
      <w:bookmarkStart w:id="477" w:name="_Toc304295548"/>
      <w:bookmarkEnd w:id="477"/>
      <w:bookmarkStart w:id="478" w:name="_Toc297123518"/>
      <w:r>
        <w:rPr>
          <w:rFonts w:hint="default" w:ascii="Times New Roman" w:hAnsi="Times New Roman" w:eastAsia="宋体" w:cs="Times New Roman"/>
          <w:color w:val="auto"/>
          <w:kern w:val="0"/>
          <w:sz w:val="21"/>
          <w:szCs w:val="21"/>
          <w:highlight w:val="none"/>
          <w:lang w:val="en-US" w:eastAsia="zh-CN" w:bidi="ar"/>
        </w:rPr>
        <w:t xml:space="preserve">.5.2 </w:t>
      </w:r>
      <w:bookmarkEnd w:id="478"/>
      <w:r>
        <w:rPr>
          <w:rFonts w:hint="eastAsia" w:ascii="宋体" w:hAnsi="宋体" w:eastAsia="宋体" w:cs="宋体"/>
          <w:color w:val="auto"/>
          <w:kern w:val="0"/>
          <w:sz w:val="21"/>
          <w:szCs w:val="21"/>
          <w:highlight w:val="none"/>
          <w:lang w:val="en-US" w:eastAsia="zh-CN" w:bidi="ar"/>
        </w:rPr>
        <w:t>因承包人原因导致工期延误</w:t>
      </w:r>
    </w:p>
    <w:p w14:paraId="5DEC9E3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双方约定经监理工程师确认，工期相应顺延的情况：</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379DAB06">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因</w:t>
      </w:r>
      <w:bookmarkStart w:id="479" w:name="_Toc312678013"/>
      <w:bookmarkEnd w:id="479"/>
      <w:bookmarkStart w:id="480" w:name="_Toc318581170"/>
      <w:bookmarkEnd w:id="480"/>
      <w:bookmarkStart w:id="481" w:name="_Toc312677487"/>
      <w:r>
        <w:rPr>
          <w:rFonts w:hint="eastAsia" w:ascii="宋体" w:hAnsi="宋体" w:eastAsia="宋体" w:cs="宋体"/>
          <w:color w:val="auto"/>
          <w:kern w:val="0"/>
          <w:sz w:val="21"/>
          <w:szCs w:val="21"/>
          <w:highlight w:val="none"/>
          <w:lang w:val="en-US" w:eastAsia="zh-CN" w:bidi="ar"/>
        </w:rPr>
        <w:t>承包人原因造成工期延误，逾期竣工违约金的计算方法为：</w:t>
      </w:r>
      <w:bookmarkEnd w:id="481"/>
      <w:r>
        <w:rPr>
          <w:rFonts w:hint="eastAsia" w:ascii="宋体" w:hAnsi="宋体" w:eastAsia="宋体" w:cs="宋体"/>
          <w:color w:val="auto"/>
          <w:kern w:val="0"/>
          <w:sz w:val="21"/>
          <w:szCs w:val="21"/>
          <w:highlight w:val="none"/>
          <w:u w:val="single"/>
          <w:lang w:val="en-US" w:eastAsia="zh-CN" w:bidi="ar"/>
        </w:rPr>
        <w:t>按逾期竣工的单项工程支付违约金，每延误一天</w:t>
      </w:r>
      <w:r>
        <w:rPr>
          <w:rFonts w:hint="eastAsia" w:ascii="宋体" w:hAnsi="Times New Roman"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按单项工程应支付给承包人的结算造价的万分之   违约金</w:t>
      </w:r>
      <w:r>
        <w:rPr>
          <w:rFonts w:hint="eastAsia" w:ascii="宋体" w:hAnsi="Times New Roman" w:eastAsia="宋体" w:cs="宋体"/>
          <w:color w:val="auto"/>
          <w:kern w:val="0"/>
          <w:sz w:val="21"/>
          <w:szCs w:val="21"/>
          <w:highlight w:val="none"/>
          <w:u w:val="single"/>
          <w:lang w:val="en-US" w:eastAsia="zh-CN" w:bidi="ar"/>
        </w:rPr>
        <w:t>,</w:t>
      </w:r>
      <w:r>
        <w:rPr>
          <w:rFonts w:hint="eastAsia" w:ascii="宋体" w:hAnsi="宋体" w:eastAsia="宋体" w:cs="宋体"/>
          <w:color w:val="auto"/>
          <w:kern w:val="0"/>
          <w:sz w:val="21"/>
          <w:szCs w:val="21"/>
          <w:highlight w:val="none"/>
          <w:u w:val="single"/>
          <w:lang w:val="en-US" w:eastAsia="zh-CN" w:bidi="ar"/>
        </w:rPr>
        <w:t>违约金直接从结算款中扣除。误期时间从规定竣工日期起直到实际竣工日期的天数（扣除发包人批准顺延的工期）。因承包人原因造成工期延误，逾</w:t>
      </w:r>
      <w:bookmarkStart w:id="482" w:name="_Toc312678014"/>
      <w:bookmarkEnd w:id="482"/>
      <w:bookmarkStart w:id="483" w:name="_Toc318581171"/>
      <w:r>
        <w:rPr>
          <w:rFonts w:hint="eastAsia" w:ascii="宋体" w:hAnsi="宋体" w:eastAsia="宋体" w:cs="宋体"/>
          <w:color w:val="auto"/>
          <w:kern w:val="0"/>
          <w:sz w:val="21"/>
          <w:szCs w:val="21"/>
          <w:highlight w:val="none"/>
          <w:u w:val="single"/>
          <w:lang w:val="en-US" w:eastAsia="zh-CN" w:bidi="ar"/>
        </w:rPr>
        <w:t>期竣工违约金的上限：逾期竣工的</w:t>
      </w:r>
      <w:bookmarkEnd w:id="483"/>
      <w:r>
        <w:rPr>
          <w:rFonts w:hint="eastAsia" w:ascii="宋体" w:hAnsi="宋体" w:eastAsia="宋体" w:cs="宋体"/>
          <w:color w:val="auto"/>
          <w:kern w:val="0"/>
          <w:sz w:val="21"/>
          <w:szCs w:val="21"/>
          <w:highlight w:val="none"/>
          <w:u w:val="single"/>
          <w:lang w:val="en-US" w:eastAsia="zh-CN" w:bidi="ar"/>
        </w:rPr>
        <w:t>本合同工程结算造价的</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cs="Times New Roman"/>
          <w:color w:val="auto"/>
          <w:kern w:val="0"/>
          <w:sz w:val="21"/>
          <w:szCs w:val="21"/>
          <w:highlight w:val="yellow"/>
          <w:u w:val="single"/>
          <w:lang w:val="en-US" w:eastAsia="zh-CN" w:bidi="ar"/>
        </w:rPr>
        <w:t>3</w:t>
      </w:r>
      <w:r>
        <w:rPr>
          <w:rFonts w:hint="eastAsia" w:ascii="Times New Roman" w:hAnsi="宋体" w:eastAsia="宋体" w:cs="宋体"/>
          <w:color w:val="auto"/>
          <w:kern w:val="0"/>
          <w:sz w:val="21"/>
          <w:szCs w:val="21"/>
          <w:highlight w:val="yellow"/>
          <w:u w:val="single"/>
          <w:lang w:val="en-US" w:eastAsia="zh-CN" w:bidi="ar"/>
        </w:rPr>
        <w:t xml:space="preserve"> </w:t>
      </w:r>
      <w:r>
        <w:rPr>
          <w:rFonts w:hint="default" w:ascii="Times New Roman" w:hAnsi="Times New Roman" w:eastAsia="宋体" w:cs="Times New Roman"/>
          <w:color w:val="auto"/>
          <w:kern w:val="0"/>
          <w:sz w:val="21"/>
          <w:szCs w:val="21"/>
          <w:highlight w:val="yellow"/>
          <w:u w:val="single"/>
          <w:lang w:val="en-US" w:eastAsia="zh-CN" w:bidi="ar"/>
        </w:rPr>
        <w:t>%</w:t>
      </w:r>
      <w:r>
        <w:rPr>
          <w:rFonts w:hint="eastAsia" w:ascii="宋体" w:hAnsi="宋体" w:eastAsia="宋体" w:cs="宋体"/>
          <w:color w:val="auto"/>
          <w:kern w:val="0"/>
          <w:sz w:val="21"/>
          <w:szCs w:val="21"/>
          <w:highlight w:val="none"/>
          <w:u w:val="single"/>
          <w:lang w:val="en-US" w:eastAsia="zh-CN" w:bidi="ar"/>
        </w:rPr>
        <w:t>。</w:t>
      </w:r>
    </w:p>
    <w:p w14:paraId="5747D63F">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7</w:t>
      </w:r>
      <w:bookmarkStart w:id="484" w:name="_Toc300934971"/>
      <w:bookmarkEnd w:id="484"/>
      <w:bookmarkStart w:id="485" w:name="_Toc303539128"/>
      <w:bookmarkEnd w:id="485"/>
      <w:bookmarkStart w:id="486" w:name="_Toc304295549"/>
      <w:bookmarkEnd w:id="486"/>
      <w:bookmarkStart w:id="487" w:name="_Toc312678015"/>
      <w:bookmarkEnd w:id="487"/>
      <w:bookmarkStart w:id="488" w:name="_Toc297123519"/>
      <w:bookmarkEnd w:id="488"/>
      <w:bookmarkStart w:id="489" w:name="_Toc297216178"/>
      <w:r>
        <w:rPr>
          <w:rFonts w:hint="default" w:ascii="Times New Roman" w:hAnsi="Times New Roman" w:eastAsia="宋体" w:cs="Times New Roman"/>
          <w:b/>
          <w:bCs/>
          <w:color w:val="auto"/>
          <w:kern w:val="2"/>
          <w:sz w:val="32"/>
          <w:szCs w:val="32"/>
          <w:highlight w:val="none"/>
        </w:rPr>
        <w:t xml:space="preserve">.6 </w:t>
      </w:r>
      <w:bookmarkEnd w:id="489"/>
      <w:r>
        <w:rPr>
          <w:rFonts w:hint="eastAsia" w:ascii="宋体" w:hAnsi="宋体" w:eastAsia="宋体" w:cs="宋体"/>
          <w:b/>
          <w:bCs/>
          <w:color w:val="auto"/>
          <w:kern w:val="2"/>
          <w:sz w:val="32"/>
          <w:szCs w:val="32"/>
          <w:highlight w:val="none"/>
        </w:rPr>
        <w:t>不利物质条件</w:t>
      </w:r>
    </w:p>
    <w:p w14:paraId="041194F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bookmarkStart w:id="490" w:name="_Toc297216179"/>
      <w:bookmarkEnd w:id="490"/>
      <w:bookmarkStart w:id="491" w:name="_Toc297123520"/>
      <w:bookmarkEnd w:id="491"/>
      <w:bookmarkStart w:id="492" w:name="_Toc312678016"/>
      <w:bookmarkEnd w:id="492"/>
      <w:bookmarkStart w:id="493" w:name="_Toc304295550"/>
      <w:bookmarkEnd w:id="493"/>
      <w:bookmarkStart w:id="494" w:name="_Toc300934972"/>
      <w:bookmarkEnd w:id="494"/>
      <w:bookmarkStart w:id="495" w:name="_Toc318581172"/>
      <w:bookmarkEnd w:id="495"/>
      <w:bookmarkStart w:id="496" w:name="_Toc303539129"/>
      <w:r>
        <w:rPr>
          <w:rFonts w:hint="eastAsia" w:ascii="宋体" w:hAnsi="宋体" w:eastAsia="宋体" w:cs="宋体"/>
          <w:color w:val="auto"/>
          <w:kern w:val="0"/>
          <w:sz w:val="21"/>
          <w:szCs w:val="21"/>
          <w:highlight w:val="none"/>
          <w:lang w:val="en-US" w:eastAsia="zh-CN" w:bidi="ar"/>
        </w:rPr>
        <w:t>不利物质条件的其他情形和有关约定：</w:t>
      </w:r>
      <w:bookmarkEnd w:id="496"/>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0E2B291">
      <w:pPr>
        <w:pStyle w:val="4"/>
        <w:widowControl/>
        <w:shd w:val="clear"/>
        <w:rPr>
          <w:rFonts w:hint="default" w:ascii="Times New Roman" w:hAnsi="Times New Roman" w:eastAsia="宋体" w:cs="Times New Roman"/>
          <w:b/>
          <w:bCs/>
          <w:color w:val="auto"/>
          <w:kern w:val="2"/>
          <w:sz w:val="32"/>
          <w:szCs w:val="32"/>
          <w:highlight w:val="none"/>
        </w:rPr>
      </w:pPr>
      <w:bookmarkStart w:id="497" w:name="_Toc389065295"/>
      <w:bookmarkEnd w:id="497"/>
      <w:bookmarkStart w:id="498" w:name="_Toc373227729"/>
      <w:bookmarkEnd w:id="498"/>
      <w:bookmarkStart w:id="499" w:name="_Toc373478376"/>
      <w:bookmarkEnd w:id="499"/>
      <w:bookmarkStart w:id="500" w:name="_Toc407135231"/>
      <w:bookmarkEnd w:id="500"/>
      <w:bookmarkStart w:id="501" w:name="_Toc9850559"/>
      <w:bookmarkEnd w:id="501"/>
      <w:r>
        <w:rPr>
          <w:rFonts w:hint="default" w:ascii="Times New Roman" w:hAnsi="Times New Roman" w:eastAsia="宋体" w:cs="Times New Roman"/>
          <w:b/>
          <w:bCs/>
          <w:color w:val="auto"/>
          <w:kern w:val="2"/>
          <w:sz w:val="32"/>
          <w:szCs w:val="32"/>
          <w:highlight w:val="none"/>
        </w:rPr>
        <w:t>7</w:t>
      </w:r>
      <w:bookmarkStart w:id="502" w:name="_Toc297216180"/>
      <w:bookmarkEnd w:id="502"/>
      <w:bookmarkStart w:id="503" w:name="_Toc303539130"/>
      <w:bookmarkEnd w:id="503"/>
      <w:bookmarkStart w:id="504" w:name="_Toc300934973"/>
      <w:bookmarkEnd w:id="504"/>
      <w:bookmarkStart w:id="505" w:name="_Toc297123521"/>
      <w:bookmarkEnd w:id="505"/>
      <w:bookmarkStart w:id="506" w:name="_Toc312678017"/>
      <w:bookmarkEnd w:id="506"/>
      <w:bookmarkStart w:id="507" w:name="_Toc304295551"/>
      <w:r>
        <w:rPr>
          <w:rFonts w:hint="default" w:ascii="Times New Roman" w:hAnsi="Times New Roman" w:eastAsia="宋体" w:cs="Times New Roman"/>
          <w:b/>
          <w:bCs/>
          <w:color w:val="auto"/>
          <w:kern w:val="2"/>
          <w:sz w:val="32"/>
          <w:szCs w:val="32"/>
          <w:highlight w:val="none"/>
        </w:rPr>
        <w:t xml:space="preserve">.7 </w:t>
      </w:r>
      <w:bookmarkEnd w:id="507"/>
      <w:r>
        <w:rPr>
          <w:rFonts w:hint="eastAsia" w:ascii="宋体" w:hAnsi="宋体" w:eastAsia="宋体" w:cs="宋体"/>
          <w:b/>
          <w:bCs/>
          <w:color w:val="auto"/>
          <w:kern w:val="2"/>
          <w:sz w:val="32"/>
          <w:szCs w:val="32"/>
          <w:highlight w:val="none"/>
        </w:rPr>
        <w:t>异常恶劣的气候条件</w:t>
      </w:r>
    </w:p>
    <w:p w14:paraId="300599D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508" w:name="_Toc9850560"/>
      <w:bookmarkEnd w:id="508"/>
      <w:bookmarkStart w:id="509" w:name="_Toc407135232"/>
      <w:bookmarkEnd w:id="509"/>
      <w:bookmarkStart w:id="510" w:name="_Toc373478377"/>
      <w:bookmarkEnd w:id="510"/>
      <w:bookmarkStart w:id="511" w:name="_Toc389065296"/>
      <w:bookmarkEnd w:id="511"/>
      <w:bookmarkStart w:id="512" w:name="_Toc373227730"/>
      <w:bookmarkEnd w:id="512"/>
      <w:r>
        <w:rPr>
          <w:rFonts w:hint="eastAsia" w:ascii="宋体" w:hAnsi="宋体" w:eastAsia="宋体" w:cs="宋体"/>
          <w:color w:val="auto"/>
          <w:kern w:val="0"/>
          <w:sz w:val="21"/>
          <w:szCs w:val="21"/>
          <w:highlight w:val="none"/>
          <w:lang w:val="en-US" w:eastAsia="zh-CN" w:bidi="ar"/>
        </w:rPr>
        <w:t>发包人和承包人同意以下情形视为异常恶劣的气候条件：</w:t>
      </w:r>
    </w:p>
    <w:p w14:paraId="23BE1036">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连续2天日气温超过38°C或低于O°C</w:t>
      </w:r>
      <w:r>
        <w:rPr>
          <w:rFonts w:hint="eastAsia" w:ascii="宋体" w:hAnsi="宋体" w:eastAsia="宋体" w:cs="宋体"/>
          <w:color w:val="auto"/>
          <w:kern w:val="0"/>
          <w:sz w:val="21"/>
          <w:szCs w:val="21"/>
          <w:highlight w:val="none"/>
          <w:lang w:val="en-US" w:eastAsia="zh-CN" w:bidi="ar"/>
        </w:rPr>
        <w:t>；</w:t>
      </w:r>
    </w:p>
    <w:p w14:paraId="7EC3B27D">
      <w:pPr>
        <w:keepNext w:val="0"/>
        <w:keepLines w:val="0"/>
        <w:widowControl w:val="0"/>
        <w:numPr>
          <w:ilvl w:val="0"/>
          <w:numId w:val="5"/>
        </w:numPr>
        <w:suppressLineNumbers w:val="0"/>
        <w:shd w:val="clear"/>
        <w:spacing w:before="0" w:beforeAutospacing="0" w:after="0" w:afterAutospacing="0" w:line="360" w:lineRule="auto"/>
        <w:ind w:left="425" w:leftChars="0" w:right="0" w:hanging="425" w:firstLineChars="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8级以上持续24小时的大风</w:t>
      </w:r>
      <w:r>
        <w:rPr>
          <w:rFonts w:hint="eastAsia" w:ascii="宋体" w:hAnsi="宋体" w:eastAsia="宋体" w:cs="宋体"/>
          <w:color w:val="auto"/>
          <w:kern w:val="0"/>
          <w:sz w:val="21"/>
          <w:szCs w:val="21"/>
          <w:highlight w:val="none"/>
          <w:lang w:val="en-US" w:eastAsia="zh-CN" w:bidi="ar"/>
        </w:rPr>
        <w:t>；</w:t>
      </w:r>
    </w:p>
    <w:p w14:paraId="6F694FFA">
      <w:pPr>
        <w:keepNext w:val="0"/>
        <w:keepLines w:val="0"/>
        <w:widowControl w:val="0"/>
        <w:numPr>
          <w:ilvl w:val="0"/>
          <w:numId w:val="5"/>
        </w:numPr>
        <w:suppressLineNumbers w:val="0"/>
        <w:shd w:val="clear"/>
        <w:spacing w:before="0" w:beforeAutospacing="0" w:after="0" w:afterAutospacing="0" w:line="360" w:lineRule="auto"/>
        <w:ind w:left="425" w:leftChars="0" w:right="0" w:hanging="425" w:firstLineChars="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u w:val="single"/>
          <w:lang w:val="en-US" w:eastAsia="zh-CN" w:bidi="ar"/>
        </w:rPr>
        <w:t>持续降雨 24小时且降雨量为200mm 以上或洪水紧急预报通知</w:t>
      </w:r>
      <w:r>
        <w:rPr>
          <w:rFonts w:hint="eastAsia" w:ascii="宋体" w:hAnsi="宋体" w:eastAsia="宋体" w:cs="宋体"/>
          <w:color w:val="auto"/>
          <w:kern w:val="0"/>
          <w:sz w:val="21"/>
          <w:szCs w:val="21"/>
          <w:highlight w:val="none"/>
          <w:lang w:val="en-US" w:eastAsia="zh-CN" w:bidi="ar"/>
        </w:rPr>
        <w:t>。</w:t>
      </w:r>
    </w:p>
    <w:p w14:paraId="704574D8">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42摄氏度及以上持续24小时的高温：</w:t>
      </w:r>
    </w:p>
    <w:p w14:paraId="4F5E25AA">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5摄氏度及以下持续24小时的低温。</w:t>
      </w:r>
    </w:p>
    <w:p w14:paraId="504829B4">
      <w:pPr>
        <w:keepNext w:val="0"/>
        <w:keepLines w:val="0"/>
        <w:widowControl w:val="0"/>
        <w:numPr>
          <w:ilvl w:val="0"/>
          <w:numId w:val="5"/>
        </w:numPr>
        <w:suppressLineNumbers w:val="0"/>
        <w:shd w:val="clear"/>
        <w:spacing w:before="0" w:beforeAutospacing="0" w:after="0" w:afterAutospacing="0" w:line="300" w:lineRule="exact"/>
        <w:ind w:left="425" w:leftChars="0" w:right="0" w:hanging="425" w:firstLineChars="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龙卷风、施工场地受淹超过发包人提供设计图纸指明的设计洪水位以及因天气原因无法施工并经监理确认引起延误的情况</w:t>
      </w:r>
    </w:p>
    <w:p w14:paraId="561C3B4D">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7.9 </w:t>
      </w:r>
      <w:r>
        <w:rPr>
          <w:rFonts w:hint="eastAsia" w:ascii="宋体" w:hAnsi="宋体" w:eastAsia="宋体" w:cs="宋体"/>
          <w:b/>
          <w:bCs/>
          <w:color w:val="auto"/>
          <w:kern w:val="2"/>
          <w:sz w:val="32"/>
          <w:szCs w:val="32"/>
          <w:highlight w:val="none"/>
        </w:rPr>
        <w:t>提前竣工</w:t>
      </w:r>
    </w:p>
    <w:p w14:paraId="7256270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7.9.2</w:t>
      </w:r>
      <w:r>
        <w:rPr>
          <w:rFonts w:hint="eastAsia" w:ascii="宋体" w:hAnsi="宋体" w:eastAsia="宋体" w:cs="宋体"/>
          <w:color w:val="auto"/>
          <w:kern w:val="0"/>
          <w:sz w:val="21"/>
          <w:szCs w:val="21"/>
          <w:highlight w:val="none"/>
          <w:lang w:val="en-US" w:eastAsia="zh-CN" w:bidi="ar"/>
        </w:rPr>
        <w:t>提前竣工（赶工）增加费的计算方法：</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08CA58E">
      <w:pPr>
        <w:pStyle w:val="3"/>
        <w:widowControl/>
        <w:shd w:val="clear"/>
        <w:rPr>
          <w:rFonts w:hint="default" w:ascii="Arial" w:hAnsi="Arial" w:eastAsia="黑体" w:cs="Times New Roman"/>
          <w:b/>
          <w:bCs w:val="0"/>
          <w:color w:val="auto"/>
          <w:sz w:val="32"/>
          <w:szCs w:val="32"/>
          <w:highlight w:val="none"/>
        </w:rPr>
      </w:pPr>
      <w:bookmarkStart w:id="513" w:name="_Toc351203640"/>
      <w:bookmarkEnd w:id="513"/>
      <w:bookmarkStart w:id="514" w:name="_Toc407135233"/>
      <w:bookmarkEnd w:id="514"/>
      <w:bookmarkStart w:id="515" w:name="_Toc373478378"/>
      <w:bookmarkEnd w:id="515"/>
      <w:bookmarkStart w:id="516" w:name="_Toc389065297"/>
      <w:bookmarkEnd w:id="516"/>
      <w:bookmarkStart w:id="517" w:name="_Toc373227731"/>
      <w:bookmarkEnd w:id="517"/>
      <w:bookmarkStart w:id="518" w:name="_Toc9850561"/>
      <w:r>
        <w:rPr>
          <w:rFonts w:hint="default" w:ascii="Arial" w:hAnsi="Arial" w:eastAsia="黑体" w:cs="Times New Roman"/>
          <w:b/>
          <w:bCs w:val="0"/>
          <w:color w:val="auto"/>
          <w:sz w:val="32"/>
          <w:szCs w:val="32"/>
          <w:highlight w:val="none"/>
        </w:rPr>
        <w:t xml:space="preserve">8. </w:t>
      </w:r>
      <w:bookmarkEnd w:id="518"/>
      <w:r>
        <w:rPr>
          <w:rFonts w:hint="eastAsia" w:ascii="黑体" w:hAnsi="宋体" w:eastAsia="黑体" w:cs="黑体"/>
          <w:b/>
          <w:bCs w:val="0"/>
          <w:color w:val="auto"/>
          <w:sz w:val="32"/>
          <w:szCs w:val="32"/>
          <w:highlight w:val="none"/>
        </w:rPr>
        <w:t>材料与设备</w:t>
      </w:r>
    </w:p>
    <w:p w14:paraId="2D6483EA">
      <w:pPr>
        <w:pStyle w:val="4"/>
        <w:widowControl/>
        <w:shd w:val="clear"/>
        <w:rPr>
          <w:rFonts w:hint="default" w:ascii="Times New Roman" w:hAnsi="Times New Roman" w:eastAsia="宋体" w:cs="Times New Roman"/>
          <w:b/>
          <w:bCs/>
          <w:color w:val="auto"/>
          <w:kern w:val="2"/>
          <w:sz w:val="32"/>
          <w:szCs w:val="32"/>
          <w:highlight w:val="none"/>
        </w:rPr>
      </w:pPr>
      <w:bookmarkStart w:id="519" w:name="_Toc407135234"/>
      <w:bookmarkEnd w:id="519"/>
      <w:bookmarkStart w:id="520" w:name="_Toc389065298"/>
      <w:bookmarkEnd w:id="520"/>
      <w:bookmarkStart w:id="521" w:name="_Toc373227732"/>
      <w:bookmarkEnd w:id="521"/>
      <w:bookmarkStart w:id="522" w:name="_Toc373478379"/>
      <w:bookmarkEnd w:id="522"/>
      <w:bookmarkStart w:id="523" w:name="_Toc9850562"/>
      <w:bookmarkEnd w:id="523"/>
      <w:r>
        <w:rPr>
          <w:rFonts w:hint="default" w:ascii="Times New Roman" w:hAnsi="Times New Roman" w:eastAsia="宋体" w:cs="Times New Roman"/>
          <w:b/>
          <w:bCs/>
          <w:color w:val="auto"/>
          <w:kern w:val="2"/>
          <w:sz w:val="32"/>
          <w:szCs w:val="32"/>
          <w:highlight w:val="none"/>
        </w:rPr>
        <w:t xml:space="preserve">8.2 </w:t>
      </w:r>
      <w:r>
        <w:rPr>
          <w:rFonts w:hint="eastAsia" w:ascii="宋体" w:hAnsi="宋体" w:eastAsia="宋体" w:cs="宋体"/>
          <w:b/>
          <w:bCs/>
          <w:color w:val="auto"/>
          <w:kern w:val="2"/>
          <w:sz w:val="32"/>
          <w:szCs w:val="32"/>
          <w:highlight w:val="none"/>
        </w:rPr>
        <w:t>承包人采购材料与工程设备</w:t>
      </w:r>
    </w:p>
    <w:p w14:paraId="02E2658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除已标价工程量清单《发包人提供主要材料和工程设备一览表》（表</w:t>
      </w:r>
      <w:r>
        <w:rPr>
          <w:rFonts w:hint="default" w:ascii="Times New Roman" w:hAnsi="Times New Roman" w:eastAsia="宋体" w:cs="Times New Roman"/>
          <w:color w:val="auto"/>
          <w:kern w:val="0"/>
          <w:sz w:val="21"/>
          <w:szCs w:val="21"/>
          <w:highlight w:val="none"/>
          <w:lang w:val="en-US" w:eastAsia="zh-CN" w:bidi="ar"/>
        </w:rPr>
        <w:t>-21</w:t>
      </w:r>
      <w:r>
        <w:rPr>
          <w:rFonts w:hint="eastAsia" w:ascii="宋体" w:hAnsi="宋体" w:eastAsia="宋体" w:cs="宋体"/>
          <w:color w:val="auto"/>
          <w:kern w:val="0"/>
          <w:sz w:val="21"/>
          <w:szCs w:val="21"/>
          <w:highlight w:val="none"/>
          <w:lang w:val="en-US" w:eastAsia="zh-CN" w:bidi="ar"/>
        </w:rPr>
        <w:t>）中明确的材料、工程设备外，由承包人负责材料和工程设备的采购、运输和保管。《承包人提供主要材料和工程设备一览表》（表</w:t>
      </w:r>
      <w:r>
        <w:rPr>
          <w:rFonts w:hint="default" w:ascii="Times New Roman" w:hAnsi="Times New Roman" w:eastAsia="宋体" w:cs="Times New Roman"/>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val="en-US" w:eastAsia="zh-CN" w:bidi="ar"/>
        </w:rPr>
        <w:t>）见已标价工程量清单。</w:t>
      </w:r>
    </w:p>
    <w:p w14:paraId="55262BD0">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524" w:name="_Toc373227733"/>
      <w:bookmarkEnd w:id="524"/>
      <w:bookmarkStart w:id="525" w:name="_Toc389065299"/>
      <w:bookmarkEnd w:id="525"/>
      <w:bookmarkStart w:id="526" w:name="_Toc373478380"/>
      <w:r>
        <w:rPr>
          <w:rFonts w:hint="eastAsia" w:ascii="宋体" w:hAnsi="宋体" w:eastAsia="宋体" w:cs="宋体"/>
          <w:color w:val="auto"/>
          <w:kern w:val="0"/>
          <w:sz w:val="21"/>
          <w:szCs w:val="21"/>
          <w:highlight w:val="none"/>
          <w:lang w:val="en-US" w:eastAsia="zh-CN" w:bidi="ar"/>
        </w:rPr>
        <w:t>对发包人在招标时有“参照或相当于</w:t>
      </w:r>
      <w:bookmarkEnd w:id="526"/>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品牌、级别”约定的材料或设备，承包人采购时必须按类似于或优于所约定品牌、等级进行采购，施工期间该部分材料或设备如未超过招标约定的风险幅度的，结算时按投标单价支付，不得调整。</w:t>
      </w:r>
    </w:p>
    <w:p w14:paraId="7DAB0F9A">
      <w:pPr>
        <w:pStyle w:val="4"/>
        <w:widowControl/>
        <w:shd w:val="clear"/>
        <w:rPr>
          <w:rFonts w:hint="default" w:ascii="Times New Roman" w:hAnsi="Times New Roman" w:eastAsia="宋体" w:cs="Times New Roman"/>
          <w:b/>
          <w:bCs/>
          <w:color w:val="auto"/>
          <w:kern w:val="2"/>
          <w:sz w:val="32"/>
          <w:szCs w:val="32"/>
          <w:highlight w:val="none"/>
        </w:rPr>
      </w:pPr>
      <w:bookmarkStart w:id="527" w:name="_Toc9850563"/>
      <w:bookmarkEnd w:id="527"/>
      <w:bookmarkStart w:id="528" w:name="_Toc407135235"/>
      <w:r>
        <w:rPr>
          <w:rFonts w:hint="default" w:ascii="Times New Roman" w:hAnsi="Times New Roman" w:eastAsia="宋体" w:cs="Times New Roman"/>
          <w:b/>
          <w:bCs/>
          <w:color w:val="auto"/>
          <w:kern w:val="2"/>
          <w:sz w:val="32"/>
          <w:szCs w:val="32"/>
          <w:highlight w:val="none"/>
        </w:rPr>
        <w:t>8</w:t>
      </w:r>
      <w:bookmarkEnd w:id="528"/>
      <w:bookmarkStart w:id="529" w:name="_Toc297123527"/>
      <w:bookmarkEnd w:id="529"/>
      <w:bookmarkStart w:id="530" w:name="_Toc297216186"/>
      <w:bookmarkEnd w:id="530"/>
      <w:bookmarkStart w:id="531" w:name="_Toc296891207"/>
      <w:bookmarkEnd w:id="531"/>
      <w:bookmarkStart w:id="532" w:name="_Toc296503167"/>
      <w:bookmarkEnd w:id="532"/>
      <w:bookmarkStart w:id="533" w:name="_Toc303539136"/>
      <w:bookmarkEnd w:id="533"/>
      <w:bookmarkStart w:id="534" w:name="_Toc280868655"/>
      <w:bookmarkEnd w:id="534"/>
      <w:bookmarkStart w:id="535" w:name="_Toc280868654"/>
      <w:bookmarkEnd w:id="535"/>
      <w:bookmarkStart w:id="536" w:name="_Toc296890995"/>
      <w:bookmarkEnd w:id="536"/>
      <w:bookmarkStart w:id="537" w:name="_Toc296944506"/>
      <w:bookmarkEnd w:id="537"/>
      <w:bookmarkStart w:id="538" w:name="_Toc296347166"/>
      <w:bookmarkEnd w:id="538"/>
      <w:bookmarkStart w:id="539" w:name="_Toc292559372"/>
      <w:bookmarkEnd w:id="539"/>
      <w:bookmarkStart w:id="540" w:name="_Toc312677493"/>
      <w:bookmarkEnd w:id="540"/>
      <w:bookmarkStart w:id="541" w:name="_Toc296346668"/>
      <w:bookmarkEnd w:id="541"/>
      <w:bookmarkStart w:id="542" w:name="_Toc297048353"/>
      <w:bookmarkEnd w:id="542"/>
      <w:bookmarkStart w:id="543" w:name="_Toc292559877"/>
      <w:bookmarkEnd w:id="543"/>
      <w:bookmarkStart w:id="544" w:name="_Toc297120467"/>
      <w:bookmarkEnd w:id="544"/>
      <w:bookmarkStart w:id="545" w:name="_Toc300934979"/>
      <w:bookmarkEnd w:id="545"/>
      <w:bookmarkStart w:id="546" w:name="_Toc312678019"/>
      <w:bookmarkEnd w:id="546"/>
      <w:bookmarkStart w:id="547" w:name="_Toc280868656"/>
      <w:bookmarkEnd w:id="547"/>
      <w:bookmarkStart w:id="548" w:name="_Toc304295556"/>
      <w:bookmarkEnd w:id="548"/>
      <w:bookmarkStart w:id="549" w:name="_Toc267251424"/>
      <w:r>
        <w:rPr>
          <w:rFonts w:hint="default" w:ascii="Times New Roman" w:hAnsi="Times New Roman" w:eastAsia="宋体" w:cs="Times New Roman"/>
          <w:b/>
          <w:bCs/>
          <w:color w:val="auto"/>
          <w:kern w:val="2"/>
          <w:sz w:val="32"/>
          <w:szCs w:val="32"/>
          <w:highlight w:val="none"/>
        </w:rPr>
        <w:t xml:space="preserve">.4 </w:t>
      </w:r>
      <w:bookmarkEnd w:id="549"/>
      <w:r>
        <w:rPr>
          <w:rFonts w:hint="eastAsia" w:ascii="宋体" w:hAnsi="宋体" w:eastAsia="宋体" w:cs="宋体"/>
          <w:b/>
          <w:bCs/>
          <w:color w:val="auto"/>
          <w:kern w:val="2"/>
          <w:sz w:val="32"/>
          <w:szCs w:val="32"/>
          <w:highlight w:val="none"/>
        </w:rPr>
        <w:t>材料与工程设备的保管与使用</w:t>
      </w:r>
    </w:p>
    <w:p w14:paraId="07110DD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default" w:ascii="Times New Roman" w:hAnsi="Times New Roman" w:eastAsia="宋体" w:cs="Times New Roman"/>
          <w:color w:val="auto"/>
          <w:kern w:val="0"/>
          <w:sz w:val="21"/>
          <w:szCs w:val="21"/>
          <w:highlight w:val="none"/>
          <w:lang w:val="en-US" w:eastAsia="zh-CN" w:bidi="ar"/>
        </w:rPr>
        <w:t>8</w:t>
      </w:r>
      <w:bookmarkStart w:id="550" w:name="_Toc297216187"/>
      <w:bookmarkEnd w:id="550"/>
      <w:bookmarkStart w:id="551" w:name="_Toc312677494"/>
      <w:bookmarkEnd w:id="551"/>
      <w:bookmarkStart w:id="552" w:name="_Toc296890996"/>
      <w:bookmarkEnd w:id="552"/>
      <w:bookmarkStart w:id="553" w:name="_Toc318581173"/>
      <w:bookmarkEnd w:id="553"/>
      <w:bookmarkStart w:id="554" w:name="_Toc300934980"/>
      <w:bookmarkEnd w:id="554"/>
      <w:bookmarkStart w:id="555" w:name="_Toc296503168"/>
      <w:bookmarkEnd w:id="555"/>
      <w:bookmarkStart w:id="556" w:name="_Toc312678020"/>
      <w:bookmarkEnd w:id="556"/>
      <w:bookmarkStart w:id="557" w:name="_Toc297123528"/>
      <w:bookmarkEnd w:id="557"/>
      <w:bookmarkStart w:id="558" w:name="_Toc296347167"/>
      <w:bookmarkEnd w:id="558"/>
      <w:bookmarkStart w:id="559" w:name="_Toc296891208"/>
      <w:bookmarkEnd w:id="559"/>
      <w:bookmarkStart w:id="560" w:name="_Toc297048354"/>
      <w:bookmarkEnd w:id="560"/>
      <w:bookmarkStart w:id="561" w:name="_Toc304295557"/>
      <w:bookmarkEnd w:id="561"/>
      <w:bookmarkStart w:id="562" w:name="_Toc297120468"/>
      <w:bookmarkEnd w:id="562"/>
      <w:bookmarkStart w:id="563" w:name="_Toc292559878"/>
      <w:bookmarkEnd w:id="563"/>
      <w:bookmarkStart w:id="564" w:name="_Toc296944507"/>
      <w:bookmarkEnd w:id="564"/>
      <w:bookmarkStart w:id="565" w:name="_Toc296346669"/>
      <w:bookmarkEnd w:id="565"/>
      <w:bookmarkStart w:id="566" w:name="_Toc292559373"/>
      <w:bookmarkEnd w:id="566"/>
      <w:bookmarkStart w:id="567" w:name="_Toc303539137"/>
      <w:r>
        <w:rPr>
          <w:rFonts w:hint="default" w:ascii="Times New Roman" w:hAnsi="Times New Roman" w:eastAsia="宋体" w:cs="Times New Roman"/>
          <w:color w:val="auto"/>
          <w:kern w:val="0"/>
          <w:sz w:val="21"/>
          <w:szCs w:val="21"/>
          <w:highlight w:val="none"/>
          <w:lang w:val="en-US" w:eastAsia="zh-CN" w:bidi="ar"/>
        </w:rPr>
        <w:t>.4.1</w:t>
      </w:r>
      <w:bookmarkEnd w:id="567"/>
      <w:r>
        <w:rPr>
          <w:rFonts w:hint="eastAsia" w:ascii="宋体" w:hAnsi="宋体" w:eastAsia="宋体" w:cs="宋体"/>
          <w:color w:val="auto"/>
          <w:kern w:val="0"/>
          <w:sz w:val="21"/>
          <w:szCs w:val="21"/>
          <w:highlight w:val="none"/>
          <w:lang w:val="en-US" w:eastAsia="zh-CN" w:bidi="ar"/>
        </w:rPr>
        <w:t>发包人供应的材料设备的保管费用的承担：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B826CA6">
      <w:pPr>
        <w:pStyle w:val="4"/>
        <w:widowControl/>
        <w:shd w:val="clear"/>
        <w:rPr>
          <w:rFonts w:hint="default" w:ascii="Times New Roman" w:hAnsi="Times New Roman" w:eastAsia="宋体" w:cs="Times New Roman"/>
          <w:b/>
          <w:bCs/>
          <w:color w:val="auto"/>
          <w:kern w:val="2"/>
          <w:sz w:val="32"/>
          <w:szCs w:val="32"/>
          <w:highlight w:val="none"/>
        </w:rPr>
      </w:pPr>
      <w:bookmarkStart w:id="568" w:name="_Toc373478381"/>
      <w:bookmarkEnd w:id="568"/>
      <w:bookmarkStart w:id="569" w:name="_Toc373227734"/>
      <w:bookmarkEnd w:id="569"/>
      <w:bookmarkStart w:id="570" w:name="_Toc407135236"/>
      <w:bookmarkEnd w:id="570"/>
      <w:bookmarkStart w:id="571" w:name="_Toc9850564"/>
      <w:bookmarkEnd w:id="571"/>
      <w:bookmarkStart w:id="572" w:name="_Toc389065300"/>
      <w:r>
        <w:rPr>
          <w:rFonts w:hint="default" w:ascii="Times New Roman" w:hAnsi="Times New Roman" w:eastAsia="宋体" w:cs="Times New Roman"/>
          <w:b/>
          <w:bCs/>
          <w:color w:val="auto"/>
          <w:kern w:val="2"/>
          <w:sz w:val="32"/>
          <w:szCs w:val="32"/>
          <w:highlight w:val="none"/>
        </w:rPr>
        <w:t xml:space="preserve">8.6 </w:t>
      </w:r>
      <w:bookmarkEnd w:id="572"/>
      <w:r>
        <w:rPr>
          <w:rFonts w:hint="eastAsia" w:ascii="宋体" w:hAnsi="宋体" w:eastAsia="宋体" w:cs="宋体"/>
          <w:b/>
          <w:bCs/>
          <w:color w:val="auto"/>
          <w:kern w:val="2"/>
          <w:sz w:val="32"/>
          <w:szCs w:val="32"/>
          <w:highlight w:val="none"/>
        </w:rPr>
        <w:t>样品</w:t>
      </w:r>
    </w:p>
    <w:p w14:paraId="07AEB1A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8.6.1 </w:t>
      </w:r>
      <w:r>
        <w:rPr>
          <w:rFonts w:hint="eastAsia" w:ascii="宋体" w:hAnsi="宋体" w:eastAsia="宋体" w:cs="宋体"/>
          <w:color w:val="auto"/>
          <w:kern w:val="0"/>
          <w:sz w:val="21"/>
          <w:szCs w:val="21"/>
          <w:highlight w:val="none"/>
          <w:lang w:val="en-US" w:eastAsia="zh-CN" w:bidi="ar"/>
        </w:rPr>
        <w:t>样品的报送与封存</w:t>
      </w:r>
    </w:p>
    <w:p w14:paraId="0159E1E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需要承包人报送样品的材料或工程设备，样品的种类、名称、规格、数量要求：</w:t>
      </w:r>
      <w:r>
        <w:rPr>
          <w:rFonts w:hint="eastAsia" w:ascii="宋体" w:hAnsi="宋体" w:eastAsia="宋体" w:cs="宋体"/>
          <w:color w:val="auto"/>
          <w:kern w:val="0"/>
          <w:sz w:val="21"/>
          <w:szCs w:val="21"/>
          <w:highlight w:val="none"/>
          <w:u w:val="single"/>
          <w:lang w:val="en-US" w:eastAsia="zh-CN" w:bidi="ar"/>
        </w:rPr>
        <w:t>主要材料涉及品种、款式、颜色等方面内容的，承包人应提交准备合格的材料样品送发包人选定。</w:t>
      </w:r>
    </w:p>
    <w:p w14:paraId="12413896">
      <w:pPr>
        <w:pStyle w:val="4"/>
        <w:widowControl/>
        <w:shd w:val="clear"/>
        <w:rPr>
          <w:rFonts w:hint="default" w:ascii="Times New Roman" w:hAnsi="Times New Roman" w:eastAsia="宋体" w:cs="Times New Roman"/>
          <w:b/>
          <w:bCs/>
          <w:color w:val="auto"/>
          <w:kern w:val="2"/>
          <w:sz w:val="32"/>
          <w:szCs w:val="32"/>
          <w:highlight w:val="none"/>
        </w:rPr>
      </w:pPr>
      <w:bookmarkStart w:id="573" w:name="_Toc9850565"/>
      <w:bookmarkEnd w:id="573"/>
      <w:bookmarkStart w:id="574" w:name="_Toc407135237"/>
      <w:bookmarkEnd w:id="574"/>
      <w:bookmarkStart w:id="575" w:name="_Toc389065301"/>
      <w:bookmarkEnd w:id="575"/>
      <w:bookmarkStart w:id="576" w:name="_Toc373478382"/>
      <w:bookmarkEnd w:id="576"/>
      <w:bookmarkStart w:id="577" w:name="_Toc373227735"/>
      <w:r>
        <w:rPr>
          <w:rFonts w:hint="default" w:ascii="Times New Roman" w:hAnsi="Times New Roman" w:eastAsia="宋体" w:cs="Times New Roman"/>
          <w:b/>
          <w:bCs/>
          <w:color w:val="auto"/>
          <w:kern w:val="2"/>
          <w:sz w:val="32"/>
          <w:szCs w:val="32"/>
          <w:highlight w:val="none"/>
        </w:rPr>
        <w:t xml:space="preserve">8.8 </w:t>
      </w:r>
      <w:bookmarkEnd w:id="577"/>
      <w:r>
        <w:rPr>
          <w:rFonts w:hint="eastAsia" w:ascii="宋体" w:hAnsi="宋体" w:eastAsia="宋体" w:cs="宋体"/>
          <w:b/>
          <w:bCs/>
          <w:color w:val="auto"/>
          <w:kern w:val="2"/>
          <w:sz w:val="32"/>
          <w:szCs w:val="32"/>
          <w:highlight w:val="none"/>
        </w:rPr>
        <w:t>施工设备和临时设施</w:t>
      </w:r>
    </w:p>
    <w:p w14:paraId="49A6781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8.8.1 </w:t>
      </w:r>
      <w:r>
        <w:rPr>
          <w:rFonts w:hint="eastAsia" w:ascii="宋体" w:hAnsi="宋体" w:eastAsia="宋体" w:cs="宋体"/>
          <w:color w:val="auto"/>
          <w:kern w:val="0"/>
          <w:sz w:val="21"/>
          <w:szCs w:val="21"/>
          <w:highlight w:val="none"/>
          <w:lang w:val="en-US" w:eastAsia="zh-CN" w:bidi="ar"/>
        </w:rPr>
        <w:t>承包人提供的施工设备和临时设施</w:t>
      </w:r>
    </w:p>
    <w:p w14:paraId="087A2EDF">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除专用合同条款另有约定的其他独立承包人和监理人指示的他人提供条件外，承包人运入施工场地的所有施工设备以及在施工场地建设的临时设施仅限于用于合同工程。承包人用于本工程的主要机械设备清单见合同附件4。</w:t>
      </w:r>
    </w:p>
    <w:p w14:paraId="17376FB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关于修建临时设施费用承担的约定：</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4DE3842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8.8.2 </w:t>
      </w:r>
      <w:r>
        <w:rPr>
          <w:rFonts w:hint="eastAsia" w:ascii="宋体" w:hAnsi="宋体" w:eastAsia="宋体" w:cs="宋体"/>
          <w:color w:val="auto"/>
          <w:kern w:val="0"/>
          <w:sz w:val="21"/>
          <w:szCs w:val="21"/>
          <w:highlight w:val="none"/>
          <w:lang w:val="en-US" w:eastAsia="zh-CN" w:bidi="ar"/>
        </w:rPr>
        <w:t>发包人提供的施工设备和临时设施</w:t>
      </w:r>
    </w:p>
    <w:p w14:paraId="5F630F5D">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发包人提供的施工设备和临时设施：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EB62396">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highlight w:val="none"/>
        </w:rPr>
      </w:pPr>
      <w:r>
        <w:rPr>
          <w:rFonts w:hint="eastAsia" w:ascii="宋体" w:hAnsi="宋体" w:eastAsia="宋体" w:cs="宋体"/>
          <w:color w:val="auto"/>
          <w:kern w:val="0"/>
          <w:sz w:val="21"/>
          <w:szCs w:val="21"/>
          <w:highlight w:val="none"/>
          <w:lang w:val="en-US" w:eastAsia="zh-CN" w:bidi="ar"/>
        </w:rPr>
        <w:t>发包人提供的施工设备和临时设施的运行、维护、拆除、清运费用的承担人：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由承包人自行承担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07846A2">
      <w:pPr>
        <w:pStyle w:val="3"/>
        <w:widowControl/>
        <w:shd w:val="clear"/>
        <w:rPr>
          <w:rFonts w:hint="default" w:ascii="Arial" w:hAnsi="Arial" w:eastAsia="黑体" w:cs="Times New Roman"/>
          <w:b/>
          <w:bCs w:val="0"/>
          <w:color w:val="auto"/>
          <w:sz w:val="32"/>
          <w:szCs w:val="32"/>
          <w:highlight w:val="none"/>
        </w:rPr>
      </w:pPr>
      <w:bookmarkStart w:id="578" w:name="_Toc9850566"/>
      <w:bookmarkEnd w:id="578"/>
      <w:bookmarkStart w:id="579" w:name="_Toc389065302"/>
      <w:bookmarkEnd w:id="579"/>
      <w:bookmarkStart w:id="580" w:name="_Toc373227736"/>
      <w:bookmarkEnd w:id="580"/>
      <w:bookmarkStart w:id="581" w:name="_Toc373478383"/>
      <w:bookmarkEnd w:id="581"/>
      <w:bookmarkStart w:id="582" w:name="_Toc351203641"/>
      <w:bookmarkEnd w:id="582"/>
      <w:bookmarkStart w:id="583" w:name="_Toc407135238"/>
      <w:bookmarkEnd w:id="583"/>
      <w:r>
        <w:rPr>
          <w:rFonts w:hint="default" w:ascii="Arial" w:hAnsi="Arial" w:eastAsia="黑体" w:cs="Times New Roman"/>
          <w:b/>
          <w:bCs w:val="0"/>
          <w:color w:val="auto"/>
          <w:sz w:val="32"/>
          <w:szCs w:val="32"/>
          <w:highlight w:val="none"/>
        </w:rPr>
        <w:t>9</w:t>
      </w:r>
      <w:bookmarkStart w:id="584" w:name="_Toc300934982"/>
      <w:bookmarkEnd w:id="584"/>
      <w:bookmarkStart w:id="585" w:name="_Toc292559378"/>
      <w:bookmarkEnd w:id="585"/>
      <w:bookmarkStart w:id="586" w:name="_Toc312677495"/>
      <w:bookmarkEnd w:id="586"/>
      <w:bookmarkStart w:id="587" w:name="_Toc312678021"/>
      <w:bookmarkEnd w:id="587"/>
      <w:bookmarkStart w:id="588" w:name="_Toc296347172"/>
      <w:bookmarkEnd w:id="588"/>
      <w:bookmarkStart w:id="589" w:name="_Toc296944512"/>
      <w:bookmarkEnd w:id="589"/>
      <w:bookmarkStart w:id="590" w:name="_Toc297216192"/>
      <w:bookmarkEnd w:id="590"/>
      <w:bookmarkStart w:id="591" w:name="_Toc297048359"/>
      <w:bookmarkEnd w:id="591"/>
      <w:bookmarkStart w:id="592" w:name="_Toc296346674"/>
      <w:bookmarkEnd w:id="592"/>
      <w:bookmarkStart w:id="593" w:name="_Toc296891001"/>
      <w:bookmarkEnd w:id="593"/>
      <w:bookmarkStart w:id="594" w:name="_Toc296503173"/>
      <w:bookmarkEnd w:id="594"/>
      <w:bookmarkStart w:id="595" w:name="_Toc304295559"/>
      <w:bookmarkEnd w:id="595"/>
      <w:bookmarkStart w:id="596" w:name="_Toc303539139"/>
      <w:bookmarkEnd w:id="596"/>
      <w:bookmarkStart w:id="597" w:name="_Toc267251428"/>
      <w:bookmarkEnd w:id="597"/>
      <w:bookmarkStart w:id="598" w:name="_Toc297120473"/>
      <w:bookmarkEnd w:id="598"/>
      <w:bookmarkStart w:id="599" w:name="_Toc267251427"/>
      <w:bookmarkEnd w:id="599"/>
      <w:bookmarkStart w:id="600" w:name="_Toc297123533"/>
      <w:bookmarkEnd w:id="600"/>
      <w:bookmarkStart w:id="601" w:name="_Toc292559883"/>
      <w:bookmarkEnd w:id="601"/>
      <w:bookmarkStart w:id="602" w:name="_Toc296891213"/>
      <w:r>
        <w:rPr>
          <w:rFonts w:hint="default" w:ascii="Arial" w:hAnsi="Arial" w:eastAsia="黑体" w:cs="Times New Roman"/>
          <w:b/>
          <w:bCs w:val="0"/>
          <w:color w:val="auto"/>
          <w:sz w:val="32"/>
          <w:szCs w:val="32"/>
          <w:highlight w:val="none"/>
        </w:rPr>
        <w:t xml:space="preserve">. </w:t>
      </w:r>
      <w:bookmarkEnd w:id="602"/>
      <w:r>
        <w:rPr>
          <w:rFonts w:hint="eastAsia" w:ascii="黑体" w:hAnsi="宋体" w:eastAsia="黑体" w:cs="黑体"/>
          <w:b/>
          <w:bCs w:val="0"/>
          <w:color w:val="auto"/>
          <w:sz w:val="32"/>
          <w:szCs w:val="32"/>
          <w:highlight w:val="none"/>
        </w:rPr>
        <w:t>试验与检验</w:t>
      </w:r>
    </w:p>
    <w:p w14:paraId="5A829999">
      <w:pPr>
        <w:pStyle w:val="4"/>
        <w:widowControl/>
        <w:shd w:val="clear"/>
        <w:rPr>
          <w:rFonts w:hint="default" w:ascii="Times New Roman" w:hAnsi="Times New Roman" w:eastAsia="宋体" w:cs="Times New Roman"/>
          <w:b/>
          <w:bCs/>
          <w:color w:val="auto"/>
          <w:kern w:val="2"/>
          <w:sz w:val="32"/>
          <w:szCs w:val="32"/>
          <w:highlight w:val="none"/>
        </w:rPr>
      </w:pPr>
      <w:bookmarkStart w:id="603" w:name="_Toc389065303"/>
      <w:bookmarkEnd w:id="603"/>
      <w:bookmarkStart w:id="604" w:name="_Toc9850567"/>
      <w:bookmarkEnd w:id="604"/>
      <w:bookmarkStart w:id="605" w:name="_Toc407135239"/>
      <w:bookmarkEnd w:id="605"/>
      <w:bookmarkStart w:id="606" w:name="_Toc373227737"/>
      <w:bookmarkEnd w:id="606"/>
      <w:bookmarkStart w:id="607" w:name="_Toc373478384"/>
      <w:bookmarkEnd w:id="607"/>
      <w:r>
        <w:rPr>
          <w:rFonts w:hint="default" w:ascii="Times New Roman" w:hAnsi="Times New Roman" w:eastAsia="宋体" w:cs="Times New Roman"/>
          <w:b/>
          <w:bCs/>
          <w:color w:val="auto"/>
          <w:kern w:val="2"/>
          <w:sz w:val="32"/>
          <w:szCs w:val="32"/>
          <w:highlight w:val="none"/>
        </w:rPr>
        <w:t>9</w:t>
      </w:r>
      <w:bookmarkStart w:id="608" w:name="_Toc312677496"/>
      <w:bookmarkEnd w:id="608"/>
      <w:bookmarkStart w:id="609" w:name="_Toc297216193"/>
      <w:bookmarkEnd w:id="609"/>
      <w:bookmarkStart w:id="610" w:name="_Toc304295560"/>
      <w:bookmarkEnd w:id="610"/>
      <w:bookmarkStart w:id="611" w:name="_Toc300934983"/>
      <w:bookmarkEnd w:id="611"/>
      <w:bookmarkStart w:id="612" w:name="_Toc303539140"/>
      <w:bookmarkEnd w:id="612"/>
      <w:bookmarkStart w:id="613" w:name="_Toc297123534"/>
      <w:bookmarkEnd w:id="613"/>
      <w:bookmarkStart w:id="614" w:name="_Toc312678022"/>
      <w:r>
        <w:rPr>
          <w:rFonts w:hint="default" w:ascii="Times New Roman" w:hAnsi="Times New Roman" w:eastAsia="宋体" w:cs="Times New Roman"/>
          <w:b/>
          <w:bCs/>
          <w:color w:val="auto"/>
          <w:kern w:val="2"/>
          <w:sz w:val="32"/>
          <w:szCs w:val="32"/>
          <w:highlight w:val="none"/>
        </w:rPr>
        <w:t xml:space="preserve">.1 </w:t>
      </w:r>
      <w:bookmarkEnd w:id="614"/>
      <w:r>
        <w:rPr>
          <w:rFonts w:hint="eastAsia" w:ascii="宋体" w:hAnsi="宋体" w:eastAsia="宋体" w:cs="宋体"/>
          <w:b/>
          <w:bCs/>
          <w:color w:val="auto"/>
          <w:kern w:val="2"/>
          <w:sz w:val="32"/>
          <w:szCs w:val="32"/>
          <w:highlight w:val="none"/>
        </w:rPr>
        <w:t>试验设备与试验人员</w:t>
      </w:r>
    </w:p>
    <w:p w14:paraId="405EF8E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9</w:t>
      </w:r>
      <w:bookmarkStart w:id="615" w:name="_Toc303539141"/>
      <w:bookmarkEnd w:id="615"/>
      <w:bookmarkStart w:id="616" w:name="_Toc312677497"/>
      <w:bookmarkEnd w:id="616"/>
      <w:bookmarkStart w:id="617" w:name="_Toc300934984"/>
      <w:bookmarkEnd w:id="617"/>
      <w:bookmarkStart w:id="618" w:name="_Toc304295561"/>
      <w:bookmarkEnd w:id="618"/>
      <w:bookmarkStart w:id="619" w:name="_Toc312678023"/>
      <w:bookmarkEnd w:id="619"/>
      <w:bookmarkStart w:id="620" w:name="_Toc297216194"/>
      <w:bookmarkEnd w:id="620"/>
      <w:bookmarkStart w:id="621" w:name="_Toc297123535"/>
      <w:bookmarkEnd w:id="621"/>
      <w:bookmarkStart w:id="622" w:name="_Toc318581174"/>
      <w:r>
        <w:rPr>
          <w:rFonts w:hint="default" w:ascii="Times New Roman" w:hAnsi="Times New Roman" w:eastAsia="宋体" w:cs="Times New Roman"/>
          <w:color w:val="auto"/>
          <w:kern w:val="0"/>
          <w:sz w:val="21"/>
          <w:szCs w:val="21"/>
          <w:highlight w:val="none"/>
          <w:lang w:val="en-US" w:eastAsia="zh-CN" w:bidi="ar"/>
        </w:rPr>
        <w:t xml:space="preserve">.1.2 </w:t>
      </w:r>
      <w:bookmarkEnd w:id="622"/>
      <w:r>
        <w:rPr>
          <w:rFonts w:hint="eastAsia" w:ascii="宋体" w:hAnsi="宋体" w:eastAsia="宋体" w:cs="宋体"/>
          <w:color w:val="auto"/>
          <w:kern w:val="0"/>
          <w:sz w:val="21"/>
          <w:szCs w:val="21"/>
          <w:highlight w:val="none"/>
          <w:lang w:val="en-US" w:eastAsia="zh-CN" w:bidi="ar"/>
        </w:rPr>
        <w:t>试验设备</w:t>
      </w:r>
    </w:p>
    <w:p w14:paraId="6B15530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施工现场需要配置的试验场所：</w:t>
      </w:r>
      <w:bookmarkStart w:id="623" w:name="_Toc312678024"/>
      <w:bookmarkEnd w:id="623"/>
      <w:bookmarkStart w:id="624" w:name="_Toc303539142"/>
      <w:bookmarkEnd w:id="624"/>
      <w:bookmarkStart w:id="625" w:name="_Toc297216195"/>
      <w:bookmarkEnd w:id="625"/>
      <w:bookmarkStart w:id="626" w:name="_Toc304295562"/>
      <w:bookmarkEnd w:id="626"/>
      <w:bookmarkStart w:id="627" w:name="_Toc312677498"/>
      <w:bookmarkEnd w:id="627"/>
      <w:bookmarkStart w:id="628" w:name="_Toc297123536"/>
      <w:bookmarkEnd w:id="628"/>
      <w:bookmarkStart w:id="629" w:name="_Toc300934985"/>
      <w:bookmarkEnd w:id="629"/>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3679E61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施工现场需要配备的试验设备：</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D5A331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施工现场需要具备的其他试验条件：</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35FABAF">
      <w:pPr>
        <w:pStyle w:val="4"/>
        <w:widowControl/>
        <w:shd w:val="clear"/>
        <w:rPr>
          <w:rFonts w:hint="default" w:ascii="Times New Roman" w:hAnsi="Times New Roman" w:eastAsia="宋体" w:cs="Times New Roman"/>
          <w:b/>
          <w:bCs/>
          <w:color w:val="auto"/>
          <w:kern w:val="2"/>
          <w:sz w:val="32"/>
          <w:szCs w:val="32"/>
          <w:highlight w:val="none"/>
        </w:rPr>
      </w:pPr>
      <w:bookmarkStart w:id="630" w:name="_Toc407135240"/>
      <w:bookmarkEnd w:id="630"/>
      <w:bookmarkStart w:id="631" w:name="_Toc373227738"/>
      <w:bookmarkEnd w:id="631"/>
      <w:bookmarkStart w:id="632" w:name="_Toc373478385"/>
      <w:bookmarkEnd w:id="632"/>
      <w:bookmarkStart w:id="633" w:name="_Toc389065304"/>
      <w:bookmarkEnd w:id="633"/>
      <w:bookmarkStart w:id="634" w:name="_Toc9850568"/>
      <w:r>
        <w:rPr>
          <w:rFonts w:hint="default" w:ascii="Times New Roman" w:hAnsi="Times New Roman" w:eastAsia="宋体" w:cs="Times New Roman"/>
          <w:b/>
          <w:bCs/>
          <w:color w:val="auto"/>
          <w:kern w:val="2"/>
          <w:sz w:val="32"/>
          <w:szCs w:val="32"/>
          <w:highlight w:val="none"/>
        </w:rPr>
        <w:t xml:space="preserve">9.4 </w:t>
      </w:r>
      <w:bookmarkEnd w:id="634"/>
      <w:r>
        <w:rPr>
          <w:rFonts w:hint="eastAsia" w:ascii="宋体" w:hAnsi="宋体" w:eastAsia="宋体" w:cs="宋体"/>
          <w:b/>
          <w:bCs/>
          <w:color w:val="auto"/>
          <w:kern w:val="2"/>
          <w:sz w:val="32"/>
          <w:szCs w:val="32"/>
          <w:highlight w:val="none"/>
        </w:rPr>
        <w:t>现场工艺试验</w:t>
      </w:r>
      <w:r>
        <w:rPr>
          <w:rFonts w:hint="default" w:ascii="Times New Roman" w:hAnsi="Times New Roman" w:eastAsia="宋体" w:cs="Times New Roman"/>
          <w:b/>
          <w:bCs/>
          <w:color w:val="auto"/>
          <w:kern w:val="2"/>
          <w:sz w:val="32"/>
          <w:szCs w:val="32"/>
          <w:highlight w:val="none"/>
        </w:rPr>
        <w:t xml:space="preserve"> </w:t>
      </w:r>
    </w:p>
    <w:p w14:paraId="2AC7EC9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现场工艺试验的有关约定：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承包人根据施工现场情况自行安排</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02DCAFF">
      <w:pPr>
        <w:pStyle w:val="4"/>
        <w:widowControl/>
        <w:shd w:val="clear"/>
        <w:rPr>
          <w:rFonts w:hint="default" w:ascii="Times New Roman" w:hAnsi="Times New Roman" w:eastAsia="宋体" w:cs="Times New Roman"/>
          <w:b/>
          <w:bCs/>
          <w:color w:val="auto"/>
          <w:kern w:val="2"/>
          <w:sz w:val="32"/>
          <w:szCs w:val="32"/>
          <w:highlight w:val="none"/>
        </w:rPr>
      </w:pPr>
      <w:bookmarkStart w:id="635" w:name="_Toc9850569"/>
      <w:bookmarkEnd w:id="635"/>
      <w:bookmarkStart w:id="636" w:name="_Toc407135241"/>
      <w:bookmarkEnd w:id="636"/>
      <w:bookmarkStart w:id="637" w:name="OLE_LINK1"/>
      <w:r>
        <w:rPr>
          <w:rFonts w:hint="default" w:ascii="Times New Roman" w:hAnsi="Times New Roman" w:eastAsia="宋体" w:cs="Times New Roman"/>
          <w:b/>
          <w:bCs/>
          <w:color w:val="auto"/>
          <w:kern w:val="2"/>
          <w:sz w:val="32"/>
          <w:szCs w:val="32"/>
          <w:highlight w:val="none"/>
        </w:rPr>
        <w:t xml:space="preserve">9.5 </w:t>
      </w:r>
      <w:bookmarkEnd w:id="637"/>
      <w:r>
        <w:rPr>
          <w:rFonts w:hint="eastAsia" w:ascii="宋体" w:hAnsi="宋体" w:eastAsia="宋体" w:cs="宋体"/>
          <w:b/>
          <w:bCs/>
          <w:color w:val="auto"/>
          <w:kern w:val="2"/>
          <w:sz w:val="32"/>
          <w:szCs w:val="32"/>
          <w:highlight w:val="none"/>
        </w:rPr>
        <w:t>检验费用</w:t>
      </w:r>
    </w:p>
    <w:p w14:paraId="297696A2">
      <w:pPr>
        <w:keepNext w:val="0"/>
        <w:keepLines w:val="0"/>
        <w:widowControl w:val="0"/>
        <w:suppressLineNumbers w:val="0"/>
        <w:shd w:val="clear"/>
        <w:spacing w:before="0" w:beforeAutospacing="0" w:after="0" w:afterAutospacing="0" w:line="360" w:lineRule="auto"/>
        <w:ind w:left="0" w:right="0" w:firstLine="411" w:firstLineChars="196"/>
        <w:jc w:val="both"/>
        <w:rPr>
          <w:rFonts w:hint="default" w:ascii="Times New Roman" w:hAnsi="Times New Roman" w:eastAsia="宋体" w:cs="Times New Roman"/>
          <w:color w:val="auto"/>
          <w:sz w:val="21"/>
          <w:szCs w:val="21"/>
          <w:highlight w:val="none"/>
        </w:rPr>
      </w:pPr>
      <w:bookmarkStart w:id="638" w:name="_Toc373227739"/>
      <w:bookmarkEnd w:id="638"/>
      <w:bookmarkStart w:id="639" w:name="_Toc407135242"/>
      <w:bookmarkEnd w:id="639"/>
      <w:bookmarkStart w:id="640" w:name="_Toc389065305"/>
      <w:bookmarkEnd w:id="640"/>
      <w:bookmarkStart w:id="641" w:name="_Toc9850570"/>
      <w:bookmarkEnd w:id="641"/>
      <w:bookmarkStart w:id="642" w:name="_Toc373478386"/>
      <w:bookmarkEnd w:id="642"/>
      <w:bookmarkStart w:id="643" w:name="_Toc351203642"/>
      <w:bookmarkEnd w:id="643"/>
      <w:r>
        <w:rPr>
          <w:rFonts w:hint="eastAsia" w:ascii="宋体" w:hAnsi="宋体" w:eastAsia="宋体" w:cs="宋体"/>
          <w:color w:val="auto"/>
          <w:kern w:val="0"/>
          <w:sz w:val="21"/>
          <w:szCs w:val="21"/>
          <w:highlight w:val="none"/>
          <w:lang w:val="en-US" w:eastAsia="zh-CN" w:bidi="ar"/>
        </w:rPr>
        <w:t>根据《建设工程质量检测管理办法》（住房和城乡建设部令第</w:t>
      </w:r>
      <w:r>
        <w:rPr>
          <w:rFonts w:hint="default" w:ascii="Times New Roman" w:hAnsi="Times New Roman" w:eastAsia="宋体" w:cs="Times New Roman"/>
          <w:color w:val="auto"/>
          <w:kern w:val="0"/>
          <w:sz w:val="21"/>
          <w:szCs w:val="21"/>
          <w:highlight w:val="none"/>
          <w:lang w:val="en-US" w:eastAsia="zh-CN" w:bidi="ar"/>
        </w:rPr>
        <w:t>57</w:t>
      </w:r>
      <w:r>
        <w:rPr>
          <w:rFonts w:hint="eastAsia" w:ascii="宋体" w:hAnsi="宋体" w:eastAsia="宋体" w:cs="宋体"/>
          <w:color w:val="auto"/>
          <w:kern w:val="0"/>
          <w:sz w:val="21"/>
          <w:szCs w:val="21"/>
          <w:highlight w:val="none"/>
          <w:lang w:val="en-US" w:eastAsia="zh-CN" w:bidi="ar"/>
        </w:rPr>
        <w:t>号）以及《广西壮族自治区建设工程质量检测管理规定》（桂建管〔</w:t>
      </w:r>
      <w:r>
        <w:rPr>
          <w:rFonts w:hint="default" w:ascii="Times New Roman" w:hAnsi="Times New Roman" w:eastAsia="宋体" w:cs="Times New Roman"/>
          <w:color w:val="auto"/>
          <w:kern w:val="0"/>
          <w:sz w:val="21"/>
          <w:szCs w:val="21"/>
          <w:highlight w:val="none"/>
          <w:lang w:val="en-US" w:eastAsia="zh-CN" w:bidi="ar"/>
        </w:rPr>
        <w:t>2013</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号）规定，工程质量检测业务由发包人委托有相应资质的检测机构检测。费用从发包人的项目建设经费中支出并直接支付给检测机构，不计入合同价款内。</w:t>
      </w:r>
    </w:p>
    <w:p w14:paraId="119234BD">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1</w:t>
      </w:r>
      <w:bookmarkStart w:id="644" w:name="_Toc297120493"/>
      <w:bookmarkEnd w:id="644"/>
      <w:bookmarkStart w:id="645" w:name="_Toc312678025"/>
      <w:bookmarkEnd w:id="645"/>
      <w:bookmarkStart w:id="646" w:name="_Toc267251441"/>
      <w:bookmarkEnd w:id="646"/>
      <w:bookmarkStart w:id="647" w:name="_Toc297216199"/>
      <w:bookmarkEnd w:id="647"/>
      <w:bookmarkStart w:id="648" w:name="_Toc300934989"/>
      <w:bookmarkEnd w:id="648"/>
      <w:bookmarkStart w:id="649" w:name="_Toc267251440"/>
      <w:bookmarkEnd w:id="649"/>
      <w:bookmarkStart w:id="650" w:name="_Toc297123540"/>
      <w:bookmarkEnd w:id="650"/>
      <w:bookmarkStart w:id="651" w:name="_Toc267251435"/>
      <w:bookmarkEnd w:id="651"/>
      <w:bookmarkStart w:id="652" w:name="_Toc292559903"/>
      <w:bookmarkEnd w:id="652"/>
      <w:bookmarkStart w:id="653" w:name="_Toc303539146"/>
      <w:bookmarkEnd w:id="653"/>
      <w:bookmarkStart w:id="654" w:name="_Toc267251437"/>
      <w:bookmarkEnd w:id="654"/>
      <w:bookmarkStart w:id="655" w:name="_Toc296891021"/>
      <w:bookmarkEnd w:id="655"/>
      <w:bookmarkStart w:id="656" w:name="_Toc292559398"/>
      <w:bookmarkEnd w:id="656"/>
      <w:bookmarkStart w:id="657" w:name="_Toc296346694"/>
      <w:bookmarkEnd w:id="657"/>
      <w:bookmarkStart w:id="658" w:name="_Toc267251433"/>
      <w:bookmarkEnd w:id="658"/>
      <w:bookmarkStart w:id="659" w:name="_Toc267251439"/>
      <w:bookmarkEnd w:id="659"/>
      <w:bookmarkStart w:id="660" w:name="_Toc297048379"/>
      <w:bookmarkEnd w:id="660"/>
      <w:bookmarkStart w:id="661" w:name="_Toc312677499"/>
      <w:bookmarkEnd w:id="661"/>
      <w:bookmarkStart w:id="662" w:name="_Toc296944532"/>
      <w:bookmarkEnd w:id="662"/>
      <w:bookmarkStart w:id="663" w:name="_Toc304295566"/>
      <w:bookmarkEnd w:id="663"/>
      <w:bookmarkStart w:id="664" w:name="_Toc296891233"/>
      <w:bookmarkEnd w:id="664"/>
      <w:bookmarkStart w:id="665" w:name="_Toc296347192"/>
      <w:bookmarkEnd w:id="665"/>
      <w:bookmarkStart w:id="666" w:name="_Toc296503193"/>
      <w:bookmarkEnd w:id="666"/>
      <w:bookmarkStart w:id="667" w:name="_Toc267251442"/>
      <w:r>
        <w:rPr>
          <w:rFonts w:hint="default" w:ascii="Arial" w:hAnsi="Arial" w:eastAsia="黑体" w:cs="Times New Roman"/>
          <w:b/>
          <w:bCs w:val="0"/>
          <w:color w:val="auto"/>
          <w:sz w:val="32"/>
          <w:szCs w:val="32"/>
          <w:highlight w:val="none"/>
        </w:rPr>
        <w:t xml:space="preserve">0. </w:t>
      </w:r>
      <w:bookmarkEnd w:id="667"/>
      <w:r>
        <w:rPr>
          <w:rFonts w:hint="eastAsia" w:ascii="黑体" w:hAnsi="宋体" w:eastAsia="黑体" w:cs="黑体"/>
          <w:b/>
          <w:bCs w:val="0"/>
          <w:color w:val="auto"/>
          <w:sz w:val="32"/>
          <w:szCs w:val="32"/>
          <w:highlight w:val="none"/>
        </w:rPr>
        <w:t>变更</w:t>
      </w:r>
    </w:p>
    <w:p w14:paraId="363DE280">
      <w:pPr>
        <w:pStyle w:val="4"/>
        <w:widowControl/>
        <w:shd w:val="clear"/>
        <w:rPr>
          <w:rFonts w:hint="default" w:ascii="Times New Roman" w:hAnsi="Times New Roman" w:eastAsia="宋体" w:cs="Times New Roman"/>
          <w:b/>
          <w:bCs/>
          <w:color w:val="auto"/>
          <w:kern w:val="2"/>
          <w:sz w:val="32"/>
          <w:szCs w:val="32"/>
          <w:highlight w:val="none"/>
        </w:rPr>
      </w:pPr>
      <w:bookmarkStart w:id="668" w:name="_Toc407135243"/>
      <w:bookmarkEnd w:id="668"/>
      <w:bookmarkStart w:id="669" w:name="_Toc9850571"/>
      <w:bookmarkEnd w:id="669"/>
      <w:bookmarkStart w:id="670" w:name="_Toc389065306"/>
      <w:bookmarkEnd w:id="670"/>
      <w:bookmarkStart w:id="671" w:name="_Toc373478387"/>
      <w:bookmarkEnd w:id="671"/>
      <w:bookmarkStart w:id="672" w:name="_Toc373227740"/>
      <w:r>
        <w:rPr>
          <w:rFonts w:hint="default" w:ascii="Times New Roman" w:hAnsi="Times New Roman" w:eastAsia="宋体" w:cs="Times New Roman"/>
          <w:b/>
          <w:bCs/>
          <w:color w:val="auto"/>
          <w:kern w:val="2"/>
          <w:sz w:val="32"/>
          <w:szCs w:val="32"/>
          <w:highlight w:val="none"/>
        </w:rPr>
        <w:t>1</w:t>
      </w:r>
      <w:bookmarkEnd w:id="672"/>
      <w:bookmarkStart w:id="673" w:name="_Toc296891022"/>
      <w:bookmarkEnd w:id="673"/>
      <w:bookmarkStart w:id="674" w:name="_Toc297123541"/>
      <w:bookmarkEnd w:id="674"/>
      <w:bookmarkStart w:id="675" w:name="_Toc296347193"/>
      <w:bookmarkEnd w:id="675"/>
      <w:bookmarkStart w:id="676" w:name="_Toc297120494"/>
      <w:bookmarkEnd w:id="676"/>
      <w:bookmarkStart w:id="677" w:name="_Toc303539147"/>
      <w:bookmarkEnd w:id="677"/>
      <w:bookmarkStart w:id="678" w:name="_Toc312678026"/>
      <w:bookmarkEnd w:id="678"/>
      <w:bookmarkStart w:id="679" w:name="_Toc300934990"/>
      <w:bookmarkEnd w:id="679"/>
      <w:bookmarkStart w:id="680" w:name="_Toc296503194"/>
      <w:bookmarkEnd w:id="680"/>
      <w:bookmarkStart w:id="681" w:name="_Toc296944533"/>
      <w:bookmarkEnd w:id="681"/>
      <w:bookmarkStart w:id="682" w:name="_Toc312677500"/>
      <w:bookmarkEnd w:id="682"/>
      <w:bookmarkStart w:id="683" w:name="_Toc296346695"/>
      <w:bookmarkEnd w:id="683"/>
      <w:bookmarkStart w:id="684" w:name="_Toc296891234"/>
      <w:bookmarkEnd w:id="684"/>
      <w:bookmarkStart w:id="685" w:name="_Toc297216200"/>
      <w:bookmarkEnd w:id="685"/>
      <w:bookmarkStart w:id="686" w:name="_Toc297048380"/>
      <w:bookmarkEnd w:id="686"/>
      <w:bookmarkStart w:id="687" w:name="_Toc304295567"/>
      <w:bookmarkEnd w:id="687"/>
      <w:bookmarkStart w:id="688" w:name="_Toc292559399"/>
      <w:bookmarkEnd w:id="688"/>
      <w:bookmarkStart w:id="689" w:name="_Toc292559904"/>
      <w:r>
        <w:rPr>
          <w:rFonts w:hint="default" w:ascii="Times New Roman" w:hAnsi="Times New Roman" w:eastAsia="宋体" w:cs="Times New Roman"/>
          <w:b/>
          <w:bCs/>
          <w:color w:val="auto"/>
          <w:kern w:val="2"/>
          <w:sz w:val="32"/>
          <w:szCs w:val="32"/>
          <w:highlight w:val="none"/>
        </w:rPr>
        <w:t xml:space="preserve">0.1 </w:t>
      </w:r>
      <w:bookmarkEnd w:id="689"/>
      <w:r>
        <w:rPr>
          <w:rFonts w:hint="eastAsia" w:ascii="宋体" w:hAnsi="宋体" w:eastAsia="宋体" w:cs="宋体"/>
          <w:b/>
          <w:bCs/>
          <w:color w:val="auto"/>
          <w:kern w:val="2"/>
          <w:sz w:val="32"/>
          <w:szCs w:val="32"/>
          <w:highlight w:val="none"/>
        </w:rPr>
        <w:t>变更的范围</w:t>
      </w:r>
    </w:p>
    <w:p w14:paraId="7C50B187">
      <w:pPr>
        <w:keepNext w:val="0"/>
        <w:keepLines w:val="0"/>
        <w:widowControl w:val="0"/>
        <w:suppressLineNumbers w:val="0"/>
        <w:shd w:val="clear"/>
        <w:spacing w:before="0" w:beforeAutospacing="0" w:after="0" w:afterAutospacing="0" w:line="360" w:lineRule="auto"/>
        <w:ind w:left="0" w:right="0" w:firstLine="426"/>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关于变更的范围的约定：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以发包人及监理的书面通知、设计变更为准</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1A2DE1F">
      <w:pPr>
        <w:pStyle w:val="4"/>
        <w:widowControl/>
        <w:shd w:val="clear"/>
        <w:rPr>
          <w:rFonts w:hint="default" w:ascii="Times New Roman" w:hAnsi="Times New Roman" w:eastAsia="宋体" w:cs="Times New Roman"/>
          <w:b/>
          <w:bCs/>
          <w:color w:val="auto"/>
          <w:kern w:val="2"/>
          <w:sz w:val="32"/>
          <w:szCs w:val="32"/>
          <w:highlight w:val="none"/>
        </w:rPr>
      </w:pPr>
      <w:bookmarkStart w:id="690" w:name="_Toc373227741"/>
      <w:bookmarkEnd w:id="690"/>
      <w:bookmarkStart w:id="691" w:name="_Toc9850572"/>
      <w:bookmarkEnd w:id="691"/>
      <w:bookmarkStart w:id="692" w:name="_Toc389065307"/>
      <w:bookmarkEnd w:id="692"/>
      <w:bookmarkStart w:id="693" w:name="_Toc407135244"/>
      <w:bookmarkEnd w:id="693"/>
      <w:bookmarkStart w:id="694" w:name="_Toc373478388"/>
      <w:r>
        <w:rPr>
          <w:rFonts w:hint="default" w:ascii="Times New Roman" w:hAnsi="Times New Roman" w:eastAsia="宋体" w:cs="Times New Roman"/>
          <w:b/>
          <w:bCs/>
          <w:color w:val="auto"/>
          <w:kern w:val="2"/>
          <w:sz w:val="32"/>
          <w:szCs w:val="32"/>
          <w:highlight w:val="none"/>
        </w:rPr>
        <w:t xml:space="preserve">10.3 </w:t>
      </w:r>
      <w:bookmarkEnd w:id="694"/>
      <w:r>
        <w:rPr>
          <w:rFonts w:hint="eastAsia" w:ascii="宋体" w:hAnsi="宋体" w:eastAsia="宋体" w:cs="宋体"/>
          <w:b/>
          <w:bCs/>
          <w:color w:val="auto"/>
          <w:kern w:val="2"/>
          <w:sz w:val="32"/>
          <w:szCs w:val="32"/>
          <w:highlight w:val="none"/>
        </w:rPr>
        <w:t>变更程序</w:t>
      </w:r>
    </w:p>
    <w:p w14:paraId="402DC86A">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Times New Roman" w:eastAsia="宋体" w:cs="Times New Roman"/>
          <w:color w:val="auto"/>
          <w:sz w:val="22"/>
          <w:szCs w:val="22"/>
          <w:highlight w:val="none"/>
        </w:rPr>
      </w:pPr>
      <w:r>
        <w:rPr>
          <w:rFonts w:hint="default" w:ascii="Times New Roman" w:hAnsi="Times New Roman" w:eastAsia="宋体" w:cs="Times New Roman"/>
          <w:color w:val="auto"/>
          <w:kern w:val="0"/>
          <w:sz w:val="22"/>
          <w:szCs w:val="22"/>
          <w:highlight w:val="none"/>
          <w:lang w:val="en-US" w:eastAsia="zh-CN" w:bidi="ar"/>
        </w:rPr>
        <w:t>10.3.1</w:t>
      </w:r>
      <w:r>
        <w:rPr>
          <w:rFonts w:hint="eastAsia" w:ascii="宋体" w:hAnsi="宋体" w:eastAsia="宋体" w:cs="宋体"/>
          <w:color w:val="auto"/>
          <w:kern w:val="0"/>
          <w:sz w:val="22"/>
          <w:szCs w:val="22"/>
          <w:highlight w:val="none"/>
          <w:lang w:val="en-US" w:eastAsia="zh-CN" w:bidi="ar"/>
        </w:rPr>
        <w:t>国有投资项目：</w:t>
      </w:r>
    </w:p>
    <w:p w14:paraId="3E58B3B0">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⑴设计变更和工程签证，按各市政府或相关部门的规定办理。属不可抗力（自然灾害、突发事件等）造成变更的，按特事特办原则予以办理。</w:t>
      </w:r>
    </w:p>
    <w:p w14:paraId="2C76F05C">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⑵建设单位在实施项目过程中，若发生单价变动，由发包人、承包人、监理或造价咨询等单位共同商定并签字确认。</w:t>
      </w:r>
    </w:p>
    <w:p w14:paraId="6342D553">
      <w:pPr>
        <w:pStyle w:val="19"/>
        <w:keepNext w:val="0"/>
        <w:keepLines w:val="0"/>
        <w:widowControl w:val="0"/>
        <w:suppressLineNumbers w:val="0"/>
        <w:shd w:val="clear"/>
        <w:spacing w:before="0" w:beforeAutospacing="0" w:after="0" w:afterAutospacing="0" w:line="360" w:lineRule="auto"/>
        <w:ind w:left="0" w:right="0" w:firstLine="462" w:firstLineChars="210"/>
        <w:jc w:val="both"/>
        <w:rPr>
          <w:rFonts w:hint="default" w:ascii="Times New Roman" w:hAnsi="宋体" w:eastAsia="宋体" w:cs="Times New Roman"/>
          <w:bCs/>
          <w:color w:val="auto"/>
          <w:sz w:val="22"/>
          <w:szCs w:val="22"/>
          <w:highlight w:val="none"/>
        </w:rPr>
      </w:pPr>
      <w:r>
        <w:rPr>
          <w:rFonts w:hint="eastAsia" w:ascii="宋体" w:hAnsi="宋体" w:eastAsia="宋体" w:cs="宋体"/>
          <w:bCs/>
          <w:color w:val="auto"/>
          <w:kern w:val="0"/>
          <w:sz w:val="22"/>
          <w:szCs w:val="22"/>
          <w:highlight w:val="none"/>
          <w:lang w:val="en-US" w:eastAsia="zh-CN" w:bidi="ar"/>
        </w:rPr>
        <w:t>⑶</w:t>
      </w:r>
      <w:r>
        <w:rPr>
          <w:rFonts w:hint="default" w:ascii="Times New Roman" w:hAnsi="宋体" w:eastAsia="宋体" w:cs="Times New Roman"/>
          <w:bCs/>
          <w:color w:val="auto"/>
          <w:kern w:val="0"/>
          <w:sz w:val="22"/>
          <w:szCs w:val="22"/>
          <w:highlight w:val="none"/>
          <w:lang w:val="en-US" w:eastAsia="zh-CN" w:bidi="ar"/>
        </w:rPr>
        <w:t xml:space="preserve"> </w:t>
      </w:r>
      <w:r>
        <w:rPr>
          <w:rFonts w:hint="eastAsia" w:ascii="宋体" w:hAnsi="宋体" w:eastAsia="宋体" w:cs="宋体"/>
          <w:bCs/>
          <w:color w:val="auto"/>
          <w:kern w:val="0"/>
          <w:sz w:val="22"/>
          <w:szCs w:val="22"/>
          <w:highlight w:val="none"/>
          <w:lang w:val="en-US" w:eastAsia="zh-CN" w:bidi="ar"/>
        </w:rPr>
        <w:t>当合同规定的合同价款调整情况发生后，承包人未在规定时间内通知发包人，或者未在规定时间内提出调整报告，发包人可以根据有关资料，决定是否调整和调整的金额，并书面通知承包人。</w:t>
      </w:r>
    </w:p>
    <w:p w14:paraId="0D890BE3">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10.3.2 </w:t>
      </w:r>
      <w:r>
        <w:rPr>
          <w:rFonts w:hint="eastAsia" w:ascii="宋体" w:hAnsi="宋体" w:eastAsia="宋体" w:cs="宋体"/>
          <w:color w:val="auto"/>
          <w:kern w:val="0"/>
          <w:sz w:val="21"/>
          <w:szCs w:val="21"/>
          <w:highlight w:val="none"/>
          <w:lang w:val="en-US" w:eastAsia="zh-CN" w:bidi="ar"/>
        </w:rPr>
        <w:t>非国有投资项目：</w:t>
      </w:r>
      <w:r>
        <w:rPr>
          <w:rFonts w:hint="default"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08B60C8">
      <w:pPr>
        <w:pStyle w:val="4"/>
        <w:widowControl/>
        <w:shd w:val="clear"/>
        <w:rPr>
          <w:rFonts w:hint="default" w:ascii="Times New Roman" w:hAnsi="Times New Roman" w:eastAsia="宋体" w:cs="Times New Roman"/>
          <w:b/>
          <w:bCs/>
          <w:color w:val="auto"/>
          <w:kern w:val="2"/>
          <w:sz w:val="32"/>
          <w:szCs w:val="32"/>
          <w:highlight w:val="none"/>
        </w:rPr>
      </w:pPr>
      <w:bookmarkStart w:id="695" w:name="_Toc373478389"/>
      <w:bookmarkEnd w:id="695"/>
      <w:bookmarkStart w:id="696" w:name="_Toc9850573"/>
      <w:bookmarkEnd w:id="696"/>
      <w:bookmarkStart w:id="697" w:name="_Toc389065308"/>
      <w:bookmarkEnd w:id="697"/>
      <w:bookmarkStart w:id="698" w:name="_Toc407135245"/>
      <w:bookmarkEnd w:id="698"/>
      <w:bookmarkStart w:id="699" w:name="_Toc373227742"/>
      <w:r>
        <w:rPr>
          <w:rFonts w:hint="default" w:ascii="Times New Roman" w:hAnsi="Times New Roman" w:eastAsia="宋体" w:cs="Times New Roman"/>
          <w:b/>
          <w:bCs/>
          <w:color w:val="auto"/>
          <w:kern w:val="2"/>
          <w:sz w:val="32"/>
          <w:szCs w:val="32"/>
          <w:highlight w:val="none"/>
        </w:rPr>
        <w:t xml:space="preserve">10.4 </w:t>
      </w:r>
      <w:bookmarkEnd w:id="699"/>
      <w:r>
        <w:rPr>
          <w:rFonts w:hint="eastAsia" w:ascii="宋体" w:hAnsi="宋体" w:eastAsia="宋体" w:cs="宋体"/>
          <w:b/>
          <w:bCs/>
          <w:color w:val="auto"/>
          <w:kern w:val="2"/>
          <w:sz w:val="32"/>
          <w:szCs w:val="32"/>
          <w:highlight w:val="none"/>
        </w:rPr>
        <w:t>变更估价</w:t>
      </w:r>
    </w:p>
    <w:p w14:paraId="6C1E573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10.4.1 </w:t>
      </w:r>
      <w:r>
        <w:rPr>
          <w:rFonts w:hint="eastAsia" w:ascii="宋体" w:hAnsi="宋体" w:eastAsia="宋体" w:cs="宋体"/>
          <w:color w:val="auto"/>
          <w:kern w:val="0"/>
          <w:sz w:val="21"/>
          <w:szCs w:val="21"/>
          <w:highlight w:val="none"/>
          <w:lang w:val="en-US" w:eastAsia="zh-CN" w:bidi="ar"/>
        </w:rPr>
        <w:t>变更估价原则</w:t>
      </w:r>
    </w:p>
    <w:p w14:paraId="5FE22FE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关于变更估价的约定</w:t>
      </w:r>
      <w:r>
        <w:rPr>
          <w:rFonts w:hint="default" w:ascii="Times New Roman" w:hAnsi="Times New Roman" w:eastAsia="宋体" w:cs="Times New Roman"/>
          <w:color w:val="auto"/>
          <w:kern w:val="0"/>
          <w:sz w:val="21"/>
          <w:szCs w:val="21"/>
          <w:highlight w:val="none"/>
          <w:lang w:val="en-US" w:eastAsia="zh-CN" w:bidi="ar"/>
        </w:rPr>
        <w:t xml:space="preserve">: </w:t>
      </w:r>
      <w:bookmarkStart w:id="700" w:name="_Toc251051742"/>
      <w:bookmarkEnd w:id="700"/>
      <w:r>
        <w:rPr>
          <w:rFonts w:hint="eastAsia" w:ascii="宋体" w:hAnsi="宋体" w:eastAsia="宋体" w:cs="宋体"/>
          <w:color w:val="auto"/>
          <w:kern w:val="0"/>
          <w:sz w:val="21"/>
          <w:szCs w:val="21"/>
          <w:highlight w:val="none"/>
          <w:u w:val="single"/>
          <w:lang w:val="en-US" w:eastAsia="zh-CN" w:bidi="ar"/>
        </w:rPr>
        <w:t>工程变更合同价款按下列方法进行：（</w:t>
      </w:r>
      <w:r>
        <w:rPr>
          <w:rFonts w:hint="default" w:ascii="Times New Roman" w:hAnsi="Times New Roman"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）合同中已有相同清单项目的，按合同该清单项目价格进行计算；（</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）合同中只有类似清单项目的，参照该类似清单项目价格进行计算；（</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）合同中没有适用或类似清单项目的价格计算方法：有定额的套定额，并（</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乘以下浮系数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single"/>
          <w:lang w:val="en-US" w:eastAsia="zh-CN" w:bidi="ar"/>
        </w:rPr>
        <w:t>不乘下浮系数）计算，其中：材料设备价格按施工期间的《崇左</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市建设工程造价信息》相应信息价的加权平均值计算，《崇左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r>
        <w:rPr>
          <w:rFonts w:hint="eastAsia" w:ascii="宋体" w:hAnsi="宋体" w:eastAsia="宋体" w:cs="宋体"/>
          <w:color w:val="auto"/>
          <w:kern w:val="0"/>
          <w:sz w:val="21"/>
          <w:szCs w:val="21"/>
          <w:highlight w:val="none"/>
          <w:lang w:val="en-US" w:eastAsia="zh-CN" w:bidi="ar"/>
        </w:rPr>
        <w:t>。以上约定同时适用于招标工程量清单缺项以及工程量清单项目特征与图纸不符时的价款确定。</w:t>
      </w:r>
    </w:p>
    <w:p w14:paraId="1BBBED4C">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lang w:val="en-US" w:eastAsia="zh-CN" w:bidi="ar"/>
        </w:rPr>
        <w:t>工程变更导致实际完成的变更工程量与已标价清单或预算书中列明的该项目工程量有偏差时，其综合单价的确定按专用条款“</w:t>
      </w:r>
      <w:r>
        <w:rPr>
          <w:rFonts w:hint="default" w:ascii="Times New Roman" w:hAnsi="Times New Roman" w:eastAsia="宋体" w:cs="Times New Roman"/>
          <w:color w:val="auto"/>
          <w:kern w:val="0"/>
          <w:sz w:val="21"/>
          <w:szCs w:val="21"/>
          <w:highlight w:val="none"/>
          <w:u w:val="single"/>
          <w:lang w:val="en-US" w:eastAsia="zh-CN" w:bidi="ar"/>
        </w:rPr>
        <w:t>1.13</w:t>
      </w:r>
      <w:r>
        <w:rPr>
          <w:rFonts w:hint="eastAsia" w:ascii="宋体" w:hAnsi="宋体" w:eastAsia="宋体" w:cs="宋体"/>
          <w:color w:val="auto"/>
          <w:kern w:val="0"/>
          <w:sz w:val="21"/>
          <w:szCs w:val="21"/>
          <w:highlight w:val="none"/>
          <w:u w:val="single"/>
          <w:lang w:val="en-US" w:eastAsia="zh-CN" w:bidi="ar"/>
        </w:rPr>
        <w:t>工程量清单错误的修正”执行。</w:t>
      </w:r>
    </w:p>
    <w:p w14:paraId="529F9779">
      <w:pPr>
        <w:pStyle w:val="4"/>
        <w:widowControl/>
        <w:shd w:val="clear"/>
        <w:rPr>
          <w:rFonts w:hint="default" w:ascii="Times New Roman" w:hAnsi="Times New Roman" w:eastAsia="宋体" w:cs="Times New Roman"/>
          <w:b/>
          <w:bCs/>
          <w:color w:val="auto"/>
          <w:kern w:val="2"/>
          <w:sz w:val="32"/>
          <w:szCs w:val="32"/>
          <w:highlight w:val="none"/>
        </w:rPr>
      </w:pPr>
      <w:bookmarkStart w:id="701" w:name="_Toc373478390"/>
      <w:bookmarkEnd w:id="701"/>
      <w:bookmarkStart w:id="702" w:name="_Toc407135246"/>
      <w:bookmarkEnd w:id="702"/>
      <w:bookmarkStart w:id="703" w:name="_Toc389065309"/>
      <w:bookmarkEnd w:id="703"/>
      <w:bookmarkStart w:id="704" w:name="_Toc373227743"/>
      <w:bookmarkEnd w:id="704"/>
      <w:bookmarkStart w:id="705" w:name="_Toc9850574"/>
      <w:r>
        <w:rPr>
          <w:rFonts w:hint="default" w:ascii="Times New Roman" w:hAnsi="Times New Roman" w:eastAsia="宋体" w:cs="Times New Roman"/>
          <w:b/>
          <w:bCs/>
          <w:color w:val="auto"/>
          <w:kern w:val="2"/>
          <w:sz w:val="32"/>
          <w:szCs w:val="32"/>
          <w:highlight w:val="none"/>
        </w:rPr>
        <w:t>1</w:t>
      </w:r>
      <w:bookmarkEnd w:id="705"/>
      <w:bookmarkStart w:id="706" w:name="_Toc300934993"/>
      <w:bookmarkEnd w:id="706"/>
      <w:bookmarkStart w:id="707" w:name="_Toc303539150"/>
      <w:bookmarkEnd w:id="707"/>
      <w:bookmarkStart w:id="708" w:name="_Toc297216203"/>
      <w:bookmarkEnd w:id="708"/>
      <w:bookmarkStart w:id="709" w:name="_Toc296891025"/>
      <w:bookmarkEnd w:id="709"/>
      <w:bookmarkStart w:id="710" w:name="_Toc312678029"/>
      <w:bookmarkEnd w:id="710"/>
      <w:bookmarkStart w:id="711" w:name="_Toc312677503"/>
      <w:bookmarkEnd w:id="711"/>
      <w:bookmarkStart w:id="712" w:name="_Toc296891237"/>
      <w:bookmarkEnd w:id="712"/>
      <w:bookmarkStart w:id="713" w:name="_Toc297048383"/>
      <w:bookmarkEnd w:id="713"/>
      <w:bookmarkStart w:id="714" w:name="_Toc304295570"/>
      <w:bookmarkEnd w:id="714"/>
      <w:bookmarkStart w:id="715" w:name="_Toc296346698"/>
      <w:bookmarkEnd w:id="715"/>
      <w:bookmarkStart w:id="716" w:name="_Toc296503197"/>
      <w:bookmarkEnd w:id="716"/>
      <w:bookmarkStart w:id="717" w:name="_Toc297123544"/>
      <w:bookmarkEnd w:id="717"/>
      <w:bookmarkStart w:id="718" w:name="_Toc292559907"/>
      <w:bookmarkEnd w:id="718"/>
      <w:bookmarkStart w:id="719" w:name="_Toc292559402"/>
      <w:bookmarkEnd w:id="719"/>
      <w:bookmarkStart w:id="720" w:name="_Toc296944536"/>
      <w:bookmarkEnd w:id="720"/>
      <w:bookmarkStart w:id="721" w:name="_Toc297120497"/>
      <w:bookmarkEnd w:id="721"/>
      <w:bookmarkStart w:id="722" w:name="_Toc296347196"/>
      <w:bookmarkEnd w:id="722"/>
      <w:r>
        <w:rPr>
          <w:rFonts w:hint="default" w:ascii="Times New Roman" w:hAnsi="Times New Roman" w:eastAsia="宋体" w:cs="Times New Roman"/>
          <w:b/>
          <w:bCs/>
          <w:color w:val="auto"/>
          <w:kern w:val="2"/>
          <w:sz w:val="32"/>
          <w:szCs w:val="32"/>
          <w:highlight w:val="none"/>
        </w:rPr>
        <w:t xml:space="preserve">0.5 </w:t>
      </w:r>
      <w:r>
        <w:rPr>
          <w:rFonts w:hint="eastAsia" w:ascii="宋体" w:hAnsi="宋体" w:eastAsia="宋体" w:cs="宋体"/>
          <w:b/>
          <w:bCs/>
          <w:color w:val="auto"/>
          <w:kern w:val="2"/>
          <w:sz w:val="32"/>
          <w:szCs w:val="32"/>
          <w:highlight w:val="none"/>
        </w:rPr>
        <w:t>承</w:t>
      </w:r>
      <w:bookmarkStart w:id="723" w:name="_Toc297123545"/>
      <w:bookmarkEnd w:id="723"/>
      <w:bookmarkStart w:id="724" w:name="_Toc296346704"/>
      <w:bookmarkEnd w:id="724"/>
      <w:bookmarkStart w:id="725" w:name="_Toc297120503"/>
      <w:bookmarkEnd w:id="725"/>
      <w:bookmarkStart w:id="726" w:name="_Toc297216204"/>
      <w:bookmarkEnd w:id="726"/>
      <w:bookmarkStart w:id="727" w:name="_Toc300934994"/>
      <w:bookmarkEnd w:id="727"/>
      <w:bookmarkStart w:id="728" w:name="_Toc297048389"/>
      <w:bookmarkEnd w:id="728"/>
      <w:bookmarkStart w:id="729" w:name="_Toc296891243"/>
      <w:bookmarkEnd w:id="729"/>
      <w:bookmarkStart w:id="730" w:name="_Toc292559913"/>
      <w:bookmarkEnd w:id="730"/>
      <w:bookmarkStart w:id="731" w:name="_Toc296347202"/>
      <w:bookmarkEnd w:id="731"/>
      <w:bookmarkStart w:id="732" w:name="_Toc303539151"/>
      <w:bookmarkEnd w:id="732"/>
      <w:bookmarkStart w:id="733" w:name="_Toc292559408"/>
      <w:bookmarkEnd w:id="733"/>
      <w:bookmarkStart w:id="734" w:name="_Toc296891031"/>
      <w:bookmarkEnd w:id="734"/>
      <w:bookmarkStart w:id="735" w:name="_Toc296503203"/>
      <w:bookmarkEnd w:id="735"/>
      <w:bookmarkStart w:id="736" w:name="_Toc296944542"/>
      <w:bookmarkEnd w:id="736"/>
      <w:r>
        <w:rPr>
          <w:rFonts w:hint="eastAsia" w:ascii="宋体" w:hAnsi="宋体" w:eastAsia="宋体" w:cs="宋体"/>
          <w:b/>
          <w:bCs/>
          <w:color w:val="auto"/>
          <w:kern w:val="2"/>
          <w:sz w:val="32"/>
          <w:szCs w:val="32"/>
          <w:highlight w:val="none"/>
        </w:rPr>
        <w:t>包人的合理化建议</w:t>
      </w:r>
    </w:p>
    <w:p w14:paraId="3B1B4B9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737" w:name="_Toc389065310"/>
      <w:bookmarkEnd w:id="737"/>
      <w:bookmarkStart w:id="738" w:name="_Toc407135247"/>
      <w:bookmarkEnd w:id="738"/>
      <w:bookmarkStart w:id="739" w:name="_Toc9850575"/>
      <w:bookmarkEnd w:id="739"/>
      <w:bookmarkStart w:id="740" w:name="_Toc373478391"/>
      <w:bookmarkEnd w:id="740"/>
      <w:bookmarkStart w:id="741" w:name="_Toc373227744"/>
      <w:bookmarkEnd w:id="741"/>
      <w:r>
        <w:rPr>
          <w:rFonts w:hint="eastAsia" w:ascii="宋体" w:hAnsi="宋体" w:eastAsia="宋体" w:cs="宋体"/>
          <w:color w:val="auto"/>
          <w:kern w:val="0"/>
          <w:sz w:val="21"/>
          <w:szCs w:val="21"/>
          <w:highlight w:val="none"/>
          <w:lang w:val="en-US" w:eastAsia="zh-CN" w:bidi="ar"/>
        </w:rPr>
        <w:t>监理人审查承包人合理化建议的期限：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收到承包人提交的合理化建议后5天内审核完毕并报送发包人</w:t>
      </w:r>
      <w:r>
        <w:rPr>
          <w:rFonts w:hint="eastAsia" w:ascii="宋体" w:hAnsi="宋体" w:eastAsia="宋体" w:cs="宋体"/>
          <w:color w:val="auto"/>
          <w:kern w:val="0"/>
          <w:sz w:val="21"/>
          <w:szCs w:val="21"/>
          <w:highlight w:val="none"/>
          <w:lang w:val="en-US" w:eastAsia="zh-CN" w:bidi="ar"/>
        </w:rPr>
        <w:t>。</w:t>
      </w:r>
    </w:p>
    <w:p w14:paraId="52D207E8">
      <w:pPr>
        <w:keepNext w:val="0"/>
        <w:keepLines w:val="0"/>
        <w:widowControl w:val="0"/>
        <w:suppressLineNumbers w:val="0"/>
        <w:shd w:val="clear"/>
        <w:spacing w:before="0" w:beforeAutospacing="0" w:after="0" w:afterAutospacing="0" w:line="300" w:lineRule="exact"/>
        <w:ind w:left="0" w:right="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发包人审批承包人合理化建议的期限：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收到承包人提交的合理化建议后5天内审核完毕并报送发包人</w:t>
      </w:r>
      <w:r>
        <w:rPr>
          <w:rFonts w:hint="eastAsia" w:ascii="宋体" w:hAnsi="宋体" w:eastAsia="宋体" w:cs="宋体"/>
          <w:color w:val="auto"/>
          <w:kern w:val="0"/>
          <w:sz w:val="21"/>
          <w:szCs w:val="21"/>
          <w:highlight w:val="none"/>
          <w:lang w:val="en-US" w:eastAsia="zh-CN" w:bidi="ar"/>
        </w:rPr>
        <w:t>。</w:t>
      </w:r>
    </w:p>
    <w:p w14:paraId="79F43BC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p>
    <w:p w14:paraId="0249946D">
      <w:pPr>
        <w:keepNext w:val="0"/>
        <w:keepLines w:val="0"/>
        <w:widowControl w:val="0"/>
        <w:suppressLineNumbers w:val="0"/>
        <w:shd w:val="clear"/>
        <w:spacing w:before="0" w:beforeAutospacing="0" w:after="0" w:afterAutospacing="0" w:line="360" w:lineRule="auto"/>
        <w:ind w:left="416" w:leftChars="208" w:right="0" w:firstLine="0" w:firstLineChars="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w:t>
      </w:r>
      <w:bookmarkStart w:id="742" w:name="_Toc312678030"/>
      <w:bookmarkEnd w:id="742"/>
      <w:bookmarkStart w:id="743" w:name="_Toc296346705"/>
      <w:bookmarkEnd w:id="743"/>
      <w:bookmarkStart w:id="744" w:name="_Toc296944543"/>
      <w:bookmarkEnd w:id="744"/>
      <w:bookmarkStart w:id="745" w:name="_Toc292559409"/>
      <w:bookmarkEnd w:id="745"/>
      <w:bookmarkStart w:id="746" w:name="_Toc296891032"/>
      <w:bookmarkEnd w:id="746"/>
      <w:bookmarkStart w:id="747" w:name="_Toc292559914"/>
      <w:bookmarkEnd w:id="747"/>
      <w:bookmarkStart w:id="748" w:name="_Toc297048390"/>
      <w:bookmarkEnd w:id="748"/>
      <w:bookmarkStart w:id="749" w:name="_Toc312677504"/>
      <w:bookmarkEnd w:id="749"/>
      <w:bookmarkStart w:id="750" w:name="_Toc304295571"/>
      <w:bookmarkEnd w:id="750"/>
      <w:bookmarkStart w:id="751" w:name="_Toc296503204"/>
      <w:bookmarkEnd w:id="751"/>
      <w:bookmarkStart w:id="752" w:name="_Toc303539152"/>
      <w:bookmarkEnd w:id="752"/>
      <w:bookmarkStart w:id="753" w:name="_Toc297120504"/>
      <w:bookmarkEnd w:id="753"/>
      <w:bookmarkStart w:id="754" w:name="_Toc318581175"/>
      <w:bookmarkEnd w:id="754"/>
      <w:bookmarkStart w:id="755" w:name="_Toc296347203"/>
      <w:bookmarkEnd w:id="755"/>
      <w:bookmarkStart w:id="756" w:name="_Toc297123546"/>
      <w:bookmarkEnd w:id="756"/>
      <w:bookmarkStart w:id="757" w:name="_Toc296891244"/>
      <w:bookmarkEnd w:id="757"/>
      <w:bookmarkStart w:id="758" w:name="_Toc297216205"/>
      <w:bookmarkEnd w:id="758"/>
      <w:bookmarkStart w:id="759" w:name="_Toc300934995"/>
      <w:r>
        <w:rPr>
          <w:rFonts w:hint="eastAsia" w:ascii="宋体" w:hAnsi="宋体" w:eastAsia="宋体" w:cs="宋体"/>
          <w:color w:val="auto"/>
          <w:kern w:val="0"/>
          <w:sz w:val="21"/>
          <w:szCs w:val="21"/>
          <w:highlight w:val="none"/>
          <w:lang w:val="en-US" w:eastAsia="zh-CN" w:bidi="ar"/>
        </w:rPr>
        <w:t>包人提出的合理化建议降低了合同价格或者提高了工程经济效益的奖励的方法和金额为：</w:t>
      </w:r>
      <w:bookmarkEnd w:id="759"/>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94EEA5C">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1</w:t>
      </w:r>
      <w:bookmarkStart w:id="760" w:name="_Toc292559404"/>
      <w:bookmarkEnd w:id="760"/>
      <w:bookmarkStart w:id="761" w:name="_Toc297120499"/>
      <w:bookmarkEnd w:id="761"/>
      <w:bookmarkStart w:id="762" w:name="_Toc304295574"/>
      <w:bookmarkEnd w:id="762"/>
      <w:bookmarkStart w:id="763" w:name="_Toc300934997"/>
      <w:bookmarkEnd w:id="763"/>
      <w:bookmarkStart w:id="764" w:name="_Toc297048385"/>
      <w:bookmarkEnd w:id="764"/>
      <w:bookmarkStart w:id="765" w:name="_Toc296347198"/>
      <w:bookmarkEnd w:id="765"/>
      <w:bookmarkStart w:id="766" w:name="_Toc296891239"/>
      <w:bookmarkEnd w:id="766"/>
      <w:bookmarkStart w:id="767" w:name="_Toc297123548"/>
      <w:bookmarkEnd w:id="767"/>
      <w:bookmarkStart w:id="768" w:name="_Toc312677507"/>
      <w:bookmarkEnd w:id="768"/>
      <w:bookmarkStart w:id="769" w:name="_Toc296346700"/>
      <w:bookmarkEnd w:id="769"/>
      <w:bookmarkStart w:id="770" w:name="_Toc296944538"/>
      <w:bookmarkEnd w:id="770"/>
      <w:bookmarkStart w:id="771" w:name="_Toc297216207"/>
      <w:bookmarkEnd w:id="771"/>
      <w:bookmarkStart w:id="772" w:name="_Toc312678033"/>
      <w:bookmarkEnd w:id="772"/>
      <w:bookmarkStart w:id="773" w:name="_Toc296503199"/>
      <w:bookmarkEnd w:id="773"/>
      <w:bookmarkStart w:id="774" w:name="_Toc296891027"/>
      <w:bookmarkEnd w:id="774"/>
      <w:bookmarkStart w:id="775" w:name="_Toc303539154"/>
      <w:bookmarkEnd w:id="775"/>
      <w:bookmarkStart w:id="776" w:name="_Toc292559909"/>
      <w:r>
        <w:rPr>
          <w:rFonts w:hint="default" w:ascii="Times New Roman" w:hAnsi="Times New Roman" w:eastAsia="宋体" w:cs="Times New Roman"/>
          <w:b/>
          <w:bCs/>
          <w:color w:val="auto"/>
          <w:kern w:val="2"/>
          <w:sz w:val="32"/>
          <w:szCs w:val="32"/>
          <w:highlight w:val="none"/>
        </w:rPr>
        <w:t xml:space="preserve">0.7 </w:t>
      </w:r>
      <w:bookmarkEnd w:id="776"/>
      <w:r>
        <w:rPr>
          <w:rFonts w:hint="eastAsia" w:ascii="宋体" w:hAnsi="宋体" w:eastAsia="宋体" w:cs="宋体"/>
          <w:b/>
          <w:bCs/>
          <w:color w:val="auto"/>
          <w:kern w:val="2"/>
          <w:sz w:val="32"/>
          <w:szCs w:val="32"/>
          <w:highlight w:val="none"/>
        </w:rPr>
        <w:t>暂估价</w:t>
      </w:r>
    </w:p>
    <w:p w14:paraId="3B39154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777" w:name="_Toc407135248"/>
      <w:bookmarkEnd w:id="777"/>
      <w:bookmarkStart w:id="778" w:name="_Toc9850576"/>
      <w:bookmarkEnd w:id="778"/>
      <w:bookmarkStart w:id="779" w:name="_Toc389065311"/>
      <w:bookmarkEnd w:id="779"/>
      <w:bookmarkStart w:id="780" w:name="_Toc373478392"/>
      <w:bookmarkEnd w:id="780"/>
      <w:bookmarkStart w:id="781" w:name="_Toc373227745"/>
      <w:bookmarkEnd w:id="781"/>
      <w:r>
        <w:rPr>
          <w:rFonts w:hint="eastAsia" w:ascii="宋体" w:hAnsi="宋体" w:eastAsia="宋体" w:cs="宋体"/>
          <w:color w:val="auto"/>
          <w:kern w:val="0"/>
          <w:sz w:val="21"/>
          <w:szCs w:val="21"/>
          <w:highlight w:val="none"/>
          <w:lang w:val="en-US" w:eastAsia="zh-CN" w:bidi="ar"/>
        </w:rPr>
        <w:t>暂</w:t>
      </w:r>
      <w:bookmarkStart w:id="782" w:name="_Toc312677508"/>
      <w:bookmarkEnd w:id="782"/>
      <w:bookmarkStart w:id="783" w:name="_Toc318581176"/>
      <w:bookmarkEnd w:id="783"/>
      <w:bookmarkStart w:id="784" w:name="_Toc312678034"/>
      <w:r>
        <w:rPr>
          <w:rFonts w:hint="eastAsia" w:ascii="宋体" w:hAnsi="宋体" w:eastAsia="宋体" w:cs="宋体"/>
          <w:color w:val="auto"/>
          <w:kern w:val="0"/>
          <w:sz w:val="21"/>
          <w:szCs w:val="21"/>
          <w:highlight w:val="none"/>
          <w:lang w:val="en-US" w:eastAsia="zh-CN" w:bidi="ar"/>
        </w:rPr>
        <w:t>估价材料和工程设备的明细详见已标价工程量清单《</w:t>
      </w:r>
      <w:bookmarkEnd w:id="784"/>
      <w:r>
        <w:rPr>
          <w:rFonts w:hint="eastAsia" w:ascii="宋体" w:hAnsi="宋体" w:eastAsia="宋体" w:cs="宋体"/>
          <w:color w:val="auto"/>
          <w:kern w:val="0"/>
          <w:sz w:val="21"/>
          <w:szCs w:val="21"/>
          <w:highlight w:val="none"/>
          <w:lang w:val="en-US" w:eastAsia="zh-CN" w:bidi="ar"/>
        </w:rPr>
        <w:t>材料（工程设备）暂估价格及调整表》（表</w:t>
      </w:r>
      <w:r>
        <w:rPr>
          <w:rFonts w:hint="default" w:ascii="Times New Roman" w:hAnsi="宋体" w:eastAsia="宋体" w:cs="Times New Roman"/>
          <w:color w:val="auto"/>
          <w:kern w:val="0"/>
          <w:sz w:val="21"/>
          <w:szCs w:val="21"/>
          <w:highlight w:val="none"/>
          <w:lang w:val="en-US" w:eastAsia="zh-CN" w:bidi="ar"/>
        </w:rPr>
        <w:t>12-2</w:t>
      </w:r>
      <w:r>
        <w:rPr>
          <w:rFonts w:hint="eastAsia" w:ascii="宋体" w:hAnsi="宋体" w:eastAsia="宋体" w:cs="宋体"/>
          <w:color w:val="auto"/>
          <w:kern w:val="0"/>
          <w:sz w:val="21"/>
          <w:szCs w:val="21"/>
          <w:highlight w:val="none"/>
          <w:lang w:val="en-US" w:eastAsia="zh-CN" w:bidi="ar"/>
        </w:rPr>
        <w:t>）和《专业工程暂估价表》（表</w:t>
      </w:r>
      <w:r>
        <w:rPr>
          <w:rFonts w:hint="default" w:ascii="Times New Roman" w:hAnsi="宋体" w:eastAsia="宋体" w:cs="Times New Roman"/>
          <w:color w:val="auto"/>
          <w:kern w:val="0"/>
          <w:sz w:val="21"/>
          <w:szCs w:val="21"/>
          <w:highlight w:val="none"/>
          <w:lang w:val="en-US" w:eastAsia="zh-CN" w:bidi="ar"/>
        </w:rPr>
        <w:t>12-3</w:t>
      </w:r>
      <w:r>
        <w:rPr>
          <w:rFonts w:hint="eastAsia" w:ascii="宋体" w:hAnsi="宋体" w:eastAsia="宋体" w:cs="宋体"/>
          <w:color w:val="auto"/>
          <w:kern w:val="0"/>
          <w:sz w:val="21"/>
          <w:szCs w:val="21"/>
          <w:highlight w:val="none"/>
          <w:lang w:val="en-US" w:eastAsia="zh-CN" w:bidi="ar"/>
        </w:rPr>
        <w:t>）。</w:t>
      </w:r>
    </w:p>
    <w:p w14:paraId="0428541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bookmarkStart w:id="785" w:name="_Toc318581177"/>
      <w:bookmarkEnd w:id="785"/>
      <w:bookmarkStart w:id="786" w:name="_Toc312678035"/>
      <w:bookmarkEnd w:id="786"/>
      <w:bookmarkStart w:id="787" w:name="_Toc312677509"/>
      <w:r>
        <w:rPr>
          <w:rFonts w:hint="default" w:ascii="Times New Roman" w:hAnsi="Times New Roman" w:eastAsia="宋体" w:cs="Times New Roman"/>
          <w:color w:val="auto"/>
          <w:kern w:val="0"/>
          <w:sz w:val="21"/>
          <w:szCs w:val="21"/>
          <w:highlight w:val="none"/>
          <w:lang w:val="en-US" w:eastAsia="zh-CN" w:bidi="ar"/>
        </w:rPr>
        <w:t xml:space="preserve">0.7.1 </w:t>
      </w:r>
      <w:bookmarkEnd w:id="787"/>
      <w:r>
        <w:rPr>
          <w:rFonts w:hint="eastAsia" w:ascii="宋体" w:hAnsi="宋体" w:eastAsia="宋体" w:cs="宋体"/>
          <w:color w:val="auto"/>
          <w:kern w:val="0"/>
          <w:sz w:val="21"/>
          <w:szCs w:val="21"/>
          <w:highlight w:val="none"/>
          <w:lang w:val="en-US" w:eastAsia="zh-CN" w:bidi="ar"/>
        </w:rPr>
        <w:t>依法必须招标的暂估价项目</w:t>
      </w:r>
    </w:p>
    <w:p w14:paraId="3CEAFDF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对于依法必须招标的暂估价项目的确认和批准采取第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种方式确定。</w:t>
      </w:r>
    </w:p>
    <w:p w14:paraId="0C49D45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10.7.2 </w:t>
      </w:r>
      <w:r>
        <w:rPr>
          <w:rFonts w:hint="eastAsia" w:ascii="宋体" w:hAnsi="宋体" w:eastAsia="宋体" w:cs="宋体"/>
          <w:color w:val="auto"/>
          <w:kern w:val="0"/>
          <w:sz w:val="21"/>
          <w:szCs w:val="21"/>
          <w:highlight w:val="none"/>
          <w:lang w:val="en-US" w:eastAsia="zh-CN" w:bidi="ar"/>
        </w:rPr>
        <w:t>不属于依法必须招标的暂估价项目</w:t>
      </w:r>
    </w:p>
    <w:p w14:paraId="34D282F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对于不属于依法必须招标的暂估价项目的确认和批准采取第</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种方式确定。</w:t>
      </w:r>
    </w:p>
    <w:p w14:paraId="143C7CE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种方式：承包人直接实施的暂估价项目</w:t>
      </w:r>
    </w:p>
    <w:p w14:paraId="56E9337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承包人直接实施的暂估价项目的约定：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工程所需材料采购</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B310E6E">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10.8 </w:t>
      </w:r>
      <w:r>
        <w:rPr>
          <w:rFonts w:hint="eastAsia" w:ascii="宋体" w:hAnsi="宋体" w:eastAsia="宋体" w:cs="宋体"/>
          <w:b/>
          <w:bCs/>
          <w:color w:val="auto"/>
          <w:kern w:val="2"/>
          <w:sz w:val="32"/>
          <w:szCs w:val="32"/>
          <w:highlight w:val="none"/>
        </w:rPr>
        <w:t>暂列金额</w:t>
      </w:r>
    </w:p>
    <w:p w14:paraId="6E83682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合同当事人关于暂列金额使用的约定：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0015663">
      <w:pPr>
        <w:pStyle w:val="3"/>
        <w:widowControl/>
        <w:numPr>
          <w:ilvl w:val="0"/>
          <w:numId w:val="6"/>
        </w:numPr>
        <w:shd w:val="clear"/>
        <w:rPr>
          <w:rFonts w:hint="default" w:ascii="Arial" w:hAnsi="Arial" w:eastAsia="黑体" w:cs="Times New Roman"/>
          <w:b/>
          <w:bCs w:val="0"/>
          <w:color w:val="auto"/>
          <w:sz w:val="32"/>
          <w:szCs w:val="32"/>
          <w:highlight w:val="none"/>
        </w:rPr>
      </w:pPr>
      <w:bookmarkStart w:id="788" w:name="_Toc9850577"/>
      <w:bookmarkEnd w:id="788"/>
      <w:bookmarkStart w:id="789" w:name="_Toc407135249"/>
      <w:bookmarkEnd w:id="789"/>
      <w:bookmarkStart w:id="790" w:name="_Toc373478393"/>
      <w:bookmarkEnd w:id="790"/>
      <w:bookmarkStart w:id="791" w:name="_Toc351203643"/>
      <w:bookmarkEnd w:id="791"/>
      <w:bookmarkStart w:id="792" w:name="_Toc373227746"/>
      <w:bookmarkEnd w:id="792"/>
      <w:bookmarkStart w:id="793" w:name="_Toc389065312"/>
      <w:r>
        <w:rPr>
          <w:rFonts w:hint="eastAsia" w:ascii="黑体" w:hAnsi="宋体" w:eastAsia="黑体" w:cs="黑体"/>
          <w:b/>
          <w:bCs w:val="0"/>
          <w:color w:val="auto"/>
          <w:sz w:val="32"/>
          <w:szCs w:val="32"/>
          <w:highlight w:val="none"/>
        </w:rPr>
        <w:t>价格调整</w:t>
      </w:r>
      <w:bookmarkEnd w:id="793"/>
    </w:p>
    <w:p w14:paraId="013EE7E8">
      <w:pPr>
        <w:pStyle w:val="4"/>
        <w:widowControl/>
        <w:shd w:val="clear"/>
        <w:rPr>
          <w:rFonts w:hint="default" w:ascii="Times New Roman" w:hAnsi="Times New Roman" w:eastAsia="宋体" w:cs="Times New Roman"/>
          <w:b/>
          <w:bCs/>
          <w:color w:val="auto"/>
          <w:kern w:val="2"/>
          <w:sz w:val="32"/>
          <w:szCs w:val="32"/>
          <w:highlight w:val="none"/>
        </w:rPr>
      </w:pPr>
      <w:bookmarkStart w:id="794" w:name="_Toc297048387"/>
      <w:bookmarkEnd w:id="794"/>
      <w:bookmarkStart w:id="795" w:name="_Toc296891029"/>
      <w:bookmarkEnd w:id="795"/>
      <w:bookmarkStart w:id="796" w:name="_Toc292559406"/>
      <w:bookmarkEnd w:id="796"/>
      <w:bookmarkStart w:id="797" w:name="_Toc9850578"/>
      <w:bookmarkEnd w:id="797"/>
      <w:bookmarkStart w:id="798" w:name="_Toc373227747"/>
      <w:bookmarkEnd w:id="798"/>
      <w:bookmarkStart w:id="799" w:name="_Toc297120501"/>
      <w:bookmarkEnd w:id="799"/>
      <w:bookmarkStart w:id="800" w:name="_Toc296346702"/>
      <w:bookmarkEnd w:id="800"/>
      <w:bookmarkStart w:id="801" w:name="_Toc373478394"/>
      <w:bookmarkEnd w:id="801"/>
      <w:bookmarkStart w:id="802" w:name="_Toc304295577"/>
      <w:bookmarkEnd w:id="802"/>
      <w:bookmarkStart w:id="803" w:name="_Toc297216209"/>
      <w:bookmarkEnd w:id="803"/>
      <w:bookmarkStart w:id="804" w:name="_Toc292559911"/>
      <w:bookmarkEnd w:id="804"/>
      <w:bookmarkStart w:id="805" w:name="_Toc300935000"/>
      <w:bookmarkEnd w:id="805"/>
      <w:bookmarkStart w:id="806" w:name="_Toc297123550"/>
      <w:bookmarkEnd w:id="806"/>
      <w:bookmarkStart w:id="807" w:name="_Toc312678039"/>
      <w:bookmarkEnd w:id="807"/>
      <w:bookmarkStart w:id="808" w:name="_Toc389065313"/>
      <w:bookmarkEnd w:id="808"/>
      <w:bookmarkStart w:id="809" w:name="_Toc296891241"/>
      <w:bookmarkEnd w:id="809"/>
      <w:bookmarkStart w:id="810" w:name="_Toc296944540"/>
      <w:bookmarkEnd w:id="810"/>
      <w:bookmarkStart w:id="811" w:name="_Toc407135250"/>
      <w:bookmarkEnd w:id="811"/>
      <w:bookmarkStart w:id="812" w:name="_Toc296503201"/>
      <w:bookmarkEnd w:id="812"/>
      <w:bookmarkStart w:id="813" w:name="_Toc303539157"/>
      <w:bookmarkEnd w:id="813"/>
      <w:bookmarkStart w:id="814" w:name="_Toc296347200"/>
      <w:r>
        <w:rPr>
          <w:rFonts w:hint="default" w:ascii="Times New Roman" w:hAnsi="Times New Roman" w:eastAsia="宋体" w:cs="Times New Roman"/>
          <w:b/>
          <w:bCs/>
          <w:color w:val="auto"/>
          <w:kern w:val="2"/>
          <w:sz w:val="32"/>
          <w:szCs w:val="32"/>
          <w:highlight w:val="none"/>
        </w:rPr>
        <w:t xml:space="preserve">11.1 </w:t>
      </w:r>
      <w:bookmarkEnd w:id="814"/>
      <w:r>
        <w:rPr>
          <w:rFonts w:hint="eastAsia" w:ascii="宋体" w:hAnsi="宋体" w:eastAsia="宋体" w:cs="宋体"/>
          <w:b/>
          <w:bCs/>
          <w:color w:val="auto"/>
          <w:kern w:val="2"/>
          <w:sz w:val="32"/>
          <w:szCs w:val="32"/>
          <w:highlight w:val="none"/>
        </w:rPr>
        <w:t>市场价格波动引起的调整</w:t>
      </w:r>
    </w:p>
    <w:p w14:paraId="7DD8BD5A">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bookmarkStart w:id="815" w:name="_Toc351203644"/>
      <w:bookmarkEnd w:id="815"/>
      <w:bookmarkStart w:id="816" w:name="_Toc297048391"/>
      <w:bookmarkEnd w:id="816"/>
      <w:bookmarkStart w:id="817" w:name="_Toc9850579"/>
      <w:bookmarkEnd w:id="817"/>
      <w:bookmarkStart w:id="818" w:name="_Toc303539159"/>
      <w:bookmarkEnd w:id="818"/>
      <w:bookmarkStart w:id="819" w:name="_Toc304295579"/>
      <w:bookmarkEnd w:id="819"/>
      <w:bookmarkStart w:id="820" w:name="_Toc292559915"/>
      <w:bookmarkEnd w:id="820"/>
      <w:bookmarkStart w:id="821" w:name="_Toc296891033"/>
      <w:bookmarkEnd w:id="821"/>
      <w:bookmarkStart w:id="822" w:name="_Toc297123552"/>
      <w:bookmarkEnd w:id="822"/>
      <w:bookmarkStart w:id="823" w:name="_Toc292559410"/>
      <w:bookmarkEnd w:id="823"/>
      <w:bookmarkStart w:id="824" w:name="_Toc296347204"/>
      <w:bookmarkEnd w:id="824"/>
      <w:bookmarkStart w:id="825" w:name="_Toc297120505"/>
      <w:bookmarkEnd w:id="825"/>
      <w:bookmarkStart w:id="826" w:name="_Toc297216211"/>
      <w:bookmarkEnd w:id="826"/>
      <w:bookmarkStart w:id="827" w:name="_Toc296891245"/>
      <w:bookmarkEnd w:id="827"/>
      <w:bookmarkStart w:id="828" w:name="_Toc296346706"/>
      <w:bookmarkEnd w:id="828"/>
      <w:bookmarkStart w:id="829" w:name="_Toc373227748"/>
      <w:bookmarkEnd w:id="829"/>
      <w:bookmarkStart w:id="830" w:name="_Toc300935002"/>
      <w:bookmarkEnd w:id="830"/>
      <w:bookmarkStart w:id="831" w:name="_Toc373478395"/>
      <w:bookmarkEnd w:id="831"/>
      <w:bookmarkStart w:id="832" w:name="_Toc296503205"/>
      <w:bookmarkEnd w:id="832"/>
      <w:bookmarkStart w:id="833" w:name="_Toc407135251"/>
      <w:bookmarkEnd w:id="833"/>
      <w:bookmarkStart w:id="834" w:name="_Toc296944544"/>
      <w:bookmarkEnd w:id="834"/>
      <w:bookmarkStart w:id="835" w:name="_Toc312678040"/>
      <w:bookmarkEnd w:id="835"/>
      <w:r>
        <w:rPr>
          <w:rFonts w:hint="eastAsia" w:ascii="宋体" w:hAnsi="宋体" w:eastAsia="宋体" w:cs="宋体"/>
          <w:color w:val="auto"/>
          <w:kern w:val="0"/>
          <w:sz w:val="21"/>
          <w:szCs w:val="21"/>
          <w:highlight w:val="none"/>
          <w:lang w:val="en-US" w:eastAsia="zh-CN" w:bidi="ar"/>
        </w:rPr>
        <w:t>市场价格波动是否调整合同价格的约定</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否</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p>
    <w:p w14:paraId="0BD8D5BA">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因市场价格波动调整合同价格，采用以下第</w:t>
      </w: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种方式对合同价格进行调整：</w:t>
      </w:r>
    </w:p>
    <w:p w14:paraId="5E1DFE9A">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种方式：采用价格指数进行价格调整。</w:t>
      </w:r>
    </w:p>
    <w:p w14:paraId="13E63D9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关于各可调因子、定值和变值权重，以及基本价格指数及其来源的约定：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p>
    <w:p w14:paraId="3E201834">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第</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种方式：采用造价信息进行价格调整。</w:t>
      </w:r>
    </w:p>
    <w:p w14:paraId="0F332038">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）允许调整的主要材料和设备、基期价格、风险系数、投标报价详见《承包人提供主要材料和设备一览表》</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价差调整部分仅计算税金，除此表列明的材料、设备外，其余材料设备价差原则上不予调整。</w:t>
      </w:r>
    </w:p>
    <w:p w14:paraId="23400BC3">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）主要材料和设备确认价：</w:t>
      </w:r>
    </w:p>
    <w:p w14:paraId="4534911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按施工期间《崇左市建设工程造价信息》材料信息价的加权平均价计算，信息价没有的按通用条款规定确定。</w:t>
      </w:r>
    </w:p>
    <w:p w14:paraId="09DEC917">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lang w:val="en-US"/>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）价差计算方法：</w:t>
      </w:r>
      <w:r>
        <w:rPr>
          <w:rFonts w:hint="eastAsia" w:ascii="宋体" w:hAnsi="宋体" w:cs="宋体"/>
          <w:color w:val="auto"/>
          <w:kern w:val="0"/>
          <w:sz w:val="21"/>
          <w:szCs w:val="21"/>
          <w:highlight w:val="none"/>
          <w:lang w:val="en-US" w:eastAsia="zh-CN" w:bidi="ar"/>
        </w:rPr>
        <w:t xml:space="preserve">   </w:t>
      </w:r>
    </w:p>
    <w:p w14:paraId="55AA67A9">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），价格下跌价差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投标报价（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0A6DADC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投标报价（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），价格下跌价差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63042C78">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确认价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基准单价（</w:t>
      </w:r>
      <w:r>
        <w:rPr>
          <w:rFonts w:hint="default" w:ascii="Times New Roman" w:hAnsi="Times New Roman" w:eastAsia="宋体" w:cs="Times New Roman"/>
          <w:color w:val="auto"/>
          <w:kern w:val="0"/>
          <w:sz w:val="21"/>
          <w:szCs w:val="21"/>
          <w:highlight w:val="none"/>
          <w:lang w:val="en-US" w:eastAsia="zh-CN" w:bidi="ar"/>
        </w:rPr>
        <w:t>1+5%</w:t>
      </w:r>
      <w:r>
        <w:rPr>
          <w:rFonts w:hint="eastAsia" w:ascii="宋体" w:hAnsi="宋体" w:eastAsia="宋体" w:cs="宋体"/>
          <w:color w:val="auto"/>
          <w:kern w:val="0"/>
          <w:sz w:val="21"/>
          <w:szCs w:val="21"/>
          <w:highlight w:val="none"/>
          <w:lang w:val="en-US" w:eastAsia="zh-CN" w:bidi="ar"/>
        </w:rPr>
        <w:t>））</w:t>
      </w:r>
    </w:p>
    <w:p w14:paraId="1733EC0B">
      <w:pPr>
        <w:pStyle w:val="3"/>
        <w:widowControl/>
        <w:shd w:val="clear"/>
        <w:rPr>
          <w:rFonts w:hint="default" w:ascii="Arial" w:hAnsi="Arial" w:eastAsia="黑体" w:cs="Times New Roman"/>
          <w:b/>
          <w:bCs w:val="0"/>
          <w:color w:val="auto"/>
          <w:sz w:val="32"/>
          <w:szCs w:val="32"/>
          <w:highlight w:val="none"/>
        </w:rPr>
      </w:pPr>
      <w:r>
        <w:rPr>
          <w:rFonts w:hint="default" w:ascii="Arial" w:hAnsi="Arial" w:eastAsia="黑体" w:cs="Times New Roman"/>
          <w:b/>
          <w:bCs w:val="0"/>
          <w:color w:val="auto"/>
          <w:sz w:val="32"/>
          <w:szCs w:val="32"/>
          <w:highlight w:val="none"/>
        </w:rPr>
        <w:t xml:space="preserve">12. </w:t>
      </w:r>
      <w:r>
        <w:rPr>
          <w:rFonts w:hint="eastAsia" w:ascii="黑体" w:hAnsi="宋体" w:eastAsia="黑体" w:cs="黑体"/>
          <w:b/>
          <w:bCs w:val="0"/>
          <w:color w:val="auto"/>
          <w:sz w:val="32"/>
          <w:szCs w:val="32"/>
          <w:highlight w:val="none"/>
        </w:rPr>
        <w:t>合同价格、计量与支付</w:t>
      </w:r>
    </w:p>
    <w:p w14:paraId="29D87332">
      <w:pPr>
        <w:pStyle w:val="4"/>
        <w:widowControl/>
        <w:shd w:val="clear"/>
        <w:rPr>
          <w:rFonts w:hint="default" w:ascii="Times New Roman" w:hAnsi="Times New Roman" w:eastAsia="宋体" w:cs="Times New Roman"/>
          <w:b/>
          <w:bCs/>
          <w:color w:val="auto"/>
          <w:kern w:val="2"/>
          <w:sz w:val="32"/>
          <w:szCs w:val="32"/>
          <w:highlight w:val="none"/>
        </w:rPr>
      </w:pPr>
      <w:bookmarkStart w:id="836" w:name="_Toc296346707"/>
      <w:bookmarkEnd w:id="836"/>
      <w:bookmarkStart w:id="837" w:name="_Toc297120506"/>
      <w:bookmarkEnd w:id="837"/>
      <w:bookmarkStart w:id="838" w:name="_Toc292559411"/>
      <w:bookmarkEnd w:id="838"/>
      <w:bookmarkStart w:id="839" w:name="_Toc312678041"/>
      <w:bookmarkEnd w:id="839"/>
      <w:bookmarkStart w:id="840" w:name="_Toc296944545"/>
      <w:bookmarkEnd w:id="840"/>
      <w:bookmarkStart w:id="841" w:name="_Toc296891246"/>
      <w:bookmarkEnd w:id="841"/>
      <w:bookmarkStart w:id="842" w:name="_Toc303539160"/>
      <w:bookmarkEnd w:id="842"/>
      <w:bookmarkStart w:id="843" w:name="_Toc297048392"/>
      <w:bookmarkEnd w:id="843"/>
      <w:bookmarkStart w:id="844" w:name="_Toc297123553"/>
      <w:bookmarkEnd w:id="844"/>
      <w:bookmarkStart w:id="845" w:name="_Toc9850580"/>
      <w:bookmarkEnd w:id="845"/>
      <w:bookmarkStart w:id="846" w:name="_Toc297216212"/>
      <w:bookmarkEnd w:id="846"/>
      <w:bookmarkStart w:id="847" w:name="_Toc300935003"/>
      <w:bookmarkEnd w:id="847"/>
      <w:bookmarkStart w:id="848" w:name="_Toc389065314"/>
      <w:bookmarkEnd w:id="848"/>
      <w:bookmarkStart w:id="849" w:name="_Toc373478396"/>
      <w:bookmarkEnd w:id="849"/>
      <w:bookmarkStart w:id="850" w:name="_Toc296503206"/>
      <w:bookmarkEnd w:id="850"/>
      <w:bookmarkStart w:id="851" w:name="_Toc267251461"/>
      <w:bookmarkEnd w:id="851"/>
      <w:bookmarkStart w:id="852" w:name="_Toc292559916"/>
      <w:bookmarkEnd w:id="852"/>
      <w:bookmarkStart w:id="853" w:name="_Toc304295580"/>
      <w:bookmarkEnd w:id="853"/>
      <w:bookmarkStart w:id="854" w:name="_Toc373227749"/>
      <w:bookmarkEnd w:id="854"/>
      <w:bookmarkStart w:id="855" w:name="_Toc296347205"/>
      <w:bookmarkEnd w:id="855"/>
      <w:bookmarkStart w:id="856" w:name="_Toc407135252"/>
      <w:bookmarkEnd w:id="856"/>
      <w:bookmarkStart w:id="857" w:name="_Toc296891034"/>
      <w:r>
        <w:rPr>
          <w:rFonts w:hint="default" w:ascii="Times New Roman" w:hAnsi="Times New Roman" w:eastAsia="宋体" w:cs="Times New Roman"/>
          <w:b/>
          <w:bCs/>
          <w:color w:val="auto"/>
          <w:kern w:val="2"/>
          <w:sz w:val="32"/>
          <w:szCs w:val="32"/>
          <w:highlight w:val="none"/>
        </w:rPr>
        <w:t xml:space="preserve">12.1 </w:t>
      </w:r>
      <w:bookmarkEnd w:id="857"/>
      <w:r>
        <w:rPr>
          <w:rFonts w:hint="eastAsia" w:ascii="宋体" w:hAnsi="宋体" w:eastAsia="宋体" w:cs="宋体"/>
          <w:b/>
          <w:bCs/>
          <w:color w:val="auto"/>
          <w:kern w:val="2"/>
          <w:sz w:val="32"/>
          <w:szCs w:val="32"/>
          <w:highlight w:val="none"/>
        </w:rPr>
        <w:t>合同价格形式</w:t>
      </w:r>
    </w:p>
    <w:p w14:paraId="123E7CA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bookmarkStart w:id="858" w:name="_Toc297048393"/>
      <w:bookmarkEnd w:id="858"/>
      <w:bookmarkStart w:id="859" w:name="_Toc292559412"/>
      <w:bookmarkEnd w:id="859"/>
      <w:bookmarkStart w:id="860" w:name="_Toc389065315"/>
      <w:bookmarkEnd w:id="860"/>
      <w:bookmarkStart w:id="861" w:name="_Toc296891035"/>
      <w:bookmarkEnd w:id="861"/>
      <w:bookmarkStart w:id="862" w:name="_Toc296346708"/>
      <w:bookmarkEnd w:id="862"/>
      <w:bookmarkStart w:id="863" w:name="_Toc297123554"/>
      <w:bookmarkEnd w:id="863"/>
      <w:bookmarkStart w:id="864" w:name="_Toc296503207"/>
      <w:bookmarkEnd w:id="864"/>
      <w:bookmarkStart w:id="865" w:name="_Toc296891247"/>
      <w:bookmarkEnd w:id="865"/>
      <w:bookmarkStart w:id="866" w:name="_Toc297120507"/>
      <w:bookmarkEnd w:id="866"/>
      <w:bookmarkStart w:id="867" w:name="_Toc297216213"/>
      <w:bookmarkEnd w:id="867"/>
      <w:bookmarkStart w:id="868" w:name="_Toc304295581"/>
      <w:bookmarkEnd w:id="868"/>
      <w:bookmarkStart w:id="869" w:name="_Toc373227750"/>
      <w:bookmarkEnd w:id="869"/>
      <w:bookmarkStart w:id="870" w:name="_Toc300935004"/>
      <w:bookmarkEnd w:id="870"/>
      <w:bookmarkStart w:id="871" w:name="_Toc303539161"/>
      <w:bookmarkEnd w:id="871"/>
      <w:bookmarkStart w:id="872" w:name="_Toc373478397"/>
      <w:bookmarkEnd w:id="872"/>
      <w:bookmarkStart w:id="873" w:name="_Toc292559917"/>
      <w:bookmarkEnd w:id="873"/>
      <w:bookmarkStart w:id="874" w:name="_Toc312678042"/>
      <w:bookmarkEnd w:id="874"/>
      <w:bookmarkStart w:id="875" w:name="_Toc296347206"/>
      <w:bookmarkEnd w:id="875"/>
      <w:bookmarkStart w:id="876" w:name="_Toc296944546"/>
      <w:r>
        <w:rPr>
          <w:rFonts w:hint="eastAsia" w:ascii="宋体" w:hAnsi="宋体" w:eastAsia="宋体" w:cs="宋体"/>
          <w:color w:val="auto"/>
          <w:kern w:val="0"/>
          <w:sz w:val="21"/>
          <w:szCs w:val="21"/>
          <w:highlight w:val="none"/>
          <w:lang w:val="en-US" w:eastAsia="zh-CN" w:bidi="ar"/>
        </w:rPr>
        <w:t>本工程采用</w:t>
      </w:r>
      <w:bookmarkEnd w:id="876"/>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固定单价</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合同价格形式，合同价格包含增值税，本工程计价时采用的增值税计税方法为：</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☑一般计税法</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□简易计税法。</w:t>
      </w:r>
    </w:p>
    <w:p w14:paraId="5609107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）单价合同。</w:t>
      </w:r>
    </w:p>
    <w:p w14:paraId="6B5EC6E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采用综合单价合同方式时，工程量按建设单位、监理单位、施工单位三方确认的竣工图结算。</w:t>
      </w:r>
    </w:p>
    <w:p w14:paraId="07BEB62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综合单价包含的风险范围：</w:t>
      </w:r>
      <w:r>
        <w:rPr>
          <w:rFonts w:hint="eastAsia" w:ascii="宋体" w:hAnsi="宋体" w:eastAsia="宋体" w:cs="宋体"/>
          <w:color w:val="auto"/>
          <w:kern w:val="0"/>
          <w:sz w:val="21"/>
          <w:szCs w:val="21"/>
          <w:highlight w:val="none"/>
          <w:u w:val="single"/>
          <w:lang w:val="en-US" w:eastAsia="zh-CN" w:bidi="ar"/>
        </w:rPr>
        <w:t>除工程变更、项目特征不符、工程量清单缺项、工程量偏差、政策性调整、本工程《承包人提供主要材料和设备一览表》中约定的材料和设备价格变动风险以外的其他风险因素。</w:t>
      </w:r>
    </w:p>
    <w:p w14:paraId="0411E15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风险范围以外合同价格的调整方法：</w:t>
      </w:r>
    </w:p>
    <w:p w14:paraId="3728C387">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①工程变更、项目特征不符、工程量清单缺项：按</w:t>
      </w:r>
      <w:r>
        <w:rPr>
          <w:rFonts w:hint="default" w:ascii="Times New Roman" w:hAnsi="宋体" w:eastAsia="宋体" w:cs="宋体"/>
          <w:color w:val="auto"/>
          <w:kern w:val="0"/>
          <w:sz w:val="21"/>
          <w:szCs w:val="21"/>
          <w:highlight w:val="none"/>
          <w:lang w:val="en-US" w:eastAsia="zh-CN" w:bidi="ar"/>
        </w:rPr>
        <w:t>10.4.1</w:t>
      </w:r>
      <w:r>
        <w:rPr>
          <w:rFonts w:hint="eastAsia" w:ascii="宋体" w:hAnsi="宋体" w:eastAsia="宋体" w:cs="宋体"/>
          <w:color w:val="auto"/>
          <w:kern w:val="0"/>
          <w:sz w:val="21"/>
          <w:szCs w:val="21"/>
          <w:highlight w:val="none"/>
          <w:lang w:val="en-US" w:eastAsia="zh-CN" w:bidi="ar"/>
        </w:rPr>
        <w:t>变更估价原则的约定调整。</w:t>
      </w:r>
    </w:p>
    <w:p w14:paraId="2EC3CDD1">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②工程量偏差：按</w:t>
      </w:r>
      <w:r>
        <w:rPr>
          <w:rFonts w:hint="default" w:ascii="Calibri" w:hAnsi="Calibri" w:eastAsia="宋体" w:cs="Calibri"/>
          <w:color w:val="auto"/>
          <w:kern w:val="0"/>
          <w:sz w:val="21"/>
          <w:szCs w:val="21"/>
          <w:highlight w:val="none"/>
          <w:lang w:val="en-US" w:eastAsia="zh-CN" w:bidi="ar"/>
        </w:rPr>
        <w:t>1.13</w:t>
      </w:r>
      <w:r>
        <w:rPr>
          <w:rFonts w:hint="eastAsia" w:ascii="宋体" w:hAnsi="宋体" w:eastAsia="宋体" w:cs="宋体"/>
          <w:color w:val="auto"/>
          <w:kern w:val="0"/>
          <w:sz w:val="21"/>
          <w:szCs w:val="21"/>
          <w:highlight w:val="none"/>
          <w:lang w:val="en-US" w:eastAsia="zh-CN" w:bidi="ar"/>
        </w:rPr>
        <w:t>工程量清单错误修正的约定调整。</w:t>
      </w:r>
    </w:p>
    <w:p w14:paraId="447CA43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③政策性调整：按自治区住房城乡建设厅或工程所在地住房城乡建设主管部门颁布的文件执行。</w:t>
      </w:r>
    </w:p>
    <w:p w14:paraId="3F92841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④材料价格风险：按</w:t>
      </w:r>
      <w:r>
        <w:rPr>
          <w:rFonts w:hint="default" w:ascii="Times New Roman" w:hAnsi="宋体" w:eastAsia="宋体" w:cs="宋体"/>
          <w:color w:val="auto"/>
          <w:kern w:val="0"/>
          <w:sz w:val="21"/>
          <w:szCs w:val="21"/>
          <w:highlight w:val="none"/>
          <w:lang w:val="en-US" w:eastAsia="zh-CN" w:bidi="ar"/>
        </w:rPr>
        <w:t>11.1</w:t>
      </w:r>
      <w:r>
        <w:rPr>
          <w:rFonts w:hint="eastAsia" w:ascii="宋体" w:hAnsi="宋体" w:eastAsia="宋体" w:cs="宋体"/>
          <w:color w:val="auto"/>
          <w:kern w:val="0"/>
          <w:sz w:val="21"/>
          <w:szCs w:val="21"/>
          <w:highlight w:val="none"/>
          <w:lang w:val="en-US" w:eastAsia="zh-CN" w:bidi="ar"/>
        </w:rPr>
        <w:t>的约定调整。</w:t>
      </w:r>
    </w:p>
    <w:p w14:paraId="23647A0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⑤其它：</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33E2AC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）总价合同。</w:t>
      </w:r>
    </w:p>
    <w:p w14:paraId="7F1E6BB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总价包含的风险范围：包含除工程变更、政策性调整、</w:t>
      </w:r>
      <w:r>
        <w:rPr>
          <w:rFonts w:hint="eastAsia" w:ascii="宋体" w:hAnsi="宋体" w:eastAsia="宋体" w:cs="宋体"/>
          <w:color w:val="auto"/>
          <w:kern w:val="0"/>
          <w:sz w:val="21"/>
          <w:szCs w:val="21"/>
          <w:highlight w:val="none"/>
          <w:u w:val="single"/>
          <w:lang w:val="en-US" w:eastAsia="zh-CN" w:bidi="ar"/>
        </w:rPr>
        <w:t>本工程《承包人提供主要材料和设备一览表》中约定的材料和设备价格变动风险以外的其他风险。除工程变更外，结算时不再对招标施工图对应的工程量重新计量</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2694082">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Times New Roman"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风险范围以外合同价格的调整方法：</w:t>
      </w:r>
    </w:p>
    <w:p w14:paraId="0C9058C9">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①工程变更：按</w:t>
      </w:r>
      <w:r>
        <w:rPr>
          <w:rFonts w:hint="default" w:ascii="Times New Roman" w:hAnsi="宋体" w:eastAsia="宋体" w:cs="宋体"/>
          <w:color w:val="auto"/>
          <w:kern w:val="0"/>
          <w:sz w:val="21"/>
          <w:szCs w:val="21"/>
          <w:highlight w:val="none"/>
          <w:lang w:val="en-US" w:eastAsia="zh-CN" w:bidi="ar"/>
        </w:rPr>
        <w:t>10.4.1</w:t>
      </w:r>
      <w:r>
        <w:rPr>
          <w:rFonts w:hint="eastAsia" w:ascii="宋体" w:hAnsi="宋体" w:eastAsia="宋体" w:cs="宋体"/>
          <w:color w:val="auto"/>
          <w:kern w:val="0"/>
          <w:sz w:val="21"/>
          <w:szCs w:val="21"/>
          <w:highlight w:val="none"/>
          <w:lang w:val="en-US" w:eastAsia="zh-CN" w:bidi="ar"/>
        </w:rPr>
        <w:t>变更估价原则的约定调整。</w:t>
      </w:r>
    </w:p>
    <w:p w14:paraId="116078D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②政策性调整：按自治区住房城乡建设厅或工程所在地住房城乡建设主管部门颁布的文件执行。</w:t>
      </w:r>
    </w:p>
    <w:p w14:paraId="769EDAB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③材料价格风险：按</w:t>
      </w:r>
      <w:r>
        <w:rPr>
          <w:rFonts w:hint="default" w:ascii="Times New Roman" w:hAnsi="宋体" w:eastAsia="宋体" w:cs="宋体"/>
          <w:color w:val="auto"/>
          <w:kern w:val="0"/>
          <w:sz w:val="21"/>
          <w:szCs w:val="21"/>
          <w:highlight w:val="none"/>
          <w:lang w:val="en-US" w:eastAsia="zh-CN" w:bidi="ar"/>
        </w:rPr>
        <w:t>11.1</w:t>
      </w:r>
      <w:r>
        <w:rPr>
          <w:rFonts w:hint="eastAsia" w:ascii="宋体" w:hAnsi="宋体" w:eastAsia="宋体" w:cs="宋体"/>
          <w:color w:val="auto"/>
          <w:kern w:val="0"/>
          <w:sz w:val="21"/>
          <w:szCs w:val="21"/>
          <w:highlight w:val="none"/>
          <w:lang w:val="en-US" w:eastAsia="zh-CN" w:bidi="ar"/>
        </w:rPr>
        <w:t>的约定调整。</w:t>
      </w:r>
    </w:p>
    <w:p w14:paraId="2F9B213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④其它：</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CF9455B">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highlight w:val="none"/>
        </w:rPr>
      </w:pP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）其他价格方式：</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2CAF63DB">
      <w:pPr>
        <w:pStyle w:val="4"/>
        <w:widowControl/>
        <w:shd w:val="clear"/>
        <w:rPr>
          <w:rFonts w:hint="default" w:ascii="Times New Roman" w:hAnsi="Times New Roman" w:eastAsia="宋体" w:cs="Times New Roman"/>
          <w:b/>
          <w:bCs/>
          <w:color w:val="auto"/>
          <w:kern w:val="2"/>
          <w:sz w:val="32"/>
          <w:szCs w:val="32"/>
          <w:highlight w:val="none"/>
        </w:rPr>
      </w:pPr>
      <w:bookmarkStart w:id="877" w:name="_Toc407135253"/>
      <w:bookmarkEnd w:id="877"/>
      <w:bookmarkStart w:id="878" w:name="_Toc9850581"/>
      <w:r>
        <w:rPr>
          <w:rFonts w:hint="default" w:ascii="Times New Roman" w:hAnsi="Times New Roman" w:eastAsia="宋体" w:cs="Times New Roman"/>
          <w:b/>
          <w:bCs/>
          <w:color w:val="auto"/>
          <w:kern w:val="2"/>
          <w:sz w:val="32"/>
          <w:szCs w:val="32"/>
          <w:highlight w:val="none"/>
        </w:rPr>
        <w:t xml:space="preserve">12.2 </w:t>
      </w:r>
      <w:bookmarkEnd w:id="878"/>
      <w:r>
        <w:rPr>
          <w:rFonts w:hint="eastAsia" w:ascii="宋体" w:hAnsi="宋体" w:eastAsia="宋体" w:cs="宋体"/>
          <w:b/>
          <w:bCs/>
          <w:color w:val="auto"/>
          <w:kern w:val="2"/>
          <w:sz w:val="32"/>
          <w:szCs w:val="32"/>
          <w:highlight w:val="none"/>
        </w:rPr>
        <w:t>预付款</w:t>
      </w:r>
    </w:p>
    <w:p w14:paraId="4A3CB8A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879" w:name="_Toc296891039"/>
      <w:bookmarkEnd w:id="879"/>
      <w:bookmarkStart w:id="880" w:name="_Toc292559416"/>
      <w:bookmarkEnd w:id="880"/>
      <w:bookmarkStart w:id="881" w:name="_Toc296891251"/>
      <w:bookmarkEnd w:id="881"/>
      <w:bookmarkStart w:id="882" w:name="_Toc296346712"/>
      <w:bookmarkEnd w:id="882"/>
      <w:bookmarkStart w:id="883" w:name="_Toc296503211"/>
      <w:bookmarkEnd w:id="883"/>
      <w:bookmarkStart w:id="884" w:name="_Toc297123556"/>
      <w:bookmarkEnd w:id="884"/>
      <w:bookmarkStart w:id="885" w:name="_Toc297120511"/>
      <w:bookmarkEnd w:id="885"/>
      <w:bookmarkStart w:id="886" w:name="_Toc303539163"/>
      <w:bookmarkEnd w:id="886"/>
      <w:bookmarkStart w:id="887" w:name="_Toc297216215"/>
      <w:bookmarkEnd w:id="887"/>
      <w:bookmarkStart w:id="888" w:name="_Toc292559921"/>
      <w:bookmarkEnd w:id="888"/>
      <w:bookmarkStart w:id="889" w:name="_Toc296944550"/>
      <w:bookmarkEnd w:id="889"/>
      <w:bookmarkStart w:id="890" w:name="_Toc300935006"/>
      <w:bookmarkEnd w:id="890"/>
      <w:bookmarkStart w:id="891" w:name="_Toc297048397"/>
      <w:bookmarkEnd w:id="891"/>
      <w:bookmarkStart w:id="892" w:name="_Toc296347210"/>
      <w:bookmarkEnd w:id="892"/>
      <w:r>
        <w:rPr>
          <w:rFonts w:hint="default" w:ascii="Times New Roman" w:hAnsi="Times New Roman" w:eastAsia="宋体" w:cs="Times New Roman"/>
          <w:color w:val="auto"/>
          <w:kern w:val="0"/>
          <w:sz w:val="21"/>
          <w:szCs w:val="21"/>
          <w:highlight w:val="none"/>
          <w:lang w:val="en-US" w:eastAsia="zh-CN" w:bidi="ar"/>
        </w:rPr>
        <w:t xml:space="preserve">12.2.1 </w:t>
      </w:r>
      <w:r>
        <w:rPr>
          <w:rFonts w:hint="eastAsia" w:ascii="宋体" w:hAnsi="宋体" w:eastAsia="宋体" w:cs="宋体"/>
          <w:color w:val="auto"/>
          <w:kern w:val="0"/>
          <w:sz w:val="21"/>
          <w:szCs w:val="21"/>
          <w:highlight w:val="none"/>
          <w:lang w:val="en-US" w:eastAsia="zh-CN" w:bidi="ar"/>
        </w:rPr>
        <w:t>预付款的支付</w:t>
      </w:r>
    </w:p>
    <w:p w14:paraId="6FF038D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预付款支付比例或金额：</w:t>
      </w:r>
      <w:r>
        <w:rPr>
          <w:rFonts w:hint="eastAsia" w:ascii="宋体" w:hAnsi="宋体" w:eastAsia="宋体" w:cs="宋体"/>
          <w:color w:val="auto"/>
          <w:kern w:val="0"/>
          <w:sz w:val="21"/>
          <w:szCs w:val="21"/>
          <w:highlight w:val="none"/>
          <w:u w:val="single"/>
          <w:lang w:val="en-US" w:eastAsia="zh-CN" w:bidi="ar"/>
        </w:rPr>
        <w:t>当年安排衔接资金</w:t>
      </w:r>
      <w:r>
        <w:rPr>
          <w:rFonts w:hint="eastAsia" w:ascii="宋体" w:hAnsi="宋体" w:cs="宋体"/>
          <w:color w:val="auto"/>
          <w:kern w:val="0"/>
          <w:sz w:val="21"/>
          <w:szCs w:val="21"/>
          <w:highlight w:val="none"/>
          <w:u w:val="single"/>
          <w:lang w:val="en-US" w:eastAsia="zh-CN" w:bidi="ar"/>
        </w:rPr>
        <w:t>的</w:t>
      </w:r>
      <w:r>
        <w:rPr>
          <w:rFonts w:hint="default" w:ascii="Times New Roman" w:hAnsi="Times New Roman" w:eastAsia="宋体" w:cs="Times New Roman"/>
          <w:color w:val="auto"/>
          <w:kern w:val="0"/>
          <w:sz w:val="21"/>
          <w:szCs w:val="21"/>
          <w:highlight w:val="none"/>
          <w:u w:val="single"/>
          <w:lang w:val="en-US" w:eastAsia="zh-CN" w:bidi="ar"/>
        </w:rPr>
        <w:t>30%</w:t>
      </w:r>
      <w:r>
        <w:rPr>
          <w:rFonts w:hint="eastAsia" w:ascii="宋体" w:hAnsi="宋体" w:eastAsia="宋体" w:cs="宋体"/>
          <w:color w:val="auto"/>
          <w:kern w:val="0"/>
          <w:sz w:val="21"/>
          <w:szCs w:val="21"/>
          <w:highlight w:val="none"/>
          <w:lang w:val="en-US" w:eastAsia="zh-CN" w:bidi="ar"/>
        </w:rPr>
        <w:t>。</w:t>
      </w:r>
    </w:p>
    <w:p w14:paraId="1E4446C8">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预付款支付期限：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承包人进场</w:t>
      </w:r>
      <w:r>
        <w:rPr>
          <w:rFonts w:hint="eastAsia" w:ascii="宋体" w:hAnsi="宋体" w:cs="宋体"/>
          <w:color w:val="auto"/>
          <w:kern w:val="0"/>
          <w:sz w:val="21"/>
          <w:szCs w:val="21"/>
          <w:highlight w:val="none"/>
          <w:u w:val="single"/>
          <w:lang w:val="en-US" w:eastAsia="zh-CN" w:bidi="ar"/>
        </w:rPr>
        <w:t>后并开具等额发票10</w:t>
      </w:r>
      <w:r>
        <w:rPr>
          <w:rFonts w:hint="eastAsia" w:ascii="宋体" w:hAnsi="宋体" w:eastAsia="宋体" w:cs="宋体"/>
          <w:color w:val="auto"/>
          <w:kern w:val="0"/>
          <w:sz w:val="21"/>
          <w:szCs w:val="21"/>
          <w:highlight w:val="none"/>
          <w:u w:val="single"/>
          <w:lang w:val="en-US" w:eastAsia="zh-CN" w:bidi="ar"/>
        </w:rPr>
        <w:t>个工作日内</w:t>
      </w:r>
      <w:r>
        <w:rPr>
          <w:rFonts w:hint="eastAsia" w:ascii="宋体" w:hAnsi="宋体" w:eastAsia="宋体" w:cs="宋体"/>
          <w:color w:val="auto"/>
          <w:kern w:val="0"/>
          <w:sz w:val="21"/>
          <w:szCs w:val="21"/>
          <w:highlight w:val="none"/>
          <w:lang w:val="en-US" w:eastAsia="zh-CN" w:bidi="ar"/>
        </w:rPr>
        <w:t>。</w:t>
      </w:r>
    </w:p>
    <w:p w14:paraId="43E83A2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预付款扣回的方式：</w:t>
      </w:r>
      <w:r>
        <w:rPr>
          <w:rFonts w:hint="eastAsia"/>
          <w:color w:val="auto"/>
          <w:sz w:val="21"/>
          <w:szCs w:val="21"/>
          <w:highlight w:val="none"/>
          <w:u w:val="single"/>
        </w:rPr>
        <w:t>进度款达到</w:t>
      </w:r>
      <w:r>
        <w:rPr>
          <w:rFonts w:hint="eastAsia"/>
          <w:color w:val="auto"/>
          <w:sz w:val="21"/>
          <w:szCs w:val="21"/>
          <w:highlight w:val="none"/>
          <w:u w:val="single"/>
          <w:lang w:val="en-US" w:eastAsia="zh-CN"/>
        </w:rPr>
        <w:t>1</w:t>
      </w:r>
      <w:r>
        <w:rPr>
          <w:rFonts w:hint="eastAsia"/>
          <w:color w:val="auto"/>
          <w:sz w:val="21"/>
          <w:szCs w:val="21"/>
          <w:highlight w:val="none"/>
          <w:u w:val="single"/>
        </w:rPr>
        <w:t>%作为预付款起扣点，从此之后的进度款中按预付款支付比例扣回</w:t>
      </w:r>
      <w:r>
        <w:rPr>
          <w:rFonts w:hint="eastAsia"/>
          <w:color w:val="auto"/>
          <w:sz w:val="21"/>
          <w:szCs w:val="21"/>
          <w:highlight w:val="none"/>
          <w:u w:val="single"/>
          <w:lang w:eastAsia="zh-CN"/>
        </w:rPr>
        <w:t>，</w:t>
      </w:r>
      <w:r>
        <w:rPr>
          <w:rFonts w:hint="eastAsia"/>
          <w:color w:val="auto"/>
          <w:sz w:val="21"/>
          <w:szCs w:val="21"/>
          <w:highlight w:val="none"/>
          <w:u w:val="single"/>
          <w:lang w:val="en-US" w:eastAsia="zh-CN"/>
        </w:rPr>
        <w:t>直至扣完为止</w:t>
      </w:r>
      <w:r>
        <w:rPr>
          <w:rFonts w:hint="eastAsia" w:ascii="宋体" w:hAnsi="宋体" w:eastAsia="宋体" w:cs="宋体"/>
          <w:color w:val="auto"/>
          <w:kern w:val="0"/>
          <w:sz w:val="21"/>
          <w:szCs w:val="21"/>
          <w:highlight w:val="none"/>
          <w:u w:val="single"/>
          <w:lang w:val="en-US" w:eastAsia="zh-CN" w:bidi="ar"/>
        </w:rPr>
        <w:t>。</w:t>
      </w:r>
    </w:p>
    <w:p w14:paraId="37E9184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12.2.2 </w:t>
      </w:r>
      <w:r>
        <w:rPr>
          <w:rFonts w:hint="eastAsia" w:ascii="宋体" w:hAnsi="宋体" w:eastAsia="宋体" w:cs="宋体"/>
          <w:color w:val="auto"/>
          <w:kern w:val="0"/>
          <w:sz w:val="21"/>
          <w:szCs w:val="21"/>
          <w:highlight w:val="none"/>
          <w:lang w:val="en-US" w:eastAsia="zh-CN" w:bidi="ar"/>
        </w:rPr>
        <w:t>预付款担保</w:t>
      </w:r>
    </w:p>
    <w:p w14:paraId="04CA220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承包人提交预付款担保的期限：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A4B76F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预付款担保的形式为：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2E9758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预付款担保格式见合同附件8。预付款支付申请（核准）表见合同附件10</w:t>
      </w:r>
    </w:p>
    <w:p w14:paraId="2AFDB641">
      <w:pPr>
        <w:pStyle w:val="4"/>
        <w:widowControl/>
        <w:shd w:val="clear"/>
        <w:rPr>
          <w:rFonts w:hint="default" w:ascii="Times New Roman" w:hAnsi="Times New Roman" w:eastAsia="宋体" w:cs="Times New Roman"/>
          <w:b/>
          <w:bCs/>
          <w:color w:val="auto"/>
          <w:kern w:val="2"/>
          <w:sz w:val="32"/>
          <w:szCs w:val="32"/>
          <w:highlight w:val="none"/>
        </w:rPr>
      </w:pPr>
      <w:bookmarkStart w:id="893" w:name="_Toc373478398"/>
      <w:bookmarkEnd w:id="893"/>
      <w:bookmarkStart w:id="894" w:name="_Toc9850582"/>
      <w:bookmarkEnd w:id="894"/>
      <w:bookmarkStart w:id="895" w:name="_Toc373227751"/>
      <w:bookmarkEnd w:id="895"/>
      <w:bookmarkStart w:id="896" w:name="_Toc407135254"/>
      <w:bookmarkEnd w:id="896"/>
      <w:bookmarkStart w:id="897" w:name="_Toc389065316"/>
      <w:r>
        <w:rPr>
          <w:rFonts w:hint="default" w:ascii="Times New Roman" w:hAnsi="Times New Roman" w:eastAsia="宋体" w:cs="Times New Roman"/>
          <w:b/>
          <w:bCs/>
          <w:color w:val="auto"/>
          <w:kern w:val="2"/>
          <w:sz w:val="32"/>
          <w:szCs w:val="32"/>
          <w:highlight w:val="none"/>
        </w:rPr>
        <w:t xml:space="preserve">12.3 </w:t>
      </w:r>
      <w:bookmarkEnd w:id="897"/>
      <w:r>
        <w:rPr>
          <w:rFonts w:hint="eastAsia" w:ascii="宋体" w:hAnsi="宋体" w:eastAsia="宋体" w:cs="宋体"/>
          <w:b/>
          <w:bCs/>
          <w:color w:val="auto"/>
          <w:kern w:val="2"/>
          <w:sz w:val="32"/>
          <w:szCs w:val="32"/>
          <w:highlight w:val="none"/>
        </w:rPr>
        <w:t>计量</w:t>
      </w:r>
    </w:p>
    <w:p w14:paraId="7AFDD68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12.3.1 </w:t>
      </w:r>
      <w:r>
        <w:rPr>
          <w:rFonts w:hint="eastAsia" w:ascii="宋体" w:hAnsi="宋体" w:eastAsia="宋体" w:cs="宋体"/>
          <w:color w:val="auto"/>
          <w:kern w:val="0"/>
          <w:sz w:val="21"/>
          <w:szCs w:val="21"/>
          <w:highlight w:val="none"/>
          <w:lang w:val="en-US" w:eastAsia="zh-CN" w:bidi="ar"/>
        </w:rPr>
        <w:t>计量原则</w:t>
      </w:r>
    </w:p>
    <w:p w14:paraId="47D0AB2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工程量计算规则：</w:t>
      </w:r>
      <w:r>
        <w:rPr>
          <w:rFonts w:hint="eastAsia" w:ascii="宋体" w:hAnsi="宋体" w:eastAsia="宋体" w:cs="宋体"/>
          <w:color w:val="auto"/>
          <w:kern w:val="0"/>
          <w:sz w:val="21"/>
          <w:szCs w:val="21"/>
          <w:highlight w:val="none"/>
          <w:u w:val="single"/>
          <w:lang w:val="en-US" w:eastAsia="zh-CN" w:bidi="ar"/>
        </w:rPr>
        <w:t>工程的计量均以《建设工程工程量清单计价规范》（</w:t>
      </w:r>
      <w:r>
        <w:rPr>
          <w:rFonts w:hint="default" w:ascii="Times New Roman" w:hAnsi="Times New Roman" w:eastAsia="宋体" w:cs="Times New Roman"/>
          <w:color w:val="auto"/>
          <w:kern w:val="0"/>
          <w:sz w:val="21"/>
          <w:szCs w:val="21"/>
          <w:highlight w:val="none"/>
          <w:u w:val="single"/>
          <w:lang w:val="en-US" w:eastAsia="zh-CN" w:bidi="ar"/>
        </w:rPr>
        <w:t>GB50500</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）和及其广西壮族自治区实施细则、《建设工程工程量清单计算规范》（</w:t>
      </w:r>
      <w:r>
        <w:rPr>
          <w:rFonts w:hint="default" w:ascii="Times New Roman" w:hAnsi="Times New Roman" w:eastAsia="宋体" w:cs="Times New Roman"/>
          <w:color w:val="auto"/>
          <w:kern w:val="0"/>
          <w:sz w:val="21"/>
          <w:szCs w:val="21"/>
          <w:highlight w:val="none"/>
          <w:u w:val="single"/>
          <w:lang w:val="en-US" w:eastAsia="zh-CN" w:bidi="ar"/>
        </w:rPr>
        <w:t>GB50854~50862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2013</w:t>
      </w:r>
      <w:r>
        <w:rPr>
          <w:rFonts w:hint="eastAsia" w:ascii="宋体" w:hAnsi="宋体" w:eastAsia="宋体" w:cs="宋体"/>
          <w:color w:val="auto"/>
          <w:kern w:val="0"/>
          <w:sz w:val="21"/>
          <w:szCs w:val="21"/>
          <w:highlight w:val="none"/>
          <w:u w:val="single"/>
          <w:lang w:val="en-US" w:eastAsia="zh-CN" w:bidi="ar"/>
        </w:rPr>
        <w:t>）及其广西实施细则、本工程补充项目清单为准。</w:t>
      </w:r>
    </w:p>
    <w:p w14:paraId="2B7517F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12.3.2 </w:t>
      </w:r>
      <w:r>
        <w:rPr>
          <w:rFonts w:hint="eastAsia" w:ascii="宋体" w:hAnsi="宋体" w:eastAsia="宋体" w:cs="宋体"/>
          <w:color w:val="auto"/>
          <w:kern w:val="0"/>
          <w:sz w:val="21"/>
          <w:szCs w:val="21"/>
          <w:highlight w:val="none"/>
          <w:lang w:val="en-US" w:eastAsia="zh-CN" w:bidi="ar"/>
        </w:rPr>
        <w:t>计量周期</w:t>
      </w:r>
    </w:p>
    <w:p w14:paraId="7B321A6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关于计量周期的约定：</w:t>
      </w:r>
      <w:r>
        <w:rPr>
          <w:rFonts w:hint="eastAsia" w:ascii="宋体" w:hAnsi="宋体" w:eastAsia="宋体" w:cs="宋体"/>
          <w:color w:val="auto"/>
          <w:kern w:val="0"/>
          <w:sz w:val="21"/>
          <w:szCs w:val="21"/>
          <w:highlight w:val="none"/>
          <w:u w:val="single"/>
          <w:lang w:val="en-US" w:eastAsia="zh-CN" w:bidi="ar"/>
        </w:rPr>
        <w:t>每月</w:t>
      </w:r>
      <w:r>
        <w:rPr>
          <w:rFonts w:hint="default" w:ascii="Times New Roman" w:hAnsi="Times New Roman" w:eastAsia="宋体" w:cs="Times New Roman"/>
          <w:color w:val="auto"/>
          <w:kern w:val="0"/>
          <w:sz w:val="21"/>
          <w:szCs w:val="21"/>
          <w:highlight w:val="none"/>
          <w:u w:val="single"/>
          <w:lang w:val="en-US" w:eastAsia="zh-CN" w:bidi="ar"/>
        </w:rPr>
        <w:t>25</w:t>
      </w:r>
      <w:r>
        <w:rPr>
          <w:rFonts w:hint="eastAsia" w:ascii="宋体" w:hAnsi="宋体" w:eastAsia="宋体" w:cs="宋体"/>
          <w:color w:val="auto"/>
          <w:kern w:val="0"/>
          <w:sz w:val="21"/>
          <w:szCs w:val="21"/>
          <w:highlight w:val="none"/>
          <w:u w:val="single"/>
          <w:lang w:val="en-US" w:eastAsia="zh-CN" w:bidi="ar"/>
        </w:rPr>
        <w:t>日前</w:t>
      </w:r>
      <w:r>
        <w:rPr>
          <w:rFonts w:hint="eastAsia" w:ascii="宋体" w:hAnsi="宋体" w:eastAsia="宋体" w:cs="宋体"/>
          <w:color w:val="auto"/>
          <w:kern w:val="0"/>
          <w:sz w:val="21"/>
          <w:szCs w:val="21"/>
          <w:highlight w:val="none"/>
          <w:lang w:val="en-US" w:eastAsia="zh-CN" w:bidi="ar"/>
        </w:rPr>
        <w:t>。</w:t>
      </w:r>
    </w:p>
    <w:p w14:paraId="541C596B">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12.3.3 </w:t>
      </w:r>
      <w:r>
        <w:rPr>
          <w:rFonts w:hint="eastAsia" w:ascii="宋体" w:hAnsi="宋体" w:eastAsia="宋体" w:cs="宋体"/>
          <w:color w:val="auto"/>
          <w:kern w:val="0"/>
          <w:sz w:val="21"/>
          <w:szCs w:val="21"/>
          <w:highlight w:val="none"/>
          <w:lang w:val="en-US" w:eastAsia="zh-CN" w:bidi="ar"/>
        </w:rPr>
        <w:t>单价合同的计量</w:t>
      </w:r>
    </w:p>
    <w:p w14:paraId="2F70D7C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关于单价合同计量的约定：</w:t>
      </w:r>
    </w:p>
    <w:p w14:paraId="28CC63AA">
      <w:pPr>
        <w:keepNext w:val="0"/>
        <w:keepLines w:val="0"/>
        <w:widowControl w:val="0"/>
        <w:suppressLineNumbers w:val="0"/>
        <w:shd w:val="clear"/>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 </w:t>
      </w:r>
      <w:r>
        <w:rPr>
          <w:rFonts w:hint="eastAsia" w:ascii="宋体" w:hAnsi="宋体" w:eastAsia="宋体" w:cs="宋体"/>
          <w:color w:val="auto"/>
          <w:kern w:val="0"/>
          <w:sz w:val="21"/>
          <w:szCs w:val="21"/>
          <w:highlight w:val="none"/>
          <w:lang w:val="en-US" w:eastAsia="zh-CN" w:bidi="ar"/>
        </w:rPr>
        <w:t>工程量清单所列的工程量，不能作为承包人按合同履行其责任依据，实际施工中发生的工程量增加或减少并不影响承包人履行合同的责任，工程结算以完成的实际工程量为准。</w:t>
      </w:r>
    </w:p>
    <w:p w14:paraId="0A07296D">
      <w:pPr>
        <w:keepNext w:val="0"/>
        <w:keepLines w:val="0"/>
        <w:widowControl w:val="0"/>
        <w:suppressLineNumbers w:val="0"/>
        <w:shd w:val="clear"/>
        <w:spacing w:before="0" w:beforeAutospacing="0" w:after="0" w:afterAutospacing="0" w:line="360" w:lineRule="auto"/>
        <w:ind w:left="0" w:right="0" w:firstLine="441" w:firstLineChars="21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 </w:t>
      </w:r>
      <w:r>
        <w:rPr>
          <w:rFonts w:hint="eastAsia" w:ascii="宋体" w:hAnsi="宋体" w:eastAsia="宋体" w:cs="宋体"/>
          <w:color w:val="auto"/>
          <w:kern w:val="0"/>
          <w:sz w:val="21"/>
          <w:szCs w:val="21"/>
          <w:highlight w:val="none"/>
          <w:lang w:val="en-US" w:eastAsia="zh-CN" w:bidi="ar"/>
        </w:rPr>
        <w:t>除另有规定外，工程师应按照合同通过计量来核实确定已完成的工程量和价款，承包人应得到该价款扣除保留金后的金额。当工程师要对已完工的工程量进行计量时，应适时地通知承包人参加。</w:t>
      </w:r>
    </w:p>
    <w:p w14:paraId="4BA0F66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12.3.4 </w:t>
      </w:r>
      <w:r>
        <w:rPr>
          <w:rFonts w:hint="eastAsia" w:ascii="宋体" w:hAnsi="宋体" w:eastAsia="宋体" w:cs="宋体"/>
          <w:color w:val="auto"/>
          <w:kern w:val="0"/>
          <w:sz w:val="21"/>
          <w:szCs w:val="21"/>
          <w:highlight w:val="none"/>
          <w:lang w:val="en-US" w:eastAsia="zh-CN" w:bidi="ar"/>
        </w:rPr>
        <w:t>总价合同的计量</w:t>
      </w:r>
    </w:p>
    <w:p w14:paraId="0B8E14F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Calibri" w:hAnsi="Calibri" w:eastAsia="宋体" w:cs="Calibri"/>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）总价合同计量约定：进度款按支付分解表支付，支付分解表在招标完成后签合同之前制定，具体详见本专用合同条款</w:t>
      </w:r>
      <w:r>
        <w:rPr>
          <w:rFonts w:hint="default" w:ascii="Times New Roman" w:hAnsi="Times New Roman" w:eastAsia="宋体" w:cs="Times New Roman"/>
          <w:color w:val="auto"/>
          <w:kern w:val="0"/>
          <w:sz w:val="21"/>
          <w:szCs w:val="21"/>
          <w:highlight w:val="none"/>
          <w:lang w:val="en-US" w:eastAsia="zh-CN" w:bidi="ar"/>
        </w:rPr>
        <w:t>12.4.6</w:t>
      </w:r>
      <w:r>
        <w:rPr>
          <w:rFonts w:hint="eastAsia" w:ascii="宋体" w:hAnsi="宋体" w:eastAsia="宋体" w:cs="宋体"/>
          <w:color w:val="auto"/>
          <w:kern w:val="0"/>
          <w:sz w:val="21"/>
          <w:szCs w:val="21"/>
          <w:highlight w:val="none"/>
          <w:lang w:val="en-US" w:eastAsia="zh-CN" w:bidi="ar"/>
        </w:rPr>
        <w:t>。</w:t>
      </w:r>
    </w:p>
    <w:p w14:paraId="3F1FB14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12.3.6 </w:t>
      </w:r>
      <w:r>
        <w:rPr>
          <w:rFonts w:hint="eastAsia" w:ascii="宋体" w:hAnsi="宋体" w:eastAsia="宋体" w:cs="宋体"/>
          <w:color w:val="auto"/>
          <w:kern w:val="0"/>
          <w:sz w:val="21"/>
          <w:szCs w:val="21"/>
          <w:highlight w:val="none"/>
          <w:lang w:val="en-US" w:eastAsia="zh-CN" w:bidi="ar"/>
        </w:rPr>
        <w:t>其他价格形式合同的计量</w:t>
      </w:r>
    </w:p>
    <w:p w14:paraId="41E794E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其他价格形式的计量方式和程序：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4019E91">
      <w:pPr>
        <w:pStyle w:val="4"/>
        <w:widowControl/>
        <w:shd w:val="clear"/>
        <w:rPr>
          <w:rFonts w:hint="default" w:ascii="Times New Roman" w:hAnsi="Times New Roman" w:eastAsia="宋体" w:cs="Times New Roman"/>
          <w:b/>
          <w:bCs/>
          <w:color w:val="auto"/>
          <w:kern w:val="2"/>
          <w:sz w:val="32"/>
          <w:szCs w:val="32"/>
          <w:highlight w:val="none"/>
        </w:rPr>
      </w:pPr>
      <w:bookmarkStart w:id="898" w:name="_Toc389065317"/>
      <w:bookmarkEnd w:id="898"/>
      <w:bookmarkStart w:id="899" w:name="_Toc9850583"/>
      <w:bookmarkEnd w:id="899"/>
      <w:bookmarkStart w:id="900" w:name="_Toc373227752"/>
      <w:bookmarkEnd w:id="900"/>
      <w:bookmarkStart w:id="901" w:name="_Toc373478399"/>
      <w:bookmarkEnd w:id="901"/>
      <w:bookmarkStart w:id="902" w:name="_Toc407135255"/>
      <w:r>
        <w:rPr>
          <w:rFonts w:hint="default" w:ascii="Times New Roman" w:hAnsi="Times New Roman" w:eastAsia="宋体" w:cs="Times New Roman"/>
          <w:b/>
          <w:bCs/>
          <w:color w:val="auto"/>
          <w:kern w:val="2"/>
          <w:sz w:val="32"/>
          <w:szCs w:val="32"/>
          <w:highlight w:val="none"/>
        </w:rPr>
        <w:t xml:space="preserve">12.4 </w:t>
      </w:r>
      <w:bookmarkEnd w:id="902"/>
      <w:r>
        <w:rPr>
          <w:rFonts w:hint="eastAsia" w:ascii="宋体" w:hAnsi="宋体" w:eastAsia="宋体" w:cs="宋体"/>
          <w:b/>
          <w:bCs/>
          <w:color w:val="auto"/>
          <w:kern w:val="2"/>
          <w:sz w:val="32"/>
          <w:szCs w:val="32"/>
          <w:highlight w:val="none"/>
        </w:rPr>
        <w:t>工程进度款支付</w:t>
      </w:r>
    </w:p>
    <w:p w14:paraId="035144E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12.4.1 </w:t>
      </w:r>
      <w:r>
        <w:rPr>
          <w:rFonts w:hint="eastAsia" w:ascii="宋体" w:hAnsi="宋体" w:eastAsia="宋体" w:cs="宋体"/>
          <w:color w:val="auto"/>
          <w:kern w:val="0"/>
          <w:sz w:val="21"/>
          <w:szCs w:val="21"/>
          <w:highlight w:val="none"/>
          <w:lang w:val="en-US" w:eastAsia="zh-CN" w:bidi="ar"/>
        </w:rPr>
        <w:t>付款周期</w:t>
      </w:r>
    </w:p>
    <w:p w14:paraId="4637A113">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宋体" w:hAnsi="宋体" w:eastAsia="宋体" w:cs="宋体"/>
          <w:bCs/>
          <w:color w:val="auto"/>
          <w:kern w:val="0"/>
          <w:sz w:val="21"/>
          <w:szCs w:val="21"/>
          <w:highlight w:val="none"/>
          <w:u w:val="none"/>
          <w:lang w:val="en-US" w:eastAsia="zh-CN" w:bidi="ar"/>
        </w:rPr>
      </w:pPr>
      <w:r>
        <w:rPr>
          <w:rFonts w:hint="eastAsia" w:ascii="宋体" w:hAnsi="宋体" w:eastAsia="宋体" w:cs="宋体"/>
          <w:bCs/>
          <w:color w:val="auto"/>
          <w:kern w:val="0"/>
          <w:sz w:val="21"/>
          <w:szCs w:val="21"/>
          <w:highlight w:val="none"/>
          <w:u w:val="none"/>
          <w:lang w:val="en-US" w:eastAsia="zh-CN" w:bidi="ar"/>
        </w:rPr>
        <w:t>发包人以银行转帐的方式按进度支付工程款：</w:t>
      </w:r>
    </w:p>
    <w:p w14:paraId="1082CC12">
      <w:pPr>
        <w:spacing w:line="360" w:lineRule="auto"/>
        <w:ind w:firstLine="420" w:firstLineChars="200"/>
        <w:jc w:val="left"/>
        <w:rPr>
          <w:rFonts w:hint="eastAsia" w:hAnsi="宋体" w:eastAsia="宋体" w:cs="宋体"/>
          <w:color w:val="auto"/>
          <w:sz w:val="21"/>
          <w:szCs w:val="21"/>
          <w:highlight w:val="none"/>
          <w:u w:val="single"/>
          <w:lang w:eastAsia="zh-CN"/>
        </w:rPr>
      </w:pPr>
      <w:r>
        <w:rPr>
          <w:rFonts w:hint="eastAsia" w:hAnsi="宋体" w:eastAsia="宋体" w:cs="宋体"/>
          <w:color w:val="auto"/>
          <w:sz w:val="21"/>
          <w:szCs w:val="21"/>
          <w:highlight w:val="none"/>
          <w:u w:val="single"/>
          <w:lang w:eastAsia="zh-CN"/>
        </w:rPr>
        <w:t>①工程款按</w:t>
      </w:r>
      <w:r>
        <w:rPr>
          <w:rFonts w:hint="eastAsia" w:hAnsi="宋体" w:eastAsia="宋体" w:cs="宋体"/>
          <w:color w:val="auto"/>
          <w:sz w:val="21"/>
          <w:szCs w:val="21"/>
          <w:highlight w:val="none"/>
          <w:u w:val="single"/>
          <w:lang w:val="en-US" w:eastAsia="zh-CN"/>
        </w:rPr>
        <w:t>形象</w:t>
      </w:r>
      <w:r>
        <w:rPr>
          <w:rFonts w:hint="eastAsia" w:hAnsi="宋体" w:eastAsia="宋体" w:cs="宋体"/>
          <w:color w:val="auto"/>
          <w:sz w:val="21"/>
          <w:szCs w:val="21"/>
          <w:highlight w:val="none"/>
          <w:u w:val="single"/>
          <w:lang w:eastAsia="zh-CN"/>
        </w:rPr>
        <w:t>进度支付，进度款支付需由承包人提交项目建设工程量清单</w:t>
      </w:r>
      <w:r>
        <w:rPr>
          <w:rFonts w:hint="eastAsia" w:hAnsi="宋体" w:cs="宋体"/>
          <w:color w:val="auto"/>
          <w:sz w:val="21"/>
          <w:szCs w:val="21"/>
          <w:highlight w:val="none"/>
          <w:u w:val="single"/>
          <w:lang w:eastAsia="zh-CN"/>
        </w:rPr>
        <w:t>，</w:t>
      </w:r>
      <w:r>
        <w:rPr>
          <w:rFonts w:hint="eastAsia" w:hAnsi="宋体" w:eastAsia="宋体" w:cs="宋体"/>
          <w:color w:val="auto"/>
          <w:sz w:val="21"/>
          <w:szCs w:val="21"/>
          <w:highlight w:val="none"/>
          <w:u w:val="single"/>
          <w:lang w:val="en-US" w:eastAsia="zh-CN"/>
        </w:rPr>
        <w:t>发包人在</w:t>
      </w:r>
      <w:r>
        <w:rPr>
          <w:rFonts w:hint="eastAsia"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val="en-US" w:eastAsia="zh-CN"/>
        </w:rPr>
        <w:t>支付进度款</w:t>
      </w:r>
      <w:r>
        <w:rPr>
          <w:rFonts w:hint="eastAsia" w:hAnsi="宋体" w:eastAsia="宋体" w:cs="宋体"/>
          <w:color w:val="auto"/>
          <w:sz w:val="21"/>
          <w:szCs w:val="21"/>
          <w:highlight w:val="none"/>
          <w:u w:val="single"/>
          <w:lang w:eastAsia="zh-CN"/>
        </w:rPr>
        <w:t>，工程进度款支付限额为</w:t>
      </w:r>
      <w:r>
        <w:rPr>
          <w:rFonts w:hint="eastAsia" w:hAnsi="宋体" w:cs="宋体"/>
          <w:color w:val="auto"/>
          <w:sz w:val="21"/>
          <w:szCs w:val="21"/>
          <w:highlight w:val="none"/>
          <w:u w:val="single"/>
          <w:lang w:val="en-US" w:eastAsia="zh-CN"/>
        </w:rPr>
        <w:t>已</w:t>
      </w:r>
      <w:r>
        <w:rPr>
          <w:rFonts w:hint="eastAsia" w:asciiTheme="minorEastAsia" w:hAnsiTheme="minorEastAsia" w:eastAsiaTheme="minorEastAsia" w:cstheme="minorEastAsia"/>
          <w:color w:val="auto"/>
          <w:sz w:val="21"/>
          <w:szCs w:val="21"/>
          <w:highlight w:val="none"/>
          <w:u w:val="single"/>
          <w:lang w:val="en-US" w:eastAsia="zh-CN"/>
        </w:rPr>
        <w:t>完成工程量的</w:t>
      </w:r>
      <w:r>
        <w:rPr>
          <w:rFonts w:hint="eastAsia" w:hAnsi="宋体" w:eastAsia="宋体" w:cs="宋体"/>
          <w:color w:val="auto"/>
          <w:sz w:val="21"/>
          <w:szCs w:val="21"/>
          <w:highlight w:val="none"/>
          <w:u w:val="single"/>
          <w:lang w:eastAsia="zh-CN"/>
        </w:rPr>
        <w:t>的8</w:t>
      </w:r>
      <w:r>
        <w:rPr>
          <w:rFonts w:hint="eastAsia" w:hAnsi="宋体" w:cs="宋体"/>
          <w:color w:val="auto"/>
          <w:sz w:val="21"/>
          <w:szCs w:val="21"/>
          <w:highlight w:val="none"/>
          <w:u w:val="single"/>
          <w:lang w:val="en-US" w:eastAsia="zh-CN"/>
        </w:rPr>
        <w:t>0</w:t>
      </w:r>
      <w:r>
        <w:rPr>
          <w:rFonts w:hint="eastAsia" w:hAnsi="宋体" w:eastAsia="宋体" w:cs="宋体"/>
          <w:color w:val="auto"/>
          <w:sz w:val="21"/>
          <w:szCs w:val="21"/>
          <w:highlight w:val="none"/>
          <w:u w:val="single"/>
          <w:lang w:eastAsia="zh-CN"/>
        </w:rPr>
        <w:t xml:space="preserve"> %。</w:t>
      </w:r>
    </w:p>
    <w:p w14:paraId="29DB4030">
      <w:pPr>
        <w:spacing w:line="360" w:lineRule="auto"/>
        <w:ind w:firstLine="420" w:firstLineChars="200"/>
        <w:jc w:val="left"/>
        <w:rPr>
          <w:rFonts w:hint="eastAsia" w:hAnsi="宋体" w:eastAsia="宋体" w:cs="宋体"/>
          <w:color w:val="auto"/>
          <w:sz w:val="21"/>
          <w:szCs w:val="21"/>
          <w:highlight w:val="none"/>
          <w:u w:val="single"/>
        </w:rPr>
      </w:pPr>
      <w:r>
        <w:rPr>
          <w:rFonts w:hint="eastAsia" w:hAnsi="宋体" w:eastAsia="宋体" w:cs="宋体"/>
          <w:color w:val="auto"/>
          <w:sz w:val="21"/>
          <w:szCs w:val="21"/>
          <w:highlight w:val="none"/>
          <w:u w:val="single"/>
          <w:lang w:eastAsia="zh-CN"/>
        </w:rPr>
        <w:t>②工程完工验收达到质量要求，</w:t>
      </w:r>
      <w:r>
        <w:rPr>
          <w:rFonts w:hint="eastAsia" w:hAnsi="宋体" w:eastAsia="宋体" w:cs="宋体"/>
          <w:color w:val="auto"/>
          <w:sz w:val="21"/>
          <w:szCs w:val="21"/>
          <w:highlight w:val="none"/>
          <w:u w:val="single"/>
          <w:lang w:val="en-US" w:eastAsia="zh-CN"/>
        </w:rPr>
        <w:t>发包人在</w:t>
      </w:r>
      <w:r>
        <w:rPr>
          <w:rFonts w:hint="eastAsia" w:hAnsi="宋体" w:eastAsia="宋体" w:cs="宋体"/>
          <w:color w:val="auto"/>
          <w:sz w:val="21"/>
          <w:szCs w:val="21"/>
          <w:highlight w:val="none"/>
          <w:u w:val="single"/>
          <w:lang w:eastAsia="zh-CN"/>
        </w:rPr>
        <w:t>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val="en-US" w:eastAsia="zh-CN"/>
        </w:rPr>
        <w:t>支付进度款，</w:t>
      </w:r>
      <w:r>
        <w:rPr>
          <w:rFonts w:hint="eastAsia" w:ascii="宋体" w:hAnsi="宋体" w:eastAsia="宋体" w:cs="宋体"/>
          <w:color w:val="auto"/>
          <w:kern w:val="0"/>
          <w:sz w:val="21"/>
          <w:szCs w:val="21"/>
          <w:highlight w:val="none"/>
          <w:u w:val="single"/>
          <w:lang w:val="en-US" w:eastAsia="zh-CN" w:bidi="ar"/>
        </w:rPr>
        <w:t>发包人支付</w:t>
      </w:r>
      <w:r>
        <w:rPr>
          <w:rFonts w:hint="eastAsia" w:ascii="宋体" w:hAnsi="宋体" w:cs="宋体"/>
          <w:color w:val="auto"/>
          <w:kern w:val="0"/>
          <w:sz w:val="21"/>
          <w:szCs w:val="21"/>
          <w:highlight w:val="none"/>
          <w:u w:val="single"/>
          <w:lang w:val="en-US" w:eastAsia="zh-CN" w:bidi="ar"/>
        </w:rPr>
        <w:t>至</w:t>
      </w:r>
      <w:r>
        <w:rPr>
          <w:rFonts w:hint="eastAsia" w:ascii="宋体" w:hAnsi="宋体" w:eastAsia="宋体" w:cs="宋体"/>
          <w:color w:val="auto"/>
          <w:kern w:val="0"/>
          <w:sz w:val="21"/>
          <w:szCs w:val="21"/>
          <w:highlight w:val="none"/>
          <w:u w:val="single"/>
          <w:lang w:val="en-US" w:eastAsia="zh-CN" w:bidi="ar"/>
        </w:rPr>
        <w:t>当年安排衔接资金</w:t>
      </w:r>
      <w:r>
        <w:rPr>
          <w:rFonts w:hint="eastAsia" w:ascii="宋体" w:hAnsi="宋体" w:cs="宋体"/>
          <w:color w:val="auto"/>
          <w:kern w:val="0"/>
          <w:sz w:val="21"/>
          <w:szCs w:val="21"/>
          <w:highlight w:val="none"/>
          <w:u w:val="single"/>
          <w:lang w:val="en-US" w:eastAsia="zh-CN" w:bidi="ar"/>
        </w:rPr>
        <w:t>100%</w:t>
      </w:r>
      <w:r>
        <w:rPr>
          <w:rFonts w:hint="eastAsia" w:hAnsi="宋体" w:eastAsia="宋体" w:cs="宋体"/>
          <w:color w:val="auto"/>
          <w:sz w:val="21"/>
          <w:szCs w:val="21"/>
          <w:highlight w:val="none"/>
          <w:u w:val="single"/>
          <w:lang w:eastAsia="zh-CN"/>
        </w:rPr>
        <w:t>，竣工结算经业主审定后，承包方</w:t>
      </w:r>
      <w:r>
        <w:rPr>
          <w:rFonts w:hint="eastAsia" w:hAnsi="宋体" w:cs="宋体"/>
          <w:color w:val="auto"/>
          <w:sz w:val="21"/>
          <w:szCs w:val="21"/>
          <w:highlight w:val="none"/>
          <w:u w:val="single"/>
          <w:lang w:eastAsia="zh-CN"/>
        </w:rPr>
        <w:t>开具</w:t>
      </w:r>
      <w:r>
        <w:rPr>
          <w:rFonts w:hint="eastAsia" w:ascii="宋体" w:hAnsi="宋体" w:eastAsia="宋体" w:cs="宋体"/>
          <w:color w:val="auto"/>
          <w:kern w:val="0"/>
          <w:sz w:val="21"/>
          <w:szCs w:val="21"/>
          <w:highlight w:val="none"/>
          <w:u w:val="single"/>
          <w:lang w:val="en-US" w:eastAsia="zh-CN" w:bidi="ar"/>
        </w:rPr>
        <w:t>增值税</w:t>
      </w:r>
      <w:r>
        <w:rPr>
          <w:rFonts w:hint="eastAsia" w:hAnsi="宋体" w:cs="宋体"/>
          <w:color w:val="auto"/>
          <w:sz w:val="21"/>
          <w:szCs w:val="21"/>
          <w:highlight w:val="none"/>
          <w:u w:val="single"/>
          <w:lang w:eastAsia="zh-CN"/>
        </w:rPr>
        <w:t>等额发票</w:t>
      </w:r>
      <w:r>
        <w:rPr>
          <w:rFonts w:hint="eastAsia" w:hAnsi="宋体" w:eastAsia="宋体" w:cs="宋体"/>
          <w:color w:val="auto"/>
          <w:sz w:val="21"/>
          <w:szCs w:val="21"/>
          <w:highlight w:val="none"/>
          <w:u w:val="single"/>
          <w:lang w:eastAsia="zh-CN"/>
        </w:rPr>
        <w:t>后</w:t>
      </w:r>
      <w:r>
        <w:rPr>
          <w:rFonts w:hint="eastAsia" w:hAnsi="宋体" w:cs="宋体"/>
          <w:color w:val="auto"/>
          <w:sz w:val="21"/>
          <w:szCs w:val="21"/>
          <w:highlight w:val="none"/>
          <w:u w:val="single"/>
          <w:lang w:val="en-US" w:eastAsia="zh-CN"/>
        </w:rPr>
        <w:t>10个工作日内</w:t>
      </w:r>
      <w:r>
        <w:rPr>
          <w:rFonts w:hint="eastAsia" w:hAnsi="宋体" w:eastAsia="宋体" w:cs="宋体"/>
          <w:color w:val="auto"/>
          <w:sz w:val="21"/>
          <w:szCs w:val="21"/>
          <w:highlight w:val="none"/>
          <w:u w:val="single"/>
          <w:lang w:eastAsia="zh-CN"/>
        </w:rPr>
        <w:t>，发包人工程款支付至结算总价的97%。发包人按工程价款结算总额的3%预留工程质量保证金。</w:t>
      </w:r>
    </w:p>
    <w:p w14:paraId="38C38E96">
      <w:pPr>
        <w:spacing w:line="360" w:lineRule="auto"/>
        <w:ind w:firstLine="420" w:firstLineChars="200"/>
        <w:jc w:val="left"/>
        <w:rPr>
          <w:rFonts w:hint="eastAsia" w:eastAsia="宋体"/>
          <w:color w:val="auto"/>
          <w:sz w:val="21"/>
          <w:szCs w:val="21"/>
          <w:highlight w:val="none"/>
          <w:lang w:eastAsia="zh-CN"/>
        </w:rPr>
      </w:pPr>
      <w:r>
        <w:rPr>
          <w:rFonts w:hAnsi="宋体" w:cs="宋体"/>
          <w:color w:val="auto"/>
          <w:sz w:val="21"/>
          <w:szCs w:val="21"/>
          <w:highlight w:val="none"/>
          <w:u w:val="single"/>
        </w:rPr>
        <w:fldChar w:fldCharType="begin"/>
      </w:r>
      <w:r>
        <w:rPr>
          <w:rFonts w:hAnsi="宋体" w:cs="宋体"/>
          <w:color w:val="auto"/>
          <w:sz w:val="21"/>
          <w:szCs w:val="21"/>
          <w:highlight w:val="none"/>
          <w:u w:val="single"/>
        </w:rPr>
        <w:instrText xml:space="preserve"> </w:instrText>
      </w:r>
      <w:r>
        <w:rPr>
          <w:rFonts w:hint="eastAsia" w:hAnsi="宋体" w:cs="宋体"/>
          <w:color w:val="auto"/>
          <w:sz w:val="21"/>
          <w:szCs w:val="21"/>
          <w:highlight w:val="none"/>
          <w:u w:val="single"/>
        </w:rPr>
        <w:instrText xml:space="preserve">= 3 \* GB3</w:instrText>
      </w:r>
      <w:r>
        <w:rPr>
          <w:rFonts w:hAnsi="宋体" w:cs="宋体"/>
          <w:color w:val="auto"/>
          <w:sz w:val="21"/>
          <w:szCs w:val="21"/>
          <w:highlight w:val="none"/>
          <w:u w:val="single"/>
        </w:rPr>
        <w:instrText xml:space="preserve"> </w:instrText>
      </w:r>
      <w:r>
        <w:rPr>
          <w:rFonts w:hAnsi="宋体" w:cs="宋体"/>
          <w:color w:val="auto"/>
          <w:sz w:val="21"/>
          <w:szCs w:val="21"/>
          <w:highlight w:val="none"/>
          <w:u w:val="single"/>
        </w:rPr>
        <w:fldChar w:fldCharType="separate"/>
      </w:r>
      <w:r>
        <w:rPr>
          <w:rFonts w:hint="eastAsia" w:hAnsi="宋体" w:cs="宋体"/>
          <w:color w:val="auto"/>
          <w:sz w:val="21"/>
          <w:szCs w:val="21"/>
          <w:highlight w:val="none"/>
          <w:u w:val="single"/>
        </w:rPr>
        <w:t>③</w:t>
      </w:r>
      <w:r>
        <w:rPr>
          <w:rFonts w:hAnsi="宋体" w:cs="宋体"/>
          <w:color w:val="auto"/>
          <w:sz w:val="21"/>
          <w:szCs w:val="21"/>
          <w:highlight w:val="none"/>
          <w:u w:val="single"/>
        </w:rPr>
        <w:fldChar w:fldCharType="end"/>
      </w:r>
      <w:r>
        <w:rPr>
          <w:rFonts w:hint="eastAsia" w:hAnsi="宋体" w:cs="宋体"/>
          <w:color w:val="auto"/>
          <w:sz w:val="21"/>
          <w:szCs w:val="21"/>
          <w:highlight w:val="none"/>
          <w:u w:val="single"/>
        </w:rPr>
        <w:t>合同约定的工程质量缺陷责任期（</w:t>
      </w:r>
      <w:r>
        <w:rPr>
          <w:rFonts w:hint="eastAsia" w:hAnsi="宋体" w:cs="宋体"/>
          <w:color w:val="auto"/>
          <w:sz w:val="21"/>
          <w:szCs w:val="21"/>
          <w:highlight w:val="none"/>
          <w:u w:val="single"/>
          <w:lang w:val="en-US" w:eastAsia="zh-CN"/>
        </w:rPr>
        <w:t>12个月</w:t>
      </w:r>
      <w:r>
        <w:rPr>
          <w:rFonts w:hint="eastAsia" w:hAnsi="宋体" w:cs="宋体"/>
          <w:color w:val="auto"/>
          <w:sz w:val="21"/>
          <w:szCs w:val="21"/>
          <w:highlight w:val="none"/>
          <w:u w:val="single"/>
        </w:rPr>
        <w:t>）满后由承包人向发包人提出返还保证金的申请，</w:t>
      </w:r>
      <w:r>
        <w:rPr>
          <w:rFonts w:hAnsi="宋体" w:cs="宋体"/>
          <w:color w:val="auto"/>
          <w:sz w:val="21"/>
          <w:szCs w:val="21"/>
          <w:highlight w:val="none"/>
          <w:u w:val="single"/>
        </w:rPr>
        <w:t>发包人</w:t>
      </w:r>
      <w:r>
        <w:rPr>
          <w:rFonts w:hint="eastAsia" w:hAnsi="宋体" w:cs="宋体"/>
          <w:color w:val="auto"/>
          <w:sz w:val="21"/>
          <w:szCs w:val="21"/>
          <w:highlight w:val="none"/>
          <w:u w:val="single"/>
        </w:rPr>
        <w:t>在</w:t>
      </w:r>
      <w:r>
        <w:rPr>
          <w:rFonts w:hAnsi="宋体" w:cs="宋体"/>
          <w:color w:val="auto"/>
          <w:sz w:val="21"/>
          <w:szCs w:val="21"/>
          <w:highlight w:val="none"/>
          <w:u w:val="single"/>
        </w:rPr>
        <w:t>接到承包人返还保证金申请后，于</w:t>
      </w:r>
      <w:r>
        <w:rPr>
          <w:rFonts w:hint="eastAsia" w:hAnsi="宋体" w:cs="宋体"/>
          <w:color w:val="auto"/>
          <w:sz w:val="21"/>
          <w:szCs w:val="21"/>
          <w:highlight w:val="none"/>
          <w:u w:val="single"/>
        </w:rPr>
        <w:t>14天</w:t>
      </w:r>
      <w:r>
        <w:rPr>
          <w:rFonts w:hAnsi="宋体" w:cs="宋体"/>
          <w:color w:val="auto"/>
          <w:sz w:val="21"/>
          <w:szCs w:val="21"/>
          <w:highlight w:val="none"/>
          <w:u w:val="single"/>
        </w:rPr>
        <w:t>内会同承包人按照合同约定的内容进行核实。如</w:t>
      </w:r>
      <w:r>
        <w:rPr>
          <w:rFonts w:hint="eastAsia" w:hAnsi="宋体" w:cs="宋体"/>
          <w:color w:val="auto"/>
          <w:sz w:val="21"/>
          <w:szCs w:val="21"/>
          <w:highlight w:val="none"/>
          <w:u w:val="single"/>
        </w:rPr>
        <w:t>无异</w:t>
      </w:r>
      <w:r>
        <w:rPr>
          <w:rFonts w:hAnsi="宋体" w:cs="宋体"/>
          <w:color w:val="auto"/>
          <w:sz w:val="21"/>
          <w:szCs w:val="21"/>
          <w:highlight w:val="none"/>
          <w:u w:val="single"/>
        </w:rPr>
        <w:t>议，发包人在核实后</w:t>
      </w:r>
      <w:r>
        <w:rPr>
          <w:rFonts w:hint="eastAsia" w:hAnsi="宋体" w:cs="宋体"/>
          <w:color w:val="auto"/>
          <w:sz w:val="21"/>
          <w:szCs w:val="21"/>
          <w:highlight w:val="none"/>
          <w:u w:val="single"/>
        </w:rPr>
        <w:t>14天</w:t>
      </w:r>
      <w:r>
        <w:rPr>
          <w:rFonts w:hAnsi="宋体" w:cs="宋体"/>
          <w:color w:val="auto"/>
          <w:sz w:val="21"/>
          <w:szCs w:val="21"/>
          <w:highlight w:val="none"/>
          <w:u w:val="single"/>
        </w:rPr>
        <w:t>内将保证金</w:t>
      </w:r>
      <w:r>
        <w:rPr>
          <w:rFonts w:hint="eastAsia" w:hAnsi="宋体" w:cs="宋体"/>
          <w:color w:val="auto"/>
          <w:sz w:val="21"/>
          <w:szCs w:val="21"/>
          <w:highlight w:val="none"/>
          <w:u w:val="single"/>
        </w:rPr>
        <w:t>返还承包</w:t>
      </w:r>
      <w:r>
        <w:rPr>
          <w:rFonts w:hAnsi="宋体" w:cs="宋体"/>
          <w:color w:val="auto"/>
          <w:sz w:val="21"/>
          <w:szCs w:val="21"/>
          <w:highlight w:val="none"/>
          <w:u w:val="single"/>
        </w:rPr>
        <w:t>人，逾期未返还的，依法承</w:t>
      </w:r>
      <w:r>
        <w:rPr>
          <w:rFonts w:hint="eastAsia" w:hAnsi="宋体" w:cs="宋体"/>
          <w:color w:val="auto"/>
          <w:sz w:val="21"/>
          <w:szCs w:val="21"/>
          <w:highlight w:val="none"/>
          <w:u w:val="single"/>
        </w:rPr>
        <w:t>担</w:t>
      </w:r>
      <w:r>
        <w:rPr>
          <w:rFonts w:hAnsi="宋体" w:cs="宋体"/>
          <w:color w:val="auto"/>
          <w:sz w:val="21"/>
          <w:szCs w:val="21"/>
          <w:highlight w:val="none"/>
          <w:u w:val="single"/>
        </w:rPr>
        <w:t>违约责任</w:t>
      </w:r>
      <w:r>
        <w:rPr>
          <w:rFonts w:hint="eastAsia" w:hAnsi="宋体" w:cs="宋体"/>
          <w:color w:val="auto"/>
          <w:sz w:val="21"/>
          <w:szCs w:val="21"/>
          <w:highlight w:val="none"/>
          <w:u w:val="single"/>
        </w:rPr>
        <w:t>。发</w:t>
      </w:r>
      <w:r>
        <w:rPr>
          <w:rFonts w:hAnsi="宋体" w:cs="宋体"/>
          <w:color w:val="auto"/>
          <w:sz w:val="21"/>
          <w:szCs w:val="21"/>
          <w:highlight w:val="none"/>
          <w:u w:val="single"/>
        </w:rPr>
        <w:t>包人在接到承包人返还保证金申请后</w:t>
      </w:r>
      <w:r>
        <w:rPr>
          <w:rFonts w:hint="eastAsia" w:hAnsi="宋体" w:cs="宋体"/>
          <w:color w:val="auto"/>
          <w:sz w:val="21"/>
          <w:szCs w:val="21"/>
          <w:highlight w:val="none"/>
          <w:u w:val="single"/>
        </w:rPr>
        <w:t>14天</w:t>
      </w:r>
      <w:r>
        <w:rPr>
          <w:rFonts w:hAnsi="宋体" w:cs="宋体"/>
          <w:color w:val="auto"/>
          <w:sz w:val="21"/>
          <w:szCs w:val="21"/>
          <w:highlight w:val="none"/>
          <w:u w:val="single"/>
        </w:rPr>
        <w:t>内不予答复，经催告后</w:t>
      </w:r>
      <w:r>
        <w:rPr>
          <w:rFonts w:hint="eastAsia" w:hAnsi="宋体" w:cs="宋体"/>
          <w:color w:val="auto"/>
          <w:sz w:val="21"/>
          <w:szCs w:val="21"/>
          <w:highlight w:val="none"/>
          <w:u w:val="single"/>
        </w:rPr>
        <w:t>14天</w:t>
      </w:r>
      <w:r>
        <w:rPr>
          <w:rFonts w:hAnsi="宋体" w:cs="宋体"/>
          <w:color w:val="auto"/>
          <w:sz w:val="21"/>
          <w:szCs w:val="21"/>
          <w:highlight w:val="none"/>
          <w:u w:val="single"/>
        </w:rPr>
        <w:t>内仍不</w:t>
      </w:r>
      <w:r>
        <w:rPr>
          <w:rFonts w:hint="eastAsia" w:hAnsi="宋体" w:cs="宋体"/>
          <w:color w:val="auto"/>
          <w:sz w:val="21"/>
          <w:szCs w:val="21"/>
          <w:highlight w:val="none"/>
          <w:u w:val="single"/>
        </w:rPr>
        <w:t>予</w:t>
      </w:r>
      <w:r>
        <w:rPr>
          <w:rFonts w:hAnsi="宋体" w:cs="宋体"/>
          <w:color w:val="auto"/>
          <w:sz w:val="21"/>
          <w:szCs w:val="21"/>
          <w:highlight w:val="none"/>
          <w:u w:val="single"/>
        </w:rPr>
        <w:t>答复，</w:t>
      </w:r>
      <w:r>
        <w:rPr>
          <w:rFonts w:hint="eastAsia" w:hAnsi="宋体" w:cs="宋体"/>
          <w:color w:val="auto"/>
          <w:sz w:val="21"/>
          <w:szCs w:val="21"/>
          <w:highlight w:val="none"/>
          <w:u w:val="single"/>
          <w:lang w:eastAsia="zh-CN"/>
        </w:rPr>
        <w:t>视同认可承包人的返还保证金申请。(承包方请款时按照附件要求提供相应材料）</w:t>
      </w:r>
    </w:p>
    <w:p w14:paraId="2F76E0A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12.4.2 </w:t>
      </w:r>
      <w:r>
        <w:rPr>
          <w:rFonts w:hint="eastAsia" w:ascii="宋体" w:hAnsi="宋体" w:eastAsia="宋体" w:cs="宋体"/>
          <w:color w:val="auto"/>
          <w:kern w:val="0"/>
          <w:sz w:val="21"/>
          <w:szCs w:val="21"/>
          <w:highlight w:val="none"/>
          <w:lang w:val="en-US" w:eastAsia="zh-CN" w:bidi="ar"/>
        </w:rPr>
        <w:t>进度付款申请单的编制</w:t>
      </w:r>
    </w:p>
    <w:p w14:paraId="7847388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关于进度付款申请单编制的约定：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按发包人的要求格式，一式六份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728DAF8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12.4.3 </w:t>
      </w:r>
      <w:r>
        <w:rPr>
          <w:rFonts w:hint="eastAsia" w:ascii="宋体" w:hAnsi="宋体" w:eastAsia="宋体" w:cs="宋体"/>
          <w:color w:val="auto"/>
          <w:kern w:val="0"/>
          <w:sz w:val="21"/>
          <w:szCs w:val="21"/>
          <w:highlight w:val="none"/>
          <w:lang w:val="en-US" w:eastAsia="zh-CN" w:bidi="ar"/>
        </w:rPr>
        <w:t>进度付款申请单的提交</w:t>
      </w:r>
    </w:p>
    <w:p w14:paraId="536B316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）单价合同进度付款申请单提交的约定：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008C3F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）总价合同进度付款申请单提交的约定：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2AA05C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）其他价格形式合同进度付款申请单提交的约定：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按发包人的要求格式，一式</w:t>
      </w:r>
      <w:r>
        <w:rPr>
          <w:rFonts w:hint="eastAsia" w:ascii="宋体" w:hAnsi="宋体" w:cs="宋体"/>
          <w:color w:val="auto"/>
          <w:kern w:val="0"/>
          <w:sz w:val="21"/>
          <w:szCs w:val="21"/>
          <w:highlight w:val="none"/>
          <w:u w:val="single"/>
          <w:lang w:val="en-US" w:eastAsia="zh-CN" w:bidi="ar"/>
        </w:rPr>
        <w:t>叁</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728AE9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12.4.4 </w:t>
      </w:r>
      <w:r>
        <w:rPr>
          <w:rFonts w:hint="eastAsia" w:ascii="宋体" w:hAnsi="宋体" w:eastAsia="宋体" w:cs="宋体"/>
          <w:color w:val="auto"/>
          <w:kern w:val="0"/>
          <w:sz w:val="21"/>
          <w:szCs w:val="21"/>
          <w:highlight w:val="none"/>
          <w:lang w:val="en-US" w:eastAsia="zh-CN" w:bidi="ar"/>
        </w:rPr>
        <w:t>进度款审核和支付</w:t>
      </w:r>
    </w:p>
    <w:p w14:paraId="138F9C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）监理人审查并报送发包人的期限：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收到资料后14 天内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D3AE05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发包人完成审批并签发进度款支付证书的期限：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支付证书签发后14 天内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B6AF1E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）发包人支付进度款的期限：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bCs/>
          <w:color w:val="auto"/>
          <w:kern w:val="0"/>
          <w:sz w:val="21"/>
          <w:szCs w:val="21"/>
          <w:highlight w:val="none"/>
          <w:u w:val="single"/>
          <w:lang w:val="en-US" w:eastAsia="zh-CN" w:bidi="ar"/>
        </w:rPr>
        <w:t>工程进度款在承包人</w:t>
      </w:r>
      <w:r>
        <w:rPr>
          <w:rFonts w:hint="eastAsia" w:ascii="宋体" w:hAnsi="宋体" w:cs="宋体"/>
          <w:bCs/>
          <w:color w:val="auto"/>
          <w:kern w:val="0"/>
          <w:sz w:val="21"/>
          <w:szCs w:val="21"/>
          <w:highlight w:val="none"/>
          <w:u w:val="single"/>
          <w:lang w:val="en-US" w:eastAsia="zh-CN" w:bidi="ar"/>
        </w:rPr>
        <w:t>开具等额发票</w:t>
      </w:r>
      <w:r>
        <w:rPr>
          <w:rFonts w:hint="eastAsia" w:ascii="宋体" w:hAnsi="宋体" w:eastAsia="宋体" w:cs="宋体"/>
          <w:bCs/>
          <w:color w:val="auto"/>
          <w:kern w:val="0"/>
          <w:sz w:val="21"/>
          <w:szCs w:val="21"/>
          <w:highlight w:val="none"/>
          <w:u w:val="single"/>
          <w:lang w:val="en-US" w:eastAsia="zh-CN" w:bidi="ar"/>
        </w:rPr>
        <w:t>后30日内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2BA3397">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发包人逾期支付进度款的违约金的计算方式：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396C8C6">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进度款支付方式：</w:t>
      </w:r>
      <w:r>
        <w:rPr>
          <w:rFonts w:hint="eastAsia" w:ascii="宋体" w:hAnsi="宋体" w:eastAsia="宋体" w:cs="宋体"/>
          <w:color w:val="auto"/>
          <w:kern w:val="0"/>
          <w:sz w:val="21"/>
          <w:szCs w:val="21"/>
          <w:highlight w:val="none"/>
          <w:u w:val="single"/>
          <w:lang w:val="en-US" w:eastAsia="zh-CN" w:bidi="ar"/>
        </w:rPr>
        <w:t>银行转账</w:t>
      </w:r>
      <w:r>
        <w:rPr>
          <w:rFonts w:hint="eastAsia" w:ascii="宋体" w:hAnsi="宋体" w:eastAsia="宋体" w:cs="宋体"/>
          <w:color w:val="auto"/>
          <w:kern w:val="0"/>
          <w:sz w:val="21"/>
          <w:szCs w:val="21"/>
          <w:highlight w:val="none"/>
          <w:lang w:val="en-US" w:eastAsia="zh-CN" w:bidi="ar"/>
        </w:rPr>
        <w:t>。进度款支付申请（核准）表见合同附件</w:t>
      </w:r>
      <w:r>
        <w:rPr>
          <w:rFonts w:hint="default" w:ascii="Times New Roman" w:hAnsi="Times New Roman" w:eastAsia="宋体" w:cs="Times New Roman"/>
          <w:color w:val="auto"/>
          <w:kern w:val="0"/>
          <w:sz w:val="21"/>
          <w:szCs w:val="21"/>
          <w:highlight w:val="none"/>
          <w:lang w:val="en-US" w:eastAsia="zh-CN" w:bidi="ar"/>
        </w:rPr>
        <w:t>11</w:t>
      </w:r>
      <w:r>
        <w:rPr>
          <w:rFonts w:hint="eastAsia" w:ascii="宋体" w:hAnsi="宋体" w:eastAsia="宋体" w:cs="宋体"/>
          <w:color w:val="auto"/>
          <w:kern w:val="0"/>
          <w:sz w:val="21"/>
          <w:szCs w:val="21"/>
          <w:highlight w:val="none"/>
          <w:lang w:val="en-US" w:eastAsia="zh-CN" w:bidi="ar"/>
        </w:rPr>
        <w:t>。</w:t>
      </w:r>
    </w:p>
    <w:p w14:paraId="5923ECA8">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农民工工资支付</w:t>
      </w:r>
    </w:p>
    <w:p w14:paraId="43B927F9">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农民工工资应与其它工程进度款分账户管理。承包人向发包人申请工程进度款时必须把工人工资部分单独列明，如果未单独列明，监理单位不得签支付证书等支付工程款的手续，发包人单位不得审批和支付工程款。发包人必须把工程款分账户出来的农民工工资转入承包人工人工资支付专用账户专户，转入专户环节必须有银行流水凭证。</w:t>
      </w:r>
    </w:p>
    <w:p w14:paraId="4836FDDC">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）发包人依据工程进度，按与承包人约定的农民工支付比例，将工程人工费分账支付到承包人的农民工工资专户，工程完工时发包人向承包人农民工工资专户支付的完工工程量的人工费支付比例不低于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，其余工程进度款项由发包人支付到承包人的单位基本户。</w:t>
      </w:r>
    </w:p>
    <w:p w14:paraId="5E7A7B93">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。其余分包工程进度款项由承包人支付到分包人的单位基本户。</w:t>
      </w:r>
    </w:p>
    <w:p w14:paraId="5575C532">
      <w:pPr>
        <w:keepNext w:val="0"/>
        <w:keepLines w:val="0"/>
        <w:widowControl w:val="0"/>
        <w:suppressLineNumbers w:val="0"/>
        <w:shd w:val="clear"/>
        <w:spacing w:before="0" w:beforeAutospacing="0" w:after="0" w:afterAutospacing="0" w:line="360" w:lineRule="auto"/>
        <w:ind w:left="0" w:right="0" w:firstLine="525" w:firstLineChars="250"/>
        <w:jc w:val="left"/>
        <w:rPr>
          <w:rFonts w:hint="eastAsia"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）凡未向付款单位提供农民工工资专户的，或者请款单位在申请工程进度款时未将人工费单列的，付款单位有权拒绝支付工程进度款。</w:t>
      </w:r>
    </w:p>
    <w:p w14:paraId="666E379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）农民工工资使用要求：专款专用，除发放工人工资外，不得用于其他用途。</w:t>
      </w:r>
    </w:p>
    <w:p w14:paraId="32538F7C">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）承包人将农民工工资支付情况定期报告发包人和监理单位，并提供相应的材料接受建设行政主管部门和劳动保障行政主管部门对此事项监管。</w:t>
      </w:r>
    </w:p>
    <w:p w14:paraId="0262F5A4">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）农民工工资支付专用账户：</w:t>
      </w:r>
      <w:r>
        <w:rPr>
          <w:rFonts w:hint="eastAsia" w:ascii="Times New Roman" w:hAnsi="宋体" w:eastAsia="宋体" w:cs="宋体"/>
          <w:color w:val="auto"/>
          <w:kern w:val="0"/>
          <w:sz w:val="21"/>
          <w:szCs w:val="21"/>
          <w:highlight w:val="none"/>
          <w:lang w:val="en-US" w:eastAsia="zh-CN" w:bidi="ar"/>
        </w:rPr>
        <w:t xml:space="preserve"> </w:t>
      </w:r>
    </w:p>
    <w:p w14:paraId="7016606C">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账号：</w:t>
      </w:r>
      <w:r>
        <w:rPr>
          <w:rFonts w:hint="eastAsia" w:ascii="Times New Roman" w:hAnsi="宋体" w:eastAsia="宋体" w:cs="宋体"/>
          <w:color w:val="auto"/>
          <w:kern w:val="0"/>
          <w:sz w:val="21"/>
          <w:szCs w:val="21"/>
          <w:highlight w:val="none"/>
          <w:lang w:val="en-US" w:eastAsia="zh-CN" w:bidi="ar"/>
        </w:rPr>
        <w:t xml:space="preserve"> </w:t>
      </w:r>
    </w:p>
    <w:p w14:paraId="1B9ACF4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eastAsia" w:ascii="Times New Roman"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开户行：</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cs="宋体"/>
          <w:color w:val="auto"/>
          <w:kern w:val="0"/>
          <w:sz w:val="21"/>
          <w:szCs w:val="21"/>
          <w:highlight w:val="none"/>
          <w:lang w:val="en-US" w:eastAsia="zh-CN" w:bidi="ar"/>
        </w:rPr>
        <w:t xml:space="preserve"> </w:t>
      </w:r>
    </w:p>
    <w:p w14:paraId="7F489113">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12.4.6 </w:t>
      </w:r>
      <w:r>
        <w:rPr>
          <w:rFonts w:hint="eastAsia" w:ascii="宋体" w:hAnsi="宋体" w:eastAsia="宋体" w:cs="宋体"/>
          <w:color w:val="auto"/>
          <w:kern w:val="0"/>
          <w:sz w:val="21"/>
          <w:szCs w:val="21"/>
          <w:highlight w:val="none"/>
          <w:lang w:val="en-US" w:eastAsia="zh-CN" w:bidi="ar"/>
        </w:rPr>
        <w:t>支付分解表的编制</w:t>
      </w:r>
    </w:p>
    <w:p w14:paraId="0DB4F411">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w:t>
      </w:r>
      <w:r>
        <w:rPr>
          <w:rFonts w:hint="default" w:ascii="Times New Roman" w:hAnsi="宋体"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总价合同支付分解表的编制与审批：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总价合同支付分解表在招标完成后由发包人和承包人共同编制，发包人审批，并作为本合同内容，具体详见合同附件</w:t>
      </w:r>
      <w:r>
        <w:rPr>
          <w:rFonts w:hint="default" w:ascii="Times New Roman" w:hAnsi="Times New Roman" w:eastAsia="宋体" w:cs="Times New Roman"/>
          <w:color w:val="auto"/>
          <w:kern w:val="0"/>
          <w:sz w:val="21"/>
          <w:szCs w:val="21"/>
          <w:highlight w:val="none"/>
          <w:u w:val="single"/>
          <w:lang w:val="en-US" w:eastAsia="zh-CN" w:bidi="ar"/>
        </w:rPr>
        <w:t>14</w:t>
      </w:r>
      <w:r>
        <w:rPr>
          <w:rFonts w:hint="eastAsia" w:ascii="宋体" w:hAnsi="宋体" w:eastAsia="宋体" w:cs="宋体"/>
          <w:color w:val="auto"/>
          <w:kern w:val="0"/>
          <w:sz w:val="21"/>
          <w:szCs w:val="21"/>
          <w:highlight w:val="none"/>
          <w:u w:val="single"/>
          <w:lang w:val="en-US" w:eastAsia="zh-CN" w:bidi="ar"/>
        </w:rPr>
        <w:t>。</w:t>
      </w:r>
    </w:p>
    <w:p w14:paraId="32B4A745">
      <w:pPr>
        <w:keepNext w:val="0"/>
        <w:keepLines w:val="0"/>
        <w:widowControl w:val="0"/>
        <w:suppressLineNumbers w:val="0"/>
        <w:shd w:val="clear"/>
        <w:spacing w:before="0" w:beforeAutospacing="0" w:after="0" w:afterAutospacing="0" w:line="360" w:lineRule="auto"/>
        <w:ind w:left="0" w:right="0" w:firstLine="525" w:firstLineChars="2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）单价合同的总价项目支付分解表的编制与审批：总价项目不采用支付分解表的方式计算，而按《建设工程工程量清单计价规范（</w:t>
      </w:r>
      <w:r>
        <w:rPr>
          <w:rFonts w:hint="default" w:ascii="Times New Roman" w:hAnsi="宋体" w:eastAsia="宋体" w:cs="Times New Roman"/>
          <w:color w:val="auto"/>
          <w:kern w:val="0"/>
          <w:sz w:val="21"/>
          <w:szCs w:val="21"/>
          <w:highlight w:val="none"/>
          <w:lang w:val="en-US" w:eastAsia="zh-CN" w:bidi="ar"/>
        </w:rPr>
        <w:t>GB50500-2013</w:t>
      </w:r>
      <w:r>
        <w:rPr>
          <w:rFonts w:hint="eastAsia" w:ascii="宋体" w:hAnsi="宋体" w:eastAsia="宋体" w:cs="宋体"/>
          <w:color w:val="auto"/>
          <w:kern w:val="0"/>
          <w:sz w:val="21"/>
          <w:szCs w:val="21"/>
          <w:highlight w:val="none"/>
          <w:lang w:val="en-US" w:eastAsia="zh-CN" w:bidi="ar"/>
        </w:rPr>
        <w:t>）广西壮族自治区实施细则》的规定执行。</w:t>
      </w:r>
    </w:p>
    <w:p w14:paraId="76EA0283">
      <w:pPr>
        <w:pStyle w:val="3"/>
        <w:widowControl/>
        <w:shd w:val="clear"/>
        <w:rPr>
          <w:rFonts w:hint="default" w:ascii="Arial" w:hAnsi="Arial" w:eastAsia="黑体" w:cs="Times New Roman"/>
          <w:b/>
          <w:bCs w:val="0"/>
          <w:color w:val="auto"/>
          <w:sz w:val="32"/>
          <w:szCs w:val="32"/>
          <w:highlight w:val="none"/>
        </w:rPr>
      </w:pPr>
      <w:bookmarkStart w:id="903" w:name="_Toc296891047"/>
      <w:bookmarkEnd w:id="903"/>
      <w:bookmarkStart w:id="904" w:name="_Toc297216223"/>
      <w:bookmarkEnd w:id="904"/>
      <w:bookmarkStart w:id="905" w:name="_Toc297048405"/>
      <w:bookmarkEnd w:id="905"/>
      <w:bookmarkStart w:id="906" w:name="_Toc297120519"/>
      <w:bookmarkEnd w:id="906"/>
      <w:bookmarkStart w:id="907" w:name="_Toc296346720"/>
      <w:bookmarkEnd w:id="907"/>
      <w:bookmarkStart w:id="908" w:name="_Toc407135256"/>
      <w:bookmarkEnd w:id="908"/>
      <w:bookmarkStart w:id="909" w:name="_Toc296503219"/>
      <w:bookmarkEnd w:id="909"/>
      <w:bookmarkStart w:id="910" w:name="_Toc9850584"/>
      <w:bookmarkEnd w:id="910"/>
      <w:bookmarkStart w:id="911" w:name="_Toc312678053"/>
      <w:bookmarkEnd w:id="911"/>
      <w:bookmarkStart w:id="912" w:name="_Toc389065318"/>
      <w:bookmarkEnd w:id="912"/>
      <w:bookmarkStart w:id="913" w:name="_Toc297123564"/>
      <w:bookmarkEnd w:id="913"/>
      <w:bookmarkStart w:id="914" w:name="_Toc292559424"/>
      <w:bookmarkEnd w:id="914"/>
      <w:bookmarkStart w:id="915" w:name="_Toc292559929"/>
      <w:bookmarkEnd w:id="915"/>
      <w:bookmarkStart w:id="916" w:name="_Toc303539172"/>
      <w:bookmarkEnd w:id="916"/>
      <w:bookmarkStart w:id="917" w:name="_Toc296347218"/>
      <w:bookmarkEnd w:id="917"/>
      <w:bookmarkStart w:id="918" w:name="_Toc296944558"/>
      <w:bookmarkEnd w:id="918"/>
      <w:bookmarkStart w:id="919" w:name="_Toc351203645"/>
      <w:bookmarkEnd w:id="919"/>
      <w:bookmarkStart w:id="920" w:name="_Toc373227753"/>
      <w:bookmarkEnd w:id="920"/>
      <w:bookmarkStart w:id="921" w:name="_Toc373478400"/>
      <w:bookmarkEnd w:id="921"/>
      <w:bookmarkStart w:id="922" w:name="_Toc296891259"/>
      <w:bookmarkEnd w:id="922"/>
      <w:bookmarkStart w:id="923" w:name="_Toc300935015"/>
      <w:bookmarkEnd w:id="923"/>
      <w:bookmarkStart w:id="924" w:name="_Toc304295593"/>
      <w:r>
        <w:rPr>
          <w:rFonts w:hint="default" w:ascii="Arial" w:hAnsi="Arial" w:eastAsia="黑体" w:cs="Times New Roman"/>
          <w:b/>
          <w:bCs w:val="0"/>
          <w:color w:val="auto"/>
          <w:sz w:val="32"/>
          <w:szCs w:val="32"/>
          <w:highlight w:val="none"/>
        </w:rPr>
        <w:t xml:space="preserve">13. </w:t>
      </w:r>
      <w:bookmarkEnd w:id="924"/>
      <w:r>
        <w:rPr>
          <w:rFonts w:hint="eastAsia" w:ascii="黑体" w:hAnsi="宋体" w:eastAsia="黑体" w:cs="黑体"/>
          <w:b/>
          <w:bCs w:val="0"/>
          <w:color w:val="auto"/>
          <w:sz w:val="32"/>
          <w:szCs w:val="32"/>
          <w:highlight w:val="none"/>
        </w:rPr>
        <w:t>验收和工程试车</w:t>
      </w:r>
    </w:p>
    <w:p w14:paraId="3395AA78">
      <w:pPr>
        <w:pStyle w:val="4"/>
        <w:widowControl/>
        <w:shd w:val="clear"/>
        <w:rPr>
          <w:rFonts w:hint="default" w:ascii="Times New Roman" w:hAnsi="Times New Roman" w:eastAsia="宋体" w:cs="Times New Roman"/>
          <w:b/>
          <w:bCs/>
          <w:color w:val="auto"/>
          <w:kern w:val="2"/>
          <w:sz w:val="32"/>
          <w:szCs w:val="32"/>
          <w:highlight w:val="none"/>
        </w:rPr>
      </w:pPr>
      <w:bookmarkStart w:id="925" w:name="_Toc389065319"/>
      <w:bookmarkEnd w:id="925"/>
      <w:bookmarkStart w:id="926" w:name="_Toc373227754"/>
      <w:bookmarkEnd w:id="926"/>
      <w:bookmarkStart w:id="927" w:name="_Toc373478401"/>
      <w:bookmarkEnd w:id="927"/>
      <w:bookmarkStart w:id="928" w:name="_Toc9850585"/>
      <w:bookmarkEnd w:id="928"/>
      <w:bookmarkStart w:id="929" w:name="_Toc407135257"/>
      <w:bookmarkEnd w:id="929"/>
      <w:r>
        <w:rPr>
          <w:rFonts w:hint="default" w:ascii="Times New Roman" w:hAnsi="Times New Roman" w:eastAsia="宋体" w:cs="Times New Roman"/>
          <w:b/>
          <w:bCs/>
          <w:color w:val="auto"/>
          <w:kern w:val="2"/>
          <w:sz w:val="32"/>
          <w:szCs w:val="32"/>
          <w:highlight w:val="none"/>
        </w:rPr>
        <w:t xml:space="preserve">13.1 </w:t>
      </w:r>
      <w:r>
        <w:rPr>
          <w:rFonts w:hint="eastAsia" w:ascii="宋体" w:hAnsi="宋体" w:eastAsia="宋体" w:cs="宋体"/>
          <w:b/>
          <w:bCs/>
          <w:color w:val="auto"/>
          <w:kern w:val="2"/>
          <w:sz w:val="32"/>
          <w:szCs w:val="32"/>
          <w:highlight w:val="none"/>
        </w:rPr>
        <w:t>分部分项工程验收</w:t>
      </w:r>
    </w:p>
    <w:p w14:paraId="328BFEE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13.1.2</w:t>
      </w:r>
      <w:r>
        <w:rPr>
          <w:rFonts w:hint="eastAsia" w:ascii="宋体" w:hAnsi="宋体" w:eastAsia="宋体" w:cs="宋体"/>
          <w:color w:val="auto"/>
          <w:kern w:val="0"/>
          <w:sz w:val="21"/>
          <w:szCs w:val="21"/>
          <w:highlight w:val="none"/>
          <w:lang w:val="en-US" w:eastAsia="zh-CN" w:bidi="ar"/>
        </w:rPr>
        <w:t>监理人不能按时进行验收时，应提前</w:t>
      </w:r>
      <w:r>
        <w:rPr>
          <w:rFonts w:hint="default" w:ascii="Times New Roman" w:hAnsi="Times New Roman" w:eastAsia="宋体" w:cs="Times New Roman"/>
          <w:color w:val="auto"/>
          <w:kern w:val="0"/>
          <w:sz w:val="21"/>
          <w:szCs w:val="21"/>
          <w:highlight w:val="none"/>
          <w:u w:val="single"/>
          <w:lang w:val="en-US" w:eastAsia="zh-CN" w:bidi="ar"/>
        </w:rPr>
        <w:t xml:space="preserve"> 48</w:t>
      </w:r>
      <w:r>
        <w:rPr>
          <w:rFonts w:hint="eastAsia" w:ascii="宋体" w:hAnsi="宋体" w:eastAsia="宋体" w:cs="宋体"/>
          <w:color w:val="auto"/>
          <w:kern w:val="0"/>
          <w:sz w:val="21"/>
          <w:szCs w:val="21"/>
          <w:highlight w:val="none"/>
          <w:lang w:val="en-US" w:eastAsia="zh-CN" w:bidi="ar"/>
        </w:rPr>
        <w:t>小时提交书面延期要求。</w:t>
      </w:r>
    </w:p>
    <w:p w14:paraId="0BBCAE4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b/>
          <w:bCs/>
          <w:color w:val="auto"/>
          <w:sz w:val="21"/>
          <w:szCs w:val="21"/>
          <w:highlight w:val="none"/>
        </w:rPr>
      </w:pPr>
      <w:r>
        <w:rPr>
          <w:rFonts w:hint="eastAsia" w:ascii="宋体" w:hAnsi="宋体" w:eastAsia="宋体" w:cs="宋体"/>
          <w:color w:val="auto"/>
          <w:kern w:val="0"/>
          <w:sz w:val="21"/>
          <w:szCs w:val="21"/>
          <w:highlight w:val="none"/>
          <w:lang w:val="en-US" w:eastAsia="zh-CN" w:bidi="ar"/>
        </w:rPr>
        <w:t>关于延期最长不得超过：</w:t>
      </w:r>
      <w:r>
        <w:rPr>
          <w:rFonts w:hint="default" w:ascii="Times New Roman" w:hAnsi="Times New Roman" w:eastAsia="宋体" w:cs="Times New Roman"/>
          <w:color w:val="auto"/>
          <w:kern w:val="0"/>
          <w:sz w:val="21"/>
          <w:szCs w:val="21"/>
          <w:highlight w:val="none"/>
          <w:u w:val="single"/>
          <w:lang w:val="en-US" w:eastAsia="zh-CN" w:bidi="ar"/>
        </w:rPr>
        <w:t xml:space="preserve">  48   </w:t>
      </w:r>
      <w:r>
        <w:rPr>
          <w:rFonts w:hint="eastAsia" w:ascii="宋体" w:hAnsi="宋体" w:eastAsia="宋体" w:cs="宋体"/>
          <w:color w:val="auto"/>
          <w:kern w:val="0"/>
          <w:sz w:val="21"/>
          <w:szCs w:val="21"/>
          <w:highlight w:val="none"/>
          <w:lang w:val="en-US" w:eastAsia="zh-CN" w:bidi="ar"/>
        </w:rPr>
        <w:t>小时。</w:t>
      </w:r>
    </w:p>
    <w:p w14:paraId="7C6FF3D0">
      <w:pPr>
        <w:pStyle w:val="4"/>
        <w:widowControl/>
        <w:shd w:val="clear"/>
        <w:rPr>
          <w:rFonts w:hint="default" w:ascii="Times New Roman" w:hAnsi="Times New Roman" w:eastAsia="宋体" w:cs="Times New Roman"/>
          <w:b/>
          <w:bCs/>
          <w:color w:val="auto"/>
          <w:kern w:val="2"/>
          <w:sz w:val="32"/>
          <w:szCs w:val="32"/>
          <w:highlight w:val="none"/>
        </w:rPr>
      </w:pPr>
      <w:bookmarkStart w:id="930" w:name="_Toc267251470"/>
      <w:bookmarkEnd w:id="930"/>
      <w:bookmarkStart w:id="931" w:name="_Toc312678056"/>
      <w:bookmarkEnd w:id="931"/>
      <w:bookmarkStart w:id="932" w:name="_Toc296347222"/>
      <w:bookmarkEnd w:id="932"/>
      <w:bookmarkStart w:id="933" w:name="_Toc296944562"/>
      <w:bookmarkEnd w:id="933"/>
      <w:bookmarkStart w:id="934" w:name="_Toc267251471"/>
      <w:bookmarkEnd w:id="934"/>
      <w:bookmarkStart w:id="935" w:name="_Toc296346724"/>
      <w:bookmarkEnd w:id="935"/>
      <w:bookmarkStart w:id="936" w:name="_Toc296891051"/>
      <w:bookmarkEnd w:id="936"/>
      <w:bookmarkStart w:id="937" w:name="_Toc303539173"/>
      <w:bookmarkEnd w:id="937"/>
      <w:bookmarkStart w:id="938" w:name="_Toc9850586"/>
      <w:bookmarkEnd w:id="938"/>
      <w:bookmarkStart w:id="939" w:name="_Toc267251474"/>
      <w:bookmarkEnd w:id="939"/>
      <w:bookmarkStart w:id="940" w:name="_Toc267251472"/>
      <w:bookmarkEnd w:id="940"/>
      <w:bookmarkStart w:id="941" w:name="_Toc267251475"/>
      <w:bookmarkEnd w:id="941"/>
      <w:bookmarkStart w:id="942" w:name="_Toc373478402"/>
      <w:bookmarkEnd w:id="942"/>
      <w:bookmarkStart w:id="943" w:name="_Toc267251473"/>
      <w:bookmarkEnd w:id="943"/>
      <w:bookmarkStart w:id="944" w:name="_Toc304295596"/>
      <w:bookmarkEnd w:id="944"/>
      <w:bookmarkStart w:id="945" w:name="_Toc292559428"/>
      <w:bookmarkEnd w:id="945"/>
      <w:bookmarkStart w:id="946" w:name="_Toc296891263"/>
      <w:bookmarkEnd w:id="946"/>
      <w:bookmarkStart w:id="947" w:name="_Toc296503223"/>
      <w:bookmarkEnd w:id="947"/>
      <w:bookmarkStart w:id="948" w:name="_Toc407135258"/>
      <w:bookmarkEnd w:id="948"/>
      <w:bookmarkStart w:id="949" w:name="_Toc297120523"/>
      <w:bookmarkEnd w:id="949"/>
      <w:bookmarkStart w:id="950" w:name="_Toc297048409"/>
      <w:bookmarkEnd w:id="950"/>
      <w:bookmarkStart w:id="951" w:name="_Toc297216224"/>
      <w:bookmarkEnd w:id="951"/>
      <w:bookmarkStart w:id="952" w:name="_Toc297123565"/>
      <w:bookmarkEnd w:id="952"/>
      <w:bookmarkStart w:id="953" w:name="_Toc389065320"/>
      <w:bookmarkEnd w:id="953"/>
      <w:bookmarkStart w:id="954" w:name="_Toc292559933"/>
      <w:bookmarkEnd w:id="954"/>
      <w:bookmarkStart w:id="955" w:name="_Toc300935016"/>
      <w:bookmarkEnd w:id="955"/>
      <w:bookmarkStart w:id="956" w:name="_Toc373227755"/>
      <w:bookmarkEnd w:id="956"/>
      <w:bookmarkStart w:id="957" w:name="_Toc267251476"/>
      <w:r>
        <w:rPr>
          <w:rFonts w:hint="default" w:ascii="Times New Roman" w:hAnsi="Times New Roman" w:eastAsia="宋体" w:cs="Times New Roman"/>
          <w:b/>
          <w:bCs/>
          <w:color w:val="auto"/>
          <w:kern w:val="2"/>
          <w:sz w:val="32"/>
          <w:szCs w:val="32"/>
          <w:highlight w:val="none"/>
        </w:rPr>
        <w:t xml:space="preserve">13.2 </w:t>
      </w:r>
      <w:bookmarkEnd w:id="957"/>
      <w:r>
        <w:rPr>
          <w:rFonts w:hint="eastAsia" w:ascii="宋体" w:hAnsi="宋体" w:eastAsia="宋体" w:cs="宋体"/>
          <w:b/>
          <w:bCs/>
          <w:color w:val="auto"/>
          <w:kern w:val="2"/>
          <w:sz w:val="32"/>
          <w:szCs w:val="32"/>
          <w:highlight w:val="none"/>
        </w:rPr>
        <w:t>竣工验收</w:t>
      </w:r>
    </w:p>
    <w:p w14:paraId="365CBAD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bookmarkStart w:id="958" w:name="_Toc280868709"/>
      <w:bookmarkEnd w:id="958"/>
      <w:bookmarkStart w:id="959" w:name="_Toc280868708"/>
      <w:bookmarkEnd w:id="959"/>
      <w:bookmarkStart w:id="960" w:name="_Toc280868706"/>
      <w:bookmarkEnd w:id="960"/>
      <w:bookmarkStart w:id="961" w:name="_Toc280868707"/>
      <w:bookmarkEnd w:id="961"/>
      <w:bookmarkStart w:id="962" w:name="_Toc280868704"/>
      <w:bookmarkEnd w:id="962"/>
      <w:bookmarkStart w:id="963" w:name="_Toc280868705"/>
      <w:bookmarkEnd w:id="963"/>
      <w:r>
        <w:rPr>
          <w:rFonts w:hint="default" w:ascii="Times New Roman" w:hAnsi="Times New Roman" w:eastAsia="宋体" w:cs="Times New Roman"/>
          <w:color w:val="auto"/>
          <w:kern w:val="0"/>
          <w:sz w:val="21"/>
          <w:szCs w:val="21"/>
          <w:highlight w:val="none"/>
          <w:lang w:val="en-US" w:eastAsia="zh-CN" w:bidi="ar"/>
        </w:rPr>
        <w:t>13.2.1</w:t>
      </w:r>
      <w:r>
        <w:rPr>
          <w:rFonts w:hint="eastAsia" w:ascii="宋体" w:hAnsi="宋体" w:eastAsia="宋体" w:cs="宋体"/>
          <w:color w:val="auto"/>
          <w:kern w:val="0"/>
          <w:sz w:val="21"/>
          <w:szCs w:val="21"/>
          <w:highlight w:val="none"/>
          <w:lang w:val="en-US" w:eastAsia="zh-CN" w:bidi="ar"/>
        </w:rPr>
        <w:t>竣工验收条件</w:t>
      </w:r>
    </w:p>
    <w:p w14:paraId="0C87485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）承包人负责整理和提交的竣工验收资料应当符合工程所在地建设行政主管部门和</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或</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城市建设档案管理机构有关施工资料的要求，具体内容包括：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D59E4B7">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竣工验收资料的份数：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份</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1CEBC4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承包人提供竣工图的约定：</w:t>
      </w:r>
      <w:r>
        <w:rPr>
          <w:rFonts w:hint="eastAsia" w:ascii="宋体" w:hAnsi="宋体" w:eastAsia="宋体" w:cs="宋体"/>
          <w:color w:val="auto"/>
          <w:kern w:val="0"/>
          <w:sz w:val="21"/>
          <w:szCs w:val="21"/>
          <w:highlight w:val="none"/>
          <w:u w:val="single"/>
          <w:lang w:val="en-US" w:eastAsia="zh-CN" w:bidi="ar"/>
        </w:rPr>
        <w:t>竣工验收正式通过后</w:t>
      </w:r>
      <w:r>
        <w:rPr>
          <w:rFonts w:hint="default" w:ascii="Times New Roman" w:hAnsi="Times New Roman" w:eastAsia="宋体" w:cs="Times New Roman"/>
          <w:color w:val="auto"/>
          <w:kern w:val="0"/>
          <w:sz w:val="21"/>
          <w:szCs w:val="21"/>
          <w:highlight w:val="none"/>
          <w:u w:val="single"/>
          <w:lang w:val="en-US" w:eastAsia="zh-CN" w:bidi="ar"/>
        </w:rPr>
        <w:t>5</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万元以下含</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w:t>
      </w:r>
      <w:r>
        <w:rPr>
          <w:rFonts w:hint="default" w:ascii="Times New Roman" w:hAnsi="Times New Roman" w:eastAsia="宋体" w:cs="Times New Roman"/>
          <w:color w:val="auto"/>
          <w:kern w:val="0"/>
          <w:sz w:val="21"/>
          <w:szCs w:val="21"/>
          <w:highlight w:val="none"/>
          <w:u w:val="single"/>
          <w:lang w:val="en-US" w:eastAsia="zh-CN" w:bidi="ar"/>
        </w:rPr>
        <w:t>10</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500</w:t>
      </w:r>
      <w:r>
        <w:rPr>
          <w:rFonts w:hint="eastAsia" w:ascii="宋体" w:hAnsi="宋体" w:eastAsia="宋体" w:cs="宋体"/>
          <w:color w:val="auto"/>
          <w:kern w:val="0"/>
          <w:sz w:val="21"/>
          <w:szCs w:val="21"/>
          <w:highlight w:val="none"/>
          <w:u w:val="single"/>
          <w:lang w:val="en-US" w:eastAsia="zh-CN" w:bidi="ar"/>
        </w:rPr>
        <w:t>万元至</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万元之间含</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w:t>
      </w:r>
      <w:r>
        <w:rPr>
          <w:rFonts w:hint="default" w:ascii="Times New Roman" w:hAnsi="Times New Roman" w:eastAsia="宋体" w:cs="Times New Roman"/>
          <w:color w:val="auto"/>
          <w:kern w:val="0"/>
          <w:sz w:val="21"/>
          <w:szCs w:val="21"/>
          <w:highlight w:val="none"/>
          <w:u w:val="single"/>
          <w:lang w:val="en-US" w:eastAsia="zh-CN" w:bidi="ar"/>
        </w:rPr>
        <w:t>15</w:t>
      </w:r>
      <w:r>
        <w:rPr>
          <w:rFonts w:hint="eastAsia" w:ascii="宋体" w:hAnsi="宋体" w:eastAsia="宋体" w:cs="宋体"/>
          <w:color w:val="auto"/>
          <w:kern w:val="0"/>
          <w:sz w:val="21"/>
          <w:szCs w:val="21"/>
          <w:highlight w:val="none"/>
          <w:u w:val="single"/>
          <w:lang w:val="en-US" w:eastAsia="zh-CN" w:bidi="ar"/>
        </w:rPr>
        <w:t>天（工程造价在</w:t>
      </w:r>
      <w:r>
        <w:rPr>
          <w:rFonts w:hint="default" w:ascii="Times New Roman" w:hAnsi="Times New Roman" w:eastAsia="宋体" w:cs="Times New Roman"/>
          <w:color w:val="auto"/>
          <w:kern w:val="0"/>
          <w:sz w:val="21"/>
          <w:szCs w:val="21"/>
          <w:highlight w:val="none"/>
          <w:u w:val="single"/>
          <w:lang w:val="en-US" w:eastAsia="zh-CN" w:bidi="ar"/>
        </w:rPr>
        <w:t>1000</w:t>
      </w:r>
      <w:r>
        <w:rPr>
          <w:rFonts w:hint="eastAsia" w:ascii="宋体" w:hAnsi="宋体" w:eastAsia="宋体" w:cs="宋体"/>
          <w:color w:val="auto"/>
          <w:kern w:val="0"/>
          <w:sz w:val="21"/>
          <w:szCs w:val="21"/>
          <w:highlight w:val="none"/>
          <w:u w:val="single"/>
          <w:lang w:val="en-US" w:eastAsia="zh-CN" w:bidi="ar"/>
        </w:rPr>
        <w:t>万元以上），提供竣工图的数量分别为</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套、</w:t>
      </w:r>
      <w:r>
        <w:rPr>
          <w:rFonts w:hint="default" w:ascii="Times New Roman" w:hAnsi="Times New Roman" w:eastAsia="宋体" w:cs="Times New Roman"/>
          <w:color w:val="auto"/>
          <w:kern w:val="0"/>
          <w:sz w:val="21"/>
          <w:szCs w:val="21"/>
          <w:highlight w:val="none"/>
          <w:u w:val="single"/>
          <w:lang w:val="en-US" w:eastAsia="zh-CN" w:bidi="ar"/>
        </w:rPr>
        <w:t>4</w:t>
      </w:r>
      <w:r>
        <w:rPr>
          <w:rFonts w:hint="eastAsia" w:ascii="宋体" w:hAnsi="宋体" w:eastAsia="宋体" w:cs="宋体"/>
          <w:color w:val="auto"/>
          <w:kern w:val="0"/>
          <w:sz w:val="21"/>
          <w:szCs w:val="21"/>
          <w:highlight w:val="none"/>
          <w:u w:val="single"/>
          <w:lang w:val="en-US" w:eastAsia="zh-CN" w:bidi="ar"/>
        </w:rPr>
        <w:t>套、</w:t>
      </w:r>
      <w:r>
        <w:rPr>
          <w:rFonts w:hint="default" w:ascii="Times New Roman" w:hAnsi="Times New Roman" w:eastAsia="宋体" w:cs="Times New Roman"/>
          <w:color w:val="auto"/>
          <w:kern w:val="0"/>
          <w:sz w:val="21"/>
          <w:szCs w:val="21"/>
          <w:highlight w:val="none"/>
          <w:u w:val="single"/>
          <w:lang w:val="en-US" w:eastAsia="zh-CN" w:bidi="ar"/>
        </w:rPr>
        <w:t>6</w:t>
      </w:r>
      <w:r>
        <w:rPr>
          <w:rFonts w:hint="eastAsia" w:ascii="宋体" w:hAnsi="宋体" w:eastAsia="宋体" w:cs="宋体"/>
          <w:color w:val="auto"/>
          <w:kern w:val="0"/>
          <w:sz w:val="21"/>
          <w:szCs w:val="21"/>
          <w:highlight w:val="none"/>
          <w:u w:val="single"/>
          <w:lang w:val="en-US" w:eastAsia="zh-CN" w:bidi="ar"/>
        </w:rPr>
        <w:t>套。</w:t>
      </w:r>
    </w:p>
    <w:p w14:paraId="0B2B5E5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13.2.2</w:t>
      </w:r>
      <w:r>
        <w:rPr>
          <w:rFonts w:hint="eastAsia" w:ascii="宋体" w:hAnsi="宋体" w:eastAsia="宋体" w:cs="宋体"/>
          <w:color w:val="auto"/>
          <w:kern w:val="0"/>
          <w:sz w:val="21"/>
          <w:szCs w:val="21"/>
          <w:highlight w:val="none"/>
          <w:lang w:val="en-US" w:eastAsia="zh-CN" w:bidi="ar"/>
        </w:rPr>
        <w:t>竣工验收程序</w:t>
      </w:r>
    </w:p>
    <w:p w14:paraId="694ABFE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关于竣工验收程序的约定：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D3B3EFC">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发包人不按照本项约定组织竣工验收、颁发工程接收证书的违约金的计算方法：</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30B6C6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13.2.5</w:t>
      </w:r>
      <w:r>
        <w:rPr>
          <w:rFonts w:hint="eastAsia" w:ascii="宋体" w:hAnsi="宋体" w:eastAsia="宋体" w:cs="宋体"/>
          <w:color w:val="auto"/>
          <w:kern w:val="0"/>
          <w:sz w:val="21"/>
          <w:szCs w:val="21"/>
          <w:highlight w:val="none"/>
          <w:lang w:val="en-US" w:eastAsia="zh-CN" w:bidi="ar"/>
        </w:rPr>
        <w:t>移交、接收全部与部分工程</w:t>
      </w:r>
    </w:p>
    <w:p w14:paraId="7A16A5C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承包人向发包人移交工程的期限：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自验收合格之日起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0B9FE3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发包人未按本合同约定接收全部或部分工程的，违约金的计算方法为：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9D16C8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highlight w:val="none"/>
          <w:u w:val="single"/>
        </w:rPr>
      </w:pPr>
      <w:r>
        <w:rPr>
          <w:rFonts w:hint="eastAsia" w:ascii="宋体" w:hAnsi="宋体" w:eastAsia="宋体" w:cs="宋体"/>
          <w:color w:val="auto"/>
          <w:kern w:val="0"/>
          <w:sz w:val="21"/>
          <w:szCs w:val="21"/>
          <w:highlight w:val="none"/>
          <w:lang w:val="en-US" w:eastAsia="zh-CN" w:bidi="ar"/>
        </w:rPr>
        <w:t>承包人未按时移交工程的，违约金的计算方法为：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1E95F7B">
      <w:pPr>
        <w:pStyle w:val="4"/>
        <w:widowControl/>
        <w:shd w:val="clear"/>
        <w:rPr>
          <w:rFonts w:hint="default" w:ascii="Times New Roman" w:hAnsi="Times New Roman" w:eastAsia="宋体" w:cs="Times New Roman"/>
          <w:b/>
          <w:bCs/>
          <w:color w:val="auto"/>
          <w:kern w:val="2"/>
          <w:sz w:val="32"/>
          <w:szCs w:val="32"/>
          <w:highlight w:val="none"/>
        </w:rPr>
      </w:pPr>
      <w:bookmarkStart w:id="964" w:name="_Toc373478403"/>
      <w:bookmarkEnd w:id="964"/>
      <w:bookmarkStart w:id="965" w:name="_Toc407135259"/>
      <w:bookmarkEnd w:id="965"/>
      <w:bookmarkStart w:id="966" w:name="_Toc389065321"/>
      <w:bookmarkEnd w:id="966"/>
      <w:bookmarkStart w:id="967" w:name="_Toc373227756"/>
      <w:bookmarkEnd w:id="967"/>
      <w:bookmarkStart w:id="968" w:name="_Toc9850587"/>
      <w:r>
        <w:rPr>
          <w:rFonts w:hint="default" w:ascii="Times New Roman" w:hAnsi="Times New Roman" w:eastAsia="宋体" w:cs="Times New Roman"/>
          <w:b/>
          <w:bCs/>
          <w:color w:val="auto"/>
          <w:kern w:val="2"/>
          <w:sz w:val="32"/>
          <w:szCs w:val="32"/>
          <w:highlight w:val="none"/>
        </w:rPr>
        <w:t xml:space="preserve">13.3 </w:t>
      </w:r>
      <w:bookmarkEnd w:id="968"/>
      <w:r>
        <w:rPr>
          <w:rFonts w:hint="eastAsia" w:ascii="宋体" w:hAnsi="宋体" w:eastAsia="宋体" w:cs="宋体"/>
          <w:b/>
          <w:bCs/>
          <w:color w:val="auto"/>
          <w:kern w:val="2"/>
          <w:sz w:val="32"/>
          <w:szCs w:val="32"/>
          <w:highlight w:val="none"/>
        </w:rPr>
        <w:t>工程试车</w:t>
      </w:r>
    </w:p>
    <w:p w14:paraId="278B5CB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13.3.1 </w:t>
      </w:r>
      <w:r>
        <w:rPr>
          <w:rFonts w:hint="eastAsia" w:ascii="宋体" w:hAnsi="宋体" w:eastAsia="宋体" w:cs="宋体"/>
          <w:color w:val="auto"/>
          <w:kern w:val="0"/>
          <w:sz w:val="21"/>
          <w:szCs w:val="21"/>
          <w:highlight w:val="none"/>
          <w:lang w:val="en-US" w:eastAsia="zh-CN" w:bidi="ar"/>
        </w:rPr>
        <w:t>试车程序</w:t>
      </w:r>
    </w:p>
    <w:p w14:paraId="1422D53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工程试车内容：</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7BCCA6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）单机无负荷试车费用由</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承担；</w:t>
      </w:r>
    </w:p>
    <w:p w14:paraId="3F5B996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）无负荷联动试车费用由</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承担。</w:t>
      </w:r>
    </w:p>
    <w:p w14:paraId="2932CEF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13.3.3 </w:t>
      </w:r>
      <w:r>
        <w:rPr>
          <w:rFonts w:hint="eastAsia" w:ascii="宋体" w:hAnsi="宋体" w:eastAsia="宋体" w:cs="宋体"/>
          <w:color w:val="auto"/>
          <w:kern w:val="0"/>
          <w:sz w:val="21"/>
          <w:szCs w:val="21"/>
          <w:highlight w:val="none"/>
          <w:lang w:val="en-US" w:eastAsia="zh-CN" w:bidi="ar"/>
        </w:rPr>
        <w:t>投料试车</w:t>
      </w:r>
    </w:p>
    <w:p w14:paraId="55DE27D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关于投料试车相关事项的约定：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080EC43">
      <w:pPr>
        <w:pStyle w:val="4"/>
        <w:widowControl/>
        <w:shd w:val="clear"/>
        <w:rPr>
          <w:rFonts w:hint="default" w:ascii="Times New Roman" w:hAnsi="Times New Roman" w:eastAsia="宋体" w:cs="Times New Roman"/>
          <w:b/>
          <w:bCs/>
          <w:color w:val="auto"/>
          <w:kern w:val="2"/>
          <w:sz w:val="32"/>
          <w:szCs w:val="32"/>
          <w:highlight w:val="none"/>
        </w:rPr>
      </w:pPr>
      <w:bookmarkStart w:id="969" w:name="_Toc373478404"/>
      <w:bookmarkEnd w:id="969"/>
      <w:bookmarkStart w:id="970" w:name="_Toc389065322"/>
      <w:bookmarkEnd w:id="970"/>
      <w:bookmarkStart w:id="971" w:name="_Toc407135260"/>
      <w:bookmarkEnd w:id="971"/>
      <w:bookmarkStart w:id="972" w:name="_Toc373227757"/>
      <w:bookmarkEnd w:id="972"/>
      <w:bookmarkStart w:id="973" w:name="_Toc9850588"/>
      <w:r>
        <w:rPr>
          <w:rFonts w:hint="default" w:ascii="Times New Roman" w:hAnsi="Times New Roman" w:eastAsia="宋体" w:cs="Times New Roman"/>
          <w:b/>
          <w:bCs/>
          <w:color w:val="auto"/>
          <w:kern w:val="2"/>
          <w:sz w:val="32"/>
          <w:szCs w:val="32"/>
          <w:highlight w:val="none"/>
        </w:rPr>
        <w:t xml:space="preserve">13.6 </w:t>
      </w:r>
      <w:bookmarkEnd w:id="973"/>
      <w:r>
        <w:rPr>
          <w:rFonts w:hint="eastAsia" w:ascii="宋体" w:hAnsi="宋体" w:eastAsia="宋体" w:cs="宋体"/>
          <w:b/>
          <w:bCs/>
          <w:color w:val="auto"/>
          <w:kern w:val="2"/>
          <w:sz w:val="32"/>
          <w:szCs w:val="32"/>
          <w:highlight w:val="none"/>
        </w:rPr>
        <w:t>竣工退场</w:t>
      </w:r>
    </w:p>
    <w:p w14:paraId="3853BF5A">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13.6.1 </w:t>
      </w:r>
      <w:r>
        <w:rPr>
          <w:rFonts w:hint="eastAsia" w:ascii="宋体" w:hAnsi="宋体" w:eastAsia="宋体" w:cs="宋体"/>
          <w:color w:val="auto"/>
          <w:kern w:val="0"/>
          <w:sz w:val="21"/>
          <w:szCs w:val="21"/>
          <w:highlight w:val="none"/>
          <w:lang w:val="en-US" w:eastAsia="zh-CN" w:bidi="ar"/>
        </w:rPr>
        <w:t>竣工退场</w:t>
      </w:r>
    </w:p>
    <w:p w14:paraId="4ACCC1B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承包人完成竣工退场的期限：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自竣工验收合格之日起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CE40778">
      <w:pPr>
        <w:pStyle w:val="3"/>
        <w:widowControl/>
        <w:shd w:val="clear"/>
        <w:rPr>
          <w:rFonts w:hint="default" w:ascii="Arial" w:hAnsi="Arial" w:eastAsia="黑体" w:cs="Times New Roman"/>
          <w:b/>
          <w:bCs w:val="0"/>
          <w:color w:val="auto"/>
          <w:sz w:val="32"/>
          <w:szCs w:val="32"/>
          <w:highlight w:val="none"/>
        </w:rPr>
      </w:pPr>
      <w:bookmarkStart w:id="974" w:name="_Toc9850589"/>
      <w:bookmarkEnd w:id="974"/>
      <w:bookmarkStart w:id="975" w:name="_Toc389065323"/>
      <w:bookmarkEnd w:id="975"/>
      <w:bookmarkStart w:id="976" w:name="_Toc373227758"/>
      <w:bookmarkEnd w:id="976"/>
      <w:bookmarkStart w:id="977" w:name="_Toc407135261"/>
      <w:bookmarkEnd w:id="977"/>
      <w:bookmarkStart w:id="978" w:name="_Toc373478405"/>
      <w:bookmarkEnd w:id="978"/>
      <w:bookmarkStart w:id="979" w:name="_Toc351203646"/>
      <w:r>
        <w:rPr>
          <w:rFonts w:hint="default" w:ascii="Arial" w:hAnsi="Arial" w:eastAsia="黑体" w:cs="Times New Roman"/>
          <w:b/>
          <w:bCs w:val="0"/>
          <w:color w:val="auto"/>
          <w:sz w:val="32"/>
          <w:szCs w:val="32"/>
          <w:highlight w:val="none"/>
        </w:rPr>
        <w:t xml:space="preserve">14. </w:t>
      </w:r>
      <w:bookmarkEnd w:id="979"/>
      <w:r>
        <w:rPr>
          <w:rFonts w:hint="eastAsia" w:ascii="黑体" w:hAnsi="宋体" w:eastAsia="黑体" w:cs="黑体"/>
          <w:b/>
          <w:bCs w:val="0"/>
          <w:color w:val="auto"/>
          <w:sz w:val="32"/>
          <w:szCs w:val="32"/>
          <w:highlight w:val="none"/>
        </w:rPr>
        <w:t>竣工结算</w:t>
      </w:r>
    </w:p>
    <w:p w14:paraId="6A0320BD">
      <w:pPr>
        <w:pStyle w:val="4"/>
        <w:widowControl/>
        <w:shd w:val="clear"/>
        <w:rPr>
          <w:rFonts w:hint="default" w:ascii="Times New Roman" w:hAnsi="Times New Roman" w:eastAsia="宋体" w:cs="Times New Roman"/>
          <w:b/>
          <w:bCs/>
          <w:color w:val="auto"/>
          <w:kern w:val="2"/>
          <w:sz w:val="32"/>
          <w:szCs w:val="32"/>
          <w:highlight w:val="none"/>
        </w:rPr>
      </w:pPr>
      <w:bookmarkStart w:id="980" w:name="_Toc9850590"/>
      <w:bookmarkEnd w:id="980"/>
      <w:bookmarkStart w:id="981" w:name="_Toc373478406"/>
      <w:bookmarkEnd w:id="981"/>
      <w:bookmarkStart w:id="982" w:name="_Toc389065324"/>
      <w:bookmarkEnd w:id="982"/>
      <w:bookmarkStart w:id="983" w:name="_Toc407135262"/>
      <w:bookmarkEnd w:id="983"/>
      <w:bookmarkStart w:id="984" w:name="_Toc373227759"/>
      <w:r>
        <w:rPr>
          <w:rFonts w:hint="default" w:ascii="Times New Roman" w:hAnsi="Times New Roman" w:eastAsia="宋体" w:cs="Times New Roman"/>
          <w:b/>
          <w:bCs/>
          <w:color w:val="auto"/>
          <w:kern w:val="2"/>
          <w:sz w:val="32"/>
          <w:szCs w:val="32"/>
          <w:highlight w:val="none"/>
        </w:rPr>
        <w:t xml:space="preserve">14.1 </w:t>
      </w:r>
      <w:bookmarkEnd w:id="984"/>
      <w:r>
        <w:rPr>
          <w:rFonts w:hint="eastAsia" w:ascii="宋体" w:hAnsi="宋体" w:eastAsia="宋体" w:cs="宋体"/>
          <w:b/>
          <w:bCs/>
          <w:color w:val="auto"/>
          <w:kern w:val="2"/>
          <w:sz w:val="32"/>
          <w:szCs w:val="32"/>
          <w:highlight w:val="none"/>
        </w:rPr>
        <w:t>竣工付款申请</w:t>
      </w:r>
    </w:p>
    <w:p w14:paraId="3352D20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承包人提交竣工付款申请单的期限：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28FC3F0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竣工付款申请单应包括的内容：</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。竣工结算款支付申请（核准）表见合同附件</w:t>
      </w:r>
      <w:r>
        <w:rPr>
          <w:rFonts w:hint="default" w:ascii="Times New Roman" w:hAnsi="Times New Roman" w:eastAsia="宋体" w:cs="Times New Roman"/>
          <w:color w:val="auto"/>
          <w:kern w:val="0"/>
          <w:sz w:val="21"/>
          <w:szCs w:val="21"/>
          <w:highlight w:val="none"/>
          <w:lang w:val="en-US" w:eastAsia="zh-CN" w:bidi="ar"/>
        </w:rPr>
        <w:t>12</w:t>
      </w:r>
      <w:r>
        <w:rPr>
          <w:rFonts w:hint="eastAsia" w:ascii="宋体" w:hAnsi="宋体" w:eastAsia="宋体" w:cs="宋体"/>
          <w:color w:val="auto"/>
          <w:kern w:val="0"/>
          <w:sz w:val="21"/>
          <w:szCs w:val="21"/>
          <w:highlight w:val="none"/>
          <w:lang w:val="en-US" w:eastAsia="zh-CN" w:bidi="ar"/>
        </w:rPr>
        <w:t>。</w:t>
      </w:r>
    </w:p>
    <w:p w14:paraId="309580BA">
      <w:pPr>
        <w:pStyle w:val="4"/>
        <w:widowControl/>
        <w:shd w:val="clear"/>
        <w:rPr>
          <w:rFonts w:hint="default" w:ascii="Times New Roman" w:hAnsi="Times New Roman" w:eastAsia="宋体" w:cs="Times New Roman"/>
          <w:b/>
          <w:bCs/>
          <w:color w:val="auto"/>
          <w:kern w:val="2"/>
          <w:sz w:val="32"/>
          <w:szCs w:val="32"/>
          <w:highlight w:val="none"/>
        </w:rPr>
      </w:pPr>
      <w:bookmarkStart w:id="985" w:name="_Toc9850591"/>
      <w:bookmarkEnd w:id="985"/>
      <w:bookmarkStart w:id="986" w:name="_Toc373478407"/>
      <w:bookmarkEnd w:id="986"/>
      <w:bookmarkStart w:id="987" w:name="_Toc389065325"/>
      <w:bookmarkEnd w:id="987"/>
      <w:bookmarkStart w:id="988" w:name="_Toc407135263"/>
      <w:bookmarkEnd w:id="988"/>
      <w:bookmarkStart w:id="989" w:name="_Toc373227760"/>
      <w:r>
        <w:rPr>
          <w:rFonts w:hint="default" w:ascii="Times New Roman" w:hAnsi="Times New Roman" w:eastAsia="宋体" w:cs="Times New Roman"/>
          <w:b/>
          <w:bCs/>
          <w:color w:val="auto"/>
          <w:kern w:val="2"/>
          <w:sz w:val="32"/>
          <w:szCs w:val="32"/>
          <w:highlight w:val="none"/>
        </w:rPr>
        <w:t xml:space="preserve">14.2 </w:t>
      </w:r>
      <w:bookmarkEnd w:id="989"/>
      <w:r>
        <w:rPr>
          <w:rFonts w:hint="eastAsia" w:ascii="宋体" w:hAnsi="宋体" w:eastAsia="宋体" w:cs="宋体"/>
          <w:b/>
          <w:bCs/>
          <w:color w:val="auto"/>
          <w:kern w:val="2"/>
          <w:sz w:val="32"/>
          <w:szCs w:val="32"/>
          <w:highlight w:val="none"/>
        </w:rPr>
        <w:t>竣工结算审核</w:t>
      </w:r>
    </w:p>
    <w:p w14:paraId="79F327E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发包人审批竣工付款申请单的期限：</w:t>
      </w:r>
    </w:p>
    <w:tbl>
      <w:tblPr>
        <w:tblStyle w:val="23"/>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65"/>
        <w:gridCol w:w="2466"/>
        <w:gridCol w:w="5967"/>
      </w:tblGrid>
      <w:tr w14:paraId="577F3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60397A9B">
            <w:pPr>
              <w:keepNext w:val="0"/>
              <w:keepLines w:val="0"/>
              <w:widowControl w:val="0"/>
              <w:suppressLineNumbers w:val="0"/>
              <w:shd w:val="clear"/>
              <w:spacing w:before="0" w:beforeAutospacing="0" w:after="0" w:afterAutospacing="0" w:line="360" w:lineRule="auto"/>
              <w:ind w:left="0" w:right="0"/>
              <w:jc w:val="both"/>
              <w:rPr>
                <w:rFonts w:hint="default" w:ascii="Times New Roman" w:hAnsi="Times New Roman" w:eastAsia="宋体" w:cs="Times New Roman"/>
                <w:color w:val="auto"/>
                <w:sz w:val="21"/>
                <w:szCs w:val="21"/>
                <w:highlight w:val="none"/>
              </w:rPr>
            </w:pP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2DBBBFD7">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工程竣工结算报告金额</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3BA0A0F">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发包人审查时间</w:t>
            </w:r>
          </w:p>
        </w:tc>
      </w:tr>
      <w:tr w14:paraId="3920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0D1BFFC1">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7B3081A">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w:t>
            </w:r>
            <w:r>
              <w:rPr>
                <w:rFonts w:hint="eastAsia" w:ascii="宋体" w:hAnsi="宋体" w:eastAsia="宋体" w:cs="宋体"/>
                <w:color w:val="auto"/>
                <w:kern w:val="0"/>
                <w:sz w:val="21"/>
                <w:szCs w:val="21"/>
                <w:highlight w:val="none"/>
                <w:lang w:val="en-US" w:eastAsia="zh-CN" w:bidi="ar"/>
              </w:rPr>
              <w:t>万元以下</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FCCFB70">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20</w:t>
            </w:r>
            <w:r>
              <w:rPr>
                <w:rFonts w:hint="eastAsia" w:ascii="宋体" w:hAnsi="宋体" w:eastAsia="宋体" w:cs="宋体"/>
                <w:color w:val="auto"/>
                <w:kern w:val="0"/>
                <w:sz w:val="21"/>
                <w:szCs w:val="21"/>
                <w:highlight w:val="none"/>
                <w:lang w:val="en-US" w:eastAsia="zh-CN" w:bidi="ar"/>
              </w:rPr>
              <w:t>天</w:t>
            </w:r>
          </w:p>
        </w:tc>
      </w:tr>
      <w:tr w14:paraId="54B9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40A8427">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1870E431">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w:t>
            </w:r>
            <w:r>
              <w:rPr>
                <w:rFonts w:hint="eastAsia" w:ascii="宋体" w:hAnsi="宋体" w:eastAsia="宋体" w:cs="宋体"/>
                <w:color w:val="auto"/>
                <w:kern w:val="0"/>
                <w:sz w:val="21"/>
                <w:szCs w:val="21"/>
                <w:highlight w:val="none"/>
                <w:lang w:val="en-US" w:eastAsia="zh-CN" w:bidi="ar"/>
              </w:rPr>
              <w:t>万元</w:t>
            </w:r>
            <w:r>
              <w:rPr>
                <w:rFonts w:hint="default" w:ascii="Times New Roman" w:hAnsi="Times New Roman" w:eastAsia="宋体" w:cs="Times New Roman"/>
                <w:color w:val="auto"/>
                <w:kern w:val="0"/>
                <w:sz w:val="21"/>
                <w:szCs w:val="21"/>
                <w:highlight w:val="none"/>
                <w:lang w:val="en-US" w:eastAsia="zh-CN" w:bidi="ar"/>
              </w:rPr>
              <w:t>-2000</w:t>
            </w:r>
            <w:r>
              <w:rPr>
                <w:rFonts w:hint="eastAsia" w:ascii="宋体" w:hAnsi="宋体" w:eastAsia="宋体" w:cs="宋体"/>
                <w:color w:val="auto"/>
                <w:kern w:val="0"/>
                <w:sz w:val="21"/>
                <w:szCs w:val="21"/>
                <w:highlight w:val="none"/>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25EDB5F8">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val="en-US" w:eastAsia="zh-CN" w:bidi="ar"/>
              </w:rPr>
              <w:t>天</w:t>
            </w:r>
          </w:p>
        </w:tc>
      </w:tr>
      <w:tr w14:paraId="7438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13F5D601">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32686405">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2000</w:t>
            </w:r>
            <w:r>
              <w:rPr>
                <w:rFonts w:hint="eastAsia" w:ascii="宋体" w:hAnsi="宋体" w:eastAsia="宋体" w:cs="宋体"/>
                <w:color w:val="auto"/>
                <w:kern w:val="0"/>
                <w:sz w:val="21"/>
                <w:szCs w:val="21"/>
                <w:highlight w:val="none"/>
                <w:lang w:val="en-US" w:eastAsia="zh-CN" w:bidi="ar"/>
              </w:rPr>
              <w:t>万元</w:t>
            </w: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万元</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5AD48402">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45</w:t>
            </w:r>
            <w:r>
              <w:rPr>
                <w:rFonts w:hint="eastAsia" w:ascii="宋体" w:hAnsi="宋体" w:eastAsia="宋体" w:cs="宋体"/>
                <w:color w:val="auto"/>
                <w:kern w:val="0"/>
                <w:sz w:val="21"/>
                <w:szCs w:val="21"/>
                <w:highlight w:val="none"/>
                <w:lang w:val="en-US" w:eastAsia="zh-CN" w:bidi="ar"/>
              </w:rPr>
              <w:t>天</w:t>
            </w:r>
          </w:p>
        </w:tc>
      </w:tr>
      <w:tr w14:paraId="33CF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3667D8AD">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54DA04FA">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万元以上</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7A7AD36B">
            <w:pPr>
              <w:keepNext w:val="0"/>
              <w:keepLines w:val="0"/>
              <w:widowControl w:val="0"/>
              <w:suppressLineNumbers w:val="0"/>
              <w:shd w:val="clear"/>
              <w:spacing w:before="0" w:beforeAutospacing="0" w:after="0" w:afterAutospacing="0" w:line="360" w:lineRule="auto"/>
              <w:ind w:left="0" w:right="0" w:firstLine="441" w:firstLineChars="210"/>
              <w:jc w:val="center"/>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从接到竣工结算报告和完整的竣工结算资料之日起</w:t>
            </w:r>
            <w:r>
              <w:rPr>
                <w:rFonts w:hint="default" w:ascii="Times New Roman" w:hAnsi="Times New Roman" w:eastAsia="宋体" w:cs="Times New Roman"/>
                <w:color w:val="auto"/>
                <w:kern w:val="0"/>
                <w:sz w:val="21"/>
                <w:szCs w:val="21"/>
                <w:highlight w:val="none"/>
                <w:lang w:val="en-US" w:eastAsia="zh-CN" w:bidi="ar"/>
              </w:rPr>
              <w:t>60</w:t>
            </w:r>
            <w:r>
              <w:rPr>
                <w:rFonts w:hint="eastAsia" w:ascii="宋体" w:hAnsi="宋体" w:eastAsia="宋体" w:cs="宋体"/>
                <w:color w:val="auto"/>
                <w:kern w:val="0"/>
                <w:sz w:val="21"/>
                <w:szCs w:val="21"/>
                <w:highlight w:val="none"/>
                <w:lang w:val="en-US" w:eastAsia="zh-CN" w:bidi="ar"/>
              </w:rPr>
              <w:t>天</w:t>
            </w:r>
          </w:p>
        </w:tc>
      </w:tr>
      <w:tr w14:paraId="1958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14:paraId="2F99010E">
            <w:pPr>
              <w:keepNext w:val="0"/>
              <w:keepLines w:val="0"/>
              <w:widowControl w:val="0"/>
              <w:suppressLineNumbers w:val="0"/>
              <w:shd w:val="clear"/>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p>
        </w:tc>
        <w:tc>
          <w:tcPr>
            <w:tcW w:w="2466" w:type="dxa"/>
            <w:tcBorders>
              <w:top w:val="single" w:color="auto" w:sz="4" w:space="0"/>
              <w:left w:val="single" w:color="auto" w:sz="4" w:space="0"/>
              <w:bottom w:val="single" w:color="auto" w:sz="4" w:space="0"/>
              <w:right w:val="single" w:color="auto" w:sz="4" w:space="0"/>
            </w:tcBorders>
            <w:shd w:val="clear" w:color="auto" w:fill="auto"/>
            <w:vAlign w:val="center"/>
          </w:tcPr>
          <w:p w14:paraId="00C52CFC">
            <w:pPr>
              <w:keepNext w:val="0"/>
              <w:keepLines w:val="0"/>
              <w:widowControl w:val="0"/>
              <w:suppressLineNumbers w:val="0"/>
              <w:shd w:val="clear"/>
              <w:spacing w:before="0" w:beforeAutospacing="0" w:after="0" w:afterAutospacing="0" w:line="360" w:lineRule="auto"/>
              <w:ind w:left="0" w:right="0" w:firstLine="27" w:firstLineChars="13"/>
              <w:jc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5000</w:t>
            </w:r>
            <w:r>
              <w:rPr>
                <w:rFonts w:hint="eastAsia" w:ascii="宋体" w:hAnsi="宋体" w:eastAsia="宋体" w:cs="宋体"/>
                <w:color w:val="auto"/>
                <w:kern w:val="0"/>
                <w:sz w:val="21"/>
                <w:szCs w:val="21"/>
                <w:highlight w:val="none"/>
                <w:lang w:val="en-US" w:eastAsia="zh-CN" w:bidi="ar"/>
              </w:rPr>
              <w:t>万以上每增加</w:t>
            </w:r>
            <w:r>
              <w:rPr>
                <w:rFonts w:hint="default" w:ascii="Times New Roman" w:hAnsi="Times New Roman" w:eastAsia="宋体" w:cs="Times New Roman"/>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亿</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不足</w:t>
            </w:r>
            <w:r>
              <w:rPr>
                <w:rFonts w:hint="default" w:ascii="Times New Roman" w:hAnsi="Times New Roman" w:eastAsia="宋体" w:cs="Times New Roman"/>
                <w:color w:val="auto"/>
                <w:kern w:val="0"/>
                <w:sz w:val="21"/>
                <w:szCs w:val="21"/>
                <w:highlight w:val="none"/>
                <w:lang w:val="en-US" w:eastAsia="zh-CN" w:bidi="ar"/>
              </w:rPr>
              <w:t>0.5</w:t>
            </w:r>
            <w:r>
              <w:rPr>
                <w:rFonts w:hint="eastAsia" w:ascii="宋体" w:hAnsi="宋体" w:eastAsia="宋体" w:cs="宋体"/>
                <w:color w:val="auto"/>
                <w:kern w:val="0"/>
                <w:sz w:val="21"/>
                <w:szCs w:val="21"/>
                <w:highlight w:val="none"/>
                <w:lang w:val="en-US" w:eastAsia="zh-CN" w:bidi="ar"/>
              </w:rPr>
              <w:t>亿不增加</w:t>
            </w:r>
            <w:r>
              <w:rPr>
                <w:rFonts w:hint="default" w:ascii="Times New Roman" w:hAnsi="Times New Roman" w:eastAsia="宋体" w:cs="Times New Roman"/>
                <w:color w:val="auto"/>
                <w:kern w:val="0"/>
                <w:sz w:val="21"/>
                <w:szCs w:val="21"/>
                <w:highlight w:val="none"/>
                <w:lang w:val="en-US" w:eastAsia="zh-CN" w:bidi="ar"/>
              </w:rPr>
              <w:t>)</w:t>
            </w:r>
          </w:p>
        </w:tc>
        <w:tc>
          <w:tcPr>
            <w:tcW w:w="5967" w:type="dxa"/>
            <w:tcBorders>
              <w:top w:val="single" w:color="auto" w:sz="4" w:space="0"/>
              <w:left w:val="single" w:color="auto" w:sz="4" w:space="0"/>
              <w:bottom w:val="single" w:color="auto" w:sz="4" w:space="0"/>
              <w:right w:val="single" w:color="auto" w:sz="4" w:space="0"/>
            </w:tcBorders>
            <w:shd w:val="clear" w:color="auto" w:fill="auto"/>
            <w:vAlign w:val="center"/>
          </w:tcPr>
          <w:p w14:paraId="1BB280E6">
            <w:pPr>
              <w:keepNext w:val="0"/>
              <w:keepLines w:val="0"/>
              <w:widowControl w:val="0"/>
              <w:suppressLineNumbers w:val="0"/>
              <w:shd w:val="clear"/>
              <w:spacing w:before="0" w:beforeAutospacing="0" w:after="0" w:afterAutospacing="0" w:line="360" w:lineRule="auto"/>
              <w:ind w:left="0" w:right="0" w:firstLine="441" w:firstLineChars="210"/>
              <w:jc w:val="center"/>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增加</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天</w:t>
            </w:r>
          </w:p>
        </w:tc>
      </w:tr>
    </w:tbl>
    <w:p w14:paraId="76954B6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因承包人提供的结算资料不完整而需要补充或承包人不按时对账耽误时间时，审查时间应相应顺延。</w:t>
      </w:r>
    </w:p>
    <w:p w14:paraId="74DE60D8">
      <w:pPr>
        <w:keepNext w:val="0"/>
        <w:keepLines w:val="0"/>
        <w:widowControl w:val="0"/>
        <w:suppressLineNumbers w:val="0"/>
        <w:shd w:val="clear"/>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竣工结算审核约定：</w:t>
      </w:r>
    </w:p>
    <w:p w14:paraId="0378BAB3">
      <w:pPr>
        <w:keepNext w:val="0"/>
        <w:keepLines w:val="0"/>
        <w:widowControl w:val="0"/>
        <w:suppressLineNumbers w:val="0"/>
        <w:shd w:val="clear"/>
        <w:spacing w:before="0" w:beforeAutospacing="0" w:after="0" w:afterAutospacing="0" w:line="400" w:lineRule="exact"/>
        <w:ind w:left="0" w:right="0" w:firstLine="411" w:firstLineChars="196"/>
        <w:jc w:val="both"/>
        <w:rPr>
          <w:rFonts w:hint="default" w:ascii="Times New Roman" w:hAnsi="宋体" w:eastAsia="宋体" w:cs="Times New Roman"/>
          <w:color w:val="auto"/>
          <w:sz w:val="21"/>
          <w:szCs w:val="21"/>
          <w:highlight w:val="none"/>
          <w:u w:val="single"/>
        </w:rPr>
      </w:pPr>
      <w:r>
        <w:rPr>
          <w:rFonts w:hint="default" w:ascii="Times New Roman" w:hAnsi="宋体" w:eastAsia="宋体" w:cs="Times New Roman"/>
          <w:color w:val="auto"/>
          <w:kern w:val="0"/>
          <w:sz w:val="21"/>
          <w:szCs w:val="21"/>
          <w:highlight w:val="none"/>
          <w:u w:val="single"/>
          <w:lang w:val="en-US" w:eastAsia="zh-CN" w:bidi="ar"/>
        </w:rPr>
        <w:t>1</w:t>
      </w:r>
      <w:r>
        <w:rPr>
          <w:rFonts w:hint="eastAsia" w:ascii="宋体" w:hAnsi="宋体" w:eastAsia="宋体" w:cs="宋体"/>
          <w:color w:val="auto"/>
          <w:kern w:val="0"/>
          <w:sz w:val="21"/>
          <w:szCs w:val="21"/>
          <w:highlight w:val="none"/>
          <w:u w:val="single"/>
          <w:lang w:val="en-US" w:eastAsia="zh-CN" w:bidi="ar"/>
        </w:rPr>
        <w:t>、工程竣工验收报告经发包人认可后</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天内，承包人向发包人递交竣工验收合格资料及完整的结算资料和报告，双方按照本工程合同约定的价格形式及价款调整办法进行工程竣工结算。</w:t>
      </w:r>
      <w:r>
        <w:rPr>
          <w:rFonts w:hint="default" w:ascii="Times New Roman" w:hAnsi="宋体"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、发包人收到承包人递交的竣工结算报告及结算资料之日起</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天内进行审核，并给予确认或者提出审核意见。承包人对发包人确认的结算价款或审核意见有异议的，应在收到发包人确认的价款或审核意见之日起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日内提出异议，必要时合同当事人要当面核对，直至完成工程竣工结算。除非有特殊情形，否则从承包人递交竣工结算报告到完成竣工结算的时间应控制在“发包人审核竣工付款申请单的期限”要求的时间范围内。</w:t>
      </w:r>
      <w:r>
        <w:rPr>
          <w:rFonts w:hint="default" w:ascii="Times New Roman" w:hAnsi="Times New Roman" w:eastAsia="宋体" w:cs="Times New Roman"/>
          <w:color w:val="auto"/>
          <w:kern w:val="0"/>
          <w:sz w:val="21"/>
          <w:szCs w:val="21"/>
          <w:highlight w:val="none"/>
          <w:u w:val="single"/>
          <w:lang w:val="en-US" w:eastAsia="zh-CN" w:bidi="ar"/>
        </w:rPr>
        <w:t>3.</w:t>
      </w:r>
      <w:r>
        <w:rPr>
          <w:rFonts w:hint="eastAsia" w:ascii="宋体" w:hAnsi="宋体" w:eastAsia="宋体" w:cs="宋体"/>
          <w:color w:val="auto"/>
          <w:kern w:val="0"/>
          <w:sz w:val="21"/>
          <w:szCs w:val="21"/>
          <w:highlight w:val="none"/>
          <w:u w:val="single"/>
          <w:lang w:val="en-US" w:eastAsia="zh-CN" w:bidi="ar"/>
        </w:rPr>
        <w:t>自竣工结算完毕之日起</w:t>
      </w:r>
      <w:r>
        <w:rPr>
          <w:rFonts w:hint="default" w:ascii="Times New Roman" w:hAnsi="Times New Roman" w:eastAsia="宋体" w:cs="Times New Roman"/>
          <w:color w:val="auto"/>
          <w:kern w:val="0"/>
          <w:sz w:val="21"/>
          <w:szCs w:val="21"/>
          <w:highlight w:val="none"/>
          <w:u w:val="single"/>
          <w:lang w:val="en-US" w:eastAsia="zh-CN" w:bidi="ar"/>
        </w:rPr>
        <w:t>30</w:t>
      </w:r>
      <w:r>
        <w:rPr>
          <w:rFonts w:hint="eastAsia"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天内，发包人按审定后的竣工结算价款，通知经办银行向承包人支付结算价款。</w:t>
      </w:r>
    </w:p>
    <w:p w14:paraId="2B5612E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备注：对于国有投资项目结算审核约定，双方可结合各地政府或有关部门出台的管理规定进行局部调整</w:t>
      </w:r>
    </w:p>
    <w:p w14:paraId="1144CE36">
      <w:pPr>
        <w:pStyle w:val="4"/>
        <w:widowControl/>
        <w:shd w:val="clear"/>
        <w:rPr>
          <w:rFonts w:hint="default" w:ascii="Times New Roman" w:hAnsi="Times New Roman" w:eastAsia="宋体" w:cs="Times New Roman"/>
          <w:b/>
          <w:bCs/>
          <w:color w:val="auto"/>
          <w:kern w:val="2"/>
          <w:sz w:val="32"/>
          <w:szCs w:val="32"/>
          <w:highlight w:val="none"/>
        </w:rPr>
      </w:pPr>
      <w:bookmarkStart w:id="990" w:name="_Toc373227761"/>
      <w:bookmarkEnd w:id="990"/>
      <w:bookmarkStart w:id="991" w:name="_Toc389065326"/>
      <w:bookmarkEnd w:id="991"/>
      <w:bookmarkStart w:id="992" w:name="_Toc407135264"/>
      <w:bookmarkEnd w:id="992"/>
      <w:bookmarkStart w:id="993" w:name="_Toc9850592"/>
      <w:bookmarkEnd w:id="993"/>
      <w:bookmarkStart w:id="994" w:name="_Toc373478408"/>
      <w:r>
        <w:rPr>
          <w:rFonts w:hint="default" w:ascii="Times New Roman" w:hAnsi="Times New Roman" w:eastAsia="宋体" w:cs="Times New Roman"/>
          <w:b/>
          <w:bCs/>
          <w:color w:val="auto"/>
          <w:kern w:val="2"/>
          <w:sz w:val="32"/>
          <w:szCs w:val="32"/>
          <w:highlight w:val="none"/>
        </w:rPr>
        <w:t xml:space="preserve">14.4 </w:t>
      </w:r>
      <w:bookmarkEnd w:id="994"/>
      <w:r>
        <w:rPr>
          <w:rFonts w:hint="eastAsia" w:ascii="宋体" w:hAnsi="宋体" w:eastAsia="宋体" w:cs="宋体"/>
          <w:b/>
          <w:bCs/>
          <w:color w:val="auto"/>
          <w:kern w:val="2"/>
          <w:sz w:val="32"/>
          <w:szCs w:val="32"/>
          <w:highlight w:val="none"/>
        </w:rPr>
        <w:t>最终结清</w:t>
      </w:r>
    </w:p>
    <w:p w14:paraId="401F7C4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14.4.1 </w:t>
      </w:r>
      <w:r>
        <w:rPr>
          <w:rFonts w:hint="eastAsia" w:ascii="宋体" w:hAnsi="宋体" w:eastAsia="宋体" w:cs="宋体"/>
          <w:color w:val="auto"/>
          <w:kern w:val="0"/>
          <w:sz w:val="21"/>
          <w:szCs w:val="21"/>
          <w:highlight w:val="none"/>
          <w:lang w:val="en-US" w:eastAsia="zh-CN" w:bidi="ar"/>
        </w:rPr>
        <w:t>最终结清申请单</w:t>
      </w:r>
    </w:p>
    <w:p w14:paraId="7026FB6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承包人提交最终结清申请单的份数：</w:t>
      </w:r>
      <w:r>
        <w:rPr>
          <w:rFonts w:hint="default" w:ascii="Times New Roman" w:hAnsi="Times New Roman" w:eastAsia="宋体" w:cs="Times New Roman"/>
          <w:color w:val="auto"/>
          <w:kern w:val="0"/>
          <w:sz w:val="21"/>
          <w:szCs w:val="21"/>
          <w:highlight w:val="none"/>
          <w:u w:val="single"/>
          <w:lang w:val="en-US" w:eastAsia="zh-CN" w:bidi="ar"/>
        </w:rPr>
        <w:t xml:space="preserve">  2</w:t>
      </w:r>
      <w:r>
        <w:rPr>
          <w:rFonts w:hint="eastAsia" w:ascii="宋体" w:hAnsi="宋体" w:eastAsia="宋体" w:cs="宋体"/>
          <w:color w:val="auto"/>
          <w:kern w:val="0"/>
          <w:sz w:val="21"/>
          <w:szCs w:val="21"/>
          <w:highlight w:val="none"/>
          <w:u w:val="single"/>
          <w:lang w:val="en-US" w:eastAsia="zh-CN" w:bidi="ar"/>
        </w:rPr>
        <w:t>份，如发包人有需要另行增加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3C1A12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承包人提交最终结算申请单的期限：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自竣工验收之日起</w:t>
      </w:r>
      <w:r>
        <w:rPr>
          <w:rFonts w:hint="default" w:ascii="Times New Roman" w:hAnsi="Times New Roman" w:eastAsia="宋体" w:cs="Times New Roman"/>
          <w:color w:val="auto"/>
          <w:kern w:val="0"/>
          <w:sz w:val="21"/>
          <w:szCs w:val="21"/>
          <w:highlight w:val="none"/>
          <w:u w:val="single"/>
          <w:lang w:val="en-US" w:eastAsia="zh-CN" w:bidi="ar"/>
        </w:rPr>
        <w:t>7</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 xml:space="preserve"> </w:t>
      </w:r>
    </w:p>
    <w:p w14:paraId="2823C021">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最终结算款支付申请（核准）表见合同附件</w:t>
      </w:r>
      <w:r>
        <w:rPr>
          <w:rFonts w:hint="default" w:ascii="Times New Roman" w:hAnsi="Times New Roman" w:eastAsia="宋体" w:cs="Times New Roman"/>
          <w:color w:val="auto"/>
          <w:kern w:val="0"/>
          <w:sz w:val="21"/>
          <w:szCs w:val="21"/>
          <w:highlight w:val="none"/>
          <w:lang w:val="en-US" w:eastAsia="zh-CN" w:bidi="ar"/>
        </w:rPr>
        <w:t>13</w:t>
      </w:r>
      <w:r>
        <w:rPr>
          <w:rFonts w:hint="eastAsia" w:ascii="宋体" w:hAnsi="宋体" w:eastAsia="宋体" w:cs="宋体"/>
          <w:color w:val="auto"/>
          <w:kern w:val="0"/>
          <w:sz w:val="21"/>
          <w:szCs w:val="21"/>
          <w:highlight w:val="none"/>
          <w:lang w:val="en-US" w:eastAsia="zh-CN" w:bidi="ar"/>
        </w:rPr>
        <w:t>。</w:t>
      </w:r>
    </w:p>
    <w:p w14:paraId="3005100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14.4.2 </w:t>
      </w:r>
      <w:r>
        <w:rPr>
          <w:rFonts w:hint="eastAsia" w:ascii="宋体" w:hAnsi="宋体" w:eastAsia="宋体" w:cs="宋体"/>
          <w:color w:val="auto"/>
          <w:kern w:val="0"/>
          <w:sz w:val="21"/>
          <w:szCs w:val="21"/>
          <w:highlight w:val="none"/>
          <w:lang w:val="en-US" w:eastAsia="zh-CN" w:bidi="ar"/>
        </w:rPr>
        <w:t>最终结清证书和支付</w:t>
      </w:r>
    </w:p>
    <w:p w14:paraId="274A83D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）发包人完成最终结清申请单的审批并颁发最终结清证书的期限：</w:t>
      </w:r>
      <w:r>
        <w:rPr>
          <w:rFonts w:hint="eastAsia" w:ascii="宋体" w:hAnsi="宋体" w:eastAsia="宋体" w:cs="宋体"/>
          <w:color w:val="auto"/>
          <w:kern w:val="0"/>
          <w:sz w:val="21"/>
          <w:szCs w:val="21"/>
          <w:highlight w:val="none"/>
          <w:u w:val="single"/>
          <w:lang w:val="en-US" w:eastAsia="zh-CN" w:bidi="ar"/>
        </w:rPr>
        <w:t>自结算审批之日起</w:t>
      </w:r>
      <w:r>
        <w:rPr>
          <w:rFonts w:hint="default" w:ascii="Times New Roman" w:hAnsi="Times New Roman" w:eastAsia="宋体" w:cs="Times New Roman"/>
          <w:color w:val="auto"/>
          <w:kern w:val="0"/>
          <w:sz w:val="21"/>
          <w:szCs w:val="21"/>
          <w:highlight w:val="none"/>
          <w:u w:val="single"/>
          <w:lang w:val="en-US" w:eastAsia="zh-CN" w:bidi="ar"/>
        </w:rPr>
        <w:t>15</w:t>
      </w:r>
      <w:r>
        <w:rPr>
          <w:rFonts w:hint="eastAsia" w:ascii="宋体" w:hAnsi="宋体" w:eastAsia="宋体" w:cs="宋体"/>
          <w:color w:val="auto"/>
          <w:kern w:val="0"/>
          <w:sz w:val="21"/>
          <w:szCs w:val="21"/>
          <w:highlight w:val="none"/>
          <w:u w:val="single"/>
          <w:lang w:val="en-US" w:eastAsia="zh-CN" w:bidi="ar"/>
        </w:rPr>
        <w:t>个工作日内</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FA1B40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）发包人完成支付的期限：</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675A40">
      <w:pPr>
        <w:pStyle w:val="3"/>
        <w:widowControl/>
        <w:shd w:val="clear"/>
        <w:rPr>
          <w:rFonts w:hint="default" w:ascii="Arial" w:hAnsi="Arial" w:eastAsia="黑体" w:cs="Times New Roman"/>
          <w:b/>
          <w:bCs w:val="0"/>
          <w:color w:val="auto"/>
          <w:sz w:val="32"/>
          <w:szCs w:val="32"/>
          <w:highlight w:val="none"/>
        </w:rPr>
      </w:pPr>
      <w:bookmarkStart w:id="995" w:name="_Toc267251507"/>
      <w:bookmarkEnd w:id="995"/>
      <w:bookmarkStart w:id="996" w:name="_Toc9850593"/>
      <w:bookmarkEnd w:id="996"/>
      <w:bookmarkStart w:id="997" w:name="_Toc267251482"/>
      <w:bookmarkEnd w:id="997"/>
      <w:bookmarkStart w:id="998" w:name="_Toc267251490"/>
      <w:bookmarkEnd w:id="998"/>
      <w:bookmarkStart w:id="999" w:name="_Toc267251497"/>
      <w:bookmarkEnd w:id="999"/>
      <w:bookmarkStart w:id="1000" w:name="_Toc373227762"/>
      <w:bookmarkEnd w:id="1000"/>
      <w:bookmarkStart w:id="1001" w:name="_Toc267251486"/>
      <w:bookmarkEnd w:id="1001"/>
      <w:bookmarkStart w:id="1002" w:name="_Toc267251514"/>
      <w:bookmarkEnd w:id="1002"/>
      <w:bookmarkStart w:id="1003" w:name="_Toc267251485"/>
      <w:bookmarkEnd w:id="1003"/>
      <w:bookmarkStart w:id="1004" w:name="_Toc389065327"/>
      <w:bookmarkEnd w:id="1004"/>
      <w:bookmarkStart w:id="1005" w:name="_Toc267251498"/>
      <w:bookmarkEnd w:id="1005"/>
      <w:bookmarkStart w:id="1006" w:name="_Toc267251504"/>
      <w:bookmarkEnd w:id="1006"/>
      <w:bookmarkStart w:id="1007" w:name="_Toc267251491"/>
      <w:bookmarkEnd w:id="1007"/>
      <w:bookmarkStart w:id="1008" w:name="_Toc267251492"/>
      <w:bookmarkEnd w:id="1008"/>
      <w:bookmarkStart w:id="1009" w:name="_Toc267251499"/>
      <w:bookmarkEnd w:id="1009"/>
      <w:bookmarkStart w:id="1010" w:name="_Toc267251488"/>
      <w:bookmarkEnd w:id="1010"/>
      <w:bookmarkStart w:id="1011" w:name="_Toc267251508"/>
      <w:bookmarkEnd w:id="1011"/>
      <w:bookmarkStart w:id="1012" w:name="_Toc267251489"/>
      <w:bookmarkEnd w:id="1012"/>
      <w:bookmarkStart w:id="1013" w:name="_Toc267251503"/>
      <w:bookmarkEnd w:id="1013"/>
      <w:bookmarkStart w:id="1014" w:name="_Toc267251510"/>
      <w:bookmarkEnd w:id="1014"/>
      <w:bookmarkStart w:id="1015" w:name="_Toc267251496"/>
      <w:bookmarkEnd w:id="1015"/>
      <w:bookmarkStart w:id="1016" w:name="_Toc267251494"/>
      <w:bookmarkEnd w:id="1016"/>
      <w:bookmarkStart w:id="1017" w:name="_Toc267251493"/>
      <w:bookmarkEnd w:id="1017"/>
      <w:bookmarkStart w:id="1018" w:name="_Toc267251501"/>
      <w:bookmarkEnd w:id="1018"/>
      <w:bookmarkStart w:id="1019" w:name="_Toc267251483"/>
      <w:bookmarkEnd w:id="1019"/>
      <w:bookmarkStart w:id="1020" w:name="_Toc373478409"/>
      <w:bookmarkEnd w:id="1020"/>
      <w:bookmarkStart w:id="1021" w:name="_Toc267251513"/>
      <w:bookmarkEnd w:id="1021"/>
      <w:bookmarkStart w:id="1022" w:name="_Toc267251509"/>
      <w:bookmarkEnd w:id="1022"/>
      <w:bookmarkStart w:id="1023" w:name="_Toc267251495"/>
      <w:bookmarkEnd w:id="1023"/>
      <w:bookmarkStart w:id="1024" w:name="_Toc267251484"/>
      <w:bookmarkEnd w:id="1024"/>
      <w:bookmarkStart w:id="1025" w:name="_Toc351203647"/>
      <w:bookmarkEnd w:id="1025"/>
      <w:bookmarkStart w:id="1026" w:name="_Toc267251502"/>
      <w:bookmarkEnd w:id="1026"/>
      <w:bookmarkStart w:id="1027" w:name="_Toc407135265"/>
      <w:bookmarkEnd w:id="1027"/>
      <w:bookmarkStart w:id="1028" w:name="_Toc267251511"/>
      <w:bookmarkEnd w:id="1028"/>
      <w:bookmarkStart w:id="1029" w:name="_Toc267251506"/>
      <w:bookmarkEnd w:id="1029"/>
      <w:bookmarkStart w:id="1030" w:name="_Toc267251515"/>
      <w:r>
        <w:rPr>
          <w:rFonts w:hint="default" w:ascii="Arial" w:hAnsi="Arial" w:eastAsia="黑体" w:cs="Times New Roman"/>
          <w:b/>
          <w:bCs w:val="0"/>
          <w:color w:val="auto"/>
          <w:sz w:val="32"/>
          <w:szCs w:val="32"/>
          <w:highlight w:val="none"/>
        </w:rPr>
        <w:t xml:space="preserve">15. </w:t>
      </w:r>
      <w:bookmarkEnd w:id="1030"/>
      <w:r>
        <w:rPr>
          <w:rFonts w:hint="eastAsia" w:ascii="黑体" w:hAnsi="宋体" w:eastAsia="黑体" w:cs="黑体"/>
          <w:b/>
          <w:bCs w:val="0"/>
          <w:color w:val="auto"/>
          <w:sz w:val="32"/>
          <w:szCs w:val="32"/>
          <w:highlight w:val="none"/>
        </w:rPr>
        <w:t>缺陷责任期与保修</w:t>
      </w:r>
    </w:p>
    <w:p w14:paraId="331F7D67">
      <w:pPr>
        <w:pStyle w:val="4"/>
        <w:widowControl/>
        <w:shd w:val="clear"/>
        <w:rPr>
          <w:rFonts w:hint="default" w:ascii="Times New Roman" w:hAnsi="Times New Roman" w:eastAsia="宋体" w:cs="Times New Roman"/>
          <w:b/>
          <w:bCs/>
          <w:color w:val="auto"/>
          <w:kern w:val="2"/>
          <w:sz w:val="32"/>
          <w:szCs w:val="32"/>
          <w:highlight w:val="none"/>
        </w:rPr>
      </w:pPr>
      <w:bookmarkStart w:id="1031" w:name="_Toc373227763"/>
      <w:bookmarkEnd w:id="1031"/>
      <w:bookmarkStart w:id="1032" w:name="_Toc373478410"/>
      <w:bookmarkEnd w:id="1032"/>
      <w:bookmarkStart w:id="1033" w:name="_Toc407135266"/>
      <w:bookmarkEnd w:id="1033"/>
      <w:bookmarkStart w:id="1034" w:name="_Toc389065328"/>
      <w:bookmarkEnd w:id="1034"/>
      <w:bookmarkStart w:id="1035" w:name="_Toc9850594"/>
      <w:r>
        <w:rPr>
          <w:rFonts w:hint="default" w:ascii="Times New Roman" w:hAnsi="Times New Roman" w:eastAsia="宋体" w:cs="Times New Roman"/>
          <w:b/>
          <w:bCs/>
          <w:color w:val="auto"/>
          <w:kern w:val="2"/>
          <w:sz w:val="32"/>
          <w:szCs w:val="32"/>
          <w:highlight w:val="none"/>
        </w:rPr>
        <w:t xml:space="preserve">15.2 </w:t>
      </w:r>
      <w:bookmarkEnd w:id="1035"/>
      <w:r>
        <w:rPr>
          <w:rFonts w:hint="eastAsia" w:ascii="宋体" w:hAnsi="宋体" w:eastAsia="宋体" w:cs="宋体"/>
          <w:b/>
          <w:bCs/>
          <w:color w:val="auto"/>
          <w:kern w:val="2"/>
          <w:sz w:val="32"/>
          <w:szCs w:val="32"/>
          <w:highlight w:val="none"/>
        </w:rPr>
        <w:t>缺陷责任期</w:t>
      </w:r>
    </w:p>
    <w:p w14:paraId="741C5C3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缺陷责任期的具体期限：</w:t>
      </w:r>
      <w:r>
        <w:rPr>
          <w:rFonts w:hint="default" w:ascii="Times New Roman" w:hAnsi="Times New Roman" w:eastAsia="宋体" w:cs="Times New Roman"/>
          <w:color w:val="auto"/>
          <w:kern w:val="0"/>
          <w:sz w:val="21"/>
          <w:szCs w:val="21"/>
          <w:highlight w:val="none"/>
          <w:u w:val="single"/>
          <w:lang w:val="en-US" w:eastAsia="zh-CN" w:bidi="ar"/>
        </w:rPr>
        <w:t xml:space="preserve">      12</w:t>
      </w:r>
      <w:r>
        <w:rPr>
          <w:rFonts w:hint="eastAsia" w:ascii="宋体" w:hAnsi="宋体" w:eastAsia="宋体" w:cs="宋体"/>
          <w:color w:val="auto"/>
          <w:kern w:val="0"/>
          <w:sz w:val="21"/>
          <w:szCs w:val="21"/>
          <w:highlight w:val="none"/>
          <w:u w:val="single"/>
          <w:lang w:val="en-US" w:eastAsia="zh-CN" w:bidi="ar"/>
        </w:rPr>
        <w:t>个月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B0C70FE">
      <w:pPr>
        <w:pStyle w:val="4"/>
        <w:widowControl/>
        <w:shd w:val="clear"/>
        <w:rPr>
          <w:rFonts w:hint="default" w:ascii="Times New Roman" w:hAnsi="Times New Roman" w:eastAsia="宋体" w:cs="Times New Roman"/>
          <w:b/>
          <w:bCs/>
          <w:color w:val="auto"/>
          <w:kern w:val="2"/>
          <w:sz w:val="32"/>
          <w:szCs w:val="32"/>
          <w:highlight w:val="none"/>
        </w:rPr>
      </w:pPr>
      <w:bookmarkStart w:id="1036" w:name="_Toc389065329"/>
      <w:bookmarkEnd w:id="1036"/>
      <w:bookmarkStart w:id="1037" w:name="_Toc9850595"/>
      <w:bookmarkEnd w:id="1037"/>
      <w:bookmarkStart w:id="1038" w:name="_Toc407135267"/>
      <w:bookmarkEnd w:id="1038"/>
      <w:bookmarkStart w:id="1039" w:name="_Toc373227764"/>
      <w:bookmarkEnd w:id="1039"/>
      <w:bookmarkStart w:id="1040" w:name="_Toc373478411"/>
      <w:r>
        <w:rPr>
          <w:rFonts w:hint="default" w:ascii="Times New Roman" w:hAnsi="Times New Roman" w:eastAsia="宋体" w:cs="Times New Roman"/>
          <w:b/>
          <w:bCs/>
          <w:color w:val="auto"/>
          <w:kern w:val="2"/>
          <w:sz w:val="32"/>
          <w:szCs w:val="32"/>
          <w:highlight w:val="none"/>
        </w:rPr>
        <w:t xml:space="preserve">15.3 </w:t>
      </w:r>
      <w:bookmarkEnd w:id="1040"/>
      <w:r>
        <w:rPr>
          <w:rFonts w:hint="eastAsia" w:ascii="宋体" w:hAnsi="宋体" w:eastAsia="宋体" w:cs="宋体"/>
          <w:b/>
          <w:bCs/>
          <w:color w:val="auto"/>
          <w:kern w:val="2"/>
          <w:sz w:val="32"/>
          <w:szCs w:val="32"/>
          <w:highlight w:val="none"/>
        </w:rPr>
        <w:t>质量保证金</w:t>
      </w:r>
    </w:p>
    <w:p w14:paraId="0C6D777C">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关于是否扣留质量保证金的约定：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AC10A3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在工程项目竣工前，承包人按专用合同条款第</w:t>
      </w:r>
      <w:r>
        <w:rPr>
          <w:rFonts w:hint="default" w:ascii="Times New Roman" w:hAnsi="Times New Roman" w:eastAsia="宋体" w:cs="Times New Roman"/>
          <w:color w:val="auto"/>
          <w:kern w:val="0"/>
          <w:sz w:val="21"/>
          <w:szCs w:val="21"/>
          <w:highlight w:val="none"/>
          <w:lang w:val="en-US" w:eastAsia="zh-CN" w:bidi="ar"/>
        </w:rPr>
        <w:t>3.7</w:t>
      </w:r>
      <w:r>
        <w:rPr>
          <w:rFonts w:hint="eastAsia" w:ascii="宋体" w:hAnsi="宋体" w:eastAsia="宋体" w:cs="宋体"/>
          <w:color w:val="auto"/>
          <w:kern w:val="0"/>
          <w:sz w:val="21"/>
          <w:szCs w:val="21"/>
          <w:highlight w:val="none"/>
          <w:lang w:val="en-US" w:eastAsia="zh-CN" w:bidi="ar"/>
        </w:rPr>
        <w:t>条提供履约担保的，发包人不得同时预留工程质量保证金。</w:t>
      </w:r>
    </w:p>
    <w:p w14:paraId="5704884D">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15.3.1 </w:t>
      </w:r>
      <w:r>
        <w:rPr>
          <w:rFonts w:hint="eastAsia" w:ascii="宋体" w:hAnsi="宋体" w:eastAsia="宋体" w:cs="宋体"/>
          <w:color w:val="auto"/>
          <w:kern w:val="0"/>
          <w:sz w:val="21"/>
          <w:szCs w:val="21"/>
          <w:highlight w:val="none"/>
          <w:lang w:val="en-US" w:eastAsia="zh-CN" w:bidi="ar"/>
        </w:rPr>
        <w:t>承包人提供质量保证金的方式</w:t>
      </w:r>
    </w:p>
    <w:p w14:paraId="625C724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质量保证金采用以下第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1BB52827">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）质量保证金保函，保证金额为：</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D1C6427">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）发包人按工程价款结算总额的</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3</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（不得超过</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）预留工程质量保证金，待缺陷责任期满后返还，是否付息及利息计算方式为：</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无利息</w:t>
      </w:r>
      <w:r>
        <w:rPr>
          <w:rFonts w:hint="eastAsia" w:ascii="Times New Roman" w:hAnsi="宋体" w:eastAsia="宋体" w:cs="宋体"/>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B89C661">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）其他方式：</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hAnsi="宋体" w:cs="Times New Roman"/>
          <w:color w:val="auto"/>
          <w:kern w:val="0"/>
          <w:sz w:val="21"/>
          <w:szCs w:val="21"/>
          <w:highlight w:val="none"/>
          <w:u w:val="single"/>
          <w:lang w:val="en-US" w:eastAsia="zh-CN" w:bidi="ar"/>
        </w:rPr>
        <w:t>/</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60B8370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15.3.2 </w:t>
      </w:r>
      <w:r>
        <w:rPr>
          <w:rFonts w:hint="eastAsia" w:ascii="宋体" w:hAnsi="宋体" w:eastAsia="宋体" w:cs="宋体"/>
          <w:color w:val="auto"/>
          <w:kern w:val="0"/>
          <w:sz w:val="21"/>
          <w:szCs w:val="21"/>
          <w:highlight w:val="none"/>
          <w:lang w:val="en-US" w:eastAsia="zh-CN" w:bidi="ar"/>
        </w:rPr>
        <w:t>质量保证金的扣留</w:t>
      </w:r>
    </w:p>
    <w:p w14:paraId="3906996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质量保证金的扣留采取以下第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w:t>
      </w:r>
    </w:p>
    <w:p w14:paraId="3BE1618A">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）在不缴纳履保证金情况下，按支付工程进度款时逐次扣留，质量保证金的计算基数不包括预付款的支付、扣回以及价格调整的金额；</w:t>
      </w:r>
    </w:p>
    <w:p w14:paraId="57F88D33">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）工程竣工结算时，一次性扣留质量保证金，由承包人以银行保函、保证保险替代预留质量保证金，保函金额不得高于工程价款结算总额的</w:t>
      </w:r>
      <w:r>
        <w:rPr>
          <w:rFonts w:hint="default" w:ascii="Times New Roman" w:hAnsi="Times New Roman" w:eastAsia="宋体" w:cs="Times New Roman"/>
          <w:color w:val="auto"/>
          <w:kern w:val="0"/>
          <w:sz w:val="21"/>
          <w:szCs w:val="21"/>
          <w:highlight w:val="none"/>
          <w:lang w:val="en-US" w:eastAsia="zh-CN" w:bidi="ar"/>
        </w:rPr>
        <w:t>3</w:t>
      </w:r>
      <w:r>
        <w:rPr>
          <w:rFonts w:hint="default" w:ascii="Times New Roman"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w:t>
      </w:r>
    </w:p>
    <w:p w14:paraId="4902336B">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）其他扣留方式</w:t>
      </w:r>
      <w:r>
        <w:rPr>
          <w:rFonts w:hint="default" w:ascii="Times New Roman" w:hAnsi="Times New Roman" w:eastAsia="宋体" w:cs="Times New Roman"/>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cs="Times New Roman"/>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D515C9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关于质量保证金的补充约定：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无</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40067300">
      <w:pPr>
        <w:pStyle w:val="4"/>
        <w:widowControl/>
        <w:shd w:val="clear"/>
        <w:rPr>
          <w:rFonts w:hint="default" w:ascii="Times New Roman" w:hAnsi="Times New Roman" w:eastAsia="宋体" w:cs="Times New Roman"/>
          <w:b/>
          <w:bCs/>
          <w:color w:val="auto"/>
          <w:kern w:val="2"/>
          <w:sz w:val="32"/>
          <w:szCs w:val="32"/>
          <w:highlight w:val="none"/>
        </w:rPr>
      </w:pPr>
      <w:bookmarkStart w:id="1041" w:name="_Toc9850596"/>
      <w:bookmarkEnd w:id="1041"/>
      <w:bookmarkStart w:id="1042" w:name="_Toc373227765"/>
      <w:bookmarkEnd w:id="1042"/>
      <w:bookmarkStart w:id="1043" w:name="_Toc373478412"/>
      <w:bookmarkEnd w:id="1043"/>
      <w:bookmarkStart w:id="1044" w:name="_Toc407135268"/>
      <w:bookmarkEnd w:id="1044"/>
      <w:bookmarkStart w:id="1045" w:name="_Toc389065330"/>
      <w:r>
        <w:rPr>
          <w:rFonts w:hint="default" w:ascii="Times New Roman" w:hAnsi="Times New Roman" w:eastAsia="宋体" w:cs="Times New Roman"/>
          <w:b/>
          <w:bCs/>
          <w:color w:val="auto"/>
          <w:kern w:val="2"/>
          <w:sz w:val="32"/>
          <w:szCs w:val="32"/>
          <w:highlight w:val="none"/>
        </w:rPr>
        <w:t xml:space="preserve">15.4 </w:t>
      </w:r>
      <w:bookmarkEnd w:id="1045"/>
      <w:r>
        <w:rPr>
          <w:rFonts w:hint="eastAsia" w:ascii="宋体" w:hAnsi="宋体" w:eastAsia="宋体" w:cs="宋体"/>
          <w:b/>
          <w:bCs/>
          <w:color w:val="auto"/>
          <w:kern w:val="2"/>
          <w:sz w:val="32"/>
          <w:szCs w:val="32"/>
          <w:highlight w:val="none"/>
        </w:rPr>
        <w:t>保修</w:t>
      </w:r>
    </w:p>
    <w:p w14:paraId="4DB0FAE8">
      <w:pPr>
        <w:keepNext w:val="0"/>
        <w:keepLines w:val="0"/>
        <w:widowControl w:val="0"/>
        <w:suppressLineNumbers w:val="0"/>
        <w:shd w:val="clear"/>
        <w:spacing w:before="0" w:beforeAutospacing="0" w:after="0" w:afterAutospacing="0" w:line="360" w:lineRule="auto"/>
        <w:ind w:left="0" w:right="0" w:firstLine="409" w:firstLineChars="195"/>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15.4.1 </w:t>
      </w:r>
      <w:r>
        <w:rPr>
          <w:rFonts w:hint="eastAsia" w:ascii="宋体" w:hAnsi="宋体" w:eastAsia="宋体" w:cs="宋体"/>
          <w:color w:val="auto"/>
          <w:kern w:val="0"/>
          <w:sz w:val="21"/>
          <w:szCs w:val="21"/>
          <w:highlight w:val="none"/>
          <w:lang w:val="en-US" w:eastAsia="zh-CN" w:bidi="ar"/>
        </w:rPr>
        <w:t>保修责任</w:t>
      </w:r>
    </w:p>
    <w:p w14:paraId="3268EE4B">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工程保修期为：</w:t>
      </w:r>
      <w:r>
        <w:rPr>
          <w:rFonts w:hint="default" w:ascii="Times New Roman" w:hAnsi="Times New Roman" w:eastAsia="宋体" w:cs="Times New Roman"/>
          <w:color w:val="auto"/>
          <w:kern w:val="0"/>
          <w:sz w:val="21"/>
          <w:szCs w:val="21"/>
          <w:highlight w:val="none"/>
          <w:u w:val="single"/>
          <w:lang w:val="en-US" w:eastAsia="zh-CN" w:bidi="ar"/>
        </w:rPr>
        <w:t xml:space="preserve">    12</w:t>
      </w:r>
      <w:r>
        <w:rPr>
          <w:rFonts w:hint="eastAsia" w:ascii="宋体" w:hAnsi="宋体" w:eastAsia="宋体" w:cs="宋体"/>
          <w:color w:val="auto"/>
          <w:kern w:val="0"/>
          <w:sz w:val="21"/>
          <w:szCs w:val="21"/>
          <w:highlight w:val="none"/>
          <w:u w:val="single"/>
          <w:lang w:val="en-US" w:eastAsia="zh-CN" w:bidi="ar"/>
        </w:rPr>
        <w:t>个月</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50144D10">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工程保修书具体内容见合同附件2。</w:t>
      </w:r>
    </w:p>
    <w:p w14:paraId="04C4F438">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15.4.3 </w:t>
      </w:r>
      <w:r>
        <w:rPr>
          <w:rFonts w:hint="eastAsia" w:ascii="宋体" w:hAnsi="宋体" w:eastAsia="宋体" w:cs="宋体"/>
          <w:color w:val="auto"/>
          <w:kern w:val="0"/>
          <w:sz w:val="21"/>
          <w:szCs w:val="21"/>
          <w:highlight w:val="none"/>
          <w:lang w:val="en-US" w:eastAsia="zh-CN" w:bidi="ar"/>
        </w:rPr>
        <w:t>修复通知</w:t>
      </w:r>
    </w:p>
    <w:p w14:paraId="073374C2">
      <w:pPr>
        <w:keepNext w:val="0"/>
        <w:keepLines w:val="0"/>
        <w:widowControl w:val="0"/>
        <w:suppressLineNumbers w:val="0"/>
        <w:shd w:val="clear"/>
        <w:spacing w:before="0" w:beforeAutospacing="0" w:after="0" w:afterAutospacing="0" w:line="360" w:lineRule="auto"/>
        <w:ind w:left="0" w:right="0" w:firstLine="409" w:firstLineChars="195"/>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承包人收到保修通知并到达工程现场的合理时间：</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2C21732">
      <w:pPr>
        <w:pStyle w:val="3"/>
        <w:widowControl/>
        <w:shd w:val="clear"/>
        <w:rPr>
          <w:rFonts w:hint="default" w:ascii="Arial" w:hAnsi="Arial" w:eastAsia="黑体" w:cs="Times New Roman"/>
          <w:b/>
          <w:bCs w:val="0"/>
          <w:color w:val="auto"/>
          <w:sz w:val="32"/>
          <w:szCs w:val="32"/>
          <w:highlight w:val="none"/>
        </w:rPr>
      </w:pPr>
      <w:bookmarkStart w:id="1046" w:name="_Toc407135269"/>
      <w:bookmarkEnd w:id="1046"/>
      <w:bookmarkStart w:id="1047" w:name="_Toc373478413"/>
      <w:bookmarkEnd w:id="1047"/>
      <w:bookmarkStart w:id="1048" w:name="_Toc373227766"/>
      <w:bookmarkEnd w:id="1048"/>
      <w:bookmarkStart w:id="1049" w:name="_Toc389065331"/>
      <w:bookmarkEnd w:id="1049"/>
      <w:bookmarkStart w:id="1050" w:name="_Toc280868717"/>
      <w:bookmarkEnd w:id="1050"/>
      <w:bookmarkStart w:id="1051" w:name="_Toc280868718"/>
      <w:bookmarkEnd w:id="1051"/>
      <w:bookmarkStart w:id="1052" w:name="_Toc9850597"/>
      <w:bookmarkEnd w:id="1052"/>
      <w:bookmarkStart w:id="1053" w:name="_Toc351203648"/>
      <w:r>
        <w:rPr>
          <w:rFonts w:hint="default" w:ascii="Arial" w:hAnsi="Arial" w:eastAsia="黑体" w:cs="Times New Roman"/>
          <w:b/>
          <w:bCs w:val="0"/>
          <w:color w:val="auto"/>
          <w:sz w:val="32"/>
          <w:szCs w:val="32"/>
          <w:highlight w:val="none"/>
        </w:rPr>
        <w:t xml:space="preserve">16. </w:t>
      </w:r>
      <w:bookmarkEnd w:id="1053"/>
      <w:r>
        <w:rPr>
          <w:rFonts w:hint="eastAsia" w:ascii="黑体" w:hAnsi="宋体" w:eastAsia="黑体" w:cs="黑体"/>
          <w:b/>
          <w:bCs w:val="0"/>
          <w:color w:val="auto"/>
          <w:sz w:val="32"/>
          <w:szCs w:val="32"/>
          <w:highlight w:val="none"/>
        </w:rPr>
        <w:t>违约</w:t>
      </w:r>
    </w:p>
    <w:p w14:paraId="0672C626">
      <w:pPr>
        <w:pStyle w:val="4"/>
        <w:widowControl/>
        <w:shd w:val="clear"/>
        <w:rPr>
          <w:rFonts w:hint="default" w:ascii="Times New Roman" w:hAnsi="Times New Roman" w:eastAsia="宋体" w:cs="Times New Roman"/>
          <w:b/>
          <w:bCs/>
          <w:color w:val="auto"/>
          <w:kern w:val="2"/>
          <w:sz w:val="32"/>
          <w:szCs w:val="32"/>
          <w:highlight w:val="none"/>
        </w:rPr>
      </w:pPr>
      <w:bookmarkStart w:id="1054" w:name="_Toc407135270"/>
      <w:bookmarkEnd w:id="1054"/>
      <w:bookmarkStart w:id="1055" w:name="_Toc389065332"/>
      <w:bookmarkEnd w:id="1055"/>
      <w:bookmarkStart w:id="1056" w:name="_Toc373227767"/>
      <w:bookmarkEnd w:id="1056"/>
      <w:bookmarkStart w:id="1057" w:name="_Toc373478414"/>
      <w:bookmarkEnd w:id="1057"/>
      <w:bookmarkStart w:id="1058" w:name="_Toc9850598"/>
      <w:r>
        <w:rPr>
          <w:rFonts w:hint="default" w:ascii="Times New Roman" w:hAnsi="Times New Roman" w:eastAsia="宋体" w:cs="Times New Roman"/>
          <w:b/>
          <w:bCs/>
          <w:color w:val="auto"/>
          <w:kern w:val="2"/>
          <w:sz w:val="32"/>
          <w:szCs w:val="32"/>
          <w:highlight w:val="none"/>
        </w:rPr>
        <w:t xml:space="preserve">16.1 </w:t>
      </w:r>
      <w:bookmarkEnd w:id="1058"/>
      <w:r>
        <w:rPr>
          <w:rFonts w:hint="eastAsia" w:ascii="宋体" w:hAnsi="宋体" w:eastAsia="宋体" w:cs="宋体"/>
          <w:b/>
          <w:bCs/>
          <w:color w:val="auto"/>
          <w:kern w:val="2"/>
          <w:sz w:val="32"/>
          <w:szCs w:val="32"/>
          <w:highlight w:val="none"/>
        </w:rPr>
        <w:t>发包人违约</w:t>
      </w:r>
    </w:p>
    <w:p w14:paraId="765669DB">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16.1.1</w:t>
      </w:r>
      <w:r>
        <w:rPr>
          <w:rFonts w:hint="eastAsia" w:ascii="宋体" w:hAnsi="宋体" w:eastAsia="宋体" w:cs="宋体"/>
          <w:color w:val="auto"/>
          <w:kern w:val="0"/>
          <w:sz w:val="21"/>
          <w:szCs w:val="21"/>
          <w:highlight w:val="none"/>
          <w:lang w:val="en-US" w:eastAsia="zh-CN" w:bidi="ar"/>
        </w:rPr>
        <w:t>发包人违约的情形</w:t>
      </w:r>
    </w:p>
    <w:p w14:paraId="7721A2D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发包人违约的其他情形：</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B4A02B0">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16.1.2 </w:t>
      </w:r>
      <w:r>
        <w:rPr>
          <w:rFonts w:hint="eastAsia" w:ascii="宋体" w:hAnsi="宋体" w:eastAsia="宋体" w:cs="宋体"/>
          <w:color w:val="auto"/>
          <w:kern w:val="0"/>
          <w:sz w:val="21"/>
          <w:szCs w:val="21"/>
          <w:highlight w:val="none"/>
          <w:lang w:val="en-US" w:eastAsia="zh-CN" w:bidi="ar"/>
        </w:rPr>
        <w:t>发包人违约的责任</w:t>
      </w:r>
    </w:p>
    <w:p w14:paraId="7985F08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发包人违约责任的承担方式和计算方法：</w:t>
      </w:r>
    </w:p>
    <w:p w14:paraId="26B6DD2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）因发包人原因未能在计划开工日期前</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天内下达开工通知的违约责任：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A8B428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）因发包人原因未能按合同约定支付合同价款的违约责任：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4920149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）发包人违反第</w:t>
      </w:r>
      <w:r>
        <w:rPr>
          <w:rFonts w:hint="default" w:ascii="Times New Roman" w:hAnsi="Times New Roman" w:eastAsia="宋体" w:cs="Times New Roman"/>
          <w:color w:val="auto"/>
          <w:kern w:val="0"/>
          <w:sz w:val="21"/>
          <w:szCs w:val="21"/>
          <w:highlight w:val="none"/>
          <w:lang w:val="en-US" w:eastAsia="zh-CN" w:bidi="ar"/>
        </w:rPr>
        <w:t>10.1</w:t>
      </w:r>
      <w:r>
        <w:rPr>
          <w:rFonts w:hint="eastAsia" w:ascii="宋体" w:hAnsi="宋体" w:eastAsia="宋体" w:cs="宋体"/>
          <w:color w:val="auto"/>
          <w:kern w:val="0"/>
          <w:sz w:val="21"/>
          <w:szCs w:val="21"/>
          <w:highlight w:val="none"/>
          <w:lang w:val="en-US" w:eastAsia="zh-CN" w:bidi="ar"/>
        </w:rPr>
        <w:t>款〔变更的范围〕第（</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）项约定，自行实施被取消的工作或转由他人实施的违约责任：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483CE5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）发包人提供的材料、工程设备的规格、数量或质量不符合合同约定，或因发包人原因导致交货日期延误或交货地点变更等情况的违约责任：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014597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）因发包人违反合同约定造成暂停施工的违约责任：</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7EBE3FD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）发包人无正当理由没有在约定期限内发出复工指示，导致承包人无法复工的违约责任：</w:t>
      </w:r>
      <w:r>
        <w:rPr>
          <w:rFonts w:hint="default" w:ascii="Times New Roman" w:hAnsi="Times New Roman" w:eastAsia="宋体" w:cs="Times New Roman"/>
          <w:color w:val="auto"/>
          <w:kern w:val="0"/>
          <w:sz w:val="21"/>
          <w:szCs w:val="21"/>
          <w:highlight w:val="none"/>
          <w:u w:val="single"/>
          <w:lang w:val="en-US" w:eastAsia="zh-CN" w:bidi="ar"/>
        </w:rPr>
        <w:t xml:space="preserve">                           /     / </w:t>
      </w:r>
      <w:r>
        <w:rPr>
          <w:rFonts w:hint="eastAsia" w:ascii="宋体" w:hAnsi="宋体" w:eastAsia="宋体" w:cs="宋体"/>
          <w:color w:val="auto"/>
          <w:kern w:val="0"/>
          <w:sz w:val="21"/>
          <w:szCs w:val="21"/>
          <w:highlight w:val="none"/>
          <w:lang w:val="en-US" w:eastAsia="zh-CN" w:bidi="ar"/>
        </w:rPr>
        <w:t>。</w:t>
      </w:r>
    </w:p>
    <w:p w14:paraId="5195BAB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）其他：</w:t>
      </w:r>
      <w:r>
        <w:rPr>
          <w:rFonts w:hint="default" w:ascii="Times New Roman" w:hAnsi="Times New Roman" w:eastAsia="宋体" w:cs="Times New Roman"/>
          <w:color w:val="auto"/>
          <w:kern w:val="0"/>
          <w:sz w:val="21"/>
          <w:szCs w:val="21"/>
          <w:highlight w:val="none"/>
          <w:u w:val="single"/>
          <w:lang w:val="en-US" w:eastAsia="zh-CN" w:bidi="ar"/>
        </w:rPr>
        <w:t xml:space="preserve">       / /       </w:t>
      </w:r>
      <w:r>
        <w:rPr>
          <w:rFonts w:hint="eastAsia" w:ascii="宋体" w:hAnsi="宋体" w:eastAsia="宋体" w:cs="宋体"/>
          <w:color w:val="auto"/>
          <w:kern w:val="0"/>
          <w:sz w:val="21"/>
          <w:szCs w:val="21"/>
          <w:highlight w:val="none"/>
          <w:lang w:val="en-US" w:eastAsia="zh-CN" w:bidi="ar"/>
        </w:rPr>
        <w:t>。</w:t>
      </w:r>
    </w:p>
    <w:p w14:paraId="7F9D231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16.1.3 </w:t>
      </w:r>
      <w:r>
        <w:rPr>
          <w:rFonts w:hint="eastAsia" w:ascii="宋体" w:hAnsi="宋体" w:eastAsia="宋体" w:cs="宋体"/>
          <w:color w:val="auto"/>
          <w:kern w:val="0"/>
          <w:sz w:val="21"/>
          <w:szCs w:val="21"/>
          <w:highlight w:val="none"/>
          <w:lang w:val="en-US" w:eastAsia="zh-CN" w:bidi="ar"/>
        </w:rPr>
        <w:t>因发包人违约解除合同</w:t>
      </w:r>
    </w:p>
    <w:p w14:paraId="23889FC2">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承包人按</w:t>
      </w:r>
      <w:r>
        <w:rPr>
          <w:rFonts w:hint="default" w:ascii="Times New Roman" w:hAnsi="Times New Roman" w:eastAsia="宋体" w:cs="Times New Roman"/>
          <w:color w:val="auto"/>
          <w:kern w:val="0"/>
          <w:sz w:val="21"/>
          <w:szCs w:val="21"/>
          <w:highlight w:val="none"/>
          <w:lang w:val="en-US" w:eastAsia="zh-CN" w:bidi="ar"/>
        </w:rPr>
        <w:t>16.1.1</w:t>
      </w:r>
      <w:r>
        <w:rPr>
          <w:rFonts w:hint="eastAsia" w:ascii="宋体" w:hAnsi="宋体" w:eastAsia="宋体" w:cs="宋体"/>
          <w:color w:val="auto"/>
          <w:kern w:val="0"/>
          <w:sz w:val="21"/>
          <w:szCs w:val="21"/>
          <w:highlight w:val="none"/>
          <w:lang w:val="en-US" w:eastAsia="zh-CN" w:bidi="ar"/>
        </w:rPr>
        <w:t>项〔发包人违约的情形〕约定暂停施工满</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天后发包人仍不纠正其违约行为并致使合同目的不能实现的，承包人有权解除合同。</w:t>
      </w:r>
    </w:p>
    <w:p w14:paraId="44FD0FC4">
      <w:pPr>
        <w:pStyle w:val="4"/>
        <w:widowControl/>
        <w:shd w:val="clear"/>
        <w:rPr>
          <w:rFonts w:hint="default" w:ascii="Times New Roman" w:hAnsi="Times New Roman" w:eastAsia="宋体" w:cs="Times New Roman"/>
          <w:b/>
          <w:bCs/>
          <w:color w:val="auto"/>
          <w:kern w:val="2"/>
          <w:sz w:val="32"/>
          <w:szCs w:val="32"/>
          <w:highlight w:val="none"/>
        </w:rPr>
      </w:pPr>
      <w:bookmarkStart w:id="1059" w:name="_Toc9850599"/>
      <w:bookmarkEnd w:id="1059"/>
      <w:bookmarkStart w:id="1060" w:name="_Toc389065333"/>
      <w:bookmarkEnd w:id="1060"/>
      <w:bookmarkStart w:id="1061" w:name="_Toc373227768"/>
      <w:bookmarkEnd w:id="1061"/>
      <w:bookmarkStart w:id="1062" w:name="_Toc373478415"/>
      <w:bookmarkEnd w:id="1062"/>
      <w:bookmarkStart w:id="1063" w:name="_Toc407135271"/>
      <w:r>
        <w:rPr>
          <w:rFonts w:hint="default" w:ascii="Times New Roman" w:hAnsi="Times New Roman" w:eastAsia="宋体" w:cs="Times New Roman"/>
          <w:b/>
          <w:bCs/>
          <w:color w:val="auto"/>
          <w:kern w:val="2"/>
          <w:sz w:val="32"/>
          <w:szCs w:val="32"/>
          <w:highlight w:val="none"/>
        </w:rPr>
        <w:t xml:space="preserve">16.2 </w:t>
      </w:r>
      <w:bookmarkEnd w:id="1063"/>
      <w:r>
        <w:rPr>
          <w:rFonts w:hint="eastAsia" w:ascii="宋体" w:hAnsi="宋体" w:eastAsia="宋体" w:cs="宋体"/>
          <w:b/>
          <w:bCs/>
          <w:color w:val="auto"/>
          <w:kern w:val="2"/>
          <w:sz w:val="32"/>
          <w:szCs w:val="32"/>
          <w:highlight w:val="none"/>
        </w:rPr>
        <w:t>承包人违约</w:t>
      </w:r>
    </w:p>
    <w:p w14:paraId="5F82698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16.2.1 </w:t>
      </w:r>
      <w:r>
        <w:rPr>
          <w:rFonts w:hint="eastAsia" w:ascii="宋体" w:hAnsi="宋体" w:eastAsia="宋体" w:cs="宋体"/>
          <w:color w:val="auto"/>
          <w:kern w:val="0"/>
          <w:sz w:val="21"/>
          <w:szCs w:val="21"/>
          <w:highlight w:val="none"/>
          <w:lang w:val="en-US" w:eastAsia="zh-CN" w:bidi="ar"/>
        </w:rPr>
        <w:t>承包人违约的情形</w:t>
      </w:r>
    </w:p>
    <w:p w14:paraId="4ED1105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承包人违约的其他情形：</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06EA7DA">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16.2.2</w:t>
      </w:r>
      <w:r>
        <w:rPr>
          <w:rFonts w:hint="eastAsia" w:ascii="宋体" w:hAnsi="宋体" w:eastAsia="宋体" w:cs="宋体"/>
          <w:color w:val="auto"/>
          <w:kern w:val="0"/>
          <w:sz w:val="21"/>
          <w:szCs w:val="21"/>
          <w:highlight w:val="none"/>
          <w:lang w:val="en-US" w:eastAsia="zh-CN" w:bidi="ar"/>
        </w:rPr>
        <w:t>承包人违约的责任</w:t>
      </w:r>
    </w:p>
    <w:p w14:paraId="2055CF43">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承包人违约责任的承担方式和计算方法：</w:t>
      </w:r>
    </w:p>
    <w:p w14:paraId="2452073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）承包人有本合同通用条款第</w:t>
      </w:r>
      <w:r>
        <w:rPr>
          <w:rFonts w:hint="default" w:ascii="Times New Roman" w:hAnsi="Times New Roman" w:eastAsia="宋体" w:cs="Times New Roman"/>
          <w:color w:val="auto"/>
          <w:kern w:val="0"/>
          <w:sz w:val="21"/>
          <w:szCs w:val="21"/>
          <w:highlight w:val="none"/>
          <w:lang w:val="en-US" w:eastAsia="zh-CN" w:bidi="ar"/>
        </w:rPr>
        <w:t>16.2.1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）条内容情形的，承包人无条件返工处理，修复至工程质量要求并承担相关费用，并在发包人规定的时间内完成返工，否则发包人有权扣罚该分项工程</w:t>
      </w:r>
      <w:r>
        <w:rPr>
          <w:rFonts w:hint="default" w:ascii="Times New Roman" w:hAnsi="Times New Roman" w:eastAsia="宋体" w:cs="Times New Roman"/>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val="en-US" w:eastAsia="zh-CN" w:bidi="ar"/>
        </w:rPr>
        <w:t>的工程款作为违约金。</w:t>
      </w:r>
    </w:p>
    <w:p w14:paraId="0697992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）承包人有本合同通用条款第</w:t>
      </w:r>
      <w:r>
        <w:rPr>
          <w:rFonts w:hint="default" w:ascii="Times New Roman" w:hAnsi="Times New Roman" w:eastAsia="宋体" w:cs="Times New Roman"/>
          <w:color w:val="auto"/>
          <w:kern w:val="0"/>
          <w:sz w:val="21"/>
          <w:szCs w:val="21"/>
          <w:highlight w:val="none"/>
          <w:lang w:val="en-US" w:eastAsia="zh-CN" w:bidi="ar"/>
        </w:rPr>
        <w:t>16.2.1</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）条情形的，或经监理人检验认为修复质量不合格而承包人拒绝再进行修补的，发包人将有权聘请</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委托第三方进行修补直至合格，发生的费用发包人向第三方支付后，发包人优先从未付的工程款中扣除，不足部分发包人有权向承包人追偿。</w:t>
      </w:r>
    </w:p>
    <w:p w14:paraId="12036CF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）承包人有本专用合同条款</w:t>
      </w:r>
      <w:r>
        <w:rPr>
          <w:rFonts w:hint="default" w:ascii="Times New Roman" w:hAnsi="Times New Roman" w:eastAsia="宋体" w:cs="Times New Roman"/>
          <w:color w:val="auto"/>
          <w:kern w:val="0"/>
          <w:sz w:val="21"/>
          <w:szCs w:val="21"/>
          <w:highlight w:val="none"/>
          <w:lang w:val="en-US" w:eastAsia="zh-CN" w:bidi="ar"/>
        </w:rPr>
        <w:t>3.2</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3.3</w:t>
      </w:r>
      <w:r>
        <w:rPr>
          <w:rFonts w:hint="eastAsia" w:ascii="宋体" w:hAnsi="宋体" w:eastAsia="宋体" w:cs="宋体"/>
          <w:color w:val="auto"/>
          <w:kern w:val="0"/>
          <w:sz w:val="21"/>
          <w:szCs w:val="21"/>
          <w:highlight w:val="none"/>
          <w:lang w:val="en-US" w:eastAsia="zh-CN" w:bidi="ar"/>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是否返还由监理人审核，发包人批准。罚款（违约金）金额返还时不包括银行利息。</w:t>
      </w:r>
    </w:p>
    <w:p w14:paraId="7A8C100A">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16.2.3 </w:t>
      </w:r>
      <w:r>
        <w:rPr>
          <w:rFonts w:hint="eastAsia" w:ascii="宋体" w:hAnsi="宋体" w:eastAsia="宋体" w:cs="宋体"/>
          <w:color w:val="auto"/>
          <w:kern w:val="0"/>
          <w:sz w:val="21"/>
          <w:szCs w:val="21"/>
          <w:highlight w:val="none"/>
          <w:lang w:val="en-US" w:eastAsia="zh-CN" w:bidi="ar"/>
        </w:rPr>
        <w:t>因承包人违约解除合同</w:t>
      </w:r>
    </w:p>
    <w:p w14:paraId="2D029146">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关于承包人违约解除合同的特别约定：</w:t>
      </w:r>
      <w:r>
        <w:rPr>
          <w:rFonts w:hint="eastAsia" w:ascii="宋体" w:hAnsi="宋体" w:eastAsia="宋体" w:cs="宋体"/>
          <w:color w:val="auto"/>
          <w:kern w:val="0"/>
          <w:sz w:val="21"/>
          <w:szCs w:val="21"/>
          <w:highlight w:val="none"/>
          <w:u w:val="single"/>
          <w:lang w:val="en-US" w:eastAsia="zh-CN" w:bidi="ar"/>
        </w:rPr>
        <w:t>承包人有违反以下情况之一的，发包人有权解除合同，并没收其全部履约保证金，造成发包人经济损失超过承包人预交履约保证金的部分，</w:t>
      </w:r>
      <w:r>
        <w:rPr>
          <w:rFonts w:hint="eastAsia" w:ascii="宋体" w:hAnsi="宋体" w:eastAsia="宋体" w:cs="宋体"/>
          <w:color w:val="auto"/>
          <w:kern w:val="0"/>
          <w:sz w:val="21"/>
          <w:szCs w:val="21"/>
          <w:highlight w:val="none"/>
          <w:lang w:val="en-US" w:eastAsia="zh-CN" w:bidi="ar"/>
        </w:rPr>
        <w:t>发包人有权向承包人追偿。</w:t>
      </w:r>
    </w:p>
    <w:p w14:paraId="0EE6356F">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承包人无正当理由不按开工通知的要求及时进场组织施工和不按签订协议书时商定的进度计划有效地开展施工准备，造成工期延误的；</w:t>
      </w:r>
    </w:p>
    <w:p w14:paraId="2F0B3EF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承包人违反本合同通用条款第</w:t>
      </w:r>
      <w:r>
        <w:rPr>
          <w:rFonts w:hint="default" w:ascii="Times New Roman" w:hAnsi="Times New Roman" w:eastAsia="宋体" w:cs="Times New Roman"/>
          <w:color w:val="auto"/>
          <w:kern w:val="0"/>
          <w:sz w:val="21"/>
          <w:szCs w:val="21"/>
          <w:highlight w:val="none"/>
          <w:lang w:val="en-US" w:eastAsia="zh-CN" w:bidi="ar"/>
        </w:rPr>
        <w:t>3.5</w:t>
      </w:r>
      <w:r>
        <w:rPr>
          <w:rFonts w:hint="eastAsia" w:ascii="宋体" w:hAnsi="宋体" w:eastAsia="宋体" w:cs="宋体"/>
          <w:color w:val="auto"/>
          <w:kern w:val="0"/>
          <w:sz w:val="21"/>
          <w:szCs w:val="21"/>
          <w:highlight w:val="none"/>
          <w:lang w:val="en-US" w:eastAsia="zh-CN" w:bidi="ar"/>
        </w:rPr>
        <w:t>条规定私自将合同或合同的任何部分或任何权利转让给其他人，或私自将工程或工程的一部分分包出去的；</w:t>
      </w:r>
    </w:p>
    <w:p w14:paraId="405C1BF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宋体"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未经监理人批准，承包人私自将已按投标文件承诺进入工地的工程设备、施工设备、临时工程或材料撤离工地的；</w:t>
      </w:r>
    </w:p>
    <w:p w14:paraId="3D493AB0">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由于承包人原因拒绝按合同进度计划及时完成合同规定的工程，而又未采取有效措施赶上进度，造成工期严重延误的；</w:t>
      </w:r>
    </w:p>
    <w:p w14:paraId="788D16D8">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承包人否认合同有效或拒绝履行合同规定的承包人义务，或由于法律、财务等原因导致承包人无法继续履行或实质上已停止履行合同的义务的；</w:t>
      </w:r>
    </w:p>
    <w:p w14:paraId="3DCC8431">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合同签订且具备法定开工条件后之日起十五日内，承包人无法按合同规定及投标文件的承诺进场经监理工程师认可的该施工阶段应有的全部人员和机械的。</w:t>
      </w:r>
    </w:p>
    <w:p w14:paraId="21CFA76F">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发包人继续使用承包人在施工现场的材料、设备、临时工程、承包人文件和由承包人或以其名义编制的其他文件的费用承担方式：</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不另行支付</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C4F59A9">
      <w:pPr>
        <w:pStyle w:val="3"/>
        <w:widowControl/>
        <w:shd w:val="clear"/>
        <w:rPr>
          <w:rFonts w:hint="default" w:ascii="Arial" w:hAnsi="Arial" w:eastAsia="黑体" w:cs="Times New Roman"/>
          <w:b/>
          <w:bCs w:val="0"/>
          <w:color w:val="auto"/>
          <w:sz w:val="32"/>
          <w:szCs w:val="32"/>
          <w:highlight w:val="none"/>
        </w:rPr>
      </w:pPr>
      <w:bookmarkStart w:id="1064" w:name="_Toc9850600"/>
      <w:bookmarkEnd w:id="1064"/>
      <w:bookmarkStart w:id="1065" w:name="_Toc373227769"/>
      <w:bookmarkEnd w:id="1065"/>
      <w:bookmarkStart w:id="1066" w:name="_Toc351203649"/>
      <w:bookmarkEnd w:id="1066"/>
      <w:bookmarkStart w:id="1067" w:name="_Toc373478416"/>
      <w:bookmarkEnd w:id="1067"/>
      <w:bookmarkStart w:id="1068" w:name="_Toc407135272"/>
      <w:bookmarkEnd w:id="1068"/>
      <w:bookmarkStart w:id="1069" w:name="_Toc389065334"/>
      <w:r>
        <w:rPr>
          <w:rFonts w:hint="default" w:ascii="Arial" w:hAnsi="Arial" w:eastAsia="黑体" w:cs="Times New Roman"/>
          <w:b/>
          <w:bCs w:val="0"/>
          <w:color w:val="auto"/>
          <w:sz w:val="32"/>
          <w:szCs w:val="32"/>
          <w:highlight w:val="none"/>
        </w:rPr>
        <w:t xml:space="preserve">17. </w:t>
      </w:r>
      <w:bookmarkEnd w:id="1069"/>
      <w:r>
        <w:rPr>
          <w:rFonts w:hint="eastAsia" w:ascii="黑体" w:hAnsi="宋体" w:eastAsia="黑体" w:cs="黑体"/>
          <w:b/>
          <w:bCs w:val="0"/>
          <w:color w:val="auto"/>
          <w:sz w:val="32"/>
          <w:szCs w:val="32"/>
          <w:highlight w:val="none"/>
        </w:rPr>
        <w:t>不可抗力</w:t>
      </w:r>
      <w:r>
        <w:rPr>
          <w:rFonts w:hint="default" w:ascii="Arial" w:hAnsi="Arial" w:eastAsia="黑体" w:cs="Times New Roman"/>
          <w:b/>
          <w:bCs w:val="0"/>
          <w:color w:val="auto"/>
          <w:sz w:val="32"/>
          <w:szCs w:val="32"/>
          <w:highlight w:val="none"/>
        </w:rPr>
        <w:t xml:space="preserve"> </w:t>
      </w:r>
    </w:p>
    <w:p w14:paraId="084E5E47">
      <w:pPr>
        <w:pStyle w:val="4"/>
        <w:widowControl/>
        <w:shd w:val="clear"/>
        <w:rPr>
          <w:rFonts w:hint="default" w:ascii="Times New Roman" w:hAnsi="Times New Roman" w:eastAsia="宋体" w:cs="Times New Roman"/>
          <w:b/>
          <w:bCs/>
          <w:color w:val="auto"/>
          <w:kern w:val="2"/>
          <w:sz w:val="32"/>
          <w:szCs w:val="32"/>
          <w:highlight w:val="none"/>
        </w:rPr>
      </w:pPr>
      <w:bookmarkStart w:id="1070" w:name="_Toc9850601"/>
      <w:bookmarkEnd w:id="1070"/>
      <w:bookmarkStart w:id="1071" w:name="_Toc373227770"/>
      <w:bookmarkEnd w:id="1071"/>
      <w:bookmarkStart w:id="1072" w:name="_Toc407135273"/>
      <w:bookmarkEnd w:id="1072"/>
      <w:bookmarkStart w:id="1073" w:name="_Toc389065335"/>
      <w:bookmarkEnd w:id="1073"/>
      <w:bookmarkStart w:id="1074" w:name="_Toc373478417"/>
      <w:r>
        <w:rPr>
          <w:rFonts w:hint="default" w:ascii="Times New Roman" w:hAnsi="Times New Roman" w:eastAsia="宋体" w:cs="Times New Roman"/>
          <w:b/>
          <w:bCs/>
          <w:color w:val="auto"/>
          <w:kern w:val="2"/>
          <w:sz w:val="32"/>
          <w:szCs w:val="32"/>
          <w:highlight w:val="none"/>
        </w:rPr>
        <w:t xml:space="preserve">17.1 </w:t>
      </w:r>
      <w:bookmarkEnd w:id="1074"/>
      <w:r>
        <w:rPr>
          <w:rFonts w:hint="eastAsia" w:ascii="宋体" w:hAnsi="宋体" w:eastAsia="宋体" w:cs="宋体"/>
          <w:b/>
          <w:bCs/>
          <w:color w:val="auto"/>
          <w:kern w:val="2"/>
          <w:sz w:val="32"/>
          <w:szCs w:val="32"/>
          <w:highlight w:val="none"/>
        </w:rPr>
        <w:t>不可抗力的确认</w:t>
      </w:r>
    </w:p>
    <w:p w14:paraId="02B4485D">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u w:val="single"/>
        </w:rPr>
      </w:pPr>
      <w:r>
        <w:rPr>
          <w:rFonts w:hint="eastAsia" w:ascii="宋体" w:hAnsi="宋体" w:eastAsia="宋体" w:cs="宋体"/>
          <w:color w:val="auto"/>
          <w:kern w:val="0"/>
          <w:sz w:val="21"/>
          <w:szCs w:val="21"/>
          <w:highlight w:val="none"/>
          <w:lang w:val="en-US" w:eastAsia="zh-CN" w:bidi="ar"/>
        </w:rPr>
        <w:t>除通用合同条款约定的不可抗力事件之外，视为不可抗力的其他情形：</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382535D">
      <w:pPr>
        <w:pStyle w:val="4"/>
        <w:widowControl/>
        <w:shd w:val="clear"/>
        <w:rPr>
          <w:rFonts w:hint="default" w:ascii="Times New Roman" w:hAnsi="Times New Roman" w:eastAsia="宋体" w:cs="Times New Roman"/>
          <w:b/>
          <w:bCs/>
          <w:color w:val="auto"/>
          <w:kern w:val="2"/>
          <w:sz w:val="32"/>
          <w:szCs w:val="32"/>
          <w:highlight w:val="none"/>
        </w:rPr>
      </w:pPr>
      <w:bookmarkStart w:id="1075" w:name="_Toc373227771"/>
      <w:bookmarkEnd w:id="1075"/>
      <w:bookmarkStart w:id="1076" w:name="_Toc407135274"/>
      <w:bookmarkEnd w:id="1076"/>
      <w:bookmarkStart w:id="1077" w:name="_Toc373478418"/>
      <w:bookmarkEnd w:id="1077"/>
      <w:bookmarkStart w:id="1078" w:name="_Toc389065336"/>
      <w:bookmarkEnd w:id="1078"/>
      <w:bookmarkStart w:id="1079" w:name="_Toc9850602"/>
      <w:r>
        <w:rPr>
          <w:rFonts w:hint="default" w:ascii="Times New Roman" w:hAnsi="Times New Roman" w:eastAsia="宋体" w:cs="Times New Roman"/>
          <w:b/>
          <w:bCs/>
          <w:color w:val="auto"/>
          <w:kern w:val="2"/>
          <w:sz w:val="32"/>
          <w:szCs w:val="32"/>
          <w:highlight w:val="none"/>
        </w:rPr>
        <w:t xml:space="preserve">17.4 </w:t>
      </w:r>
      <w:bookmarkEnd w:id="1079"/>
      <w:r>
        <w:rPr>
          <w:rFonts w:hint="eastAsia" w:ascii="宋体" w:hAnsi="宋体" w:eastAsia="宋体" w:cs="宋体"/>
          <w:b/>
          <w:bCs/>
          <w:color w:val="auto"/>
          <w:kern w:val="2"/>
          <w:sz w:val="32"/>
          <w:szCs w:val="32"/>
          <w:highlight w:val="none"/>
        </w:rPr>
        <w:t>因不可抗力解除合同</w:t>
      </w:r>
    </w:p>
    <w:p w14:paraId="76DBE76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合同解除后，发包人应在商定或确定发包人应支付款项后</w:t>
      </w:r>
      <w:r>
        <w:rPr>
          <w:rFonts w:hint="default" w:ascii="Times New Roman" w:hAnsi="Times New Roman" w:eastAsia="宋体" w:cs="Times New Roman"/>
          <w:color w:val="auto"/>
          <w:kern w:val="0"/>
          <w:sz w:val="21"/>
          <w:szCs w:val="21"/>
          <w:highlight w:val="none"/>
          <w:u w:val="single"/>
          <w:lang w:val="en-US" w:eastAsia="zh-CN" w:bidi="ar"/>
        </w:rPr>
        <w:t xml:space="preserve">  30  </w:t>
      </w:r>
      <w:r>
        <w:rPr>
          <w:rFonts w:hint="eastAsia" w:ascii="宋体" w:hAnsi="宋体" w:eastAsia="宋体" w:cs="宋体"/>
          <w:color w:val="auto"/>
          <w:kern w:val="0"/>
          <w:sz w:val="21"/>
          <w:szCs w:val="21"/>
          <w:highlight w:val="none"/>
          <w:lang w:val="en-US" w:eastAsia="zh-CN" w:bidi="ar"/>
        </w:rPr>
        <w:t>天内完成款项的支付。</w:t>
      </w:r>
    </w:p>
    <w:p w14:paraId="2B060D48">
      <w:pPr>
        <w:pStyle w:val="3"/>
        <w:widowControl/>
        <w:shd w:val="clear"/>
        <w:rPr>
          <w:rFonts w:hint="default" w:ascii="Arial" w:hAnsi="Arial" w:eastAsia="黑体" w:cs="Times New Roman"/>
          <w:b/>
          <w:bCs w:val="0"/>
          <w:color w:val="auto"/>
          <w:sz w:val="32"/>
          <w:szCs w:val="32"/>
          <w:highlight w:val="none"/>
        </w:rPr>
      </w:pPr>
      <w:bookmarkStart w:id="1080" w:name="_Toc373478419"/>
      <w:bookmarkEnd w:id="1080"/>
      <w:bookmarkStart w:id="1081" w:name="_Toc373227772"/>
      <w:bookmarkEnd w:id="1081"/>
      <w:bookmarkStart w:id="1082" w:name="_Toc351203650"/>
      <w:bookmarkEnd w:id="1082"/>
      <w:bookmarkStart w:id="1083" w:name="_Toc407135275"/>
      <w:bookmarkEnd w:id="1083"/>
      <w:bookmarkStart w:id="1084" w:name="_Toc389065337"/>
      <w:bookmarkEnd w:id="1084"/>
      <w:bookmarkStart w:id="1085" w:name="_Toc9850603"/>
      <w:r>
        <w:rPr>
          <w:rFonts w:hint="default" w:ascii="Arial" w:hAnsi="Arial" w:eastAsia="黑体" w:cs="Times New Roman"/>
          <w:b/>
          <w:bCs w:val="0"/>
          <w:color w:val="auto"/>
          <w:sz w:val="32"/>
          <w:szCs w:val="32"/>
          <w:highlight w:val="none"/>
        </w:rPr>
        <w:t xml:space="preserve">18. </w:t>
      </w:r>
      <w:bookmarkEnd w:id="1085"/>
      <w:r>
        <w:rPr>
          <w:rFonts w:hint="eastAsia" w:ascii="黑体" w:hAnsi="宋体" w:eastAsia="黑体" w:cs="黑体"/>
          <w:b/>
          <w:bCs w:val="0"/>
          <w:color w:val="auto"/>
          <w:sz w:val="32"/>
          <w:szCs w:val="32"/>
          <w:highlight w:val="none"/>
        </w:rPr>
        <w:t>保险</w:t>
      </w:r>
    </w:p>
    <w:p w14:paraId="31A5075B">
      <w:pPr>
        <w:pStyle w:val="4"/>
        <w:widowControl/>
        <w:shd w:val="clear"/>
        <w:rPr>
          <w:rFonts w:hint="default" w:ascii="Times New Roman" w:hAnsi="Times New Roman" w:eastAsia="宋体" w:cs="Times New Roman"/>
          <w:b/>
          <w:bCs/>
          <w:color w:val="auto"/>
          <w:kern w:val="2"/>
          <w:sz w:val="32"/>
          <w:szCs w:val="32"/>
          <w:highlight w:val="none"/>
        </w:rPr>
      </w:pPr>
      <w:bookmarkStart w:id="1086" w:name="_Toc373227773"/>
      <w:bookmarkEnd w:id="1086"/>
      <w:bookmarkStart w:id="1087" w:name="_Toc389065338"/>
      <w:bookmarkEnd w:id="1087"/>
      <w:bookmarkStart w:id="1088" w:name="_Toc9850604"/>
      <w:bookmarkEnd w:id="1088"/>
      <w:bookmarkStart w:id="1089" w:name="_Toc407135276"/>
      <w:bookmarkEnd w:id="1089"/>
      <w:bookmarkStart w:id="1090" w:name="_Toc373478420"/>
      <w:r>
        <w:rPr>
          <w:rFonts w:hint="default" w:ascii="Times New Roman" w:hAnsi="Times New Roman" w:eastAsia="宋体" w:cs="Times New Roman"/>
          <w:b/>
          <w:bCs/>
          <w:color w:val="auto"/>
          <w:kern w:val="2"/>
          <w:sz w:val="32"/>
          <w:szCs w:val="32"/>
          <w:highlight w:val="none"/>
        </w:rPr>
        <w:t xml:space="preserve">18.1 </w:t>
      </w:r>
      <w:bookmarkEnd w:id="1090"/>
      <w:r>
        <w:rPr>
          <w:rFonts w:hint="eastAsia" w:ascii="宋体" w:hAnsi="宋体" w:eastAsia="宋体" w:cs="宋体"/>
          <w:b/>
          <w:bCs/>
          <w:color w:val="auto"/>
          <w:kern w:val="2"/>
          <w:sz w:val="32"/>
          <w:szCs w:val="32"/>
          <w:highlight w:val="none"/>
        </w:rPr>
        <w:t>工程保险</w:t>
      </w:r>
    </w:p>
    <w:p w14:paraId="377BA122">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关于工程保险的特别约定：</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按照通用条款和现行法律法规要求执行</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1D0E3104">
      <w:pPr>
        <w:pStyle w:val="4"/>
        <w:widowControl/>
        <w:shd w:val="clear"/>
        <w:rPr>
          <w:rFonts w:hint="default" w:ascii="Times New Roman" w:hAnsi="Times New Roman" w:eastAsia="宋体" w:cs="Times New Roman"/>
          <w:b/>
          <w:bCs/>
          <w:color w:val="auto"/>
          <w:kern w:val="2"/>
          <w:sz w:val="32"/>
          <w:szCs w:val="32"/>
          <w:highlight w:val="none"/>
        </w:rPr>
      </w:pPr>
      <w:bookmarkStart w:id="1091" w:name="_Toc389065339"/>
      <w:bookmarkEnd w:id="1091"/>
      <w:bookmarkStart w:id="1092" w:name="_Toc407135277"/>
      <w:bookmarkEnd w:id="1092"/>
      <w:bookmarkStart w:id="1093" w:name="_Toc373478421"/>
      <w:bookmarkEnd w:id="1093"/>
      <w:bookmarkStart w:id="1094" w:name="_Toc373227774"/>
      <w:bookmarkEnd w:id="1094"/>
      <w:bookmarkStart w:id="1095" w:name="_Toc9850605"/>
      <w:r>
        <w:rPr>
          <w:rFonts w:hint="default" w:ascii="Times New Roman" w:hAnsi="Times New Roman" w:eastAsia="宋体" w:cs="Times New Roman"/>
          <w:b/>
          <w:bCs/>
          <w:color w:val="auto"/>
          <w:kern w:val="2"/>
          <w:sz w:val="32"/>
          <w:szCs w:val="32"/>
          <w:highlight w:val="none"/>
        </w:rPr>
        <w:t xml:space="preserve">18.3 </w:t>
      </w:r>
      <w:bookmarkEnd w:id="1095"/>
      <w:r>
        <w:rPr>
          <w:rFonts w:hint="eastAsia" w:ascii="宋体" w:hAnsi="宋体" w:eastAsia="宋体" w:cs="宋体"/>
          <w:b/>
          <w:bCs/>
          <w:color w:val="auto"/>
          <w:kern w:val="2"/>
          <w:sz w:val="32"/>
          <w:szCs w:val="32"/>
          <w:highlight w:val="none"/>
        </w:rPr>
        <w:t>其他保险</w:t>
      </w:r>
    </w:p>
    <w:p w14:paraId="2983AA74">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bookmarkStart w:id="1096" w:name="_Toc373227775"/>
      <w:bookmarkEnd w:id="1096"/>
      <w:bookmarkStart w:id="1097" w:name="_Toc373478422"/>
      <w:bookmarkEnd w:id="1097"/>
      <w:bookmarkStart w:id="1098" w:name="_Toc407135278"/>
      <w:bookmarkEnd w:id="1098"/>
      <w:bookmarkStart w:id="1099" w:name="_Toc9850606"/>
      <w:bookmarkEnd w:id="1099"/>
      <w:bookmarkStart w:id="1100" w:name="_Toc389065340"/>
      <w:r>
        <w:rPr>
          <w:rFonts w:hint="eastAsia" w:ascii="宋体" w:hAnsi="宋体" w:eastAsia="宋体" w:cs="宋体"/>
          <w:color w:val="auto"/>
          <w:kern w:val="0"/>
          <w:sz w:val="21"/>
          <w:szCs w:val="21"/>
          <w:highlight w:val="none"/>
          <w:lang w:val="en-US" w:eastAsia="zh-CN" w:bidi="ar"/>
        </w:rPr>
        <w:t>关于其他保险的约定：</w:t>
      </w:r>
      <w:bookmarkEnd w:id="1100"/>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2"/>
          <w:szCs w:val="22"/>
          <w:highlight w:val="none"/>
          <w:u w:val="single"/>
          <w:lang w:val="en-US" w:eastAsia="zh-CN" w:bidi="ar"/>
        </w:rPr>
        <w:t>按照通用条款和现行法律法规要求执行</w:t>
      </w:r>
      <w:r>
        <w:rPr>
          <w:rFonts w:hint="default" w:ascii="Times New Roman" w:hAnsi="宋体"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A13FA55">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承包人是否应为其施工设备等办理财产保险：</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由承包人根据施工现场情况自行安排，如承包人未</w:t>
      </w:r>
      <w:r>
        <w:rPr>
          <w:rFonts w:hint="eastAsia" w:ascii="宋体" w:hAnsi="宋体" w:eastAsia="宋体" w:cs="宋体"/>
          <w:color w:val="auto"/>
          <w:kern w:val="0"/>
          <w:sz w:val="21"/>
          <w:szCs w:val="21"/>
          <w:highlight w:val="none"/>
          <w:lang w:val="en-US" w:eastAsia="zh-CN" w:bidi="ar"/>
        </w:rPr>
        <w:t>办理财产保险的，</w:t>
      </w:r>
      <w:r>
        <w:rPr>
          <w:rFonts w:hint="eastAsia" w:ascii="宋体" w:hAnsi="宋体" w:eastAsia="宋体" w:cs="宋体"/>
          <w:color w:val="auto"/>
          <w:kern w:val="0"/>
          <w:sz w:val="21"/>
          <w:szCs w:val="21"/>
          <w:highlight w:val="none"/>
          <w:u w:val="single"/>
          <w:lang w:val="en-US" w:eastAsia="zh-CN" w:bidi="ar"/>
        </w:rPr>
        <w:t>发生事故造成损失由承包人承担赔偿责任。</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p>
    <w:p w14:paraId="052A368F">
      <w:pPr>
        <w:pStyle w:val="4"/>
        <w:widowControl/>
        <w:shd w:val="clear"/>
        <w:rPr>
          <w:rFonts w:hint="default" w:ascii="Times New Roman" w:hAnsi="Times New Roman" w:eastAsia="宋体" w:cs="Times New Roman"/>
          <w:b/>
          <w:bCs/>
          <w:color w:val="auto"/>
          <w:kern w:val="2"/>
          <w:sz w:val="32"/>
          <w:szCs w:val="32"/>
          <w:highlight w:val="none"/>
        </w:rPr>
      </w:pPr>
      <w:r>
        <w:rPr>
          <w:rFonts w:hint="default" w:ascii="Times New Roman" w:hAnsi="Times New Roman" w:eastAsia="宋体" w:cs="Times New Roman"/>
          <w:b/>
          <w:bCs/>
          <w:color w:val="auto"/>
          <w:kern w:val="2"/>
          <w:sz w:val="32"/>
          <w:szCs w:val="32"/>
          <w:highlight w:val="none"/>
        </w:rPr>
        <w:t xml:space="preserve">18.7 </w:t>
      </w:r>
      <w:r>
        <w:rPr>
          <w:rFonts w:hint="eastAsia" w:ascii="宋体" w:hAnsi="宋体" w:eastAsia="宋体" w:cs="宋体"/>
          <w:b/>
          <w:bCs/>
          <w:color w:val="auto"/>
          <w:kern w:val="2"/>
          <w:sz w:val="32"/>
          <w:szCs w:val="32"/>
          <w:highlight w:val="none"/>
        </w:rPr>
        <w:t>通知义务</w:t>
      </w:r>
    </w:p>
    <w:p w14:paraId="2B804834">
      <w:pPr>
        <w:keepNext w:val="0"/>
        <w:keepLines w:val="0"/>
        <w:widowControl w:val="0"/>
        <w:suppressLineNumbers w:val="0"/>
        <w:shd w:val="clear"/>
        <w:spacing w:before="0" w:beforeAutospacing="0" w:after="0" w:afterAutospacing="0" w:line="360" w:lineRule="auto"/>
        <w:ind w:left="0" w:right="0" w:firstLine="480" w:firstLineChars="200"/>
        <w:jc w:val="left"/>
        <w:rPr>
          <w:rFonts w:hint="default" w:ascii="Times New Roman" w:hAnsi="Times New Roman" w:eastAsia="宋体" w:cs="Times New Roman"/>
          <w:color w:val="auto"/>
          <w:highlight w:val="none"/>
          <w:u w:val="single"/>
        </w:rPr>
      </w:pPr>
      <w:r>
        <w:rPr>
          <w:rFonts w:hint="eastAsia" w:ascii="宋体" w:hAnsi="宋体" w:eastAsia="宋体" w:cs="宋体"/>
          <w:color w:val="auto"/>
          <w:kern w:val="0"/>
          <w:sz w:val="24"/>
          <w:szCs w:val="24"/>
          <w:highlight w:val="none"/>
          <w:lang w:val="en-US" w:eastAsia="zh-CN" w:bidi="ar"/>
        </w:rPr>
        <w:t>关于变更保险合同时的通知义务的约定：</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w:t>
      </w:r>
    </w:p>
    <w:p w14:paraId="57A58371">
      <w:pPr>
        <w:pStyle w:val="3"/>
        <w:widowControl/>
        <w:shd w:val="clear"/>
        <w:rPr>
          <w:rFonts w:hint="default" w:ascii="Arial" w:hAnsi="Arial" w:eastAsia="黑体" w:cs="Times New Roman"/>
          <w:b/>
          <w:bCs w:val="0"/>
          <w:color w:val="auto"/>
          <w:sz w:val="32"/>
          <w:szCs w:val="32"/>
          <w:highlight w:val="none"/>
        </w:rPr>
      </w:pPr>
      <w:bookmarkStart w:id="1101" w:name="_Toc351203651"/>
      <w:bookmarkEnd w:id="1101"/>
      <w:bookmarkStart w:id="1102" w:name="_Toc407135279"/>
      <w:bookmarkEnd w:id="1102"/>
      <w:bookmarkStart w:id="1103" w:name="_Toc389065341"/>
      <w:bookmarkEnd w:id="1103"/>
      <w:bookmarkStart w:id="1104" w:name="_Toc9850607"/>
      <w:bookmarkEnd w:id="1104"/>
      <w:bookmarkStart w:id="1105" w:name="_Toc373478423"/>
      <w:bookmarkEnd w:id="1105"/>
      <w:bookmarkStart w:id="1106" w:name="_Toc373227776"/>
      <w:bookmarkEnd w:id="1106"/>
      <w:r>
        <w:rPr>
          <w:rFonts w:hint="default" w:ascii="Arial" w:hAnsi="Arial" w:eastAsia="黑体" w:cs="Times New Roman"/>
          <w:b/>
          <w:bCs w:val="0"/>
          <w:color w:val="auto"/>
          <w:sz w:val="32"/>
          <w:szCs w:val="32"/>
          <w:highlight w:val="none"/>
        </w:rPr>
        <w:t xml:space="preserve">20. </w:t>
      </w:r>
      <w:r>
        <w:rPr>
          <w:rFonts w:hint="eastAsia" w:ascii="黑体" w:hAnsi="宋体" w:eastAsia="黑体" w:cs="黑体"/>
          <w:b/>
          <w:bCs w:val="0"/>
          <w:color w:val="auto"/>
          <w:sz w:val="32"/>
          <w:szCs w:val="32"/>
          <w:highlight w:val="none"/>
        </w:rPr>
        <w:t>争议解决</w:t>
      </w:r>
    </w:p>
    <w:p w14:paraId="548C7395">
      <w:pPr>
        <w:pStyle w:val="4"/>
        <w:widowControl/>
        <w:shd w:val="clear"/>
        <w:rPr>
          <w:rFonts w:hint="default" w:ascii="Times New Roman" w:hAnsi="Times New Roman" w:eastAsia="宋体" w:cs="Times New Roman"/>
          <w:b/>
          <w:bCs/>
          <w:color w:val="auto"/>
          <w:kern w:val="2"/>
          <w:sz w:val="32"/>
          <w:szCs w:val="32"/>
          <w:highlight w:val="none"/>
        </w:rPr>
      </w:pPr>
      <w:bookmarkStart w:id="1107" w:name="_Toc407135280"/>
      <w:bookmarkEnd w:id="1107"/>
      <w:bookmarkStart w:id="1108" w:name="_Toc373227777"/>
      <w:bookmarkEnd w:id="1108"/>
      <w:bookmarkStart w:id="1109" w:name="_Toc9850608"/>
      <w:bookmarkEnd w:id="1109"/>
      <w:bookmarkStart w:id="1110" w:name="_Toc389065342"/>
      <w:bookmarkEnd w:id="1110"/>
      <w:bookmarkStart w:id="1111" w:name="_Toc373478424"/>
      <w:r>
        <w:rPr>
          <w:rFonts w:hint="default" w:ascii="Times New Roman" w:hAnsi="Times New Roman" w:eastAsia="宋体" w:cs="Times New Roman"/>
          <w:b/>
          <w:bCs/>
          <w:color w:val="auto"/>
          <w:kern w:val="2"/>
          <w:sz w:val="32"/>
          <w:szCs w:val="32"/>
          <w:highlight w:val="none"/>
        </w:rPr>
        <w:t xml:space="preserve">20.3 </w:t>
      </w:r>
      <w:bookmarkEnd w:id="1111"/>
      <w:r>
        <w:rPr>
          <w:rFonts w:hint="eastAsia" w:ascii="宋体" w:hAnsi="宋体" w:eastAsia="宋体" w:cs="宋体"/>
          <w:b/>
          <w:bCs/>
          <w:color w:val="auto"/>
          <w:kern w:val="2"/>
          <w:sz w:val="32"/>
          <w:szCs w:val="32"/>
          <w:highlight w:val="none"/>
        </w:rPr>
        <w:t>争议评审</w:t>
      </w:r>
    </w:p>
    <w:p w14:paraId="5231D584">
      <w:pPr>
        <w:keepNext w:val="0"/>
        <w:keepLines w:val="0"/>
        <w:widowControl w:val="0"/>
        <w:suppressLineNumbers w:val="0"/>
        <w:shd w:val="clear"/>
        <w:spacing w:before="0" w:beforeAutospacing="0" w:after="0" w:afterAutospacing="0" w:line="360" w:lineRule="auto"/>
        <w:ind w:left="142" w:leftChars="71" w:right="0" w:firstLine="315" w:firstLineChars="15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合同当事人是否同意将工程争议提交争议评审小组决定：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51907F0A">
      <w:pPr>
        <w:keepNext w:val="0"/>
        <w:keepLines w:val="0"/>
        <w:widowControl w:val="0"/>
        <w:suppressLineNumbers w:val="0"/>
        <w:shd w:val="clear"/>
        <w:spacing w:before="0" w:beforeAutospacing="0" w:after="0" w:afterAutospacing="0" w:line="360" w:lineRule="auto"/>
        <w:ind w:left="0" w:right="0" w:firstLine="420" w:firstLineChars="200"/>
        <w:jc w:val="left"/>
        <w:outlineLvl w:val="0"/>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20.3.1 </w:t>
      </w:r>
      <w:r>
        <w:rPr>
          <w:rFonts w:hint="eastAsia" w:ascii="宋体" w:hAnsi="宋体" w:eastAsia="宋体" w:cs="宋体"/>
          <w:color w:val="auto"/>
          <w:kern w:val="0"/>
          <w:sz w:val="21"/>
          <w:szCs w:val="21"/>
          <w:highlight w:val="none"/>
          <w:lang w:val="en-US" w:eastAsia="zh-CN" w:bidi="ar"/>
        </w:rPr>
        <w:t>争议评审小组的确定</w:t>
      </w:r>
    </w:p>
    <w:p w14:paraId="45A2D8D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u w:val="single"/>
        </w:rPr>
      </w:pPr>
      <w:r>
        <w:rPr>
          <w:rFonts w:hint="eastAsia" w:ascii="宋体" w:hAnsi="宋体" w:eastAsia="宋体" w:cs="宋体"/>
          <w:color w:val="auto"/>
          <w:kern w:val="0"/>
          <w:sz w:val="21"/>
          <w:szCs w:val="21"/>
          <w:highlight w:val="none"/>
          <w:lang w:val="en-US" w:eastAsia="zh-CN" w:bidi="ar"/>
        </w:rPr>
        <w:t>争议评审小组成员的确定：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65065D6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选定争议评审员的期限：</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296C79AE">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争议评审小组成员的报酬承担方式：</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8AE6047">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其他事项的约定：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3C34095">
      <w:pPr>
        <w:keepNext w:val="0"/>
        <w:keepLines w:val="0"/>
        <w:widowControl w:val="0"/>
        <w:suppressLineNumbers w:val="0"/>
        <w:shd w:val="clear"/>
        <w:autoSpaceDE w:val="0"/>
        <w:autoSpaceDN w:val="0"/>
        <w:adjustRightInd w:val="0"/>
        <w:spacing w:before="0" w:beforeAutospacing="0" w:after="0" w:afterAutospacing="0" w:line="360" w:lineRule="auto"/>
        <w:ind w:left="0" w:right="0" w:firstLine="420" w:firstLineChars="200"/>
        <w:jc w:val="left"/>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20.3.2 </w:t>
      </w:r>
      <w:r>
        <w:rPr>
          <w:rFonts w:hint="eastAsia" w:ascii="宋体" w:hAnsi="宋体" w:eastAsia="宋体" w:cs="宋体"/>
          <w:color w:val="auto"/>
          <w:kern w:val="0"/>
          <w:sz w:val="21"/>
          <w:szCs w:val="21"/>
          <w:highlight w:val="none"/>
          <w:lang w:val="en-US" w:eastAsia="zh-CN" w:bidi="ar"/>
        </w:rPr>
        <w:t>争议评审小组的决定</w:t>
      </w:r>
    </w:p>
    <w:p w14:paraId="114D86F8">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合同当事人关于本项的约定：</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03986644">
      <w:pPr>
        <w:pStyle w:val="4"/>
        <w:widowControl/>
        <w:shd w:val="clear"/>
        <w:rPr>
          <w:rFonts w:hint="default" w:ascii="Times New Roman" w:hAnsi="Times New Roman" w:eastAsia="宋体" w:cs="Times New Roman"/>
          <w:b/>
          <w:bCs/>
          <w:color w:val="auto"/>
          <w:kern w:val="2"/>
          <w:sz w:val="32"/>
          <w:szCs w:val="32"/>
          <w:highlight w:val="none"/>
        </w:rPr>
      </w:pPr>
      <w:bookmarkStart w:id="1112" w:name="_Toc373227778"/>
      <w:bookmarkEnd w:id="1112"/>
      <w:bookmarkStart w:id="1113" w:name="_Toc9850609"/>
      <w:bookmarkEnd w:id="1113"/>
      <w:bookmarkStart w:id="1114" w:name="_Toc373478425"/>
      <w:bookmarkEnd w:id="1114"/>
      <w:bookmarkStart w:id="1115" w:name="_Toc407135281"/>
      <w:bookmarkEnd w:id="1115"/>
      <w:bookmarkStart w:id="1116" w:name="_Toc389065343"/>
      <w:r>
        <w:rPr>
          <w:rFonts w:hint="default" w:ascii="Times New Roman" w:hAnsi="Times New Roman" w:eastAsia="宋体" w:cs="Times New Roman"/>
          <w:b/>
          <w:bCs/>
          <w:color w:val="auto"/>
          <w:kern w:val="2"/>
          <w:sz w:val="32"/>
          <w:szCs w:val="32"/>
          <w:highlight w:val="none"/>
        </w:rPr>
        <w:t xml:space="preserve">20.4 </w:t>
      </w:r>
      <w:bookmarkEnd w:id="1116"/>
      <w:r>
        <w:rPr>
          <w:rFonts w:hint="eastAsia" w:ascii="宋体" w:hAnsi="宋体" w:eastAsia="宋体" w:cs="宋体"/>
          <w:b/>
          <w:bCs/>
          <w:color w:val="auto"/>
          <w:kern w:val="2"/>
          <w:sz w:val="32"/>
          <w:szCs w:val="32"/>
          <w:highlight w:val="none"/>
        </w:rPr>
        <w:t>仲裁或诉讼</w:t>
      </w:r>
    </w:p>
    <w:p w14:paraId="6079D66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bookmarkStart w:id="1117" w:name="_Toc351203652"/>
      <w:bookmarkEnd w:id="1117"/>
      <w:r>
        <w:rPr>
          <w:rFonts w:hint="default" w:ascii="Times New Roman" w:hAnsi="Times New Roman" w:eastAsia="宋体" w:cs="Times New Roman"/>
          <w:color w:val="auto"/>
          <w:kern w:val="0"/>
          <w:sz w:val="21"/>
          <w:szCs w:val="21"/>
          <w:highlight w:val="none"/>
          <w:lang w:val="en-US" w:eastAsia="zh-CN" w:bidi="ar"/>
        </w:rPr>
        <w:t xml:space="preserve">20.4.1 </w:t>
      </w:r>
      <w:r>
        <w:rPr>
          <w:rFonts w:hint="eastAsia" w:ascii="宋体" w:hAnsi="宋体" w:eastAsia="宋体" w:cs="宋体"/>
          <w:color w:val="auto"/>
          <w:kern w:val="0"/>
          <w:sz w:val="21"/>
          <w:szCs w:val="21"/>
          <w:highlight w:val="none"/>
          <w:lang w:val="en-US" w:eastAsia="zh-CN" w:bidi="ar"/>
        </w:rPr>
        <w:t>因合同及合同有关事项发生的争议，按下列第</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2</w:t>
      </w:r>
      <w:r>
        <w:rPr>
          <w:rFonts w:hint="eastAsia" w:ascii="宋体" w:hAnsi="宋体" w:eastAsia="宋体" w:cs="宋体"/>
          <w:color w:val="auto"/>
          <w:kern w:val="0"/>
          <w:sz w:val="21"/>
          <w:szCs w:val="21"/>
          <w:highlight w:val="none"/>
          <w:u w:val="single"/>
          <w:lang w:val="en-US" w:eastAsia="zh-CN" w:bidi="ar"/>
        </w:rPr>
        <w:t>）</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种方式解决：</w:t>
      </w:r>
    </w:p>
    <w:p w14:paraId="69C3E35C">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）提请</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仲裁委员会按照该会仲裁规则进行仲裁，仲裁裁决是终局的，对合同双方均有约束力。</w:t>
      </w:r>
    </w:p>
    <w:p w14:paraId="0BDB1E27">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）向</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u w:val="single"/>
          <w:lang w:val="en-US" w:eastAsia="zh-CN" w:bidi="ar"/>
        </w:rPr>
        <w:t>项目所在地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人民法院起诉。</w:t>
      </w:r>
    </w:p>
    <w:p w14:paraId="3F798047">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20.4.2 </w:t>
      </w:r>
      <w:r>
        <w:rPr>
          <w:rFonts w:hint="eastAsia" w:ascii="宋体" w:hAnsi="宋体" w:eastAsia="宋体" w:cs="宋体"/>
          <w:color w:val="auto"/>
          <w:kern w:val="0"/>
          <w:sz w:val="21"/>
          <w:szCs w:val="21"/>
          <w:highlight w:val="none"/>
          <w:lang w:val="en-US" w:eastAsia="zh-CN" w:bidi="ar"/>
        </w:rPr>
        <w:t>甲、乙双方在履行本合同过程中，任何一方如果违约，守约方为维护权益而发生的一切费用（包括但不限于律师费、诉讼费、保全保险费、差旅费、评估</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鉴定费等）均由违约方承担。</w:t>
      </w:r>
    </w:p>
    <w:p w14:paraId="4F0D6DEE">
      <w:pPr>
        <w:keepNext w:val="0"/>
        <w:keepLines w:val="0"/>
        <w:widowControl w:val="0"/>
        <w:suppressLineNumbers w:val="0"/>
        <w:shd w:val="clear"/>
        <w:spacing w:before="0" w:beforeAutospacing="0" w:after="0" w:afterAutospacing="0" w:line="360" w:lineRule="auto"/>
        <w:ind w:left="0" w:right="0" w:firstLine="420" w:firstLineChars="200"/>
        <w:jc w:val="left"/>
        <w:rPr>
          <w:rFonts w:hint="eastAsia" w:ascii="Times New Roman" w:hAnsi="宋体" w:eastAsia="宋体" w:cs="宋体"/>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20.4.3</w:t>
      </w:r>
      <w:r>
        <w:rPr>
          <w:rFonts w:hint="eastAsia" w:ascii="Times New Roman"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本合同载明的各方地址可作为送达法律文书、对账单、法院送达诉讼文书，各方往来信函等的地址，因载明的地址有误或未及时告知变更后的地址</w:t>
      </w:r>
      <w:r>
        <w:rPr>
          <w:rFonts w:hint="default" w:ascii="Times New Roman" w:hAnsi="Times New Roman" w:eastAsia="宋体" w:cs="Times New Roman"/>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导致相关文书及诉讼文书未能实际被接收的，邮寄送达的，相关文书及诉讼文书被退回之日即视为送达之日。</w:t>
      </w:r>
    </w:p>
    <w:p w14:paraId="55E0F31E">
      <w:pPr>
        <w:keepNext w:val="0"/>
        <w:keepLines w:val="0"/>
        <w:widowControl w:val="0"/>
        <w:suppressLineNumbers w:val="0"/>
        <w:shd w:val="clear"/>
        <w:spacing w:before="0" w:beforeAutospacing="0" w:after="0" w:afterAutospacing="0" w:line="360" w:lineRule="auto"/>
        <w:ind w:left="0" w:right="0" w:firstLine="422" w:firstLineChars="200"/>
        <w:jc w:val="left"/>
        <w:rPr>
          <w:rFonts w:hint="eastAsia" w:ascii="Times New Roman" w:hAnsi="宋体" w:eastAsia="宋体" w:cs="宋体"/>
          <w:b/>
          <w:bCs/>
          <w:color w:val="auto"/>
          <w:sz w:val="21"/>
          <w:szCs w:val="21"/>
          <w:highlight w:val="none"/>
        </w:rPr>
      </w:pPr>
      <w:r>
        <w:rPr>
          <w:rFonts w:hint="default" w:ascii="Times New Roman" w:hAnsi="Times New Roman" w:eastAsia="宋体" w:cs="Times New Roman"/>
          <w:b/>
          <w:bCs/>
          <w:color w:val="auto"/>
          <w:kern w:val="0"/>
          <w:sz w:val="21"/>
          <w:szCs w:val="21"/>
          <w:highlight w:val="none"/>
          <w:lang w:val="en-US" w:eastAsia="zh-CN" w:bidi="ar"/>
        </w:rPr>
        <w:t xml:space="preserve">21 </w:t>
      </w:r>
      <w:r>
        <w:rPr>
          <w:rFonts w:hint="eastAsia" w:ascii="宋体" w:hAnsi="宋体" w:eastAsia="宋体" w:cs="宋体"/>
          <w:b/>
          <w:bCs/>
          <w:color w:val="auto"/>
          <w:kern w:val="0"/>
          <w:sz w:val="21"/>
          <w:szCs w:val="21"/>
          <w:highlight w:val="none"/>
          <w:lang w:val="en-US" w:eastAsia="zh-CN" w:bidi="ar"/>
        </w:rPr>
        <w:t>本合同通用合同条款与专用合同条款约定不一致的，以专用合同条款约定为准，按照专用合同条款的约定执行</w:t>
      </w:r>
    </w:p>
    <w:p w14:paraId="3E3B8B57">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黑体" w:cs="Times New Roman"/>
          <w:b/>
          <w:bCs/>
          <w:color w:val="auto"/>
          <w:sz w:val="28"/>
          <w:szCs w:val="28"/>
          <w:highlight w:val="none"/>
        </w:rPr>
      </w:pPr>
      <w:r>
        <w:rPr>
          <w:rFonts w:hint="eastAsia" w:ascii="黑体" w:hAnsi="宋体" w:eastAsia="黑体" w:cs="黑体"/>
          <w:b/>
          <w:bCs/>
          <w:color w:val="auto"/>
          <w:kern w:val="0"/>
          <w:sz w:val="28"/>
          <w:szCs w:val="28"/>
          <w:highlight w:val="none"/>
          <w:lang w:val="en-US" w:eastAsia="zh-CN" w:bidi="ar"/>
        </w:rPr>
        <w:t>附件</w:t>
      </w:r>
    </w:p>
    <w:p w14:paraId="460EF44C">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附件1：承包人承揽工程项目一览表</w:t>
      </w:r>
    </w:p>
    <w:p w14:paraId="14AC6695">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附件2：工程质量保修书</w:t>
      </w:r>
    </w:p>
    <w:p w14:paraId="3C27456E">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附件3：预付款支付申请（核准）表</w:t>
      </w:r>
    </w:p>
    <w:p w14:paraId="0A533A3F">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附件4：进度款支付申请（核准）表</w:t>
      </w:r>
    </w:p>
    <w:p w14:paraId="12036666">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附件5：竣工结算款支付申请（核准）表</w:t>
      </w:r>
    </w:p>
    <w:p w14:paraId="7C9CE47F">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附件6：最终结算款支付申请（核准）表</w:t>
      </w:r>
    </w:p>
    <w:p w14:paraId="10D2CA54">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附件</w:t>
      </w:r>
      <w:r>
        <w:rPr>
          <w:rFonts w:hint="default" w:ascii="Times New Roman" w:hAnsi="Times New Roman" w:eastAsia="宋体" w:cs="Times New Roman"/>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：总价合同进度款支付分解表</w:t>
      </w:r>
    </w:p>
    <w:p w14:paraId="53E69755">
      <w:pPr>
        <w:shd w:val="clear"/>
        <w:rPr>
          <w:rFonts w:hint="default" w:ascii="Times New Roman" w:hAnsi="Times New Roman" w:eastAsia="宋体" w:cs="Times New Roman"/>
          <w:color w:val="auto"/>
          <w:highlight w:val="none"/>
        </w:rPr>
        <w:sectPr>
          <w:pgSz w:w="11907" w:h="16840"/>
          <w:pgMar w:top="1440" w:right="1440" w:bottom="1440" w:left="1797" w:header="851" w:footer="851" w:gutter="0"/>
          <w:cols w:space="720" w:num="1"/>
          <w:formProt w:val="1"/>
          <w:docGrid w:type="lines" w:linePitch="312" w:charSpace="43007"/>
        </w:sectPr>
      </w:pPr>
    </w:p>
    <w:p w14:paraId="3D23B3FF">
      <w:pPr>
        <w:keepNext w:val="0"/>
        <w:keepLines w:val="0"/>
        <w:widowControl w:val="0"/>
        <w:suppressLineNumbers w:val="0"/>
        <w:shd w:val="clear"/>
        <w:spacing w:before="120" w:beforeLines="50" w:beforeAutospacing="0" w:after="120" w:afterLines="50" w:afterAutospacing="0" w:line="440" w:lineRule="exact"/>
        <w:ind w:left="0" w:right="0"/>
        <w:jc w:val="left"/>
        <w:rPr>
          <w:rFonts w:hint="eastAsia" w:ascii="仿宋_GB2312"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附件1：</w:t>
      </w:r>
    </w:p>
    <w:p w14:paraId="13BE2120">
      <w:pPr>
        <w:keepNext w:val="0"/>
        <w:keepLines w:val="0"/>
        <w:widowControl w:val="0"/>
        <w:suppressLineNumbers w:val="0"/>
        <w:shd w:val="clear"/>
        <w:spacing w:before="120" w:beforeLines="50" w:beforeAutospacing="0" w:after="120" w:afterLines="50" w:afterAutospacing="0" w:line="440" w:lineRule="exact"/>
        <w:ind w:left="0" w:right="0"/>
        <w:jc w:val="center"/>
        <w:rPr>
          <w:rFonts w:hint="default" w:ascii="Times New Roman" w:hAnsi="Times New Roman" w:eastAsia="黑体" w:cs="Times New Roman"/>
          <w:color w:val="auto"/>
          <w:sz w:val="30"/>
          <w:szCs w:val="30"/>
          <w:highlight w:val="none"/>
        </w:rPr>
      </w:pPr>
      <w:r>
        <w:rPr>
          <w:rFonts w:hint="eastAsia" w:ascii="黑体" w:hAnsi="宋体" w:eastAsia="黑体" w:cs="黑体"/>
          <w:color w:val="auto"/>
          <w:kern w:val="0"/>
          <w:sz w:val="30"/>
          <w:szCs w:val="30"/>
          <w:highlight w:val="none"/>
          <w:lang w:val="en-US" w:eastAsia="zh-CN" w:bidi="ar"/>
        </w:rPr>
        <w:t>承包人承揽工程项目一览表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1AE5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D965ED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单位工程名称</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217056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建设规模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E037E0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建筑面积</w:t>
            </w:r>
            <w:r>
              <w:rPr>
                <w:rFonts w:hint="default" w:ascii="Times New Roman" w:hAnsi="Times New Roman" w:eastAsia="仿宋_GB2312" w:cs="Times New Roman"/>
                <w:color w:val="auto"/>
                <w:kern w:val="0"/>
                <w:sz w:val="28"/>
                <w:szCs w:val="28"/>
                <w:highlight w:val="none"/>
                <w:lang w:val="en-US" w:eastAsia="zh-CN" w:bidi="ar"/>
              </w:rPr>
              <w:t>(</w:t>
            </w:r>
            <w:r>
              <w:rPr>
                <w:rFonts w:hint="eastAsia" w:ascii="仿宋_GB2312" w:hAnsi="Times New Roman" w:eastAsia="仿宋_GB2312" w:cs="仿宋_GB2312"/>
                <w:color w:val="auto"/>
                <w:kern w:val="0"/>
                <w:sz w:val="28"/>
                <w:szCs w:val="28"/>
                <w:highlight w:val="none"/>
                <w:lang w:val="en-US" w:eastAsia="zh-CN" w:bidi="ar"/>
              </w:rPr>
              <w:t>平方米</w:t>
            </w:r>
            <w:r>
              <w:rPr>
                <w:rFonts w:hint="default" w:ascii="Times New Roman" w:hAnsi="Times New Roman" w:eastAsia="仿宋_GB2312" w:cs="Times New Roman"/>
                <w:color w:val="auto"/>
                <w:kern w:val="0"/>
                <w:sz w:val="28"/>
                <w:szCs w:val="28"/>
                <w:highlight w:val="none"/>
                <w:lang w:val="en-US" w:eastAsia="zh-CN" w:bidi="ar"/>
              </w:rPr>
              <w:t>)</w:t>
            </w: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2CF438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结构形式</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49D05D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层数</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00BF01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生产能力</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303AC11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设备安装内容</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875FC8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合同价格（元）</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C559DF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开工日期</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E132C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28"/>
                <w:szCs w:val="28"/>
                <w:highlight w:val="none"/>
              </w:rPr>
            </w:pPr>
            <w:r>
              <w:rPr>
                <w:rFonts w:hint="eastAsia" w:ascii="仿宋_GB2312" w:hAnsi="Times New Roman" w:eastAsia="仿宋_GB2312" w:cs="仿宋_GB2312"/>
                <w:color w:val="auto"/>
                <w:kern w:val="0"/>
                <w:sz w:val="28"/>
                <w:szCs w:val="28"/>
                <w:highlight w:val="none"/>
                <w:lang w:val="en-US" w:eastAsia="zh-CN" w:bidi="ar"/>
              </w:rPr>
              <w:t>竣工日期</w:t>
            </w:r>
          </w:p>
        </w:tc>
      </w:tr>
      <w:tr w14:paraId="39E1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BC9067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1B9ED1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714DA3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757C56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9E9928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4543A57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A4BAFF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0970B7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91A643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EDA436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3F1E7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701498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9CDB08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962106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0F271E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3D6E40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1F8567F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4964A51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4A9CD3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0521EE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2699E8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7B3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FF27E9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25981B9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3E2387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6C245A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5C6C142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3C6262F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200141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1372051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4F2461D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305A78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1990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26D1D7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B3EE53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07E926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7188685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A953BC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7B0FE80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31495D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CF1154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3452E55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4B9192F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699A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EBAE2B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6E87B36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2DC5453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0DA4D61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041B5C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6AB4B61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5595C8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477522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AF32DC9">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D5ABB6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5EA1B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5CC80BC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F5423D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E217FF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6B3B9C6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A44F06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025A72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24D296A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54C8BD9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2A8A98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AF96D6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5B265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8A38B9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4F16EA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4663EF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39CEA495">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28B8244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C2121A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557C797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E7D335C">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2B52D95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078B2302">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08B22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C60CD4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3ADEA3C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6CBB0B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5EF2DCA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328018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B02F31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44F18B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7B464BEA">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2FC33A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F3614F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2830F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571308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9F5112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177F7E6E">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216E89C8">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E1C58F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D6A804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1403FC1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D04155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01A05DA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6B227C96">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r w14:paraId="48ED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108D07E0">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74E96DCD">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530A8CA3">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661" w:type="dxa"/>
            <w:tcBorders>
              <w:top w:val="single" w:color="auto" w:sz="4" w:space="0"/>
              <w:left w:val="single" w:color="auto" w:sz="4" w:space="0"/>
              <w:bottom w:val="single" w:color="auto" w:sz="4" w:space="0"/>
              <w:right w:val="single" w:color="auto" w:sz="4" w:space="0"/>
            </w:tcBorders>
            <w:shd w:val="clear" w:color="auto" w:fill="auto"/>
            <w:vAlign w:val="center"/>
          </w:tcPr>
          <w:p w14:paraId="111E756F">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1B3CAA5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522CC5DB">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14:paraId="048B0EC1">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5862424">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15EE859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14:paraId="3BD95297">
            <w:pPr>
              <w:pStyle w:val="19"/>
              <w:keepNext/>
              <w:keepLines w:val="0"/>
              <w:widowControl w:val="0"/>
              <w:suppressLineNumbers w:val="0"/>
              <w:shd w:val="clear"/>
              <w:spacing w:before="0" w:beforeAutospacing="1" w:after="0" w:afterAutospacing="0" w:line="440" w:lineRule="exact"/>
              <w:ind w:left="63" w:right="63"/>
              <w:jc w:val="both"/>
              <w:rPr>
                <w:rFonts w:hint="default" w:ascii="Times New Roman" w:hAnsi="Times New Roman" w:eastAsia="仿宋_GB2312" w:cs="Times New Roman"/>
                <w:color w:val="auto"/>
                <w:sz w:val="30"/>
                <w:szCs w:val="30"/>
                <w:highlight w:val="none"/>
              </w:rPr>
            </w:pPr>
          </w:p>
        </w:tc>
      </w:tr>
    </w:tbl>
    <w:p w14:paraId="59670B40">
      <w:pPr>
        <w:keepNext w:val="0"/>
        <w:keepLines w:val="0"/>
        <w:widowControl w:val="0"/>
        <w:suppressLineNumbers w:val="0"/>
        <w:shd w:val="clear"/>
        <w:spacing w:before="0" w:beforeAutospacing="0" w:after="0" w:afterAutospacing="0" w:line="460" w:lineRule="exact"/>
        <w:ind w:left="0" w:righ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33DB9836">
      <w:pPr>
        <w:keepNext w:val="0"/>
        <w:keepLines w:val="0"/>
        <w:widowControl w:val="0"/>
        <w:suppressLineNumbers w:val="0"/>
        <w:shd w:val="clear"/>
        <w:spacing w:before="0" w:beforeAutospacing="0" w:after="0" w:afterAutospacing="0" w:line="460" w:lineRule="exact"/>
        <w:ind w:left="0" w:right="0" w:firstLine="480" w:firstLineChars="20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653846FE">
      <w:pPr>
        <w:shd w:val="clear"/>
        <w:rPr>
          <w:rFonts w:hint="default" w:ascii="Times New Roman" w:hAnsi="Times New Roman" w:eastAsia="宋体" w:cs="Times New Roman"/>
          <w:color w:val="auto"/>
          <w:highlight w:val="none"/>
        </w:rPr>
        <w:sectPr>
          <w:pgSz w:w="16840" w:h="11907" w:orient="landscape"/>
          <w:pgMar w:top="1440" w:right="1440" w:bottom="1440" w:left="1797" w:header="851" w:footer="851" w:gutter="0"/>
          <w:cols w:space="720" w:num="1"/>
          <w:formProt w:val="1"/>
          <w:docGrid w:type="lines" w:linePitch="312" w:charSpace="43007"/>
        </w:sectPr>
      </w:pPr>
    </w:p>
    <w:p w14:paraId="17E08D04">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default" w:ascii="Times New Roman" w:hAnsi="Times New Roman" w:eastAsia="宋体" w:cs="Times New Roman"/>
          <w:color w:val="auto"/>
          <w:kern w:val="0"/>
          <w:sz w:val="30"/>
          <w:szCs w:val="30"/>
          <w:highlight w:val="none"/>
          <w:lang w:val="en-US" w:eastAsia="zh-CN" w:bidi="ar"/>
        </w:rPr>
        <w:t>2</w:t>
      </w:r>
      <w:r>
        <w:rPr>
          <w:rFonts w:hint="eastAsia" w:ascii="宋体" w:hAnsi="宋体" w:eastAsia="宋体" w:cs="宋体"/>
          <w:color w:val="auto"/>
          <w:kern w:val="0"/>
          <w:sz w:val="30"/>
          <w:szCs w:val="30"/>
          <w:highlight w:val="none"/>
          <w:lang w:val="en-US" w:eastAsia="zh-CN" w:bidi="ar"/>
        </w:rPr>
        <w:t>：</w:t>
      </w:r>
    </w:p>
    <w:p w14:paraId="730D23E2">
      <w:pPr>
        <w:keepNext w:val="0"/>
        <w:keepLines w:val="0"/>
        <w:widowControl w:val="0"/>
        <w:suppressLineNumbers w:val="0"/>
        <w:shd w:val="clear"/>
        <w:spacing w:before="120" w:beforeLines="50" w:beforeAutospacing="0" w:after="120" w:afterLines="50" w:afterAutospacing="0" w:line="440" w:lineRule="exact"/>
        <w:ind w:left="0" w:right="0"/>
        <w:jc w:val="center"/>
        <w:rPr>
          <w:rFonts w:hint="eastAsia" w:ascii="黑体" w:hAnsi="Times New Roman" w:eastAsia="黑体" w:cs="Times New Roman"/>
          <w:color w:val="auto"/>
          <w:sz w:val="32"/>
          <w:szCs w:val="32"/>
          <w:highlight w:val="none"/>
        </w:rPr>
      </w:pPr>
      <w:r>
        <w:rPr>
          <w:rFonts w:hint="eastAsia" w:ascii="黑体" w:hAnsi="宋体" w:eastAsia="黑体" w:cs="黑体"/>
          <w:color w:val="auto"/>
          <w:kern w:val="0"/>
          <w:sz w:val="32"/>
          <w:szCs w:val="32"/>
          <w:highlight w:val="none"/>
          <w:lang w:val="en-US" w:eastAsia="zh-CN" w:bidi="ar"/>
        </w:rPr>
        <w:t>工程质量保修书</w:t>
      </w:r>
    </w:p>
    <w:p w14:paraId="2AB6110A">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发包人（全称）：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宋体" w:hAnsi="宋体" w:cs="宋体"/>
          <w:color w:val="auto"/>
          <w:kern w:val="0"/>
          <w:sz w:val="21"/>
          <w:szCs w:val="21"/>
          <w:highlight w:val="none"/>
          <w:u w:val="single"/>
          <w:lang w:val="en-US" w:eastAsia="zh-CN" w:bidi="ar"/>
        </w:rPr>
        <w:t>扶绥县农业农村局</w:t>
      </w:r>
    </w:p>
    <w:p w14:paraId="735531DC">
      <w:pPr>
        <w:keepNext w:val="0"/>
        <w:keepLines w:val="0"/>
        <w:widowControl w:val="0"/>
        <w:suppressLineNumbers w:val="0"/>
        <w:shd w:val="clear"/>
        <w:spacing w:before="0" w:beforeAutospacing="0" w:after="0" w:afterAutospacing="0" w:line="440" w:lineRule="exact"/>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承包人（全称）：</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eastAsia"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u w:val="singl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p>
    <w:p w14:paraId="33E6E3C1">
      <w:pPr>
        <w:keepNext w:val="0"/>
        <w:keepLines w:val="0"/>
        <w:widowControl w:val="0"/>
        <w:suppressLineNumbers w:val="0"/>
        <w:shd w:val="clear"/>
        <w:spacing w:before="0" w:beforeAutospacing="0" w:after="0" w:afterAutospacing="0" w:line="440" w:lineRule="exact"/>
        <w:ind w:left="0" w:right="0"/>
        <w:jc w:val="both"/>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 xml:space="preserve"> </w:t>
      </w:r>
    </w:p>
    <w:p w14:paraId="3023693E">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发包人和承包人根据《中华人民共和国建筑法》和《建设工程质量管理条例》，经协商一致就</w:t>
      </w:r>
      <w:r>
        <w:rPr>
          <w:rFonts w:hint="eastAsia" w:cs="Times New Roman"/>
          <w:b/>
          <w:bCs/>
          <w:color w:val="auto"/>
          <w:kern w:val="0"/>
          <w:sz w:val="21"/>
          <w:szCs w:val="21"/>
          <w:highlight w:val="none"/>
          <w:u w:val="single"/>
          <w:lang w:val="en-US" w:eastAsia="zh-CN" w:bidi="ar"/>
        </w:rPr>
        <w:t>东门镇郝佐村郝章屯产业道路硬化项目</w:t>
      </w:r>
      <w:r>
        <w:rPr>
          <w:rFonts w:hint="eastAsia" w:ascii="宋体" w:hAnsi="宋体" w:eastAsia="宋体" w:cs="宋体"/>
          <w:color w:val="auto"/>
          <w:kern w:val="0"/>
          <w:sz w:val="21"/>
          <w:szCs w:val="21"/>
          <w:highlight w:val="none"/>
          <w:lang w:val="en-US" w:eastAsia="zh-CN" w:bidi="ar"/>
        </w:rPr>
        <w:t>（工程全称）签订工程质量保修书。</w:t>
      </w:r>
    </w:p>
    <w:p w14:paraId="4B3540D2">
      <w:pPr>
        <w:keepNext w:val="0"/>
        <w:keepLines w:val="0"/>
        <w:widowControl w:val="0"/>
        <w:suppressLineNumbers w:val="0"/>
        <w:shd w:val="clear"/>
        <w:spacing w:before="0" w:beforeAutospacing="0" w:after="0" w:afterAutospacing="0" w:line="360" w:lineRule="auto"/>
        <w:ind w:left="0" w:right="0" w:firstLine="420" w:firstLineChars="20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一、工程质量保修范围和内容</w:t>
      </w:r>
    </w:p>
    <w:p w14:paraId="78ED0B4C">
      <w:pPr>
        <w:keepNext w:val="0"/>
        <w:keepLines w:val="0"/>
        <w:widowControl w:val="0"/>
        <w:suppressLineNumbers w:val="0"/>
        <w:shd w:val="clear"/>
        <w:spacing w:before="0" w:beforeAutospacing="0" w:after="0" w:afterAutospacing="0" w:line="360" w:lineRule="auto"/>
        <w:ind w:left="0" w:right="0" w:firstLine="420" w:firstLineChars="20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承包人在质量保修期内，按照有关法律规定和合同约定，承担工程质量保修责任。</w:t>
      </w:r>
    </w:p>
    <w:p w14:paraId="728571C0">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b w:val="0"/>
          <w:bCs w:val="0"/>
          <w:color w:val="auto"/>
          <w:kern w:val="0"/>
          <w:sz w:val="21"/>
          <w:szCs w:val="21"/>
          <w:highlight w:val="none"/>
          <w:u w:val="single"/>
          <w:lang w:val="en-US" w:eastAsia="zh-CN" w:bidi="ar"/>
        </w:rPr>
      </w:pPr>
      <w:r>
        <w:rPr>
          <w:rFonts w:hint="eastAsia" w:ascii="宋体" w:hAnsi="宋体" w:eastAsia="宋体" w:cs="宋体"/>
          <w:color w:val="auto"/>
          <w:kern w:val="0"/>
          <w:sz w:val="21"/>
          <w:szCs w:val="21"/>
          <w:highlight w:val="none"/>
          <w:lang w:val="en-US" w:eastAsia="zh-CN"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eastAsia="宋体" w:cs="Times New Roman"/>
          <w:b w:val="0"/>
          <w:bCs w:val="0"/>
          <w:color w:val="auto"/>
          <w:kern w:val="0"/>
          <w:sz w:val="21"/>
          <w:szCs w:val="21"/>
          <w:highlight w:val="none"/>
          <w:u w:val="single"/>
          <w:lang w:val="en-US" w:eastAsia="zh-CN" w:bidi="ar"/>
        </w:rPr>
        <w:t xml:space="preserve"> 本工程为</w:t>
      </w:r>
      <w:r>
        <w:rPr>
          <w:rFonts w:hint="eastAsia" w:cs="Times New Roman"/>
          <w:b w:val="0"/>
          <w:bCs w:val="0"/>
          <w:color w:val="auto"/>
          <w:kern w:val="0"/>
          <w:sz w:val="21"/>
          <w:szCs w:val="21"/>
          <w:highlight w:val="none"/>
          <w:u w:val="single"/>
          <w:lang w:val="en-US" w:eastAsia="zh-CN" w:bidi="ar"/>
        </w:rPr>
        <w:t>东门镇郝佐村郝章屯产业道路硬化项目</w:t>
      </w:r>
      <w:r>
        <w:rPr>
          <w:rFonts w:hint="eastAsia" w:ascii="Times New Roman" w:hAnsi="Times New Roman" w:eastAsia="宋体" w:cs="Times New Roman"/>
          <w:b w:val="0"/>
          <w:bCs w:val="0"/>
          <w:color w:val="auto"/>
          <w:kern w:val="0"/>
          <w:sz w:val="21"/>
          <w:szCs w:val="21"/>
          <w:highlight w:val="none"/>
          <w:u w:val="single"/>
          <w:lang w:val="en-US" w:eastAsia="zh-CN" w:bidi="ar"/>
        </w:rPr>
        <w:t>,包括建设总长800米、宽4.5米、厚18厘米的硬化路；建设长200米、宽2.5米、厚15厘米的硬化路；建设总长150米的护坡及300平方米的硬化等，以工程量清单和图纸包含的内容为准。</w:t>
      </w:r>
    </w:p>
    <w:p w14:paraId="58D5A4D4">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二、质量保修期</w:t>
      </w:r>
    </w:p>
    <w:p w14:paraId="0A4372FA">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根据《建设工程质量管理条例》及有关规定，本工程的质量保修期为</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年，质量保修期自工程竣工验收合格之日起计算。</w:t>
      </w:r>
    </w:p>
    <w:p w14:paraId="468CB587">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三、缺陷责任期</w:t>
      </w:r>
    </w:p>
    <w:p w14:paraId="7F5830EB">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工程缺陷责任期为</w:t>
      </w:r>
      <w:r>
        <w:rPr>
          <w:rFonts w:hint="default" w:ascii="Times New Roman" w:hAnsi="Times New Roman" w:eastAsia="宋体" w:cs="Times New Roman"/>
          <w:color w:val="auto"/>
          <w:kern w:val="0"/>
          <w:sz w:val="21"/>
          <w:szCs w:val="21"/>
          <w:highlight w:val="none"/>
          <w:u w:val="single"/>
          <w:lang w:val="en-US" w:eastAsia="zh-CN" w:bidi="ar"/>
        </w:rPr>
        <w:t xml:space="preserve">  12  </w:t>
      </w:r>
      <w:r>
        <w:rPr>
          <w:rFonts w:hint="eastAsia" w:ascii="宋体" w:hAnsi="宋体" w:eastAsia="宋体" w:cs="宋体"/>
          <w:color w:val="auto"/>
          <w:kern w:val="0"/>
          <w:sz w:val="21"/>
          <w:szCs w:val="21"/>
          <w:highlight w:val="none"/>
          <w:lang w:val="en-US" w:eastAsia="zh-CN" w:bidi="ar"/>
        </w:rPr>
        <w:t>个月（最长不超过</w:t>
      </w:r>
      <w:r>
        <w:rPr>
          <w:rFonts w:hint="default" w:ascii="Times New Roman" w:hAnsi="宋体" w:eastAsia="宋体" w:cs="Times New Roman"/>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个月），缺陷责任期自工程竣工验收合格之日起计算。单位工程先于全部工程进行验收，单位工程缺陷责任期自单位工程验收合格之日起算。</w:t>
      </w:r>
    </w:p>
    <w:p w14:paraId="4C938339">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缺陷责任期满之日起</w:t>
      </w:r>
      <w:r>
        <w:rPr>
          <w:rFonts w:hint="default" w:ascii="Times New Roman" w:hAnsi="Times New Roman" w:eastAsia="宋体" w:cs="Times New Roman"/>
          <w:color w:val="auto"/>
          <w:kern w:val="0"/>
          <w:sz w:val="21"/>
          <w:szCs w:val="21"/>
          <w:highlight w:val="none"/>
          <w:lang w:val="en-US" w:eastAsia="zh-CN" w:bidi="ar"/>
        </w:rPr>
        <w:t>14</w:t>
      </w:r>
      <w:r>
        <w:rPr>
          <w:rFonts w:hint="eastAsia" w:ascii="宋体" w:hAnsi="宋体" w:eastAsia="宋体" w:cs="宋体"/>
          <w:color w:val="auto"/>
          <w:kern w:val="0"/>
          <w:sz w:val="21"/>
          <w:szCs w:val="21"/>
          <w:highlight w:val="none"/>
          <w:lang w:val="en-US" w:eastAsia="zh-CN" w:bidi="ar"/>
        </w:rPr>
        <w:t>天后，由双方书面确认，发包人按照施工合同约定支付剩余工程款。</w:t>
      </w:r>
    </w:p>
    <w:p w14:paraId="5502DE0F">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四、质量保修责任</w:t>
      </w:r>
    </w:p>
    <w:p w14:paraId="4AF2FBFC">
      <w:pPr>
        <w:keepNext w:val="0"/>
        <w:keepLines w:val="0"/>
        <w:widowControl w:val="0"/>
        <w:suppressLineNumbers w:val="0"/>
        <w:shd w:val="clear"/>
        <w:spacing w:before="0" w:beforeAutospacing="0" w:after="0" w:afterAutospacing="0" w:line="360" w:lineRule="auto"/>
        <w:ind w:left="100" w:leftChars="50" w:right="0" w:firstLine="428" w:firstLineChars="204"/>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．属于保修范围、内容的项目，承包人应当在接到保修通知之日起</w:t>
      </w:r>
      <w:r>
        <w:rPr>
          <w:rFonts w:hint="default" w:ascii="Times New Roman" w:hAnsi="Times New Roman" w:eastAsia="宋体" w:cs="Times New Roman"/>
          <w:color w:val="auto"/>
          <w:kern w:val="0"/>
          <w:sz w:val="21"/>
          <w:szCs w:val="21"/>
          <w:highlight w:val="none"/>
          <w:u w:val="single"/>
          <w:lang w:val="en-US" w:eastAsia="zh-CN" w:bidi="ar"/>
        </w:rPr>
        <w:t xml:space="preserve">  1  </w:t>
      </w:r>
      <w:r>
        <w:rPr>
          <w:rFonts w:hint="eastAsia" w:ascii="宋体" w:hAnsi="宋体" w:eastAsia="宋体" w:cs="宋体"/>
          <w:color w:val="auto"/>
          <w:kern w:val="0"/>
          <w:sz w:val="21"/>
          <w:szCs w:val="21"/>
          <w:highlight w:val="none"/>
          <w:lang w:val="en-US" w:eastAsia="zh-CN" w:bidi="ar"/>
        </w:rPr>
        <w:t>天内派人保修。承包人不在约定期限内派人保修的，发包人可以委托第三方修理，发生的费用发包人向第三方支付后，发包人优先从未付的工程款中扣除，不足部分发包人有权向承包人追偿。</w:t>
      </w:r>
    </w:p>
    <w:p w14:paraId="4982A0B2">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．发生紧急事故需抢修的，承包人在接到事故通知后，应当立即到达事故现场抢修。</w:t>
      </w:r>
    </w:p>
    <w:p w14:paraId="0B2DFD46">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3C18E74">
      <w:pPr>
        <w:keepNext w:val="0"/>
        <w:keepLines w:val="0"/>
        <w:widowControl w:val="0"/>
        <w:suppressLineNumbers w:val="0"/>
        <w:shd w:val="clear"/>
        <w:spacing w:before="0" w:beforeAutospacing="0" w:after="0" w:afterAutospacing="0" w:line="360" w:lineRule="auto"/>
        <w:ind w:left="0" w:right="0" w:firstLine="420"/>
        <w:jc w:val="both"/>
        <w:rPr>
          <w:rFonts w:hint="default"/>
          <w:color w:val="auto"/>
          <w:highlight w:val="none"/>
        </w:rPr>
      </w:pP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．质量保修完成后，由发包人组织验收。</w:t>
      </w:r>
    </w:p>
    <w:p w14:paraId="6E3036EF">
      <w:pPr>
        <w:keepNext w:val="0"/>
        <w:keepLines w:val="0"/>
        <w:widowControl w:val="0"/>
        <w:suppressLineNumbers w:val="0"/>
        <w:shd w:val="clear"/>
        <w:spacing w:before="0" w:beforeAutospacing="0" w:after="0" w:afterAutospacing="0" w:line="360" w:lineRule="auto"/>
        <w:ind w:left="0" w:right="0" w:firstLine="420"/>
        <w:jc w:val="both"/>
        <w:rPr>
          <w:rFonts w:hint="eastAsia" w:ascii="黑体" w:hAnsi="宋体" w:eastAsia="黑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五、保修费用</w:t>
      </w:r>
    </w:p>
    <w:p w14:paraId="79A44C0F">
      <w:pPr>
        <w:keepNext w:val="0"/>
        <w:keepLines w:val="0"/>
        <w:widowControl w:val="0"/>
        <w:suppressLineNumbers w:val="0"/>
        <w:shd w:val="clear"/>
        <w:spacing w:before="0" w:beforeAutospacing="0" w:after="0" w:afterAutospacing="0" w:line="360" w:lineRule="auto"/>
        <w:ind w:left="0" w:right="0" w:firstLine="420"/>
        <w:jc w:val="both"/>
        <w:rPr>
          <w:rFonts w:hint="default" w:ascii="Times New Roman" w:hAnsi="宋体"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保修费用由造成质量缺陷的责任方承担。</w:t>
      </w:r>
    </w:p>
    <w:p w14:paraId="3BB4A0C9">
      <w:pPr>
        <w:keepNext w:val="0"/>
        <w:keepLines w:val="0"/>
        <w:widowControl w:val="0"/>
        <w:suppressLineNumbers w:val="0"/>
        <w:shd w:val="clear"/>
        <w:spacing w:before="0" w:beforeAutospacing="0" w:after="0" w:afterAutospacing="0" w:line="360" w:lineRule="auto"/>
        <w:ind w:left="0" w:right="0" w:firstLine="420" w:firstLineChars="200"/>
        <w:jc w:val="left"/>
        <w:rPr>
          <w:rFonts w:hint="default" w:ascii="Times New Roman" w:hAnsi="Times New Roman" w:eastAsia="宋体" w:cs="Times New Roman"/>
          <w:color w:val="auto"/>
          <w:sz w:val="21"/>
          <w:szCs w:val="21"/>
          <w:highlight w:val="none"/>
        </w:rPr>
      </w:pPr>
      <w:r>
        <w:rPr>
          <w:rFonts w:hint="eastAsia" w:ascii="黑体" w:hAnsi="宋体" w:eastAsia="黑体" w:cs="黑体"/>
          <w:color w:val="auto"/>
          <w:kern w:val="0"/>
          <w:sz w:val="21"/>
          <w:szCs w:val="21"/>
          <w:highlight w:val="none"/>
          <w:lang w:val="en-US" w:eastAsia="zh-CN" w:bidi="ar"/>
        </w:rPr>
        <w:t xml:space="preserve">六、双方约定的其他工程质量保修事项： </w:t>
      </w:r>
      <w:r>
        <w:rPr>
          <w:rFonts w:hint="default" w:ascii="Times New Roman" w:hAnsi="Times New Roman" w:eastAsia="宋体" w:cs="Times New Roman"/>
          <w:color w:val="auto"/>
          <w:kern w:val="0"/>
          <w:sz w:val="21"/>
          <w:szCs w:val="21"/>
          <w:highlight w:val="none"/>
          <w:u w:val="single"/>
          <w:lang w:val="en-US" w:eastAsia="zh-CN" w:bidi="ar"/>
        </w:rPr>
        <w:t xml:space="preserve">               /       </w:t>
      </w:r>
      <w:r>
        <w:rPr>
          <w:rFonts w:hint="eastAsia" w:ascii="宋体" w:hAnsi="宋体" w:eastAsia="宋体" w:cs="宋体"/>
          <w:color w:val="auto"/>
          <w:kern w:val="0"/>
          <w:sz w:val="21"/>
          <w:szCs w:val="21"/>
          <w:highlight w:val="none"/>
          <w:lang w:val="en-US" w:eastAsia="zh-CN" w:bidi="ar"/>
        </w:rPr>
        <w:t>。</w:t>
      </w:r>
    </w:p>
    <w:p w14:paraId="1C92CE89">
      <w:pPr>
        <w:keepNext w:val="0"/>
        <w:keepLines w:val="0"/>
        <w:widowControl w:val="0"/>
        <w:suppressLineNumbers w:val="0"/>
        <w:shd w:val="clear"/>
        <w:spacing w:before="0" w:beforeAutospacing="0" w:after="0" w:afterAutospacing="0" w:line="360" w:lineRule="auto"/>
        <w:ind w:left="0" w:right="0" w:firstLine="399" w:firstLineChars="190"/>
        <w:jc w:val="both"/>
        <w:rPr>
          <w:rFonts w:hint="default"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工程质量保修书由发包人、承包人在工程竣工验收前共同签署，作为施工合同附件，其有效期限至保修期满。</w:t>
      </w:r>
    </w:p>
    <w:tbl>
      <w:tblPr>
        <w:tblStyle w:val="24"/>
        <w:tblW w:w="0" w:type="auto"/>
        <w:tblInd w:w="0" w:type="dxa"/>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261"/>
        <w:gridCol w:w="4261"/>
      </w:tblGrid>
      <w:tr w14:paraId="246CB9A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8E6780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发</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c>
          <w:tcPr>
            <w:tcW w:w="4261" w:type="dxa"/>
            <w:tcBorders>
              <w:top w:val="nil"/>
              <w:left w:val="nil"/>
              <w:bottom w:val="nil"/>
              <w:right w:val="nil"/>
            </w:tcBorders>
            <w:shd w:val="clear" w:color="auto" w:fill="auto"/>
            <w:vAlign w:val="top"/>
          </w:tcPr>
          <w:p w14:paraId="1FE3ABB0">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承</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包</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人：（公章）</w:t>
            </w:r>
          </w:p>
        </w:tc>
      </w:tr>
      <w:tr w14:paraId="10DD16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0CBF72E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地  址： </w:t>
            </w:r>
          </w:p>
        </w:tc>
        <w:tc>
          <w:tcPr>
            <w:tcW w:w="4261" w:type="dxa"/>
            <w:tcBorders>
              <w:top w:val="nil"/>
              <w:left w:val="nil"/>
              <w:bottom w:val="nil"/>
              <w:right w:val="nil"/>
            </w:tcBorders>
            <w:shd w:val="clear" w:color="auto" w:fill="auto"/>
            <w:vAlign w:val="top"/>
          </w:tcPr>
          <w:p w14:paraId="049924FE">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地址：</w:t>
            </w:r>
          </w:p>
        </w:tc>
      </w:tr>
      <w:tr w14:paraId="751B843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0226707">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c>
          <w:tcPr>
            <w:tcW w:w="4261" w:type="dxa"/>
            <w:tcBorders>
              <w:top w:val="nil"/>
              <w:left w:val="nil"/>
              <w:bottom w:val="nil"/>
              <w:right w:val="nil"/>
            </w:tcBorders>
            <w:shd w:val="clear" w:color="auto" w:fill="auto"/>
            <w:vAlign w:val="top"/>
          </w:tcPr>
          <w:p w14:paraId="0402B22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法定代表人：</w:t>
            </w:r>
          </w:p>
        </w:tc>
      </w:tr>
      <w:tr w14:paraId="55E05A33">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E515AD2">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c>
          <w:tcPr>
            <w:tcW w:w="4261" w:type="dxa"/>
            <w:tcBorders>
              <w:top w:val="nil"/>
              <w:left w:val="nil"/>
              <w:bottom w:val="nil"/>
              <w:right w:val="nil"/>
            </w:tcBorders>
            <w:shd w:val="clear" w:color="auto" w:fill="auto"/>
            <w:vAlign w:val="top"/>
          </w:tcPr>
          <w:p w14:paraId="74598B64">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委托代理人：</w:t>
            </w:r>
          </w:p>
        </w:tc>
      </w:tr>
      <w:tr w14:paraId="14B882A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6555381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c>
          <w:tcPr>
            <w:tcW w:w="4261" w:type="dxa"/>
            <w:tcBorders>
              <w:top w:val="nil"/>
              <w:left w:val="nil"/>
              <w:bottom w:val="nil"/>
              <w:right w:val="nil"/>
            </w:tcBorders>
            <w:shd w:val="clear" w:color="auto" w:fill="auto"/>
            <w:vAlign w:val="top"/>
          </w:tcPr>
          <w:p w14:paraId="0580ABD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电</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话：</w:t>
            </w:r>
          </w:p>
        </w:tc>
      </w:tr>
      <w:tr w14:paraId="1D18C73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4061A25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c>
          <w:tcPr>
            <w:tcW w:w="4261" w:type="dxa"/>
            <w:tcBorders>
              <w:top w:val="nil"/>
              <w:left w:val="nil"/>
              <w:bottom w:val="nil"/>
              <w:right w:val="nil"/>
            </w:tcBorders>
            <w:shd w:val="clear" w:color="auto" w:fill="auto"/>
            <w:vAlign w:val="top"/>
          </w:tcPr>
          <w:p w14:paraId="2660CBC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kern w:val="0"/>
                <w:sz w:val="21"/>
                <w:szCs w:val="21"/>
                <w:highlight w:val="none"/>
                <w:lang w:val="en-US" w:eastAsia="zh-CN" w:bidi="ar"/>
              </w:rPr>
              <w:t>传</w:t>
            </w:r>
            <w:r>
              <w:rPr>
                <w:rFonts w:hint="eastAsia" w:ascii="Times New Roman" w:hAnsi="Times New Roman" w:eastAsia="宋体" w:cs="Times New Roman"/>
                <w:color w:val="auto"/>
                <w:kern w:val="0"/>
                <w:sz w:val="21"/>
                <w:szCs w:val="21"/>
                <w:highlight w:val="none"/>
                <w:lang w:val="en-US" w:eastAsia="zh-CN" w:bidi="ar"/>
              </w:rPr>
              <w:t xml:space="preserve"> </w:t>
            </w:r>
            <w:r>
              <w:rPr>
                <w:rFonts w:hint="default" w:ascii="Times New Roman" w:hAnsi="Times New Roman" w:eastAsia="宋体" w:cs="Times New Roman"/>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val="en-US" w:eastAsia="zh-CN" w:bidi="ar"/>
              </w:rPr>
              <w:t>真：</w:t>
            </w:r>
          </w:p>
        </w:tc>
      </w:tr>
      <w:tr w14:paraId="0377398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55C1A98A">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c>
          <w:tcPr>
            <w:tcW w:w="4261" w:type="dxa"/>
            <w:tcBorders>
              <w:top w:val="nil"/>
              <w:left w:val="nil"/>
              <w:bottom w:val="nil"/>
              <w:right w:val="nil"/>
            </w:tcBorders>
            <w:shd w:val="clear" w:color="auto" w:fill="auto"/>
            <w:vAlign w:val="top"/>
          </w:tcPr>
          <w:p w14:paraId="272981AD">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开</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户</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银</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行：</w:t>
            </w:r>
          </w:p>
        </w:tc>
      </w:tr>
      <w:tr w14:paraId="1149ABD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1BAD9E44">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41D1F7FB">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账</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default"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r w14:paraId="3345EC14">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shd w:val="clear" w:color="auto" w:fill="auto"/>
            <w:vAlign w:val="top"/>
          </w:tcPr>
          <w:p w14:paraId="32A7F6EC">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c>
          <w:tcPr>
            <w:tcW w:w="4261" w:type="dxa"/>
            <w:tcBorders>
              <w:top w:val="nil"/>
              <w:left w:val="nil"/>
              <w:bottom w:val="nil"/>
              <w:right w:val="nil"/>
            </w:tcBorders>
            <w:shd w:val="clear" w:color="auto" w:fill="auto"/>
            <w:vAlign w:val="top"/>
          </w:tcPr>
          <w:p w14:paraId="03CE9F65">
            <w:pPr>
              <w:keepNext w:val="0"/>
              <w:keepLines w:val="0"/>
              <w:widowControl w:val="0"/>
              <w:suppressLineNumbers w:val="0"/>
              <w:shd w:val="clear"/>
              <w:spacing w:before="0" w:beforeAutospacing="0" w:after="0" w:afterAutospacing="0" w:line="360" w:lineRule="auto"/>
              <w:ind w:left="0" w:right="0"/>
              <w:jc w:val="both"/>
              <w:rPr>
                <w:rFonts w:hint="eastAsia" w:ascii="Times New Roman" w:hAnsi="Times New Roman" w:eastAsia="宋体" w:cs="Times New Roman"/>
                <w:color w:val="auto"/>
                <w:sz w:val="21"/>
                <w:szCs w:val="21"/>
                <w:highlight w:val="none"/>
              </w:rPr>
            </w:pPr>
            <w:r>
              <w:rPr>
                <w:rFonts w:hint="eastAsia" w:ascii="宋体" w:hAnsi="宋体" w:eastAsia="宋体" w:cs="宋体"/>
                <w:color w:val="auto"/>
                <w:spacing w:val="-12"/>
                <w:kern w:val="0"/>
                <w:sz w:val="21"/>
                <w:szCs w:val="21"/>
                <w:highlight w:val="none"/>
                <w:lang w:val="en-US" w:eastAsia="zh-CN" w:bidi="ar"/>
              </w:rPr>
              <w:t>邮</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政</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编</w:t>
            </w:r>
            <w:r>
              <w:rPr>
                <w:rFonts w:hint="eastAsia" w:ascii="Times New Roman" w:hAnsi="Times New Roman" w:eastAsia="宋体" w:cs="Times New Roman"/>
                <w:color w:val="auto"/>
                <w:spacing w:val="-12"/>
                <w:kern w:val="0"/>
                <w:sz w:val="21"/>
                <w:szCs w:val="21"/>
                <w:highlight w:val="none"/>
                <w:lang w:val="en-US" w:eastAsia="zh-CN" w:bidi="ar"/>
              </w:rPr>
              <w:t xml:space="preserve"> </w:t>
            </w:r>
            <w:r>
              <w:rPr>
                <w:rFonts w:hint="eastAsia" w:ascii="宋体" w:hAnsi="宋体" w:eastAsia="宋体" w:cs="宋体"/>
                <w:color w:val="auto"/>
                <w:spacing w:val="-12"/>
                <w:kern w:val="0"/>
                <w:sz w:val="21"/>
                <w:szCs w:val="21"/>
                <w:highlight w:val="none"/>
                <w:lang w:val="en-US" w:eastAsia="zh-CN" w:bidi="ar"/>
              </w:rPr>
              <w:t>号：</w:t>
            </w:r>
          </w:p>
        </w:tc>
      </w:tr>
    </w:tbl>
    <w:p w14:paraId="5BDE0D19">
      <w:pPr>
        <w:shd w:val="clear"/>
        <w:rPr>
          <w:rFonts w:hint="eastAsia" w:ascii="宋体" w:hAnsi="宋体" w:eastAsia="宋体" w:cs="Times New Roman"/>
          <w:color w:val="auto"/>
          <w:kern w:val="0"/>
          <w:sz w:val="21"/>
          <w:szCs w:val="21"/>
          <w:highlight w:val="none"/>
          <w:u w:val="single"/>
          <w:lang w:val="en-US" w:eastAsia="zh-CN" w:bidi="ar"/>
        </w:rPr>
      </w:pPr>
    </w:p>
    <w:p w14:paraId="3B8A1B20">
      <w:pPr>
        <w:shd w:val="clear"/>
        <w:rPr>
          <w:rFonts w:hint="eastAsia" w:ascii="宋体" w:hAnsi="宋体" w:eastAsia="宋体" w:cs="Times New Roman"/>
          <w:color w:val="auto"/>
          <w:kern w:val="0"/>
          <w:sz w:val="21"/>
          <w:szCs w:val="21"/>
          <w:highlight w:val="none"/>
          <w:u w:val="single"/>
          <w:lang w:val="en-US" w:eastAsia="zh-CN" w:bidi="ar"/>
        </w:rPr>
      </w:pPr>
    </w:p>
    <w:p w14:paraId="5E1A6738">
      <w:pPr>
        <w:shd w:val="clear"/>
        <w:rPr>
          <w:rFonts w:hint="eastAsia" w:ascii="宋体" w:hAnsi="宋体" w:eastAsia="宋体" w:cs="Times New Roman"/>
          <w:color w:val="auto"/>
          <w:kern w:val="0"/>
          <w:sz w:val="21"/>
          <w:szCs w:val="21"/>
          <w:highlight w:val="none"/>
          <w:u w:val="single"/>
          <w:lang w:val="en-US" w:eastAsia="zh-CN" w:bidi="ar"/>
        </w:rPr>
      </w:pPr>
    </w:p>
    <w:p w14:paraId="541F3AE8">
      <w:pPr>
        <w:shd w:val="clear"/>
        <w:rPr>
          <w:rFonts w:hint="eastAsia" w:ascii="宋体" w:hAnsi="宋体" w:eastAsia="宋体" w:cs="Times New Roman"/>
          <w:color w:val="auto"/>
          <w:kern w:val="0"/>
          <w:sz w:val="21"/>
          <w:szCs w:val="21"/>
          <w:highlight w:val="none"/>
          <w:u w:val="single"/>
          <w:lang w:val="en-US" w:eastAsia="zh-CN" w:bidi="ar"/>
        </w:rPr>
      </w:pPr>
    </w:p>
    <w:p w14:paraId="17303B63">
      <w:pPr>
        <w:shd w:val="clear"/>
        <w:rPr>
          <w:rFonts w:hint="eastAsia" w:ascii="宋体" w:hAnsi="宋体" w:eastAsia="宋体" w:cs="Times New Roman"/>
          <w:color w:val="auto"/>
          <w:kern w:val="0"/>
          <w:sz w:val="21"/>
          <w:szCs w:val="21"/>
          <w:highlight w:val="none"/>
          <w:u w:val="single"/>
          <w:lang w:val="en-US" w:eastAsia="zh-CN" w:bidi="ar"/>
        </w:rPr>
      </w:pPr>
    </w:p>
    <w:p w14:paraId="34F10B47">
      <w:pPr>
        <w:shd w:val="clear"/>
        <w:rPr>
          <w:rFonts w:hint="eastAsia" w:ascii="宋体" w:hAnsi="宋体" w:eastAsia="宋体" w:cs="Times New Roman"/>
          <w:color w:val="auto"/>
          <w:kern w:val="0"/>
          <w:sz w:val="21"/>
          <w:szCs w:val="21"/>
          <w:highlight w:val="none"/>
          <w:u w:val="single"/>
          <w:lang w:val="en-US" w:eastAsia="zh-CN" w:bidi="ar"/>
        </w:rPr>
      </w:pPr>
    </w:p>
    <w:p w14:paraId="11B4EA98">
      <w:pPr>
        <w:shd w:val="clear"/>
        <w:rPr>
          <w:rFonts w:hint="eastAsia" w:ascii="宋体" w:hAnsi="宋体" w:eastAsia="宋体" w:cs="Times New Roman"/>
          <w:color w:val="auto"/>
          <w:kern w:val="0"/>
          <w:sz w:val="21"/>
          <w:szCs w:val="21"/>
          <w:highlight w:val="none"/>
          <w:u w:val="single"/>
          <w:lang w:val="en-US" w:eastAsia="zh-CN" w:bidi="ar"/>
        </w:rPr>
      </w:pPr>
    </w:p>
    <w:p w14:paraId="5CBF01BC">
      <w:pPr>
        <w:shd w:val="clear"/>
        <w:rPr>
          <w:rFonts w:hint="eastAsia" w:ascii="宋体" w:hAnsi="宋体" w:eastAsia="宋体" w:cs="Times New Roman"/>
          <w:color w:val="auto"/>
          <w:kern w:val="0"/>
          <w:sz w:val="21"/>
          <w:szCs w:val="21"/>
          <w:highlight w:val="none"/>
          <w:u w:val="single"/>
          <w:lang w:val="en-US" w:eastAsia="zh-CN" w:bidi="ar"/>
        </w:rPr>
      </w:pPr>
    </w:p>
    <w:p w14:paraId="167DF348">
      <w:pPr>
        <w:shd w:val="clear"/>
        <w:rPr>
          <w:rFonts w:hint="eastAsia" w:ascii="宋体" w:hAnsi="宋体" w:eastAsia="宋体" w:cs="Times New Roman"/>
          <w:color w:val="auto"/>
          <w:kern w:val="0"/>
          <w:sz w:val="21"/>
          <w:szCs w:val="21"/>
          <w:highlight w:val="none"/>
          <w:u w:val="single"/>
          <w:lang w:val="en-US" w:eastAsia="zh-CN" w:bidi="ar"/>
        </w:rPr>
      </w:pPr>
    </w:p>
    <w:p w14:paraId="748DF434">
      <w:pPr>
        <w:shd w:val="clear"/>
        <w:rPr>
          <w:rFonts w:hint="eastAsia" w:ascii="宋体" w:hAnsi="宋体" w:eastAsia="宋体" w:cs="Times New Roman"/>
          <w:color w:val="auto"/>
          <w:kern w:val="0"/>
          <w:sz w:val="21"/>
          <w:szCs w:val="21"/>
          <w:highlight w:val="none"/>
          <w:u w:val="single"/>
          <w:lang w:val="en-US" w:eastAsia="zh-CN" w:bidi="ar"/>
        </w:rPr>
      </w:pPr>
    </w:p>
    <w:p w14:paraId="3288CCA2">
      <w:pPr>
        <w:shd w:val="clear"/>
        <w:rPr>
          <w:rFonts w:hint="eastAsia" w:ascii="宋体" w:hAnsi="宋体" w:eastAsia="宋体" w:cs="Times New Roman"/>
          <w:color w:val="auto"/>
          <w:kern w:val="0"/>
          <w:sz w:val="21"/>
          <w:szCs w:val="21"/>
          <w:highlight w:val="none"/>
          <w:u w:val="single"/>
          <w:lang w:val="en-US" w:eastAsia="zh-CN" w:bidi="ar"/>
        </w:rPr>
      </w:pPr>
    </w:p>
    <w:p w14:paraId="7EE35D21">
      <w:pPr>
        <w:shd w:val="clear"/>
        <w:rPr>
          <w:rFonts w:hint="eastAsia" w:ascii="宋体" w:hAnsi="宋体" w:eastAsia="宋体" w:cs="Times New Roman"/>
          <w:color w:val="auto"/>
          <w:kern w:val="0"/>
          <w:sz w:val="21"/>
          <w:szCs w:val="21"/>
          <w:highlight w:val="none"/>
          <w:u w:val="single"/>
          <w:lang w:val="en-US" w:eastAsia="zh-CN" w:bidi="ar"/>
        </w:rPr>
      </w:pPr>
    </w:p>
    <w:p w14:paraId="7B72FF06">
      <w:pPr>
        <w:shd w:val="clear"/>
        <w:rPr>
          <w:rFonts w:hint="eastAsia" w:ascii="宋体" w:hAnsi="宋体" w:eastAsia="宋体" w:cs="Times New Roman"/>
          <w:color w:val="auto"/>
          <w:kern w:val="0"/>
          <w:sz w:val="21"/>
          <w:szCs w:val="21"/>
          <w:highlight w:val="none"/>
          <w:u w:val="single"/>
          <w:lang w:val="en-US" w:eastAsia="zh-CN" w:bidi="ar"/>
        </w:rPr>
      </w:pPr>
    </w:p>
    <w:p w14:paraId="10A585FE">
      <w:pPr>
        <w:shd w:val="clear"/>
        <w:rPr>
          <w:rFonts w:hint="eastAsia" w:ascii="宋体" w:hAnsi="宋体" w:eastAsia="宋体" w:cs="Times New Roman"/>
          <w:color w:val="auto"/>
          <w:kern w:val="0"/>
          <w:sz w:val="21"/>
          <w:szCs w:val="21"/>
          <w:highlight w:val="none"/>
          <w:u w:val="single"/>
          <w:lang w:val="en-US" w:eastAsia="zh-CN" w:bidi="ar"/>
        </w:rPr>
      </w:pPr>
    </w:p>
    <w:p w14:paraId="4AF5E435">
      <w:pPr>
        <w:shd w:val="clear"/>
        <w:rPr>
          <w:rFonts w:hint="eastAsia" w:ascii="宋体" w:hAnsi="宋体" w:eastAsia="宋体" w:cs="Times New Roman"/>
          <w:color w:val="auto"/>
          <w:kern w:val="0"/>
          <w:sz w:val="21"/>
          <w:szCs w:val="21"/>
          <w:highlight w:val="none"/>
          <w:u w:val="single"/>
          <w:lang w:val="en-US" w:eastAsia="zh-CN" w:bidi="ar"/>
        </w:rPr>
      </w:pPr>
    </w:p>
    <w:p w14:paraId="6FAE2F79">
      <w:pPr>
        <w:shd w:val="clear"/>
        <w:rPr>
          <w:rFonts w:hint="eastAsia" w:ascii="宋体" w:hAnsi="宋体" w:eastAsia="宋体" w:cs="Times New Roman"/>
          <w:color w:val="auto"/>
          <w:kern w:val="0"/>
          <w:sz w:val="21"/>
          <w:szCs w:val="21"/>
          <w:highlight w:val="none"/>
          <w:u w:val="single"/>
          <w:lang w:val="en-US" w:eastAsia="zh-CN" w:bidi="ar"/>
        </w:rPr>
      </w:pPr>
    </w:p>
    <w:p w14:paraId="057B76EC">
      <w:pPr>
        <w:shd w:val="clear"/>
        <w:rPr>
          <w:rFonts w:hint="eastAsia" w:ascii="宋体" w:hAnsi="宋体" w:eastAsia="宋体" w:cs="Times New Roman"/>
          <w:color w:val="auto"/>
          <w:kern w:val="0"/>
          <w:sz w:val="21"/>
          <w:szCs w:val="21"/>
          <w:highlight w:val="none"/>
          <w:u w:val="single"/>
          <w:lang w:val="en-US" w:eastAsia="zh-CN" w:bidi="ar"/>
        </w:rPr>
      </w:pPr>
    </w:p>
    <w:p w14:paraId="4A09CAE2">
      <w:pPr>
        <w:shd w:val="clear"/>
        <w:rPr>
          <w:rFonts w:hint="eastAsia" w:ascii="宋体" w:hAnsi="宋体" w:eastAsia="宋体" w:cs="Times New Roman"/>
          <w:color w:val="auto"/>
          <w:kern w:val="0"/>
          <w:sz w:val="21"/>
          <w:szCs w:val="21"/>
          <w:highlight w:val="none"/>
          <w:u w:val="single"/>
          <w:lang w:val="en-US" w:eastAsia="zh-CN" w:bidi="ar"/>
        </w:rPr>
      </w:pPr>
    </w:p>
    <w:p w14:paraId="4FBE67D1">
      <w:pPr>
        <w:shd w:val="clear"/>
        <w:rPr>
          <w:rFonts w:hint="eastAsia" w:ascii="宋体" w:hAnsi="宋体" w:eastAsia="宋体" w:cs="Times New Roman"/>
          <w:color w:val="auto"/>
          <w:kern w:val="0"/>
          <w:sz w:val="21"/>
          <w:szCs w:val="21"/>
          <w:highlight w:val="none"/>
          <w:u w:val="single"/>
          <w:lang w:val="en-US" w:eastAsia="zh-CN" w:bidi="ar"/>
        </w:rPr>
      </w:pPr>
    </w:p>
    <w:p w14:paraId="231E7BD6">
      <w:pPr>
        <w:shd w:val="clear"/>
        <w:rPr>
          <w:rFonts w:hint="eastAsia" w:ascii="宋体" w:hAnsi="宋体" w:eastAsia="宋体" w:cs="Times New Roman"/>
          <w:color w:val="auto"/>
          <w:kern w:val="0"/>
          <w:sz w:val="21"/>
          <w:szCs w:val="21"/>
          <w:highlight w:val="none"/>
          <w:u w:val="single"/>
          <w:lang w:val="en-US" w:eastAsia="zh-CN" w:bidi="ar"/>
        </w:rPr>
      </w:pPr>
    </w:p>
    <w:p w14:paraId="378AAB61">
      <w:pPr>
        <w:shd w:val="clear"/>
        <w:rPr>
          <w:rFonts w:hint="eastAsia" w:ascii="宋体" w:hAnsi="宋体" w:eastAsia="宋体" w:cs="Times New Roman"/>
          <w:color w:val="auto"/>
          <w:kern w:val="0"/>
          <w:sz w:val="21"/>
          <w:szCs w:val="21"/>
          <w:highlight w:val="none"/>
          <w:u w:val="single"/>
          <w:lang w:val="en-US" w:eastAsia="zh-CN" w:bidi="ar"/>
        </w:rPr>
      </w:pPr>
    </w:p>
    <w:p w14:paraId="0B2C869D">
      <w:pPr>
        <w:shd w:val="clear"/>
        <w:rPr>
          <w:rFonts w:hint="eastAsia" w:ascii="宋体" w:hAnsi="宋体" w:eastAsia="宋体" w:cs="Times New Roman"/>
          <w:color w:val="auto"/>
          <w:kern w:val="0"/>
          <w:sz w:val="21"/>
          <w:szCs w:val="21"/>
          <w:highlight w:val="none"/>
          <w:u w:val="single"/>
          <w:lang w:val="en-US" w:eastAsia="zh-CN" w:bidi="ar"/>
        </w:rPr>
      </w:pPr>
    </w:p>
    <w:p w14:paraId="08ED7FFC">
      <w:pPr>
        <w:shd w:val="clear"/>
        <w:rPr>
          <w:rFonts w:hint="eastAsia" w:ascii="宋体" w:hAnsi="宋体" w:eastAsia="宋体" w:cs="Times New Roman"/>
          <w:color w:val="auto"/>
          <w:kern w:val="0"/>
          <w:sz w:val="21"/>
          <w:szCs w:val="21"/>
          <w:highlight w:val="none"/>
          <w:u w:val="single"/>
          <w:lang w:val="en-US" w:eastAsia="zh-CN" w:bidi="ar"/>
        </w:rPr>
      </w:pPr>
    </w:p>
    <w:p w14:paraId="29D4FC3E">
      <w:pPr>
        <w:shd w:val="clear"/>
        <w:rPr>
          <w:rFonts w:hint="eastAsia" w:ascii="宋体" w:hAnsi="宋体" w:eastAsia="宋体" w:cs="Times New Roman"/>
          <w:color w:val="auto"/>
          <w:kern w:val="0"/>
          <w:sz w:val="21"/>
          <w:szCs w:val="21"/>
          <w:highlight w:val="none"/>
          <w:u w:val="single"/>
          <w:lang w:val="en-US" w:eastAsia="zh-CN" w:bidi="ar"/>
        </w:rPr>
      </w:pPr>
    </w:p>
    <w:p w14:paraId="7A5019B6">
      <w:pPr>
        <w:shd w:val="clear"/>
        <w:rPr>
          <w:rFonts w:hint="eastAsia" w:ascii="宋体" w:hAnsi="宋体" w:eastAsia="宋体" w:cs="Times New Roman"/>
          <w:color w:val="auto"/>
          <w:kern w:val="0"/>
          <w:sz w:val="21"/>
          <w:szCs w:val="21"/>
          <w:highlight w:val="none"/>
          <w:u w:val="single"/>
          <w:lang w:val="en-US" w:eastAsia="zh-CN" w:bidi="ar"/>
        </w:rPr>
      </w:pPr>
    </w:p>
    <w:p w14:paraId="787F40A4">
      <w:pPr>
        <w:shd w:val="clear"/>
        <w:rPr>
          <w:rFonts w:hint="eastAsia" w:ascii="宋体" w:hAnsi="宋体" w:eastAsia="宋体" w:cs="Times New Roman"/>
          <w:color w:val="auto"/>
          <w:kern w:val="0"/>
          <w:sz w:val="21"/>
          <w:szCs w:val="21"/>
          <w:highlight w:val="none"/>
          <w:u w:val="single"/>
          <w:lang w:val="en-US" w:eastAsia="zh-CN" w:bidi="ar"/>
        </w:rPr>
      </w:pPr>
    </w:p>
    <w:p w14:paraId="76C5C799">
      <w:pPr>
        <w:shd w:val="clear"/>
        <w:rPr>
          <w:rFonts w:hint="eastAsia" w:ascii="宋体" w:hAnsi="宋体" w:eastAsia="宋体" w:cs="Times New Roman"/>
          <w:color w:val="auto"/>
          <w:kern w:val="0"/>
          <w:sz w:val="21"/>
          <w:szCs w:val="21"/>
          <w:highlight w:val="none"/>
          <w:u w:val="single"/>
          <w:lang w:val="en-US" w:eastAsia="zh-CN" w:bidi="ar"/>
        </w:rPr>
      </w:pPr>
    </w:p>
    <w:p w14:paraId="6CBD77BE">
      <w:pPr>
        <w:shd w:val="clear"/>
        <w:rPr>
          <w:rFonts w:hint="eastAsia" w:ascii="宋体" w:hAnsi="宋体" w:eastAsia="宋体" w:cs="Times New Roman"/>
          <w:color w:val="auto"/>
          <w:kern w:val="0"/>
          <w:sz w:val="21"/>
          <w:szCs w:val="21"/>
          <w:highlight w:val="none"/>
          <w:u w:val="single"/>
          <w:lang w:val="en-US" w:eastAsia="zh-CN" w:bidi="ar"/>
        </w:rPr>
      </w:pPr>
    </w:p>
    <w:p w14:paraId="470AA045">
      <w:pPr>
        <w:shd w:val="clear"/>
        <w:rPr>
          <w:rFonts w:hint="eastAsia" w:ascii="宋体" w:hAnsi="宋体" w:eastAsia="宋体" w:cs="Times New Roman"/>
          <w:color w:val="auto"/>
          <w:kern w:val="0"/>
          <w:sz w:val="21"/>
          <w:szCs w:val="21"/>
          <w:highlight w:val="none"/>
          <w:u w:val="single"/>
          <w:lang w:val="en-US" w:eastAsia="zh-CN" w:bidi="ar"/>
        </w:rPr>
      </w:pPr>
    </w:p>
    <w:p w14:paraId="15CD5493">
      <w:pPr>
        <w:shd w:val="clear"/>
        <w:rPr>
          <w:rFonts w:hint="eastAsia" w:ascii="宋体" w:hAnsi="宋体" w:eastAsia="宋体" w:cs="Times New Roman"/>
          <w:color w:val="auto"/>
          <w:kern w:val="0"/>
          <w:sz w:val="21"/>
          <w:szCs w:val="21"/>
          <w:highlight w:val="none"/>
          <w:u w:val="single"/>
          <w:lang w:val="en-US" w:eastAsia="zh-CN" w:bidi="ar"/>
        </w:rPr>
      </w:pPr>
    </w:p>
    <w:p w14:paraId="57AC49F7">
      <w:pPr>
        <w:shd w:val="clear"/>
        <w:rPr>
          <w:rFonts w:hint="eastAsia" w:ascii="宋体" w:hAnsi="宋体" w:eastAsia="宋体" w:cs="Times New Roman"/>
          <w:color w:val="auto"/>
          <w:kern w:val="0"/>
          <w:sz w:val="21"/>
          <w:szCs w:val="21"/>
          <w:highlight w:val="none"/>
          <w:u w:val="single"/>
          <w:lang w:val="en-US" w:eastAsia="zh-CN" w:bidi="ar"/>
        </w:rPr>
      </w:pPr>
    </w:p>
    <w:p w14:paraId="3A4FCA15">
      <w:pPr>
        <w:shd w:val="clear"/>
        <w:rPr>
          <w:rFonts w:hint="eastAsia" w:ascii="宋体" w:hAnsi="宋体" w:eastAsia="宋体" w:cs="Times New Roman"/>
          <w:color w:val="auto"/>
          <w:kern w:val="0"/>
          <w:sz w:val="21"/>
          <w:szCs w:val="21"/>
          <w:highlight w:val="none"/>
          <w:u w:val="single"/>
          <w:lang w:val="en-US" w:eastAsia="zh-CN" w:bidi="ar"/>
        </w:rPr>
      </w:pPr>
    </w:p>
    <w:p w14:paraId="6F251C01">
      <w:pPr>
        <w:shd w:val="clear"/>
        <w:rPr>
          <w:rFonts w:hint="eastAsia" w:ascii="宋体" w:hAnsi="宋体" w:eastAsia="宋体" w:cs="Times New Roman"/>
          <w:color w:val="auto"/>
          <w:kern w:val="0"/>
          <w:sz w:val="21"/>
          <w:szCs w:val="21"/>
          <w:highlight w:val="none"/>
          <w:u w:val="single"/>
          <w:lang w:val="en-US" w:eastAsia="zh-CN" w:bidi="ar"/>
        </w:rPr>
      </w:pPr>
    </w:p>
    <w:p w14:paraId="4A97B1F0">
      <w:pPr>
        <w:pStyle w:val="10"/>
        <w:shd w:val="clear"/>
        <w:rPr>
          <w:rFonts w:hint="eastAsia"/>
          <w:color w:val="auto"/>
          <w:highlight w:val="none"/>
          <w:lang w:val="en-US" w:eastAsia="zh-CN"/>
        </w:rPr>
      </w:pPr>
    </w:p>
    <w:p w14:paraId="6CF36966">
      <w:pPr>
        <w:shd w:val="clear"/>
        <w:rPr>
          <w:rFonts w:hint="eastAsia" w:ascii="宋体" w:hAnsi="宋体" w:eastAsia="宋体" w:cs="Times New Roman"/>
          <w:color w:val="auto"/>
          <w:kern w:val="0"/>
          <w:sz w:val="21"/>
          <w:szCs w:val="21"/>
          <w:highlight w:val="none"/>
          <w:u w:val="single"/>
          <w:lang w:val="en-US" w:eastAsia="zh-CN" w:bidi="ar"/>
        </w:rPr>
      </w:pPr>
    </w:p>
    <w:p w14:paraId="0A595056">
      <w:pPr>
        <w:pStyle w:val="10"/>
        <w:shd w:val="clear"/>
        <w:rPr>
          <w:rFonts w:hint="eastAsia"/>
          <w:color w:val="auto"/>
          <w:highlight w:val="none"/>
        </w:rPr>
      </w:pPr>
    </w:p>
    <w:p w14:paraId="4DB642E7">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附件</w:t>
      </w:r>
      <w:r>
        <w:rPr>
          <w:rFonts w:hint="eastAsia" w:ascii="宋体" w:hAnsi="宋体" w:cs="宋体"/>
          <w:b/>
          <w:bCs w:val="0"/>
          <w:color w:val="auto"/>
          <w:kern w:val="0"/>
          <w:sz w:val="36"/>
          <w:szCs w:val="36"/>
          <w:highlight w:val="none"/>
          <w:lang w:val="en-US" w:eastAsia="zh-CN" w:bidi="ar"/>
        </w:rPr>
        <w:t>4</w:t>
      </w:r>
      <w:r>
        <w:rPr>
          <w:rFonts w:hint="eastAsia" w:ascii="宋体" w:hAnsi="宋体" w:eastAsia="宋体" w:cs="宋体"/>
          <w:b/>
          <w:bCs w:val="0"/>
          <w:color w:val="auto"/>
          <w:kern w:val="0"/>
          <w:sz w:val="36"/>
          <w:szCs w:val="36"/>
          <w:highlight w:val="none"/>
          <w:lang w:val="en-US" w:eastAsia="zh-CN" w:bidi="ar"/>
        </w:rPr>
        <w:t>：预付款支付申请（核准）表</w:t>
      </w:r>
    </w:p>
    <w:p w14:paraId="24438BAD">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494"/>
        <w:gridCol w:w="4691"/>
      </w:tblGrid>
      <w:tr w14:paraId="7E85B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5D17F792">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0A2E68BB">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我方根据施工合同的约定，现申请支付工程预付款额为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p>
          <w:p w14:paraId="358B9361">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8959"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5"/>
              <w:gridCol w:w="3340"/>
              <w:gridCol w:w="1764"/>
              <w:gridCol w:w="2240"/>
              <w:gridCol w:w="1080"/>
            </w:tblGrid>
            <w:tr w14:paraId="41CD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7D51E7A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73995CC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center"/>
                </w:tcPr>
                <w:p w14:paraId="53113390">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2240" w:type="dxa"/>
                  <w:tcBorders>
                    <w:top w:val="single" w:color="auto" w:sz="4" w:space="0"/>
                    <w:left w:val="single" w:color="auto" w:sz="4" w:space="0"/>
                    <w:bottom w:val="single" w:color="auto" w:sz="4" w:space="0"/>
                    <w:right w:val="single" w:color="auto" w:sz="4" w:space="0"/>
                  </w:tcBorders>
                  <w:shd w:val="clear" w:color="auto" w:fill="auto"/>
                  <w:vAlign w:val="center"/>
                </w:tcPr>
                <w:p w14:paraId="3DF1767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925276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4C99D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B76C9F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7B4B4C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已签约合同价款金额</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7EA37F6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64B7890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5D7057A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1A5E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6C1794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D28A32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其中：安全文明施工费</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7BD0E02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0B3A150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60864A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6856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E9629B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CAA341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11A9480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3CAABE8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3F200E4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D76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DA4B4E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0138D7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应支付的安全文明施工费预付款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2D6A73F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4EDB73F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267036A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71C89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92AD1A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5FB66EC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合计应支付的预付款</w:t>
                  </w: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067A8B3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7730991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605710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1B6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FB57B4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C437A9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764" w:type="dxa"/>
                  <w:tcBorders>
                    <w:top w:val="single" w:color="auto" w:sz="4" w:space="0"/>
                    <w:left w:val="single" w:color="auto" w:sz="4" w:space="0"/>
                    <w:bottom w:val="single" w:color="auto" w:sz="4" w:space="0"/>
                    <w:right w:val="single" w:color="auto" w:sz="4" w:space="0"/>
                  </w:tcBorders>
                  <w:shd w:val="clear" w:color="auto" w:fill="auto"/>
                  <w:vAlign w:val="top"/>
                </w:tcPr>
                <w:p w14:paraId="32BA5C1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2240" w:type="dxa"/>
                  <w:tcBorders>
                    <w:top w:val="single" w:color="auto" w:sz="4" w:space="0"/>
                    <w:left w:val="single" w:color="auto" w:sz="4" w:space="0"/>
                    <w:bottom w:val="single" w:color="auto" w:sz="4" w:space="0"/>
                    <w:right w:val="single" w:color="auto" w:sz="4" w:space="0"/>
                  </w:tcBorders>
                  <w:shd w:val="clear" w:color="auto" w:fill="auto"/>
                  <w:vAlign w:val="top"/>
                </w:tcPr>
                <w:p w14:paraId="4194D48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top"/>
                </w:tcPr>
                <w:p w14:paraId="446E44E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7E111E1D">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p>
          <w:p w14:paraId="093DB845">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7D3DB9B1">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1CD2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41A8B3D4">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29BFF9C8">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□与合同约定不相符，修改意见见附件。</w:t>
            </w:r>
          </w:p>
          <w:p w14:paraId="314D63F2">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□与合同约定相符，具体金额由造价工程师复核。</w:t>
            </w:r>
          </w:p>
          <w:p w14:paraId="47664226">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3D14F241">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7DCF16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461739A2">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54F48E83">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你方提出的支付申请经复核，应支付预付款金额为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p>
          <w:p w14:paraId="3F8F453D">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137B3190">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p>
          <w:p w14:paraId="3668611E">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43B800F">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3A6B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08ABA7B8">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08810A0B">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38042380">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522CC6D7">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4B2EA74F">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48A7ADCB">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3E17CBC8">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1975A7A1">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仿宋_GB2312" w:cs="Times New Roman"/>
          <w:color w:val="auto"/>
          <w:sz w:val="30"/>
          <w:szCs w:val="30"/>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714B7336">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0"/>
          <w:sz w:val="24"/>
          <w:szCs w:val="24"/>
          <w:highlight w:val="none"/>
          <w:lang w:val="en-US" w:eastAsia="zh-CN" w:bidi="ar"/>
        </w:rPr>
        <w:t xml:space="preserve"> </w:t>
      </w:r>
    </w:p>
    <w:p w14:paraId="09536648">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2DF86038">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仿宋_GB2312" w:hAnsi="Times New Roman" w:eastAsia="仿宋_GB2312" w:cs="仿宋_GB2312"/>
          <w:color w:val="auto"/>
          <w:kern w:val="0"/>
          <w:sz w:val="30"/>
          <w:szCs w:val="30"/>
          <w:highlight w:val="none"/>
          <w:lang w:val="en-US" w:eastAsia="zh-CN" w:bidi="ar"/>
        </w:rPr>
      </w:pPr>
    </w:p>
    <w:p w14:paraId="369532E8">
      <w:pPr>
        <w:keepNext w:val="0"/>
        <w:keepLines w:val="0"/>
        <w:widowControl w:val="0"/>
        <w:suppressLineNumbers w:val="0"/>
        <w:shd w:val="clear"/>
        <w:spacing w:before="120" w:beforeLines="50" w:beforeAutospacing="0" w:after="0" w:afterAutospacing="0"/>
        <w:ind w:left="1200" w:right="0" w:hanging="1200" w:hangingChars="400"/>
        <w:jc w:val="both"/>
        <w:rPr>
          <w:rFonts w:hint="eastAsia" w:ascii="Times New Roman" w:hAnsi="Times New Roman" w:eastAsia="仿宋_GB2312" w:cs="Times New Roman"/>
          <w:color w:val="auto"/>
          <w:sz w:val="30"/>
          <w:szCs w:val="30"/>
          <w:highlight w:val="none"/>
        </w:rPr>
      </w:pPr>
      <w:r>
        <w:rPr>
          <w:rFonts w:hint="eastAsia" w:ascii="仿宋_GB2312" w:hAnsi="Times New Roman" w:eastAsia="仿宋_GB2312" w:cs="仿宋_GB2312"/>
          <w:color w:val="auto"/>
          <w:kern w:val="0"/>
          <w:sz w:val="30"/>
          <w:szCs w:val="30"/>
          <w:highlight w:val="none"/>
          <w:lang w:val="en-US" w:eastAsia="zh-CN" w:bidi="ar"/>
        </w:rPr>
        <w:t>附件</w:t>
      </w:r>
      <w:r>
        <w:rPr>
          <w:rFonts w:hint="eastAsia" w:eastAsia="仿宋_GB2312" w:cs="Times New Roman"/>
          <w:color w:val="auto"/>
          <w:kern w:val="0"/>
          <w:sz w:val="30"/>
          <w:szCs w:val="30"/>
          <w:highlight w:val="none"/>
          <w:lang w:val="en-US" w:eastAsia="zh-CN" w:bidi="ar"/>
        </w:rPr>
        <w:t>5</w:t>
      </w:r>
      <w:r>
        <w:rPr>
          <w:rFonts w:hint="eastAsia" w:ascii="仿宋_GB2312" w:hAnsi="Times New Roman" w:eastAsia="仿宋_GB2312" w:cs="仿宋_GB2312"/>
          <w:color w:val="auto"/>
          <w:kern w:val="0"/>
          <w:sz w:val="30"/>
          <w:szCs w:val="30"/>
          <w:highlight w:val="none"/>
          <w:lang w:val="en-US" w:eastAsia="zh-CN" w:bidi="ar"/>
        </w:rPr>
        <w:t>：</w:t>
      </w:r>
    </w:p>
    <w:p w14:paraId="22231C69">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进度款支付申请（核准）表</w:t>
      </w:r>
    </w:p>
    <w:p w14:paraId="2EE67427">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20"/>
        <w:gridCol w:w="4552"/>
      </w:tblGrid>
      <w:tr w14:paraId="0D569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48"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2983D04">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2E7DC30B">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工作，根据施工合同的约定，现申请支付本期的合同款额为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4"/>
              <w:gridCol w:w="3258"/>
              <w:gridCol w:w="1328"/>
              <w:gridCol w:w="1424"/>
              <w:gridCol w:w="1250"/>
              <w:gridCol w:w="917"/>
            </w:tblGrid>
            <w:tr w14:paraId="26579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1317C03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center"/>
                </w:tcPr>
                <w:p w14:paraId="5852FEA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center"/>
                </w:tcPr>
                <w:p w14:paraId="455E220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实际金额（元）</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14:paraId="44BBD4F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14:paraId="6B32B64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931" w:type="dxa"/>
                  <w:tcBorders>
                    <w:top w:val="single" w:color="auto" w:sz="4" w:space="0"/>
                    <w:left w:val="single" w:color="auto" w:sz="4" w:space="0"/>
                    <w:bottom w:val="single" w:color="auto" w:sz="4" w:space="0"/>
                    <w:right w:val="single" w:color="auto" w:sz="4" w:space="0"/>
                  </w:tcBorders>
                  <w:shd w:val="clear" w:color="auto" w:fill="auto"/>
                  <w:vAlign w:val="center"/>
                </w:tcPr>
                <w:p w14:paraId="4B0B52D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4D85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DF4DF7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2ACB13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FFDF7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9ACF0C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601E8E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073EAA8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193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1D90CCA">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2A4B19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EA976B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0F481AE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B0DBA0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41335D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70E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7A7B60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265A319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559746B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DE290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5CF5121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5CF874C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8407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F0581F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BFEC8F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B5C58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A811D1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6FC369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3CA5722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DAD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95DD2D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5EDAB6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本周期已完成的工程价款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41A26EE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189235D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20301CD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2846CB7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2E9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0CCAF8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2015C0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E16DCA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7AE803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CBED28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5A76CB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63E8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0F7F8A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3330380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5794DB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5E8DCE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70EC15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E788AC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A794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5FE391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4.1</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17FD7B7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本周期实际应抵扣的预付款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1521D5A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37E23B5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3B84776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26995D5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C454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5728DB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4.2</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02CA54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本周期应扣减的金额</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27E61AE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4D101C3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635D670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1181775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8B8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C0967D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5</w:t>
                  </w: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2206F00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本周期应支付的合同价款</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73FBFEF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55CC898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4222D79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33248DE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75E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8B75D2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340" w:type="dxa"/>
                  <w:tcBorders>
                    <w:top w:val="single" w:color="auto" w:sz="4" w:space="0"/>
                    <w:left w:val="single" w:color="auto" w:sz="4" w:space="0"/>
                    <w:bottom w:val="single" w:color="auto" w:sz="4" w:space="0"/>
                    <w:right w:val="single" w:color="auto" w:sz="4" w:space="0"/>
                  </w:tcBorders>
                  <w:shd w:val="clear" w:color="auto" w:fill="auto"/>
                  <w:vAlign w:val="top"/>
                </w:tcPr>
                <w:p w14:paraId="700270C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其中：人工费</w:t>
                  </w:r>
                </w:p>
              </w:tc>
              <w:tc>
                <w:tcPr>
                  <w:tcW w:w="1340" w:type="dxa"/>
                  <w:tcBorders>
                    <w:top w:val="single" w:color="auto" w:sz="4" w:space="0"/>
                    <w:left w:val="single" w:color="auto" w:sz="4" w:space="0"/>
                    <w:bottom w:val="single" w:color="auto" w:sz="4" w:space="0"/>
                    <w:right w:val="single" w:color="auto" w:sz="4" w:space="0"/>
                  </w:tcBorders>
                  <w:shd w:val="clear" w:color="auto" w:fill="auto"/>
                  <w:vAlign w:val="top"/>
                </w:tcPr>
                <w:p w14:paraId="3D604A8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top"/>
                </w:tcPr>
                <w:p w14:paraId="2F837A4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vAlign w:val="top"/>
                </w:tcPr>
                <w:p w14:paraId="18C1DB2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931" w:type="dxa"/>
                  <w:tcBorders>
                    <w:top w:val="single" w:color="auto" w:sz="4" w:space="0"/>
                    <w:left w:val="single" w:color="auto" w:sz="4" w:space="0"/>
                    <w:bottom w:val="single" w:color="auto" w:sz="4" w:space="0"/>
                    <w:right w:val="single" w:color="auto" w:sz="4" w:space="0"/>
                  </w:tcBorders>
                  <w:shd w:val="clear" w:color="auto" w:fill="auto"/>
                  <w:vAlign w:val="top"/>
                </w:tcPr>
                <w:p w14:paraId="320BCAB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7150541B">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附：上述</w:t>
            </w:r>
            <w:r>
              <w:rPr>
                <w:rFonts w:hint="default" w:ascii="Times New Roman" w:hAnsi="Times New Roman" w:eastAsia="宋体" w:cs="Times New Roman"/>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详见附件清单。</w:t>
            </w:r>
          </w:p>
          <w:p w14:paraId="742D9A91">
            <w:pPr>
              <w:keepNext w:val="0"/>
              <w:keepLines w:val="0"/>
              <w:widowControl w:val="0"/>
              <w:suppressLineNumbers w:val="0"/>
              <w:shd w:val="clear"/>
              <w:wordWrap w:val="0"/>
              <w:spacing w:before="0" w:beforeAutospacing="0" w:after="0" w:afterAutospacing="0" w:line="400" w:lineRule="exact"/>
              <w:ind w:left="0" w:right="42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0B8DF053">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41A3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4520" w:type="dxa"/>
            <w:tcBorders>
              <w:top w:val="single" w:color="auto" w:sz="4" w:space="0"/>
              <w:left w:val="single" w:color="auto" w:sz="4" w:space="0"/>
              <w:bottom w:val="single" w:color="auto" w:sz="4" w:space="0"/>
              <w:right w:val="single" w:color="auto" w:sz="4" w:space="0"/>
            </w:tcBorders>
            <w:shd w:val="clear" w:color="auto" w:fill="auto"/>
            <w:vAlign w:val="top"/>
          </w:tcPr>
          <w:p w14:paraId="56E9CE5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B87B17B">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7CC2CF2F">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1664590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32E7CC8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424800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552" w:type="dxa"/>
            <w:tcBorders>
              <w:top w:val="single" w:color="auto" w:sz="4" w:space="0"/>
              <w:left w:val="single" w:color="auto" w:sz="4" w:space="0"/>
              <w:bottom w:val="single" w:color="auto" w:sz="4" w:space="0"/>
              <w:right w:val="single" w:color="auto" w:sz="4" w:space="0"/>
            </w:tcBorders>
            <w:shd w:val="clear" w:color="auto" w:fill="auto"/>
            <w:vAlign w:val="top"/>
          </w:tcPr>
          <w:p w14:paraId="12A9AE40">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8939890">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你方提出的支付申请经复核，本周期已完成工程价款为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p>
          <w:p w14:paraId="688224F5">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元，本期间应支付金额为（大写）</w:t>
            </w:r>
          </w:p>
          <w:p w14:paraId="23B0F9C7">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6D0C297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51B28C79">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7F84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072"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88EFFBE">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212346DD">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51B8ACA3">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01FB54A6">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40DCED8B">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31441572">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630B873A">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1FA88855">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30"/>
          <w:szCs w:val="30"/>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66B43BD0">
      <w:pPr>
        <w:keepNext w:val="0"/>
        <w:keepLines w:val="0"/>
        <w:widowControl w:val="0"/>
        <w:suppressLineNumbers w:val="0"/>
        <w:shd w:val="clear"/>
        <w:spacing w:before="0" w:beforeAutospacing="0" w:after="0" w:afterAutospacing="0"/>
        <w:ind w:left="0" w:right="0"/>
        <w:jc w:val="left"/>
        <w:rPr>
          <w:rFonts w:hint="default" w:ascii="Times New Roman" w:hAnsi="Times New Roman" w:eastAsia="宋体" w:cs="Times New Roman"/>
          <w:color w:val="auto"/>
          <w:sz w:val="30"/>
          <w:szCs w:val="30"/>
          <w:highlight w:val="none"/>
          <w:lang w:val="en-US"/>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6</w:t>
      </w:r>
    </w:p>
    <w:p w14:paraId="317BB9E3">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竣工结算款支付申请（核准）表</w:t>
      </w:r>
    </w:p>
    <w:p w14:paraId="1AAD4C67">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0"/>
        <w:gridCol w:w="4532"/>
      </w:tblGrid>
      <w:tr w14:paraId="7603E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80"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60834DAF">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71B1072F">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期间已完成了合同约定的工作，根据施工合同的约定，现申请支付竣工结算的工程款额为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2"/>
              <w:gridCol w:w="3349"/>
              <w:gridCol w:w="1604"/>
              <w:gridCol w:w="1604"/>
              <w:gridCol w:w="1622"/>
            </w:tblGrid>
            <w:tr w14:paraId="12E64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4CE58099">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3F8B0C0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846EBA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67BE1A7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179F4DE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1A061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BDACB8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94532D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竣工结算合同价款总额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0B3226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463644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69EE71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E98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02FB1C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37994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累计已实际支付的合同价款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769645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64F17D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233290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0F2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8DE3FE1">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9A8831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030717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77B79D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D97424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548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F315AF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57246E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应支付的竣工结算款金额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5CAD54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7A1FB0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63C437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B8E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729BDAF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23B71C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6720E4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CE3FB7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C3B499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6AB2D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2D263A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7FF694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77236E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8C2DD9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48D8596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222C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50C7A3B">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2985784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F03E0A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141252C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29DAA88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5FEC0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3C9BA28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35C8114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6DF92A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B91FD6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5FDD937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336F1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6E034F2">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57BDC9E5">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6E463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5D540E2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D8C628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671E5335">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p>
          <w:p w14:paraId="00A3F868">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24C25843">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6974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09A9E728">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2F25477F">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464F97CD">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59190307">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351FB221">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1D579043">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3B70A19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2CC654B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5868F360">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54CBCE88">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你方提出的竣工结算支付申请经复核，竣工结算款总额为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元，扣除前期支付以及质量保证金后应支付金额为（大写）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4A3BA3C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70844D5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9A51BF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2C9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2041575">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4FB731F1">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1EB2A061">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06997F0E">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3339BCB9">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0E40666F">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4D184E85">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 xml:space="preserve">在选择栏中的“□”内作标识“√”。 </w:t>
      </w:r>
    </w:p>
    <w:p w14:paraId="135BAEE3">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宋体" w:eastAsia="宋体" w:cs="宋体"/>
          <w:color w:val="auto"/>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 xml:space="preserve">本表一式四份，由承包人填报，发包人、监理人、造价咨询人、承包人各存一份。                                                                                   </w:t>
      </w:r>
    </w:p>
    <w:p w14:paraId="510316E4">
      <w:pPr>
        <w:keepNext w:val="0"/>
        <w:keepLines w:val="0"/>
        <w:widowControl w:val="0"/>
        <w:suppressLineNumbers w:val="0"/>
        <w:shd w:val="clear"/>
        <w:spacing w:before="0" w:beforeAutospacing="0" w:after="0" w:afterAutospacing="0"/>
        <w:ind w:left="0" w:right="0"/>
        <w:jc w:val="left"/>
        <w:rPr>
          <w:rFonts w:hint="eastAsia" w:ascii="Times New Roman" w:hAnsi="Times New Roman" w:eastAsia="宋体" w:cs="Times New Roman"/>
          <w:b/>
          <w:bCs w:val="0"/>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7</w:t>
      </w:r>
      <w:r>
        <w:rPr>
          <w:rFonts w:hint="eastAsia" w:ascii="宋体" w:hAnsi="宋体" w:eastAsia="宋体" w:cs="宋体"/>
          <w:color w:val="auto"/>
          <w:kern w:val="0"/>
          <w:sz w:val="30"/>
          <w:szCs w:val="30"/>
          <w:highlight w:val="none"/>
          <w:lang w:val="en-US" w:eastAsia="zh-CN" w:bidi="ar"/>
        </w:rPr>
        <w:t>：</w:t>
      </w:r>
    </w:p>
    <w:p w14:paraId="1880F540">
      <w:pPr>
        <w:keepNext w:val="0"/>
        <w:keepLines w:val="0"/>
        <w:widowControl w:val="0"/>
        <w:suppressLineNumbers w:val="0"/>
        <w:shd w:val="clear"/>
        <w:spacing w:before="0" w:beforeAutospacing="0" w:after="0" w:afterAutospacing="0"/>
        <w:ind w:left="0" w:right="0"/>
        <w:jc w:val="center"/>
        <w:rPr>
          <w:rFonts w:hint="eastAsia" w:ascii="Times New Roman" w:hAnsi="Times New Roman" w:eastAsia="宋体" w:cs="Times New Roman"/>
          <w:b/>
          <w:bCs w:val="0"/>
          <w:color w:val="auto"/>
          <w:sz w:val="36"/>
          <w:szCs w:val="36"/>
          <w:highlight w:val="none"/>
        </w:rPr>
      </w:pPr>
      <w:r>
        <w:rPr>
          <w:rFonts w:hint="eastAsia" w:ascii="宋体" w:hAnsi="宋体" w:eastAsia="宋体" w:cs="宋体"/>
          <w:b/>
          <w:bCs w:val="0"/>
          <w:color w:val="auto"/>
          <w:kern w:val="0"/>
          <w:sz w:val="36"/>
          <w:szCs w:val="36"/>
          <w:highlight w:val="none"/>
          <w:lang w:val="en-US" w:eastAsia="zh-CN" w:bidi="ar"/>
        </w:rPr>
        <w:t>最终结算款支付申请（核准）表</w:t>
      </w:r>
    </w:p>
    <w:p w14:paraId="117E307B">
      <w:pPr>
        <w:keepNext w:val="0"/>
        <w:keepLines w:val="0"/>
        <w:widowControl w:val="0"/>
        <w:suppressLineNumbers w:val="0"/>
        <w:shd w:val="clear"/>
        <w:spacing w:before="0" w:beforeAutospacing="0" w:after="0" w:afterAutospacing="0"/>
        <w:ind w:left="0" w:right="0"/>
        <w:jc w:val="both"/>
        <w:rPr>
          <w:rFonts w:hint="eastAsia" w:ascii="Times New Roman" w:hAnsi="Times New Roman"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工程名称：</w:t>
      </w:r>
      <w:r>
        <w:rPr>
          <w:rFonts w:hint="eastAsia"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编号：</w:t>
      </w:r>
    </w:p>
    <w:tbl>
      <w:tblPr>
        <w:tblStyle w:val="23"/>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41"/>
        <w:gridCol w:w="4531"/>
      </w:tblGrid>
      <w:tr w14:paraId="35FF4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94"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14152126">
            <w:pPr>
              <w:keepNext w:val="0"/>
              <w:keepLines w:val="0"/>
              <w:widowControl w:val="0"/>
              <w:suppressLineNumbers w:val="0"/>
              <w:shd w:val="clear"/>
              <w:spacing w:before="0" w:beforeAutospacing="0" w:after="0" w:afterAutospacing="0" w:line="480" w:lineRule="exact"/>
              <w:ind w:left="540" w:leftChars="149" w:right="0" w:hanging="242" w:hangingChars="101"/>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致：</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val="en-US" w:eastAsia="zh-CN" w:bidi="ar"/>
              </w:rPr>
              <w:t>（发包人全称）</w:t>
            </w:r>
          </w:p>
          <w:p w14:paraId="3A6769A7">
            <w:pPr>
              <w:keepNext w:val="0"/>
              <w:keepLines w:val="0"/>
              <w:widowControl w:val="0"/>
              <w:suppressLineNumbers w:val="0"/>
              <w:shd w:val="clear"/>
              <w:spacing w:before="0" w:beforeAutospacing="0" w:after="0" w:afterAutospacing="0" w:line="400" w:lineRule="exact"/>
              <w:ind w:left="-4" w:leftChars="-2" w:right="0" w:firstLine="360" w:firstLineChars="15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我方于</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至</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期间已完成了缺陷修复工作，根据施工合同的约定，现申请支付最终结清合同款额为</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大写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r>
              <w:rPr>
                <w:rFonts w:hint="default" w:ascii="Times New Roman" w:hAnsi="Times New Roman" w:eastAsia="宋体" w:cs="Times New Roman"/>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小写</w:t>
            </w:r>
            <w:r>
              <w:rPr>
                <w:rFonts w:hint="default" w:ascii="Times New Roman" w:hAnsi="Times New Roman" w:eastAsia="宋体" w:cs="Times New Roman"/>
                <w:color w:val="auto"/>
                <w:kern w:val="0"/>
                <w:sz w:val="24"/>
                <w:szCs w:val="24"/>
                <w:highlight w:val="none"/>
                <w:lang w:val="en-US" w:eastAsia="zh-CN" w:bidi="ar"/>
              </w:rPr>
              <w:t>)</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元，请予核准。</w:t>
            </w:r>
          </w:p>
          <w:tbl>
            <w:tblPr>
              <w:tblStyle w:val="23"/>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33"/>
              <w:gridCol w:w="3351"/>
              <w:gridCol w:w="1603"/>
              <w:gridCol w:w="1603"/>
              <w:gridCol w:w="1621"/>
            </w:tblGrid>
            <w:tr w14:paraId="60FA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9" w:hRule="atLeast"/>
              </w:trPr>
              <w:tc>
                <w:tcPr>
                  <w:tcW w:w="535" w:type="dxa"/>
                  <w:tcBorders>
                    <w:top w:val="single" w:color="auto" w:sz="4" w:space="0"/>
                    <w:left w:val="single" w:color="auto" w:sz="4" w:space="0"/>
                    <w:bottom w:val="single" w:color="auto" w:sz="4" w:space="0"/>
                    <w:right w:val="single" w:color="auto" w:sz="4" w:space="0"/>
                  </w:tcBorders>
                  <w:shd w:val="clear" w:color="auto" w:fill="auto"/>
                  <w:vAlign w:val="center"/>
                </w:tcPr>
                <w:p w14:paraId="25B9936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序号</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center"/>
                </w:tcPr>
                <w:p w14:paraId="22CBB9EE">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名</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称</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09DA88A7">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申请金额（元）</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14:paraId="7A279E15">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复核金额（元）</w:t>
                  </w:r>
                </w:p>
              </w:tc>
              <w:tc>
                <w:tcPr>
                  <w:tcW w:w="1651" w:type="dxa"/>
                  <w:tcBorders>
                    <w:top w:val="single" w:color="auto" w:sz="4" w:space="0"/>
                    <w:left w:val="single" w:color="auto" w:sz="4" w:space="0"/>
                    <w:bottom w:val="single" w:color="auto" w:sz="4" w:space="0"/>
                    <w:right w:val="single" w:color="auto" w:sz="4" w:space="0"/>
                  </w:tcBorders>
                  <w:shd w:val="clear" w:color="auto" w:fill="auto"/>
                  <w:vAlign w:val="center"/>
                </w:tcPr>
                <w:p w14:paraId="2C73793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065F9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0E7017AC">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1</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E9D04EA">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已预留的质量保证金</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40C11E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78ADEA3">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A3E430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CC0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9C400C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2</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19F54AF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应增加因发包人原因造成缺陷的修复金额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9C2C33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4CB8EA2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4B9F0D0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677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4FD5C74D">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3</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E8F813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应扣减承包人不修复缺陷、发包人组织修复的金额</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107C8BA9">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CEDBAC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F76CD7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971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1170A2A6">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4</w:t>
                  </w: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B5C77C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最终应支付的合同价款</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47D058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6EDEC1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698C66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8A5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2C8C595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C6BA12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3B6D048F">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1B1EAD5D">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6E82ED42">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0E84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6CA48048">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4423935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C9EF1A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2CC471D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1EF9614C">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1402B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F57F524">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77BDE6B1">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B29BD84">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604E8990">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1C8D848B">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r w14:paraId="44794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Borders>
                    <w:top w:val="single" w:color="auto" w:sz="4" w:space="0"/>
                    <w:left w:val="single" w:color="auto" w:sz="4" w:space="0"/>
                    <w:bottom w:val="single" w:color="auto" w:sz="4" w:space="0"/>
                    <w:right w:val="single" w:color="auto" w:sz="4" w:space="0"/>
                  </w:tcBorders>
                  <w:shd w:val="clear" w:color="auto" w:fill="auto"/>
                  <w:vAlign w:val="top"/>
                </w:tcPr>
                <w:p w14:paraId="57512B9F">
                  <w:pPr>
                    <w:keepNext w:val="0"/>
                    <w:keepLines w:val="0"/>
                    <w:widowControl w:val="0"/>
                    <w:suppressLineNumbers w:val="0"/>
                    <w:shd w:val="clear"/>
                    <w:spacing w:before="0" w:beforeAutospacing="0" w:after="0" w:afterAutospacing="0" w:line="280" w:lineRule="exact"/>
                    <w:ind w:left="0" w:right="0"/>
                    <w:jc w:val="center"/>
                    <w:rPr>
                      <w:rFonts w:hint="eastAsia" w:ascii="Times New Roman" w:hAnsi="Times New Roman" w:eastAsia="宋体" w:cs="Times New Roman"/>
                      <w:color w:val="auto"/>
                      <w:sz w:val="20"/>
                      <w:szCs w:val="20"/>
                      <w:highlight w:val="none"/>
                    </w:rPr>
                  </w:pPr>
                </w:p>
              </w:tc>
              <w:tc>
                <w:tcPr>
                  <w:tcW w:w="3420" w:type="dxa"/>
                  <w:tcBorders>
                    <w:top w:val="single" w:color="auto" w:sz="4" w:space="0"/>
                    <w:left w:val="single" w:color="auto" w:sz="4" w:space="0"/>
                    <w:bottom w:val="single" w:color="auto" w:sz="4" w:space="0"/>
                    <w:right w:val="single" w:color="auto" w:sz="4" w:space="0"/>
                  </w:tcBorders>
                  <w:shd w:val="clear" w:color="auto" w:fill="auto"/>
                  <w:vAlign w:val="top"/>
                </w:tcPr>
                <w:p w14:paraId="6097A707">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0385B6B8">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20" w:type="dxa"/>
                  <w:tcBorders>
                    <w:top w:val="single" w:color="auto" w:sz="4" w:space="0"/>
                    <w:left w:val="single" w:color="auto" w:sz="4" w:space="0"/>
                    <w:bottom w:val="single" w:color="auto" w:sz="4" w:space="0"/>
                    <w:right w:val="single" w:color="auto" w:sz="4" w:space="0"/>
                  </w:tcBorders>
                  <w:shd w:val="clear" w:color="auto" w:fill="auto"/>
                  <w:vAlign w:val="top"/>
                </w:tcPr>
                <w:p w14:paraId="7BFE1BEE">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c>
                <w:tcPr>
                  <w:tcW w:w="1651" w:type="dxa"/>
                  <w:tcBorders>
                    <w:top w:val="single" w:color="auto" w:sz="4" w:space="0"/>
                    <w:left w:val="single" w:color="auto" w:sz="4" w:space="0"/>
                    <w:bottom w:val="single" w:color="auto" w:sz="4" w:space="0"/>
                    <w:right w:val="single" w:color="auto" w:sz="4" w:space="0"/>
                  </w:tcBorders>
                  <w:shd w:val="clear" w:color="auto" w:fill="auto"/>
                  <w:vAlign w:val="top"/>
                </w:tcPr>
                <w:p w14:paraId="75C16336">
                  <w:pPr>
                    <w:keepNext w:val="0"/>
                    <w:keepLines w:val="0"/>
                    <w:widowControl w:val="0"/>
                    <w:suppressLineNumbers w:val="0"/>
                    <w:shd w:val="clear"/>
                    <w:spacing w:before="0" w:beforeAutospacing="0" w:after="0" w:afterAutospacing="0" w:line="280" w:lineRule="exact"/>
                    <w:ind w:left="0" w:right="0"/>
                    <w:jc w:val="both"/>
                    <w:rPr>
                      <w:rFonts w:hint="eastAsia" w:ascii="Times New Roman" w:hAnsi="Times New Roman" w:eastAsia="宋体" w:cs="Times New Roman"/>
                      <w:color w:val="auto"/>
                      <w:sz w:val="20"/>
                      <w:szCs w:val="20"/>
                      <w:highlight w:val="none"/>
                    </w:rPr>
                  </w:pPr>
                </w:p>
              </w:tc>
            </w:tr>
          </w:tbl>
          <w:p w14:paraId="276C0FEB">
            <w:pPr>
              <w:keepNext w:val="0"/>
              <w:keepLines w:val="0"/>
              <w:widowControl w:val="0"/>
              <w:suppressLineNumbers w:val="0"/>
              <w:shd w:val="clear"/>
              <w:spacing w:before="0" w:beforeAutospacing="0" w:after="0" w:afterAutospacing="0" w:line="400" w:lineRule="exact"/>
              <w:ind w:left="0" w:right="42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承包人（章）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1D7C5BF1">
            <w:pPr>
              <w:keepNext w:val="0"/>
              <w:keepLines w:val="0"/>
              <w:widowControl w:val="0"/>
              <w:suppressLineNumbers w:val="0"/>
              <w:shd w:val="clear"/>
              <w:spacing w:before="0" w:beforeAutospacing="0" w:after="0" w:afterAutospacing="0" w:line="400" w:lineRule="exact"/>
              <w:ind w:left="0" w:right="42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造价人员</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承包人代表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6998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jc w:val="center"/>
        </w:trPr>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58F5000C">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0B5FEA0B">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□与实际施工情况不相符，修改意见见附件。</w:t>
            </w:r>
          </w:p>
          <w:p w14:paraId="2BB2B4D8">
            <w:pPr>
              <w:keepNext w:val="0"/>
              <w:keepLines w:val="0"/>
              <w:widowControl w:val="0"/>
              <w:suppressLineNumbers w:val="0"/>
              <w:shd w:val="clear"/>
              <w:spacing w:before="0" w:beforeAutospacing="0" w:after="0" w:afterAutospacing="0" w:line="360" w:lineRule="exact"/>
              <w:ind w:left="0" w:right="0" w:firstLine="312"/>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□与实际施工情况相符，具体金额由造价工程师复核。</w:t>
            </w:r>
          </w:p>
          <w:p w14:paraId="7B67C64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10B89F53">
            <w:pPr>
              <w:keepNext w:val="0"/>
              <w:keepLines w:val="0"/>
              <w:widowControl w:val="0"/>
              <w:suppressLineNumbers w:val="0"/>
              <w:shd w:val="clear"/>
              <w:spacing w:before="0" w:beforeAutospacing="0" w:after="0" w:afterAutospacing="0" w:line="360" w:lineRule="exact"/>
              <w:ind w:left="0" w:right="0" w:firstLine="435"/>
              <w:jc w:val="right"/>
              <w:rPr>
                <w:rFonts w:hint="eastAsia" w:ascii="Times New Roman" w:hAnsi="Times New Roman" w:eastAsia="宋体" w:cs="Times New Roman"/>
                <w:color w:val="auto"/>
                <w:sz w:val="20"/>
                <w:szCs w:val="20"/>
                <w:highlight w:val="none"/>
              </w:rPr>
            </w:pPr>
          </w:p>
          <w:p w14:paraId="2BA72206">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32A651F1">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监理工程师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13AEB7DB">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c>
          <w:tcPr>
            <w:tcW w:w="4620" w:type="dxa"/>
            <w:tcBorders>
              <w:top w:val="single" w:color="auto" w:sz="4" w:space="0"/>
              <w:left w:val="single" w:color="auto" w:sz="4" w:space="0"/>
              <w:bottom w:val="single" w:color="auto" w:sz="4" w:space="0"/>
              <w:right w:val="single" w:color="auto" w:sz="4" w:space="0"/>
            </w:tcBorders>
            <w:shd w:val="clear" w:color="auto" w:fill="auto"/>
            <w:vAlign w:val="top"/>
          </w:tcPr>
          <w:p w14:paraId="57BA0046">
            <w:pPr>
              <w:keepNext w:val="0"/>
              <w:keepLines w:val="0"/>
              <w:widowControl w:val="0"/>
              <w:suppressLineNumbers w:val="0"/>
              <w:shd w:val="clear"/>
              <w:spacing w:before="0" w:beforeAutospacing="0" w:after="0" w:afterAutospacing="0" w:line="36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复核意见：</w:t>
            </w:r>
          </w:p>
          <w:p w14:paraId="3AE7A0FE">
            <w:pPr>
              <w:keepNext w:val="0"/>
              <w:keepLines w:val="0"/>
              <w:widowControl w:val="0"/>
              <w:suppressLineNumbers w:val="0"/>
              <w:shd w:val="clear"/>
              <w:spacing w:before="0" w:beforeAutospacing="0" w:after="0" w:afterAutospacing="0" w:line="360" w:lineRule="exact"/>
              <w:ind w:left="0" w:right="0" w:firstLine="435"/>
              <w:jc w:val="both"/>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你方提出的支付申请经复核，最终应支付金额为（大写）</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元，（小写）</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元。</w:t>
            </w:r>
          </w:p>
          <w:p w14:paraId="72C4214F">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3F27BA7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5202A05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09AFDD5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7DACE9CC">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造价工程师</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75E60090">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r w14:paraId="18E33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jc w:val="center"/>
        </w:trPr>
        <w:tc>
          <w:tcPr>
            <w:tcW w:w="9240"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46FC8B05">
            <w:pPr>
              <w:keepNext w:val="0"/>
              <w:keepLines w:val="0"/>
              <w:widowControl w:val="0"/>
              <w:suppressLineNumbers w:val="0"/>
              <w:shd w:val="clear"/>
              <w:spacing w:before="0" w:beforeAutospacing="0" w:after="0" w:afterAutospacing="0" w:line="400" w:lineRule="exact"/>
              <w:ind w:left="0" w:right="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审核意见：</w:t>
            </w:r>
          </w:p>
          <w:p w14:paraId="0C9DDFA8">
            <w:pPr>
              <w:keepNext w:val="0"/>
              <w:keepLines w:val="0"/>
              <w:widowControl w:val="0"/>
              <w:suppressLineNumbers w:val="0"/>
              <w:shd w:val="clear"/>
              <w:spacing w:before="0" w:beforeAutospacing="0" w:after="0" w:afterAutospacing="0" w:line="400" w:lineRule="exact"/>
              <w:ind w:left="0" w:right="0" w:firstLine="435"/>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□不同意。</w:t>
            </w:r>
          </w:p>
          <w:p w14:paraId="53CBD55D">
            <w:pPr>
              <w:keepNext w:val="0"/>
              <w:keepLines w:val="0"/>
              <w:widowControl w:val="0"/>
              <w:suppressLineNumbers w:val="0"/>
              <w:shd w:val="clear"/>
              <w:spacing w:before="0" w:beforeAutospacing="0" w:after="0" w:afterAutospacing="0" w:line="400" w:lineRule="exact"/>
              <w:ind w:left="0" w:right="0" w:firstLine="480" w:firstLineChars="200"/>
              <w:jc w:val="both"/>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□同意，支付时间为本表签发后的</w:t>
            </w:r>
            <w:r>
              <w:rPr>
                <w:rFonts w:hint="default" w:ascii="Times New Roman" w:hAnsi="Times New Roman" w:eastAsia="宋体" w:cs="Times New Roman"/>
                <w:color w:val="auto"/>
                <w:kern w:val="0"/>
                <w:sz w:val="24"/>
                <w:szCs w:val="24"/>
                <w:highlight w:val="none"/>
                <w:lang w:val="en-US" w:eastAsia="zh-CN" w:bidi="ar"/>
              </w:rPr>
              <w:t>15</w:t>
            </w:r>
            <w:r>
              <w:rPr>
                <w:rFonts w:hint="eastAsia" w:ascii="宋体" w:hAnsi="宋体" w:eastAsia="宋体" w:cs="宋体"/>
                <w:color w:val="auto"/>
                <w:kern w:val="0"/>
                <w:sz w:val="24"/>
                <w:szCs w:val="24"/>
                <w:highlight w:val="none"/>
                <w:lang w:val="en-US" w:eastAsia="zh-CN" w:bidi="ar"/>
              </w:rPr>
              <w:t>天内。</w:t>
            </w:r>
          </w:p>
          <w:p w14:paraId="70FDD884">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发包人（章）</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p w14:paraId="0A0F6632">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发包人代表</w:t>
            </w:r>
            <w:r>
              <w:rPr>
                <w:rFonts w:hint="default" w:ascii="Times New Roman" w:hAnsi="Times New Roman" w:eastAsia="宋体" w:cs="Times New Roman"/>
                <w:color w:val="auto"/>
                <w:kern w:val="0"/>
                <w:sz w:val="24"/>
                <w:szCs w:val="24"/>
                <w:highlight w:val="none"/>
                <w:u w:val="single"/>
                <w:lang w:val="en-US" w:eastAsia="zh-CN" w:bidi="ar"/>
              </w:rPr>
              <w:t xml:space="preserve">             </w:t>
            </w:r>
          </w:p>
          <w:p w14:paraId="394A7ED6">
            <w:pPr>
              <w:keepNext w:val="0"/>
              <w:keepLines w:val="0"/>
              <w:widowControl w:val="0"/>
              <w:suppressLineNumbers w:val="0"/>
              <w:shd w:val="clear"/>
              <w:wordWrap w:val="0"/>
              <w:spacing w:before="0" w:beforeAutospacing="0" w:after="0" w:afterAutospacing="0" w:line="400" w:lineRule="exact"/>
              <w:ind w:left="0" w:right="0" w:firstLine="480" w:firstLineChars="200"/>
              <w:jc w:val="right"/>
              <w:rPr>
                <w:rFonts w:hint="eastAsia" w:ascii="Times New Roman" w:hAnsi="Times New Roman" w:eastAsia="宋体" w:cs="Times New Roman"/>
                <w:color w:val="auto"/>
                <w:sz w:val="20"/>
                <w:szCs w:val="20"/>
                <w:highlight w:val="none"/>
                <w:u w:val="single"/>
              </w:rPr>
            </w:pP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670440FF">
      <w:pPr>
        <w:keepNext w:val="0"/>
        <w:keepLines w:val="0"/>
        <w:widowControl w:val="0"/>
        <w:suppressLineNumbers w:val="0"/>
        <w:shd w:val="clear"/>
        <w:spacing w:before="120" w:beforeLines="50" w:beforeAutospacing="0" w:after="0" w:afterAutospacing="0"/>
        <w:ind w:left="0" w:right="0" w:firstLine="360" w:firstLineChars="200"/>
        <w:jc w:val="both"/>
        <w:rPr>
          <w:rFonts w:hint="eastAsia" w:ascii="Times New Roman" w:hAnsi="Times New Roman" w:eastAsia="宋体" w:cs="Times New Roman"/>
          <w:color w:val="auto"/>
          <w:sz w:val="18"/>
          <w:szCs w:val="18"/>
          <w:highlight w:val="none"/>
        </w:rPr>
      </w:pPr>
      <w:r>
        <w:rPr>
          <w:rFonts w:hint="eastAsia" w:ascii="宋体" w:hAnsi="宋体" w:eastAsia="宋体" w:cs="宋体"/>
          <w:color w:val="auto"/>
          <w:kern w:val="0"/>
          <w:sz w:val="18"/>
          <w:szCs w:val="18"/>
          <w:highlight w:val="none"/>
          <w:lang w:val="en-US" w:eastAsia="zh-CN" w:bidi="ar"/>
        </w:rPr>
        <w:t>注：</w:t>
      </w:r>
      <w:r>
        <w:rPr>
          <w:rFonts w:hint="default" w:ascii="Times New Roman" w:hAnsi="Times New Roman" w:eastAsia="宋体" w:cs="Times New Roman"/>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val="en-US" w:eastAsia="zh-CN" w:bidi="ar"/>
        </w:rPr>
        <w:t>在选择栏中的“□”内作标识“√”。 如监理人已退场，监理工程师栏可空缺。</w:t>
      </w:r>
    </w:p>
    <w:p w14:paraId="3801DEEA">
      <w:pPr>
        <w:keepNext w:val="0"/>
        <w:keepLines w:val="0"/>
        <w:widowControl w:val="0"/>
        <w:suppressLineNumbers w:val="0"/>
        <w:shd w:val="clear"/>
        <w:spacing w:before="120" w:beforeLines="50" w:beforeAutospacing="0" w:after="0" w:afterAutospacing="0"/>
        <w:ind w:left="720" w:right="0" w:hanging="720" w:hangingChars="400"/>
        <w:jc w:val="both"/>
        <w:rPr>
          <w:rFonts w:hint="eastAsia" w:ascii="Times New Roman" w:hAnsi="Times New Roman" w:eastAsia="宋体" w:cs="Times New Roman"/>
          <w:color w:val="auto"/>
          <w:sz w:val="18"/>
          <w:szCs w:val="18"/>
          <w:highlight w:val="none"/>
        </w:rPr>
      </w:pP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 xml:space="preserve">  </w:t>
      </w:r>
      <w:r>
        <w:rPr>
          <w:rFonts w:hint="eastAsia" w:ascii="Times New Roman" w:hAnsi="Times New Roman" w:eastAsia="宋体" w:cs="Times New Roman"/>
          <w:color w:val="auto"/>
          <w:kern w:val="0"/>
          <w:sz w:val="18"/>
          <w:szCs w:val="18"/>
          <w:highlight w:val="none"/>
          <w:lang w:val="en-US" w:eastAsia="zh-CN" w:bidi="ar"/>
        </w:rPr>
        <w:t xml:space="preserve">  </w:t>
      </w:r>
      <w:r>
        <w:rPr>
          <w:rFonts w:hint="default" w:ascii="Times New Roman" w:hAnsi="Times New Roman" w:eastAsia="宋体" w:cs="Times New Roman"/>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en-US" w:eastAsia="zh-CN" w:bidi="ar"/>
        </w:rPr>
        <w:t>本表一式四份，由承包人填报，发包人、监理人、造价咨询人、承包人各存一份。</w:t>
      </w:r>
    </w:p>
    <w:p w14:paraId="1B5E79DE">
      <w:pPr>
        <w:keepNext w:val="0"/>
        <w:keepLines w:val="0"/>
        <w:widowControl w:val="0"/>
        <w:suppressLineNumbers w:val="0"/>
        <w:shd w:val="clear"/>
        <w:spacing w:before="0" w:beforeAutospacing="0" w:after="0" w:afterAutospacing="0" w:line="360" w:lineRule="auto"/>
        <w:ind w:left="0" w:right="0"/>
        <w:jc w:val="left"/>
        <w:rPr>
          <w:rFonts w:hint="default" w:ascii="Times New Roman" w:hAnsi="Times New Roman" w:eastAsia="宋体" w:cs="Times New Roman"/>
          <w:color w:val="auto"/>
          <w:highlight w:val="none"/>
          <w:u w:val="single"/>
        </w:rPr>
      </w:pPr>
      <w:r>
        <w:rPr>
          <w:rFonts w:hint="default" w:ascii="Times New Roman" w:hAnsi="Times New Roman" w:eastAsia="宋体" w:cs="Times New Roman"/>
          <w:color w:val="auto"/>
          <w:kern w:val="0"/>
          <w:sz w:val="24"/>
          <w:szCs w:val="24"/>
          <w:highlight w:val="none"/>
          <w:u w:val="single"/>
          <w:lang w:val="en-US" w:eastAsia="zh-CN" w:bidi="ar"/>
        </w:rPr>
        <w:t xml:space="preserve"> </w:t>
      </w:r>
    </w:p>
    <w:p w14:paraId="414654C5">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7ADBD6D6">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1D9596BD">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268EA786">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13318363">
      <w:pPr>
        <w:pStyle w:val="19"/>
        <w:keepNext w:val="0"/>
        <w:keepLines w:val="0"/>
        <w:widowControl w:val="0"/>
        <w:suppressLineNumbers w:val="0"/>
        <w:shd w:val="clear"/>
        <w:spacing w:before="0" w:beforeAutospacing="0" w:after="0" w:afterAutospacing="0" w:line="200" w:lineRule="exact"/>
        <w:ind w:left="0" w:right="0" w:firstLine="301"/>
        <w:jc w:val="left"/>
        <w:rPr>
          <w:rFonts w:hint="eastAsia" w:ascii="宋体" w:hAnsi="Courier New" w:eastAsia="宋体" w:cs="Times New Roman"/>
          <w:bCs/>
          <w:color w:val="auto"/>
          <w:spacing w:val="10"/>
          <w:sz w:val="30"/>
          <w:szCs w:val="30"/>
          <w:highlight w:val="none"/>
        </w:rPr>
      </w:pPr>
      <w:r>
        <w:rPr>
          <w:rFonts w:hint="eastAsia" w:ascii="宋体" w:hAnsi="Courier New" w:eastAsia="宋体" w:cs="Times New Roman"/>
          <w:bCs/>
          <w:color w:val="auto"/>
          <w:spacing w:val="10"/>
          <w:kern w:val="0"/>
          <w:sz w:val="30"/>
          <w:szCs w:val="30"/>
          <w:highlight w:val="none"/>
          <w:lang w:val="en-US" w:eastAsia="zh-CN" w:bidi="ar"/>
        </w:rPr>
        <w:t xml:space="preserve"> </w:t>
      </w:r>
    </w:p>
    <w:p w14:paraId="6B1C1A77">
      <w:pPr>
        <w:keepNext w:val="0"/>
        <w:keepLines w:val="0"/>
        <w:widowControl w:val="0"/>
        <w:suppressLineNumbers w:val="0"/>
        <w:shd w:val="clear"/>
        <w:spacing w:before="0" w:beforeAutospacing="0" w:after="0" w:afterAutospacing="0" w:line="360" w:lineRule="auto"/>
        <w:ind w:left="0" w:right="0"/>
        <w:jc w:val="left"/>
        <w:rPr>
          <w:rFonts w:hint="eastAsia" w:ascii="Times New Roman" w:hAnsi="宋体" w:eastAsia="宋体" w:cs="宋体"/>
          <w:color w:val="auto"/>
          <w:sz w:val="30"/>
          <w:szCs w:val="30"/>
          <w:highlight w:val="none"/>
        </w:rPr>
      </w:pPr>
      <w:r>
        <w:rPr>
          <w:rFonts w:hint="eastAsia" w:ascii="宋体" w:hAnsi="宋体" w:eastAsia="宋体" w:cs="宋体"/>
          <w:color w:val="auto"/>
          <w:kern w:val="0"/>
          <w:sz w:val="30"/>
          <w:szCs w:val="30"/>
          <w:highlight w:val="none"/>
          <w:lang w:val="en-US" w:eastAsia="zh-CN" w:bidi="ar"/>
        </w:rPr>
        <w:t>附件</w:t>
      </w:r>
      <w:r>
        <w:rPr>
          <w:rFonts w:hint="eastAsia" w:ascii="宋体" w:hAnsi="宋体" w:cs="宋体"/>
          <w:color w:val="auto"/>
          <w:kern w:val="0"/>
          <w:sz w:val="30"/>
          <w:szCs w:val="30"/>
          <w:highlight w:val="none"/>
          <w:lang w:val="en-US" w:eastAsia="zh-CN" w:bidi="ar"/>
        </w:rPr>
        <w:t>8</w:t>
      </w:r>
      <w:r>
        <w:rPr>
          <w:rFonts w:hint="eastAsia" w:ascii="宋体" w:hAnsi="宋体" w:eastAsia="宋体" w:cs="宋体"/>
          <w:color w:val="auto"/>
          <w:kern w:val="0"/>
          <w:sz w:val="30"/>
          <w:szCs w:val="30"/>
          <w:highlight w:val="none"/>
          <w:lang w:val="en-US" w:eastAsia="zh-CN" w:bidi="ar"/>
        </w:rPr>
        <w:t>：</w:t>
      </w:r>
    </w:p>
    <w:p w14:paraId="43B203BB">
      <w:pPr>
        <w:keepNext w:val="0"/>
        <w:keepLines w:val="0"/>
        <w:widowControl w:val="0"/>
        <w:suppressLineNumbers w:val="0"/>
        <w:shd w:val="clear"/>
        <w:spacing w:before="0" w:beforeAutospacing="0" w:after="0" w:afterAutospacing="0" w:line="360" w:lineRule="auto"/>
        <w:ind w:left="0" w:right="0" w:firstLine="720" w:firstLineChars="20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lang w:val="en-US" w:eastAsia="zh-CN" w:bidi="ar"/>
        </w:rPr>
        <w:t>总价合同进度款支付分解表</w:t>
      </w:r>
    </w:p>
    <w:p w14:paraId="2B3505FD">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宋体"/>
          <w:color w:val="auto"/>
          <w:kern w:val="0"/>
          <w:highlight w:val="none"/>
        </w:rPr>
      </w:pPr>
      <w:r>
        <w:rPr>
          <w:rFonts w:hint="eastAsia" w:ascii="宋体" w:hAnsi="宋体" w:eastAsia="宋体" w:cs="宋体"/>
          <w:color w:val="auto"/>
          <w:kern w:val="0"/>
          <w:sz w:val="24"/>
          <w:szCs w:val="24"/>
          <w:highlight w:val="none"/>
          <w:lang w:val="en-US" w:eastAsia="zh-CN" w:bidi="ar"/>
        </w:rPr>
        <w:t>工程名称：</w:t>
      </w:r>
    </w:p>
    <w:tbl>
      <w:tblPr>
        <w:tblStyle w:val="23"/>
        <w:tblW w:w="874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29"/>
        <w:gridCol w:w="3119"/>
        <w:gridCol w:w="2943"/>
        <w:gridCol w:w="1155"/>
      </w:tblGrid>
      <w:tr w14:paraId="31F31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7CB82599">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进度款期次</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23C44531">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形象进度</w:t>
            </w: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769DCDE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进度款付款金额（元）</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4CABFFDB">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备注</w:t>
            </w:r>
          </w:p>
        </w:tc>
      </w:tr>
      <w:tr w14:paraId="730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19B860BC">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第一期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0A203945">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2F70F163">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38E1A8AE">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166B3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0B44E72A">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第二期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2299D6D">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261E9F31">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23C63F06">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69E07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Borders>
              <w:top w:val="single" w:color="auto" w:sz="4" w:space="0"/>
              <w:left w:val="single" w:color="auto" w:sz="4" w:space="0"/>
              <w:bottom w:val="single" w:color="auto" w:sz="4" w:space="0"/>
              <w:right w:val="single" w:color="auto" w:sz="4" w:space="0"/>
            </w:tcBorders>
            <w:shd w:val="clear" w:color="auto" w:fill="auto"/>
            <w:vAlign w:val="top"/>
          </w:tcPr>
          <w:p w14:paraId="4D1D1DDE">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4"/>
                <w:szCs w:val="24"/>
                <w:highlight w:val="none"/>
                <w:lang w:val="en-US" w:eastAsia="zh-CN" w:bidi="ar"/>
              </w:rPr>
              <w:t>第三期</w:t>
            </w:r>
          </w:p>
        </w:tc>
        <w:tc>
          <w:tcPr>
            <w:tcW w:w="3119" w:type="dxa"/>
            <w:tcBorders>
              <w:top w:val="single" w:color="auto" w:sz="4" w:space="0"/>
              <w:left w:val="single" w:color="auto" w:sz="4" w:space="0"/>
              <w:bottom w:val="single" w:color="auto" w:sz="4" w:space="0"/>
              <w:right w:val="single" w:color="auto" w:sz="4" w:space="0"/>
            </w:tcBorders>
            <w:shd w:val="clear" w:color="auto" w:fill="auto"/>
            <w:vAlign w:val="top"/>
          </w:tcPr>
          <w:p w14:paraId="3DFEA2A5">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2943" w:type="dxa"/>
            <w:tcBorders>
              <w:top w:val="single" w:color="auto" w:sz="4" w:space="0"/>
              <w:left w:val="single" w:color="auto" w:sz="4" w:space="0"/>
              <w:bottom w:val="single" w:color="auto" w:sz="4" w:space="0"/>
              <w:right w:val="single" w:color="auto" w:sz="4" w:space="0"/>
            </w:tcBorders>
            <w:shd w:val="clear" w:color="auto" w:fill="auto"/>
            <w:vAlign w:val="top"/>
          </w:tcPr>
          <w:p w14:paraId="11F420D7">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c>
          <w:tcPr>
            <w:tcW w:w="1155" w:type="dxa"/>
            <w:tcBorders>
              <w:top w:val="single" w:color="auto" w:sz="4" w:space="0"/>
              <w:left w:val="single" w:color="auto" w:sz="4" w:space="0"/>
              <w:bottom w:val="single" w:color="auto" w:sz="4" w:space="0"/>
              <w:right w:val="single" w:color="auto" w:sz="4" w:space="0"/>
            </w:tcBorders>
            <w:shd w:val="clear" w:color="auto" w:fill="auto"/>
            <w:vAlign w:val="top"/>
          </w:tcPr>
          <w:p w14:paraId="4C3546EF">
            <w:pPr>
              <w:keepNext w:val="0"/>
              <w:keepLines w:val="0"/>
              <w:widowControl w:val="0"/>
              <w:suppressLineNumbers w:val="0"/>
              <w:shd w:val="clear"/>
              <w:spacing w:before="0" w:beforeAutospacing="0" w:after="0" w:afterAutospacing="0" w:line="360" w:lineRule="auto"/>
              <w:ind w:left="0" w:right="0"/>
              <w:jc w:val="center"/>
              <w:rPr>
                <w:rFonts w:hint="eastAsia" w:ascii="宋体" w:hAnsi="宋体" w:eastAsia="宋体" w:cs="宋体"/>
                <w:color w:val="auto"/>
                <w:kern w:val="0"/>
                <w:sz w:val="20"/>
                <w:szCs w:val="20"/>
                <w:highlight w:val="none"/>
              </w:rPr>
            </w:pPr>
          </w:p>
        </w:tc>
      </w:tr>
      <w:tr w14:paraId="1762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464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32AAB6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发包人代表签字：</w:t>
            </w:r>
          </w:p>
          <w:p w14:paraId="5E88911D">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1C890DDD">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发包人（盖公章）</w:t>
            </w:r>
          </w:p>
          <w:p w14:paraId="779D72C1">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p>
        </w:tc>
        <w:tc>
          <w:tcPr>
            <w:tcW w:w="4098" w:type="dxa"/>
            <w:gridSpan w:val="2"/>
            <w:tcBorders>
              <w:top w:val="single" w:color="auto" w:sz="4" w:space="0"/>
              <w:left w:val="single" w:color="auto" w:sz="4" w:space="0"/>
              <w:bottom w:val="single" w:color="auto" w:sz="4" w:space="0"/>
              <w:right w:val="single" w:color="auto" w:sz="4" w:space="0"/>
            </w:tcBorders>
            <w:shd w:val="clear" w:color="auto" w:fill="auto"/>
            <w:vAlign w:val="top"/>
          </w:tcPr>
          <w:p w14:paraId="361C4EDD">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承包人代表签字：</w:t>
            </w:r>
          </w:p>
          <w:p w14:paraId="0D9035C9">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p>
          <w:p w14:paraId="603C2A88">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rPr>
            </w:pPr>
            <w:r>
              <w:rPr>
                <w:rFonts w:hint="eastAsia" w:ascii="宋体" w:hAnsi="宋体" w:eastAsia="宋体" w:cs="宋体"/>
                <w:color w:val="auto"/>
                <w:kern w:val="0"/>
                <w:sz w:val="24"/>
                <w:szCs w:val="24"/>
                <w:highlight w:val="none"/>
                <w:lang w:val="en-US" w:eastAsia="zh-CN" w:bidi="ar"/>
              </w:rPr>
              <w:t>承包人（盖公章）</w:t>
            </w:r>
          </w:p>
          <w:p w14:paraId="28CD8C4A">
            <w:pPr>
              <w:keepNext w:val="0"/>
              <w:keepLines w:val="0"/>
              <w:widowControl w:val="0"/>
              <w:suppressLineNumbers w:val="0"/>
              <w:shd w:val="clear"/>
              <w:spacing w:before="0" w:beforeAutospacing="0" w:after="0" w:afterAutospacing="0" w:line="360" w:lineRule="exact"/>
              <w:ind w:left="0" w:right="0" w:firstLine="435"/>
              <w:jc w:val="center"/>
              <w:rPr>
                <w:rFonts w:hint="eastAsia" w:ascii="Times New Roman" w:hAnsi="Times New Roman" w:eastAsia="宋体" w:cs="Times New Roman"/>
                <w:color w:val="auto"/>
                <w:sz w:val="20"/>
                <w:szCs w:val="20"/>
                <w:highlight w:val="none"/>
                <w:u w:val="single"/>
              </w:rPr>
            </w:pP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日</w:t>
            </w:r>
            <w:r>
              <w:rPr>
                <w:rFonts w:hint="eastAsia" w:ascii="Times New Roman" w:hAnsi="Times New Roman" w:eastAsia="宋体" w:cs="Times New Roman"/>
                <w:color w:val="auto"/>
                <w:kern w:val="0"/>
                <w:sz w:val="24"/>
                <w:szCs w:val="24"/>
                <w:highlight w:val="none"/>
                <w:lang w:val="en-US" w:eastAsia="zh-CN" w:bidi="ar"/>
              </w:rPr>
              <w:t xml:space="preserve"> </w:t>
            </w:r>
            <w:r>
              <w:rPr>
                <w:rFonts w:hint="default" w:ascii="Times New Roman" w:hAnsi="Times New Roman" w:eastAsia="宋体" w:cs="Times New Roman"/>
                <w:color w:val="auto"/>
                <w:kern w:val="0"/>
                <w:sz w:val="24"/>
                <w:szCs w:val="24"/>
                <w:highlight w:val="none"/>
                <w:lang w:val="en-US" w:eastAsia="zh-CN" w:bidi="ar"/>
              </w:rPr>
              <w:t xml:space="preserve">     </w:t>
            </w:r>
            <w:r>
              <w:rPr>
                <w:rFonts w:hint="eastAsia" w:ascii="宋体" w:hAnsi="宋体" w:eastAsia="宋体" w:cs="宋体"/>
                <w:color w:val="auto"/>
                <w:kern w:val="0"/>
                <w:sz w:val="24"/>
                <w:szCs w:val="24"/>
                <w:highlight w:val="none"/>
                <w:lang w:val="en-US" w:eastAsia="zh-CN" w:bidi="ar"/>
              </w:rPr>
              <w:t>期</w:t>
            </w:r>
            <w:r>
              <w:rPr>
                <w:rFonts w:hint="default" w:ascii="Times New Roman" w:hAnsi="Times New Roman" w:eastAsia="宋体" w:cs="Times New Roman"/>
                <w:color w:val="auto"/>
                <w:kern w:val="0"/>
                <w:sz w:val="24"/>
                <w:szCs w:val="24"/>
                <w:highlight w:val="none"/>
                <w:u w:val="single"/>
                <w:lang w:val="en-US" w:eastAsia="zh-CN" w:bidi="ar"/>
              </w:rPr>
              <w:t xml:space="preserve">        </w:t>
            </w:r>
          </w:p>
        </w:tc>
      </w:tr>
    </w:tbl>
    <w:p w14:paraId="3DCABB16">
      <w:pPr>
        <w:keepNext w:val="0"/>
        <w:keepLines w:val="0"/>
        <w:widowControl w:val="0"/>
        <w:suppressLineNumbers w:val="0"/>
        <w:shd w:val="clear"/>
        <w:spacing w:before="0" w:beforeAutospacing="0" w:after="0" w:afterAutospacing="0" w:line="360" w:lineRule="auto"/>
        <w:ind w:left="0" w:right="0"/>
        <w:jc w:val="both"/>
        <w:rPr>
          <w:rFonts w:hint="eastAsia" w:ascii="宋体" w:hAnsi="宋体" w:eastAsia="宋体" w:cs="Times New Roman"/>
          <w:color w:val="auto"/>
          <w:sz w:val="21"/>
          <w:szCs w:val="21"/>
          <w:highlight w:val="none"/>
          <w:u w:val="single"/>
        </w:rPr>
      </w:pPr>
      <w:r>
        <w:rPr>
          <w:rFonts w:hint="eastAsia" w:ascii="宋体" w:hAnsi="宋体" w:eastAsia="宋体" w:cs="Times New Roman"/>
          <w:color w:val="auto"/>
          <w:kern w:val="0"/>
          <w:sz w:val="21"/>
          <w:szCs w:val="21"/>
          <w:highlight w:val="none"/>
          <w:u w:val="single"/>
          <w:lang w:val="en-US" w:eastAsia="zh-CN" w:bidi="ar"/>
        </w:rPr>
        <w:t xml:space="preserve"> </w:t>
      </w:r>
    </w:p>
    <w:p w14:paraId="5BD4BD68">
      <w:pPr>
        <w:keepNext w:val="0"/>
        <w:keepLines w:val="0"/>
        <w:widowControl w:val="0"/>
        <w:suppressLineNumbers w:val="0"/>
        <w:shd w:val="clear"/>
        <w:spacing w:before="0" w:beforeAutospacing="0" w:after="0" w:afterAutospacing="0"/>
        <w:ind w:left="0" w:right="0"/>
        <w:jc w:val="both"/>
        <w:rPr>
          <w:rFonts w:hint="default" w:ascii="Times New Roman" w:hAnsi="Times New Roman" w:eastAsia="宋体" w:cs="Times New Roman"/>
          <w:color w:val="auto"/>
          <w:highlight w:val="none"/>
        </w:rPr>
      </w:pPr>
      <w:r>
        <w:rPr>
          <w:rFonts w:hint="default" w:ascii="Times New Roman" w:hAnsi="Times New Roman" w:eastAsia="宋体" w:cs="Times New Roman"/>
          <w:color w:val="auto"/>
          <w:kern w:val="0"/>
          <w:sz w:val="24"/>
          <w:szCs w:val="24"/>
          <w:highlight w:val="none"/>
          <w:lang w:val="en-US" w:eastAsia="zh-CN" w:bidi="ar"/>
        </w:rPr>
        <w:t xml:space="preserve"> </w:t>
      </w:r>
    </w:p>
    <w:p w14:paraId="7567D532">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r>
        <w:rPr>
          <w:rFonts w:hint="eastAsia" w:ascii="Times New Roman" w:hAnsi="Times New Roman" w:eastAsia="黑体" w:cs="黑体"/>
          <w:b/>
          <w:bCs/>
          <w:color w:val="auto"/>
          <w:kern w:val="0"/>
          <w:sz w:val="28"/>
          <w:szCs w:val="28"/>
          <w:highlight w:val="none"/>
          <w:lang w:val="en-US" w:eastAsia="zh-CN" w:bidi="ar"/>
        </w:rPr>
        <w:t xml:space="preserve"> </w:t>
      </w:r>
    </w:p>
    <w:p w14:paraId="0805E141">
      <w:pPr>
        <w:keepNext w:val="0"/>
        <w:keepLines w:val="0"/>
        <w:widowControl w:val="0"/>
        <w:suppressLineNumbers w:val="0"/>
        <w:shd w:val="clear"/>
        <w:spacing w:before="0" w:beforeAutospacing="0" w:after="0" w:afterAutospacing="0" w:line="360" w:lineRule="auto"/>
        <w:ind w:left="0" w:right="0"/>
        <w:jc w:val="left"/>
        <w:rPr>
          <w:rFonts w:hint="eastAsia" w:ascii="Times New Roman" w:hAnsi="Times New Roman" w:eastAsia="黑体" w:cs="黑体"/>
          <w:b/>
          <w:bCs/>
          <w:color w:val="auto"/>
          <w:sz w:val="28"/>
          <w:szCs w:val="28"/>
          <w:highlight w:val="none"/>
        </w:rPr>
      </w:pPr>
      <w:r>
        <w:rPr>
          <w:rFonts w:hint="eastAsia" w:ascii="Times New Roman" w:hAnsi="Times New Roman" w:eastAsia="黑体" w:cs="黑体"/>
          <w:b/>
          <w:bCs/>
          <w:color w:val="auto"/>
          <w:kern w:val="0"/>
          <w:sz w:val="28"/>
          <w:szCs w:val="28"/>
          <w:highlight w:val="none"/>
          <w:lang w:val="en-US" w:eastAsia="zh-CN" w:bidi="ar"/>
        </w:rPr>
        <w:t xml:space="preserve"> </w:t>
      </w:r>
    </w:p>
    <w:p w14:paraId="45E65494">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89D9FFA">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989C89F">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4122B04C">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7A563CBC">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2520806">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967585B">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2E951CD4">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 </w:t>
      </w:r>
    </w:p>
    <w:p w14:paraId="61087EA7">
      <w:pPr>
        <w:keepNext w:val="0"/>
        <w:keepLines w:val="0"/>
        <w:widowControl w:val="0"/>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 </w:t>
      </w:r>
    </w:p>
    <w:p w14:paraId="00278D6B">
      <w:pPr>
        <w:pStyle w:val="10"/>
        <w:shd w:val="clear"/>
        <w:rPr>
          <w:rFonts w:hint="eastAsia" w:ascii="宋体" w:hAnsi="宋体" w:eastAsia="宋体" w:cs="宋体"/>
          <w:color w:val="auto"/>
          <w:kern w:val="0"/>
          <w:sz w:val="21"/>
          <w:szCs w:val="21"/>
          <w:highlight w:val="none"/>
          <w:lang w:val="en-US" w:eastAsia="zh-CN" w:bidi="ar"/>
        </w:rPr>
      </w:pPr>
    </w:p>
    <w:p w14:paraId="57BA8152">
      <w:pPr>
        <w:shd w:val="clear"/>
        <w:rPr>
          <w:rFonts w:hint="eastAsia" w:ascii="宋体" w:hAnsi="宋体" w:eastAsia="宋体" w:cs="宋体"/>
          <w:color w:val="auto"/>
          <w:kern w:val="0"/>
          <w:sz w:val="21"/>
          <w:szCs w:val="21"/>
          <w:highlight w:val="none"/>
          <w:lang w:val="en-US" w:eastAsia="zh-CN" w:bidi="ar"/>
        </w:rPr>
      </w:pPr>
    </w:p>
    <w:p w14:paraId="71C59962">
      <w:pPr>
        <w:pStyle w:val="10"/>
        <w:shd w:val="clear"/>
        <w:rPr>
          <w:rFonts w:hint="eastAsia" w:ascii="宋体" w:hAnsi="宋体" w:eastAsia="宋体" w:cs="宋体"/>
          <w:color w:val="auto"/>
          <w:kern w:val="0"/>
          <w:sz w:val="21"/>
          <w:szCs w:val="21"/>
          <w:highlight w:val="none"/>
          <w:lang w:val="en-US" w:eastAsia="zh-CN" w:bidi="ar"/>
        </w:rPr>
      </w:pPr>
    </w:p>
    <w:p w14:paraId="61267DF7">
      <w:pPr>
        <w:shd w:val="clear"/>
        <w:rPr>
          <w:rFonts w:hint="eastAsia" w:ascii="宋体" w:hAnsi="宋体" w:eastAsia="宋体" w:cs="宋体"/>
          <w:color w:val="auto"/>
          <w:kern w:val="0"/>
          <w:sz w:val="21"/>
          <w:szCs w:val="21"/>
          <w:highlight w:val="none"/>
          <w:lang w:val="en-US" w:eastAsia="zh-CN" w:bidi="ar"/>
        </w:rPr>
      </w:pPr>
    </w:p>
    <w:p w14:paraId="4EB40910">
      <w:pPr>
        <w:pStyle w:val="10"/>
        <w:shd w:val="clear"/>
        <w:rPr>
          <w:rFonts w:hint="eastAsia" w:ascii="宋体" w:hAnsi="宋体" w:eastAsia="宋体" w:cs="宋体"/>
          <w:color w:val="auto"/>
          <w:kern w:val="0"/>
          <w:sz w:val="21"/>
          <w:szCs w:val="21"/>
          <w:highlight w:val="none"/>
          <w:lang w:val="en-US" w:eastAsia="zh-CN" w:bidi="ar"/>
        </w:rPr>
      </w:pPr>
    </w:p>
    <w:p w14:paraId="6B648BCD">
      <w:pPr>
        <w:shd w:val="clear"/>
        <w:rPr>
          <w:rFonts w:hint="eastAsia" w:ascii="宋体" w:hAnsi="宋体" w:eastAsia="宋体" w:cs="宋体"/>
          <w:color w:val="auto"/>
          <w:kern w:val="0"/>
          <w:sz w:val="21"/>
          <w:szCs w:val="21"/>
          <w:highlight w:val="none"/>
          <w:lang w:val="en-US" w:eastAsia="zh-CN" w:bidi="ar"/>
        </w:rPr>
      </w:pPr>
    </w:p>
    <w:p w14:paraId="29F7DDBC">
      <w:pPr>
        <w:pStyle w:val="10"/>
        <w:shd w:val="clear"/>
        <w:rPr>
          <w:rFonts w:hint="eastAsia" w:ascii="宋体" w:hAnsi="宋体" w:eastAsia="宋体" w:cs="宋体"/>
          <w:color w:val="auto"/>
          <w:kern w:val="0"/>
          <w:sz w:val="21"/>
          <w:szCs w:val="21"/>
          <w:highlight w:val="none"/>
          <w:lang w:val="en-US" w:eastAsia="zh-CN" w:bidi="ar"/>
        </w:rPr>
      </w:pPr>
    </w:p>
    <w:p w14:paraId="158F0B06">
      <w:pPr>
        <w:shd w:val="clear"/>
        <w:rPr>
          <w:color w:val="auto"/>
          <w:highlight w:val="none"/>
        </w:rPr>
      </w:pPr>
    </w:p>
    <w:p w14:paraId="22F04B10">
      <w:pPr>
        <w:shd w:val="clear"/>
        <w:rPr>
          <w:rFonts w:ascii="宋体" w:hAnsi="宋体"/>
          <w:color w:val="auto"/>
          <w:highlight w:val="none"/>
        </w:rPr>
      </w:pPr>
    </w:p>
    <w:p w14:paraId="2144BE01">
      <w:pPr>
        <w:pStyle w:val="31"/>
        <w:shd w:val="clear"/>
        <w:spacing w:line="360" w:lineRule="auto"/>
        <w:jc w:val="center"/>
        <w:outlineLvl w:val="0"/>
        <w:rPr>
          <w:rFonts w:hint="eastAsia" w:eastAsia="宋体"/>
          <w:color w:val="auto"/>
          <w:szCs w:val="21"/>
          <w:highlight w:val="none"/>
          <w:lang w:eastAsia="zh-CN"/>
        </w:rPr>
      </w:pPr>
      <w:bookmarkStart w:id="1118" w:name="_Toc14935"/>
      <w:r>
        <w:rPr>
          <w:rFonts w:ascii="宋体" w:hAnsi="宋体"/>
          <w:b/>
          <w:color w:val="auto"/>
          <w:sz w:val="32"/>
          <w:szCs w:val="32"/>
          <w:highlight w:val="none"/>
        </w:rPr>
        <w:t xml:space="preserve">第六章   </w:t>
      </w:r>
      <w:bookmarkEnd w:id="1118"/>
      <w:r>
        <w:rPr>
          <w:rFonts w:hint="eastAsia" w:ascii="宋体" w:hAnsi="宋体"/>
          <w:b/>
          <w:color w:val="auto"/>
          <w:sz w:val="32"/>
          <w:szCs w:val="32"/>
          <w:highlight w:val="none"/>
          <w:lang w:eastAsia="zh-CN"/>
        </w:rPr>
        <w:t>评分办法和标准</w:t>
      </w:r>
    </w:p>
    <w:p w14:paraId="303B4517">
      <w:pPr>
        <w:pStyle w:val="31"/>
        <w:shd w:val="clear"/>
        <w:spacing w:line="520" w:lineRule="exact"/>
        <w:rPr>
          <w:rFonts w:hint="eastAsia" w:ascii="宋体" w:hAnsi="宋体" w:cs="宋体"/>
          <w:b/>
          <w:color w:val="auto"/>
          <w:szCs w:val="21"/>
          <w:highlight w:val="none"/>
        </w:rPr>
      </w:pPr>
      <w:r>
        <w:rPr>
          <w:rFonts w:hint="eastAsia" w:ascii="宋体" w:hAnsi="宋体" w:cs="宋体"/>
          <w:b/>
          <w:color w:val="auto"/>
          <w:szCs w:val="21"/>
          <w:highlight w:val="none"/>
        </w:rPr>
        <w:t>一、评标原则</w:t>
      </w:r>
    </w:p>
    <w:p w14:paraId="7FBC25BB">
      <w:pPr>
        <w:pStyle w:val="13"/>
        <w:shd w:val="clear"/>
        <w:spacing w:line="520" w:lineRule="exact"/>
        <w:rPr>
          <w:rFonts w:hint="eastAsia" w:cs="宋体"/>
          <w:b/>
          <w:color w:val="auto"/>
          <w:sz w:val="21"/>
          <w:szCs w:val="21"/>
          <w:highlight w:val="none"/>
        </w:rPr>
      </w:pPr>
      <w:r>
        <w:rPr>
          <w:rFonts w:hint="eastAsia" w:cs="宋体"/>
          <w:bCs/>
          <w:color w:val="auto"/>
          <w:sz w:val="21"/>
          <w:szCs w:val="21"/>
          <w:highlight w:val="none"/>
        </w:rPr>
        <w:t>（一）磋商小组的构成：</w:t>
      </w:r>
      <w:r>
        <w:rPr>
          <w:rFonts w:hint="eastAsia" w:ascii="宋体" w:hAnsi="宋体" w:cs="宋体"/>
          <w:color w:val="auto"/>
          <w:spacing w:val="-4"/>
          <w:sz w:val="21"/>
          <w:szCs w:val="21"/>
          <w:highlight w:val="none"/>
        </w:rPr>
        <w:t>本项目的磋商小组依法由采购人代表及采购招投标专家库中随机抽取的评审专家组成，成员总数为</w:t>
      </w:r>
      <w:r>
        <w:rPr>
          <w:rFonts w:ascii="宋体" w:hAnsi="宋体" w:cs="宋体"/>
          <w:color w:val="auto"/>
          <w:spacing w:val="-4"/>
          <w:sz w:val="21"/>
          <w:szCs w:val="21"/>
          <w:highlight w:val="none"/>
        </w:rPr>
        <w:t>3</w:t>
      </w:r>
      <w:r>
        <w:rPr>
          <w:rFonts w:hint="eastAsia" w:ascii="宋体" w:hAnsi="宋体" w:cs="宋体"/>
          <w:color w:val="auto"/>
          <w:spacing w:val="-4"/>
          <w:sz w:val="21"/>
          <w:szCs w:val="21"/>
          <w:highlight w:val="none"/>
        </w:rPr>
        <w:t>人</w:t>
      </w:r>
      <w:r>
        <w:rPr>
          <w:rFonts w:hint="eastAsia" w:cs="宋体"/>
          <w:bCs/>
          <w:color w:val="auto"/>
          <w:sz w:val="21"/>
          <w:szCs w:val="21"/>
          <w:highlight w:val="none"/>
        </w:rPr>
        <w:t>。</w:t>
      </w:r>
    </w:p>
    <w:p w14:paraId="0FDEEA4F">
      <w:pPr>
        <w:pStyle w:val="13"/>
        <w:shd w:val="clear"/>
        <w:spacing w:line="520" w:lineRule="exact"/>
        <w:rPr>
          <w:rFonts w:hint="eastAsia" w:eastAsia="宋体" w:cs="宋体"/>
          <w:bCs/>
          <w:color w:val="auto"/>
          <w:sz w:val="21"/>
          <w:szCs w:val="21"/>
          <w:highlight w:val="none"/>
          <w:lang w:eastAsia="zh-CN"/>
        </w:rPr>
      </w:pPr>
      <w:r>
        <w:rPr>
          <w:rFonts w:hint="eastAsia" w:cs="宋体"/>
          <w:bCs/>
          <w:color w:val="auto"/>
          <w:sz w:val="21"/>
          <w:szCs w:val="21"/>
          <w:highlight w:val="none"/>
        </w:rPr>
        <w:t>（二）评标依据：磋商小组将以磋商文件、磋商响应文件为评标依据，对响应供应商的报价、技术</w:t>
      </w:r>
      <w:r>
        <w:rPr>
          <w:rFonts w:hint="eastAsia" w:cs="宋体"/>
          <w:bCs/>
          <w:color w:val="auto"/>
          <w:sz w:val="21"/>
          <w:szCs w:val="21"/>
          <w:highlight w:val="none"/>
          <w:lang w:eastAsia="zh-CN"/>
        </w:rPr>
        <w:t>标、</w:t>
      </w:r>
      <w:r>
        <w:rPr>
          <w:rFonts w:hint="eastAsia" w:cs="宋体"/>
          <w:bCs/>
          <w:color w:val="auto"/>
          <w:sz w:val="21"/>
          <w:szCs w:val="21"/>
          <w:highlight w:val="none"/>
        </w:rPr>
        <w:t>企业信誉等方面内容</w:t>
      </w:r>
      <w:r>
        <w:rPr>
          <w:rFonts w:hint="eastAsia" w:cs="宋体"/>
          <w:bCs/>
          <w:color w:val="auto"/>
          <w:sz w:val="21"/>
          <w:szCs w:val="21"/>
          <w:highlight w:val="none"/>
          <w:lang w:eastAsia="zh-CN"/>
        </w:rPr>
        <w:t>进行</w:t>
      </w:r>
      <w:r>
        <w:rPr>
          <w:rFonts w:hint="eastAsia" w:cs="宋体"/>
          <w:bCs/>
          <w:color w:val="auto"/>
          <w:sz w:val="21"/>
          <w:szCs w:val="21"/>
          <w:highlight w:val="none"/>
        </w:rPr>
        <w:t>打分</w:t>
      </w:r>
      <w:r>
        <w:rPr>
          <w:rFonts w:hint="eastAsia" w:cs="宋体"/>
          <w:bCs/>
          <w:color w:val="auto"/>
          <w:sz w:val="21"/>
          <w:szCs w:val="21"/>
          <w:highlight w:val="none"/>
          <w:lang w:eastAsia="zh-CN"/>
        </w:rPr>
        <w:t>。</w:t>
      </w:r>
    </w:p>
    <w:p w14:paraId="00DED534">
      <w:pPr>
        <w:pStyle w:val="13"/>
        <w:shd w:val="clear"/>
        <w:spacing w:line="520" w:lineRule="exact"/>
        <w:rPr>
          <w:rFonts w:hint="eastAsia" w:cs="宋体"/>
          <w:bCs/>
          <w:color w:val="auto"/>
          <w:sz w:val="21"/>
          <w:szCs w:val="21"/>
          <w:highlight w:val="none"/>
        </w:rPr>
      </w:pPr>
      <w:r>
        <w:rPr>
          <w:rFonts w:hint="eastAsia" w:cs="宋体"/>
          <w:bCs/>
          <w:color w:val="auto"/>
          <w:sz w:val="21"/>
          <w:szCs w:val="21"/>
          <w:highlight w:val="none"/>
        </w:rPr>
        <w:t>（三）评标方式：以封闭方式进行。</w:t>
      </w:r>
    </w:p>
    <w:p w14:paraId="7D8A3C8A">
      <w:pPr>
        <w:pStyle w:val="13"/>
        <w:shd w:val="clear"/>
        <w:spacing w:line="520" w:lineRule="exact"/>
        <w:contextualSpacing/>
        <w:rPr>
          <w:rFonts w:hint="eastAsia" w:cs="宋体"/>
          <w:bCs/>
          <w:color w:val="auto"/>
          <w:sz w:val="21"/>
          <w:szCs w:val="21"/>
          <w:highlight w:val="none"/>
        </w:rPr>
      </w:pPr>
      <w:r>
        <w:rPr>
          <w:rFonts w:hint="eastAsia" w:cs="宋体"/>
          <w:b/>
          <w:color w:val="auto"/>
          <w:sz w:val="21"/>
          <w:szCs w:val="21"/>
          <w:highlight w:val="none"/>
        </w:rPr>
        <w:t>二、评分标准</w:t>
      </w:r>
    </w:p>
    <w:p w14:paraId="26A3BE61">
      <w:pPr>
        <w:shd w:val="clear"/>
        <w:spacing w:line="360" w:lineRule="auto"/>
        <w:ind w:firstLine="420" w:firstLineChars="200"/>
        <w:rPr>
          <w:rFonts w:ascii="宋体" w:hAnsi="宋体"/>
          <w:bCs/>
          <w:color w:val="auto"/>
          <w:sz w:val="21"/>
          <w:szCs w:val="21"/>
          <w:highlight w:val="none"/>
        </w:rPr>
      </w:pPr>
      <w:r>
        <w:rPr>
          <w:rFonts w:hint="eastAsia" w:cs="宋体"/>
          <w:bCs/>
          <w:color w:val="auto"/>
          <w:sz w:val="21"/>
          <w:szCs w:val="21"/>
          <w:highlight w:val="none"/>
        </w:rPr>
        <w:t>（一）</w:t>
      </w: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6C1A1EF1">
      <w:pPr>
        <w:pStyle w:val="13"/>
        <w:shd w:val="clear"/>
        <w:spacing w:line="520" w:lineRule="exact"/>
        <w:ind w:firstLine="420" w:firstLineChars="200"/>
        <w:contextualSpacing/>
        <w:rPr>
          <w:rFonts w:hint="eastAsia" w:eastAsia="宋体" w:cs="宋体"/>
          <w:bCs/>
          <w:color w:val="auto"/>
          <w:sz w:val="21"/>
          <w:szCs w:val="21"/>
          <w:highlight w:val="none"/>
          <w:lang w:eastAsia="zh-CN"/>
        </w:rPr>
      </w:pPr>
      <w:r>
        <w:rPr>
          <w:rFonts w:hint="eastAsia" w:cs="宋体"/>
          <w:bCs/>
          <w:color w:val="auto"/>
          <w:sz w:val="21"/>
          <w:szCs w:val="21"/>
          <w:highlight w:val="none"/>
        </w:rPr>
        <w:t>（二）</w:t>
      </w: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r>
        <w:rPr>
          <w:rFonts w:hint="eastAsia"/>
          <w:bCs/>
          <w:color w:val="auto"/>
          <w:sz w:val="21"/>
          <w:szCs w:val="21"/>
          <w:highlight w:val="none"/>
          <w:lang w:eastAsia="zh-CN"/>
        </w:rPr>
        <w:t>。</w:t>
      </w:r>
    </w:p>
    <w:p w14:paraId="04E9B944">
      <w:pPr>
        <w:pStyle w:val="31"/>
        <w:shd w:val="clear"/>
        <w:spacing w:line="520" w:lineRule="exact"/>
        <w:jc w:val="left"/>
        <w:rPr>
          <w:rFonts w:hint="eastAsia" w:ascii="宋体" w:hAnsi="宋体" w:cs="宋体"/>
          <w:b/>
          <w:color w:val="auto"/>
          <w:sz w:val="21"/>
          <w:szCs w:val="21"/>
          <w:highlight w:val="none"/>
        </w:rPr>
      </w:pPr>
      <w:bookmarkStart w:id="1119" w:name="_Toc419886414"/>
      <w:r>
        <w:rPr>
          <w:rFonts w:hint="eastAsia" w:ascii="宋体" w:hAnsi="宋体" w:cs="宋体"/>
          <w:b/>
          <w:color w:val="auto"/>
          <w:sz w:val="21"/>
          <w:szCs w:val="21"/>
          <w:highlight w:val="none"/>
        </w:rPr>
        <w:t>三、评定方法</w:t>
      </w:r>
      <w:bookmarkEnd w:id="1119"/>
      <w:r>
        <w:rPr>
          <w:rFonts w:hint="eastAsia" w:ascii="宋体" w:hAnsi="宋体" w:cs="宋体"/>
          <w:b/>
          <w:color w:val="auto"/>
          <w:sz w:val="21"/>
          <w:szCs w:val="21"/>
          <w:highlight w:val="none"/>
        </w:rPr>
        <w:t>（总分=1+2）</w:t>
      </w:r>
    </w:p>
    <w:tbl>
      <w:tblPr>
        <w:tblStyle w:val="23"/>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7"/>
        <w:gridCol w:w="1773"/>
        <w:gridCol w:w="5640"/>
      </w:tblGrid>
      <w:tr w14:paraId="5A4B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14BC32D8">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jc w:val="center"/>
              <w:rPr>
                <w:rFonts w:hint="default"/>
                <w:b/>
                <w:bCs/>
                <w:color w:val="auto"/>
                <w:sz w:val="21"/>
                <w:szCs w:val="21"/>
                <w:highlight w:val="none"/>
              </w:rPr>
            </w:pPr>
            <w:r>
              <w:rPr>
                <w:rFonts w:hint="default"/>
                <w:b/>
                <w:bCs/>
                <w:color w:val="auto"/>
                <w:sz w:val="21"/>
                <w:szCs w:val="21"/>
                <w:highlight w:val="none"/>
              </w:rPr>
              <w:t>分值构成</w:t>
            </w:r>
          </w:p>
        </w:tc>
        <w:tc>
          <w:tcPr>
            <w:tcW w:w="1773" w:type="dxa"/>
            <w:vAlign w:val="center"/>
          </w:tcPr>
          <w:p w14:paraId="4D4B20A7">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color w:val="auto"/>
                <w:sz w:val="21"/>
                <w:szCs w:val="21"/>
                <w:highlight w:val="none"/>
              </w:rPr>
            </w:pPr>
            <w:r>
              <w:rPr>
                <w:rFonts w:hint="default"/>
                <w:color w:val="auto"/>
                <w:sz w:val="21"/>
                <w:szCs w:val="21"/>
                <w:highlight w:val="none"/>
              </w:rPr>
              <w:t>分值构成（总分100分）</w:t>
            </w:r>
          </w:p>
        </w:tc>
        <w:tc>
          <w:tcPr>
            <w:tcW w:w="5640" w:type="dxa"/>
            <w:vAlign w:val="top"/>
          </w:tcPr>
          <w:p w14:paraId="6DB9E7AF">
            <w:pPr>
              <w:keepNext w:val="0"/>
              <w:keepLines w:val="0"/>
              <w:pageBreakBefore w:val="0"/>
              <w:suppressLineNumbers w:val="0"/>
              <w:kinsoku/>
              <w:wordWrap/>
              <w:overflowPunct/>
              <w:topLinePunct w:val="0"/>
              <w:autoSpaceDE/>
              <w:autoSpaceDN/>
              <w:bidi w:val="0"/>
              <w:snapToGrid/>
              <w:spacing w:before="0" w:beforeAutospacing="0" w:after="0" w:afterAutospacing="0" w:line="312" w:lineRule="auto"/>
              <w:ind w:left="0" w:right="0"/>
              <w:rPr>
                <w:rFonts w:hint="default" w:eastAsia="宋体"/>
                <w:color w:val="auto"/>
                <w:sz w:val="21"/>
                <w:szCs w:val="21"/>
                <w:highlight w:val="none"/>
                <w:lang w:val="en-US" w:eastAsia="zh-CN"/>
              </w:rPr>
            </w:pPr>
            <w:r>
              <w:rPr>
                <w:rFonts w:hint="eastAsia"/>
                <w:color w:val="auto"/>
                <w:sz w:val="21"/>
                <w:szCs w:val="21"/>
                <w:highlight w:val="none"/>
                <w:lang w:eastAsia="zh-CN"/>
              </w:rPr>
              <w:t>施工组织设计</w:t>
            </w:r>
            <w:r>
              <w:rPr>
                <w:rFonts w:hint="default"/>
                <w:color w:val="auto"/>
                <w:sz w:val="21"/>
                <w:szCs w:val="21"/>
                <w:highlight w:val="none"/>
              </w:rPr>
              <w:t>：</w:t>
            </w:r>
            <w:r>
              <w:rPr>
                <w:rFonts w:hint="eastAsia"/>
                <w:color w:val="auto"/>
                <w:sz w:val="21"/>
                <w:szCs w:val="21"/>
                <w:highlight w:val="none"/>
                <w:lang w:val="en-US" w:eastAsia="zh-CN"/>
              </w:rPr>
              <w:t>70</w:t>
            </w:r>
            <w:r>
              <w:rPr>
                <w:rFonts w:hint="default"/>
                <w:color w:val="auto"/>
                <w:sz w:val="21"/>
                <w:szCs w:val="21"/>
                <w:highlight w:val="none"/>
              </w:rPr>
              <w:t>分</w:t>
            </w:r>
            <w:r>
              <w:rPr>
                <w:rFonts w:hint="eastAsia"/>
                <w:color w:val="auto"/>
                <w:sz w:val="21"/>
                <w:szCs w:val="21"/>
                <w:highlight w:val="none"/>
              </w:rPr>
              <w:t>；</w:t>
            </w:r>
            <w:r>
              <w:rPr>
                <w:rFonts w:hint="eastAsia"/>
                <w:color w:val="auto"/>
                <w:sz w:val="21"/>
                <w:szCs w:val="21"/>
                <w:highlight w:val="none"/>
                <w:lang w:eastAsia="zh-CN"/>
              </w:rPr>
              <w:t>报价得分</w:t>
            </w:r>
            <w:r>
              <w:rPr>
                <w:rFonts w:hint="default"/>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0</w:t>
            </w:r>
            <w:r>
              <w:rPr>
                <w:rFonts w:hint="default"/>
                <w:color w:val="auto"/>
                <w:sz w:val="21"/>
                <w:szCs w:val="21"/>
                <w:highlight w:val="none"/>
              </w:rPr>
              <w:t>分</w:t>
            </w:r>
          </w:p>
        </w:tc>
      </w:tr>
      <w:tr w14:paraId="13A8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8850" w:type="dxa"/>
            <w:gridSpan w:val="3"/>
            <w:vAlign w:val="center"/>
          </w:tcPr>
          <w:p w14:paraId="5941347D">
            <w:pPr>
              <w:keepNext w:val="0"/>
              <w:keepLines w:val="0"/>
              <w:suppressLineNumbers w:val="0"/>
              <w:spacing w:before="0" w:beforeAutospacing="0" w:after="0" w:afterAutospacing="0" w:line="360" w:lineRule="auto"/>
              <w:ind w:left="0" w:right="0"/>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施工组织设计（满分</w:t>
            </w:r>
            <w:r>
              <w:rPr>
                <w:rFonts w:hint="eastAsia"/>
                <w:color w:val="auto"/>
                <w:sz w:val="21"/>
                <w:szCs w:val="21"/>
                <w:highlight w:val="none"/>
                <w:lang w:val="en-US" w:eastAsia="zh-CN"/>
              </w:rPr>
              <w:t>70分</w:t>
            </w:r>
            <w:r>
              <w:rPr>
                <w:rFonts w:hint="eastAsia"/>
                <w:color w:val="auto"/>
                <w:sz w:val="21"/>
                <w:szCs w:val="21"/>
                <w:highlight w:val="none"/>
                <w:lang w:eastAsia="zh-CN"/>
              </w:rPr>
              <w:t>）</w:t>
            </w:r>
          </w:p>
        </w:tc>
      </w:tr>
      <w:tr w14:paraId="264D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19E243B">
            <w:pPr>
              <w:keepNext w:val="0"/>
              <w:keepLines w:val="0"/>
              <w:suppressLineNumbers w:val="0"/>
              <w:spacing w:before="0" w:beforeAutospacing="0" w:after="0" w:afterAutospacing="0" w:line="360" w:lineRule="auto"/>
              <w:ind w:left="0" w:right="0"/>
              <w:jc w:val="center"/>
              <w:rPr>
                <w:rFonts w:hint="eastAsia" w:eastAsia="宋体" w:cs="宋体"/>
                <w:b/>
                <w:bCs/>
                <w:color w:val="auto"/>
                <w:kern w:val="0"/>
                <w:sz w:val="21"/>
                <w:szCs w:val="21"/>
                <w:highlight w:val="none"/>
                <w:lang w:eastAsia="zh-CN"/>
              </w:rPr>
            </w:pPr>
            <w:r>
              <w:rPr>
                <w:rFonts w:hint="eastAsia" w:cs="宋体"/>
                <w:b/>
                <w:bCs/>
                <w:color w:val="auto"/>
                <w:kern w:val="0"/>
                <w:sz w:val="21"/>
                <w:szCs w:val="21"/>
                <w:highlight w:val="none"/>
                <w:lang w:eastAsia="zh-CN"/>
              </w:rPr>
              <w:t>评分项</w:t>
            </w:r>
          </w:p>
        </w:tc>
        <w:tc>
          <w:tcPr>
            <w:tcW w:w="7413" w:type="dxa"/>
            <w:gridSpan w:val="2"/>
            <w:vAlign w:val="center"/>
          </w:tcPr>
          <w:p w14:paraId="79A3F62A">
            <w:pPr>
              <w:keepNext w:val="0"/>
              <w:keepLines w:val="0"/>
              <w:suppressLineNumbers w:val="0"/>
              <w:spacing w:before="0" w:beforeAutospacing="0" w:after="0" w:afterAutospacing="0" w:line="360" w:lineRule="auto"/>
              <w:ind w:left="0" w:right="0"/>
              <w:jc w:val="center"/>
              <w:rPr>
                <w:rFonts w:hint="eastAsia"/>
                <w:b/>
                <w:bCs/>
                <w:color w:val="auto"/>
                <w:sz w:val="21"/>
                <w:szCs w:val="21"/>
                <w:highlight w:val="none"/>
                <w:lang w:eastAsia="zh-CN"/>
              </w:rPr>
            </w:pPr>
            <w:r>
              <w:rPr>
                <w:rFonts w:hint="eastAsia"/>
                <w:b/>
                <w:bCs/>
                <w:color w:val="auto"/>
                <w:sz w:val="21"/>
                <w:szCs w:val="21"/>
                <w:highlight w:val="none"/>
                <w:lang w:eastAsia="zh-CN"/>
              </w:rPr>
              <w:t>评分内容和标准</w:t>
            </w:r>
          </w:p>
        </w:tc>
      </w:tr>
      <w:tr w14:paraId="40B6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42CC028C">
            <w:pPr>
              <w:keepNext w:val="0"/>
              <w:keepLines w:val="0"/>
              <w:suppressLineNumbers w:val="0"/>
              <w:spacing w:before="0" w:beforeAutospacing="0" w:after="0" w:afterAutospacing="0" w:line="360" w:lineRule="auto"/>
              <w:ind w:left="0" w:right="0"/>
              <w:rPr>
                <w:rFonts w:hint="eastAsia" w:eastAsia="宋体"/>
                <w:color w:val="auto"/>
                <w:sz w:val="21"/>
                <w:szCs w:val="21"/>
                <w:highlight w:val="none"/>
                <w:lang w:eastAsia="zh-CN"/>
              </w:rPr>
            </w:pPr>
            <w:r>
              <w:rPr>
                <w:rFonts w:hint="eastAsia" w:cs="宋体"/>
                <w:color w:val="auto"/>
                <w:kern w:val="0"/>
                <w:sz w:val="21"/>
                <w:szCs w:val="21"/>
                <w:highlight w:val="none"/>
              </w:rPr>
              <w:t>主要施工方法（</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55922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评审专家自行对主要施工方法、技术实施方案、施工工艺是否有针对性、齐全、合理进行独立打分。</w:t>
            </w:r>
          </w:p>
          <w:p w14:paraId="1D0836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分）：各主要分部施工方法针对性强，施工技术方案详尽周密</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包括编制依据、原则、范围、工程概况、总体布置、施工方法、应急救援预案、季节性施工保证措施及与甲方、监理、设计间的协调等内容</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val="en-US" w:eastAsia="zh-CN"/>
              </w:rPr>
              <w:t>拟投入的</w:t>
            </w:r>
            <w:r>
              <w:rPr>
                <w:rFonts w:hint="default"/>
                <w:color w:val="auto"/>
                <w:sz w:val="21"/>
                <w:szCs w:val="21"/>
                <w:highlight w:val="none"/>
              </w:rPr>
              <w:t>工艺先进、</w:t>
            </w:r>
            <w:r>
              <w:rPr>
                <w:rFonts w:hint="eastAsia"/>
                <w:color w:val="auto"/>
                <w:sz w:val="21"/>
                <w:szCs w:val="21"/>
                <w:highlight w:val="none"/>
                <w:lang w:val="en-US" w:eastAsia="zh-CN"/>
              </w:rPr>
              <w:t>施工</w:t>
            </w:r>
            <w:r>
              <w:rPr>
                <w:rFonts w:hint="default"/>
                <w:color w:val="auto"/>
                <w:sz w:val="21"/>
                <w:szCs w:val="21"/>
                <w:highlight w:val="none"/>
              </w:rPr>
              <w:t>方法科学、可行</w:t>
            </w:r>
            <w:r>
              <w:rPr>
                <w:rFonts w:hint="eastAsia"/>
                <w:color w:val="auto"/>
                <w:sz w:val="21"/>
                <w:szCs w:val="21"/>
                <w:highlight w:val="none"/>
                <w:lang w:val="en-US" w:eastAsia="zh-CN"/>
              </w:rPr>
              <w:t>，</w:t>
            </w:r>
            <w:r>
              <w:rPr>
                <w:rFonts w:hint="default"/>
                <w:color w:val="auto"/>
                <w:sz w:val="21"/>
                <w:szCs w:val="21"/>
                <w:highlight w:val="none"/>
              </w:rPr>
              <w:t>能很好的指导具体施工合确保安全</w:t>
            </w:r>
            <w:r>
              <w:rPr>
                <w:rFonts w:hint="eastAsia"/>
                <w:color w:val="auto"/>
                <w:sz w:val="21"/>
                <w:szCs w:val="21"/>
                <w:highlight w:val="none"/>
                <w:lang w:eastAsia="zh-CN"/>
              </w:rPr>
              <w:t>，</w:t>
            </w:r>
            <w:r>
              <w:rPr>
                <w:rFonts w:hint="eastAsia"/>
                <w:color w:val="auto"/>
                <w:sz w:val="21"/>
                <w:szCs w:val="21"/>
                <w:highlight w:val="none"/>
                <w:lang w:val="en-US" w:eastAsia="zh-CN"/>
              </w:rPr>
              <w:t>进行科学管理施工现场</w:t>
            </w:r>
            <w:r>
              <w:rPr>
                <w:rFonts w:hint="default"/>
                <w:color w:val="auto"/>
                <w:sz w:val="21"/>
                <w:szCs w:val="21"/>
                <w:highlight w:val="none"/>
              </w:rPr>
              <w:t>。</w:t>
            </w:r>
          </w:p>
          <w:p w14:paraId="4A3B7C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：各主要分部施工方法符合项目实际，施工技术方案齐全</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包括编制依据、原则、范围、工程概况、总体布置、施工方法、及与甲方、监理、设计间的协调等内容</w:t>
            </w:r>
            <w:r>
              <w:rPr>
                <w:rFonts w:hint="eastAsia"/>
                <w:color w:val="auto"/>
                <w:sz w:val="21"/>
                <w:szCs w:val="21"/>
                <w:highlight w:val="none"/>
                <w:lang w:eastAsia="zh-CN"/>
              </w:rPr>
              <w:t>）</w:t>
            </w:r>
            <w:r>
              <w:rPr>
                <w:rFonts w:hint="default"/>
                <w:color w:val="auto"/>
                <w:sz w:val="21"/>
                <w:szCs w:val="21"/>
                <w:highlight w:val="none"/>
              </w:rPr>
              <w:t>，</w:t>
            </w:r>
            <w:r>
              <w:rPr>
                <w:rFonts w:hint="eastAsia"/>
                <w:color w:val="auto"/>
                <w:sz w:val="21"/>
                <w:szCs w:val="21"/>
                <w:highlight w:val="none"/>
                <w:lang w:val="en-US" w:eastAsia="zh-CN"/>
              </w:rPr>
              <w:t>拟投入的</w:t>
            </w:r>
            <w:r>
              <w:rPr>
                <w:rFonts w:hint="default"/>
                <w:color w:val="auto"/>
                <w:sz w:val="21"/>
                <w:szCs w:val="21"/>
                <w:highlight w:val="none"/>
              </w:rPr>
              <w:t>工艺成熟、</w:t>
            </w:r>
            <w:r>
              <w:rPr>
                <w:rFonts w:hint="eastAsia"/>
                <w:color w:val="auto"/>
                <w:sz w:val="21"/>
                <w:szCs w:val="21"/>
                <w:highlight w:val="none"/>
                <w:lang w:val="en-US" w:eastAsia="zh-CN"/>
              </w:rPr>
              <w:t>施工</w:t>
            </w:r>
            <w:r>
              <w:rPr>
                <w:rFonts w:hint="default"/>
                <w:color w:val="auto"/>
                <w:sz w:val="21"/>
                <w:szCs w:val="21"/>
                <w:highlight w:val="none"/>
              </w:rPr>
              <w:t>方法合理、可行，能指导具体施工并确保安全。</w:t>
            </w:r>
          </w:p>
          <w:p w14:paraId="2199C4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：各主要分部施工方法基本符合项目实际，施工技术方案基本齐全</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包括编制依据、原则、范围、工程概况、总体布置、施工方法、等内容</w:t>
            </w:r>
            <w:r>
              <w:rPr>
                <w:rFonts w:hint="eastAsia"/>
                <w:color w:val="auto"/>
                <w:sz w:val="21"/>
                <w:szCs w:val="21"/>
                <w:highlight w:val="none"/>
                <w:lang w:eastAsia="zh-CN"/>
              </w:rPr>
              <w:t>）</w:t>
            </w:r>
            <w:r>
              <w:rPr>
                <w:rFonts w:hint="default"/>
                <w:color w:val="auto"/>
                <w:sz w:val="21"/>
                <w:szCs w:val="21"/>
                <w:highlight w:val="none"/>
              </w:rPr>
              <w:t xml:space="preserve">，方法基本合理、基本可行，基本能指导具体施 工并确保安全。 </w:t>
            </w:r>
          </w:p>
          <w:p w14:paraId="41300D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：各主要分部施工方法针对性差，施工技术方案差</w:t>
            </w:r>
            <w:r>
              <w:rPr>
                <w:rFonts w:hint="eastAsia"/>
                <w:color w:val="auto"/>
                <w:sz w:val="21"/>
                <w:szCs w:val="21"/>
                <w:highlight w:val="none"/>
                <w:lang w:eastAsia="zh-CN"/>
              </w:rPr>
              <w:t>（</w:t>
            </w:r>
            <w:r>
              <w:rPr>
                <w:rFonts w:hint="eastAsia"/>
                <w:color w:val="auto"/>
                <w:sz w:val="21"/>
                <w:szCs w:val="21"/>
                <w:highlight w:val="none"/>
                <w:lang w:val="en-US" w:eastAsia="zh-CN"/>
              </w:rPr>
              <w:t>包括编制依据、原则、范围、工程概况、总体布置、施工方法、等内容</w:t>
            </w:r>
            <w:r>
              <w:rPr>
                <w:rFonts w:hint="eastAsia"/>
                <w:color w:val="auto"/>
                <w:sz w:val="21"/>
                <w:szCs w:val="21"/>
                <w:highlight w:val="none"/>
                <w:lang w:eastAsia="zh-CN"/>
              </w:rPr>
              <w:t>）</w:t>
            </w:r>
            <w:r>
              <w:rPr>
                <w:rFonts w:hint="default"/>
                <w:color w:val="auto"/>
                <w:sz w:val="21"/>
                <w:szCs w:val="21"/>
                <w:highlight w:val="none"/>
              </w:rPr>
              <w:t xml:space="preserve">， </w:t>
            </w:r>
            <w:r>
              <w:rPr>
                <w:rFonts w:hint="eastAsia"/>
                <w:color w:val="auto"/>
                <w:sz w:val="21"/>
                <w:szCs w:val="21"/>
                <w:highlight w:val="none"/>
                <w:lang w:val="en-US" w:eastAsia="zh-CN"/>
              </w:rPr>
              <w:t>施工</w:t>
            </w:r>
            <w:r>
              <w:rPr>
                <w:rFonts w:hint="default"/>
                <w:color w:val="auto"/>
                <w:sz w:val="21"/>
                <w:szCs w:val="21"/>
                <w:highlight w:val="none"/>
              </w:rPr>
              <w:t>工艺落后、方法不合理，</w:t>
            </w:r>
            <w:r>
              <w:rPr>
                <w:rFonts w:hint="eastAsia"/>
                <w:color w:val="auto"/>
                <w:sz w:val="21"/>
                <w:szCs w:val="21"/>
                <w:highlight w:val="none"/>
                <w:lang w:val="en-US" w:eastAsia="zh-CN"/>
              </w:rPr>
              <w:t>不能</w:t>
            </w:r>
            <w:r>
              <w:rPr>
                <w:rFonts w:hint="default"/>
                <w:color w:val="auto"/>
                <w:sz w:val="21"/>
                <w:szCs w:val="21"/>
                <w:highlight w:val="none"/>
              </w:rPr>
              <w:t>指导具体施工和确保安全。</w:t>
            </w:r>
          </w:p>
        </w:tc>
      </w:tr>
      <w:tr w14:paraId="7A52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454EA39">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拟投入的主要物资计划（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00422AA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评审专家自行对物资投入计划是否周密、准确、完整性等各方面进行独立打分。</w:t>
            </w:r>
          </w:p>
          <w:p w14:paraId="573545C0">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优（8分）</w:t>
            </w:r>
            <w:r>
              <w:rPr>
                <w:rFonts w:hint="default"/>
                <w:color w:val="auto"/>
                <w:sz w:val="21"/>
                <w:szCs w:val="21"/>
                <w:highlight w:val="none"/>
              </w:rPr>
              <w:t>：投入的施工材料有详细的组织计划且计划周密，投入计划与进度计划呼应，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施工材料进场前3天进行检查复核并进行最终的检测合格，</w:t>
            </w:r>
            <w:r>
              <w:rPr>
                <w:rFonts w:hint="eastAsia"/>
                <w:color w:val="auto"/>
                <w:sz w:val="21"/>
                <w:szCs w:val="21"/>
                <w:highlight w:val="none"/>
                <w:lang w:eastAsia="zh-CN"/>
              </w:rPr>
              <w:t>完全</w:t>
            </w:r>
            <w:r>
              <w:rPr>
                <w:rFonts w:hint="default"/>
                <w:color w:val="auto"/>
                <w:sz w:val="21"/>
                <w:szCs w:val="21"/>
                <w:highlight w:val="none"/>
              </w:rPr>
              <w:t>满足施工需要，调配投入计划合理、准确</w:t>
            </w:r>
            <w:r>
              <w:rPr>
                <w:rFonts w:hint="eastAsia"/>
                <w:color w:val="auto"/>
                <w:sz w:val="21"/>
                <w:szCs w:val="21"/>
                <w:highlight w:val="none"/>
                <w:lang w:eastAsia="zh-CN"/>
              </w:rPr>
              <w:t>、完整，</w:t>
            </w:r>
            <w:r>
              <w:rPr>
                <w:rFonts w:hint="eastAsia"/>
                <w:color w:val="auto"/>
                <w:sz w:val="21"/>
                <w:szCs w:val="21"/>
                <w:highlight w:val="none"/>
                <w:lang w:val="en-US" w:eastAsia="zh-CN"/>
              </w:rPr>
              <w:t>按照本项目的建设内容和进度</w:t>
            </w:r>
            <w:r>
              <w:rPr>
                <w:rFonts w:hint="default"/>
                <w:color w:val="auto"/>
                <w:sz w:val="21"/>
                <w:szCs w:val="21"/>
                <w:highlight w:val="none"/>
              </w:rPr>
              <w:t>。</w:t>
            </w:r>
          </w:p>
          <w:p w14:paraId="3409944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：投入的施工材料有详细的组织计划，投入计划与进度计划呼应，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施工材料进场前2天进行检查复核并进行最终的检测合格，</w:t>
            </w:r>
            <w:r>
              <w:rPr>
                <w:rFonts w:hint="eastAsia"/>
                <w:color w:val="auto"/>
                <w:sz w:val="21"/>
                <w:szCs w:val="21"/>
                <w:highlight w:val="none"/>
                <w:lang w:eastAsia="zh-CN"/>
              </w:rPr>
              <w:t>可以</w:t>
            </w:r>
            <w:r>
              <w:rPr>
                <w:rFonts w:hint="default"/>
                <w:color w:val="auto"/>
                <w:sz w:val="21"/>
                <w:szCs w:val="21"/>
                <w:highlight w:val="none"/>
              </w:rPr>
              <w:t xml:space="preserve">满足施工需要，调配投入计划基本合理、准确。 </w:t>
            </w:r>
          </w:p>
          <w:p w14:paraId="0F610334">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中（4分）</w:t>
            </w:r>
            <w:r>
              <w:rPr>
                <w:rFonts w:hint="default"/>
                <w:color w:val="auto"/>
                <w:sz w:val="21"/>
                <w:szCs w:val="21"/>
                <w:highlight w:val="none"/>
              </w:rPr>
              <w:t>：投入的施工材料有</w:t>
            </w:r>
            <w:r>
              <w:rPr>
                <w:rFonts w:hint="eastAsia"/>
                <w:color w:val="auto"/>
                <w:sz w:val="21"/>
                <w:szCs w:val="21"/>
                <w:highlight w:val="none"/>
                <w:lang w:eastAsia="zh-CN"/>
              </w:rPr>
              <w:t>完整</w:t>
            </w:r>
            <w:r>
              <w:rPr>
                <w:rFonts w:hint="default"/>
                <w:color w:val="auto"/>
                <w:sz w:val="21"/>
                <w:szCs w:val="21"/>
                <w:highlight w:val="none"/>
              </w:rPr>
              <w:t>的组织计划，</w:t>
            </w:r>
            <w:r>
              <w:rPr>
                <w:rFonts w:hint="eastAsia"/>
                <w:color w:val="auto"/>
                <w:sz w:val="21"/>
                <w:szCs w:val="21"/>
                <w:highlight w:val="none"/>
                <w:lang w:eastAsia="zh-CN"/>
              </w:rPr>
              <w:t>在</w:t>
            </w:r>
            <w:r>
              <w:rPr>
                <w:rFonts w:hint="eastAsia"/>
                <w:color w:val="auto"/>
                <w:sz w:val="21"/>
                <w:szCs w:val="21"/>
                <w:highlight w:val="none"/>
                <w:lang w:val="en-US" w:eastAsia="zh-CN"/>
              </w:rPr>
              <w:t>施工材料进场前1天进行检查复核并进行最终的检测合格，</w:t>
            </w:r>
            <w:r>
              <w:rPr>
                <w:rFonts w:hint="default"/>
                <w:color w:val="auto"/>
                <w:sz w:val="21"/>
                <w:szCs w:val="21"/>
                <w:highlight w:val="none"/>
              </w:rPr>
              <w:t>投入计划与进度计划呼</w:t>
            </w:r>
            <w:r>
              <w:rPr>
                <w:rFonts w:hint="default"/>
                <w:color w:val="auto"/>
                <w:spacing w:val="-10"/>
                <w:sz w:val="21"/>
                <w:szCs w:val="21"/>
                <w:highlight w:val="none"/>
              </w:rPr>
              <w:t>应，基本满足施工需要，</w:t>
            </w:r>
            <w:r>
              <w:rPr>
                <w:rFonts w:hint="default"/>
                <w:color w:val="auto"/>
                <w:sz w:val="21"/>
                <w:szCs w:val="21"/>
                <w:highlight w:val="none"/>
              </w:rPr>
              <w:t xml:space="preserve">调配投入计划基本合理。 </w:t>
            </w:r>
          </w:p>
          <w:p w14:paraId="2D9F568F">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：投入的施工材料的组织计划差，</w:t>
            </w:r>
            <w:r>
              <w:rPr>
                <w:rFonts w:hint="eastAsia"/>
                <w:color w:val="auto"/>
                <w:sz w:val="21"/>
                <w:szCs w:val="21"/>
                <w:highlight w:val="none"/>
                <w:lang w:eastAsia="zh-CN"/>
              </w:rPr>
              <w:t>在</w:t>
            </w:r>
            <w:r>
              <w:rPr>
                <w:rFonts w:hint="eastAsia"/>
                <w:color w:val="auto"/>
                <w:sz w:val="21"/>
                <w:szCs w:val="21"/>
                <w:highlight w:val="none"/>
                <w:lang w:val="en-US" w:eastAsia="zh-CN"/>
              </w:rPr>
              <w:t>施工材料进场前1天进行检查复核并进行最终的检测合格，</w:t>
            </w:r>
            <w:r>
              <w:rPr>
                <w:rFonts w:hint="default"/>
                <w:color w:val="auto"/>
                <w:sz w:val="21"/>
                <w:szCs w:val="21"/>
                <w:highlight w:val="none"/>
              </w:rPr>
              <w:t>投入计划与进度计划不呼应，</w:t>
            </w:r>
            <w:r>
              <w:rPr>
                <w:rFonts w:hint="eastAsia"/>
                <w:color w:val="auto"/>
                <w:sz w:val="21"/>
                <w:szCs w:val="21"/>
                <w:highlight w:val="none"/>
                <w:lang w:eastAsia="zh-CN"/>
              </w:rPr>
              <w:t>勉强</w:t>
            </w:r>
            <w:r>
              <w:rPr>
                <w:rFonts w:hint="default"/>
                <w:color w:val="auto"/>
                <w:sz w:val="21"/>
                <w:szCs w:val="21"/>
                <w:highlight w:val="none"/>
              </w:rPr>
              <w:t>满足施工需要。</w:t>
            </w:r>
          </w:p>
        </w:tc>
      </w:tr>
      <w:tr w14:paraId="16ACA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25003EA1">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拟投入的主要施工机械、设备计划（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0E17BE60">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rPr>
            </w:pPr>
            <w:r>
              <w:rPr>
                <w:rFonts w:hint="eastAsia"/>
                <w:color w:val="auto"/>
                <w:sz w:val="21"/>
                <w:szCs w:val="21"/>
                <w:highlight w:val="none"/>
              </w:rPr>
              <w:t>评审专家自行对主要施工机械、设备计划、设备数量，型号配置等是否完整、齐全，满足施工进度需要等各方面进行独立打分。</w:t>
            </w:r>
          </w:p>
          <w:p w14:paraId="66B718E9">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优（</w:t>
            </w:r>
            <w:r>
              <w:rPr>
                <w:rFonts w:hint="eastAsia"/>
                <w:color w:val="auto"/>
                <w:sz w:val="21"/>
                <w:szCs w:val="21"/>
                <w:highlight w:val="none"/>
                <w:lang w:val="en-US" w:eastAsia="zh-CN"/>
              </w:rPr>
              <w:t>8</w:t>
            </w:r>
            <w:r>
              <w:rPr>
                <w:rFonts w:hint="default"/>
                <w:color w:val="auto"/>
                <w:sz w:val="21"/>
                <w:szCs w:val="21"/>
                <w:highlight w:val="none"/>
              </w:rPr>
              <w:t>分）：</w:t>
            </w:r>
            <w:r>
              <w:rPr>
                <w:rFonts w:hint="eastAsia"/>
                <w:color w:val="auto"/>
                <w:sz w:val="21"/>
                <w:szCs w:val="21"/>
                <w:highlight w:val="none"/>
                <w:lang w:eastAsia="zh-CN"/>
              </w:rPr>
              <w:t>投入的主要施工机械设备</w:t>
            </w:r>
            <w:r>
              <w:rPr>
                <w:rFonts w:hint="default"/>
                <w:color w:val="auto"/>
                <w:sz w:val="21"/>
                <w:szCs w:val="21"/>
                <w:highlight w:val="none"/>
              </w:rPr>
              <w:t>有详细的组织计划且计划周密，</w:t>
            </w:r>
            <w:r>
              <w:rPr>
                <w:rFonts w:hint="eastAsia" w:cs="宋体"/>
                <w:color w:val="auto"/>
                <w:kern w:val="0"/>
                <w:sz w:val="21"/>
                <w:szCs w:val="21"/>
                <w:highlight w:val="none"/>
              </w:rPr>
              <w:t>施工机械设备</w:t>
            </w:r>
            <w:r>
              <w:rPr>
                <w:rFonts w:hint="eastAsia"/>
                <w:color w:val="auto"/>
                <w:sz w:val="21"/>
                <w:szCs w:val="21"/>
                <w:highlight w:val="none"/>
                <w:lang w:val="en-US" w:eastAsia="zh-CN"/>
              </w:rPr>
              <w:t>的</w:t>
            </w:r>
            <w:r>
              <w:rPr>
                <w:rFonts w:hint="default"/>
                <w:color w:val="auto"/>
                <w:sz w:val="21"/>
                <w:szCs w:val="21"/>
                <w:highlight w:val="none"/>
              </w:rPr>
              <w:t>进场时间安排合理</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每个施工节点开始前提供进场计划表，并做好进场前检查、复查工作，确保施工机械、设备能准时进场，保障项目实施进度，</w:t>
            </w:r>
            <w:r>
              <w:rPr>
                <w:rFonts w:hint="eastAsia"/>
                <w:color w:val="auto"/>
                <w:sz w:val="21"/>
                <w:szCs w:val="21"/>
                <w:highlight w:val="none"/>
                <w:lang w:eastAsia="zh-CN"/>
              </w:rPr>
              <w:t>完全</w:t>
            </w:r>
            <w:r>
              <w:rPr>
                <w:rFonts w:hint="default"/>
                <w:color w:val="auto"/>
                <w:sz w:val="21"/>
                <w:szCs w:val="21"/>
                <w:highlight w:val="none"/>
              </w:rPr>
              <w:t xml:space="preserve">满足施工需要。 </w:t>
            </w:r>
          </w:p>
          <w:p w14:paraId="48076B2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pacing w:val="-13"/>
                <w:sz w:val="21"/>
                <w:szCs w:val="21"/>
                <w:highlight w:val="none"/>
              </w:rPr>
            </w:pPr>
            <w:r>
              <w:rPr>
                <w:rFonts w:hint="eastAsia"/>
                <w:color w:val="auto"/>
                <w:sz w:val="21"/>
                <w:szCs w:val="21"/>
                <w:highlight w:val="none"/>
                <w:lang w:eastAsia="zh-CN"/>
              </w:rPr>
              <w:t>良（</w:t>
            </w:r>
            <w:r>
              <w:rPr>
                <w:rFonts w:hint="eastAsia"/>
                <w:color w:val="auto"/>
                <w:sz w:val="21"/>
                <w:szCs w:val="21"/>
                <w:highlight w:val="none"/>
                <w:lang w:val="en-US" w:eastAsia="zh-CN"/>
              </w:rPr>
              <w:t>6</w:t>
            </w:r>
            <w:r>
              <w:rPr>
                <w:rFonts w:hint="eastAsia"/>
                <w:color w:val="auto"/>
                <w:sz w:val="21"/>
                <w:szCs w:val="21"/>
                <w:highlight w:val="none"/>
                <w:lang w:eastAsia="zh-CN"/>
              </w:rPr>
              <w:t>分）</w:t>
            </w:r>
            <w:r>
              <w:rPr>
                <w:rFonts w:hint="default"/>
                <w:color w:val="auto"/>
                <w:sz w:val="21"/>
                <w:szCs w:val="21"/>
                <w:highlight w:val="none"/>
              </w:rPr>
              <w:t>：</w:t>
            </w:r>
            <w:r>
              <w:rPr>
                <w:rFonts w:hint="eastAsia"/>
                <w:color w:val="auto"/>
                <w:sz w:val="21"/>
                <w:szCs w:val="21"/>
                <w:highlight w:val="none"/>
                <w:lang w:eastAsia="zh-CN"/>
              </w:rPr>
              <w:t>投入的主要施工机械设备</w:t>
            </w:r>
            <w:r>
              <w:rPr>
                <w:rFonts w:hint="default"/>
                <w:color w:val="auto"/>
                <w:spacing w:val="-10"/>
                <w:sz w:val="21"/>
                <w:szCs w:val="21"/>
                <w:highlight w:val="none"/>
              </w:rPr>
              <w:t>有详细的组织计划，</w:t>
            </w:r>
            <w:r>
              <w:rPr>
                <w:rFonts w:hint="eastAsia" w:cs="宋体"/>
                <w:color w:val="auto"/>
                <w:kern w:val="0"/>
                <w:sz w:val="21"/>
                <w:szCs w:val="21"/>
                <w:highlight w:val="none"/>
              </w:rPr>
              <w:t>施工机械、设备</w:t>
            </w:r>
            <w:r>
              <w:rPr>
                <w:rFonts w:hint="eastAsia" w:cs="宋体"/>
                <w:color w:val="auto"/>
                <w:kern w:val="0"/>
                <w:sz w:val="21"/>
                <w:szCs w:val="21"/>
                <w:highlight w:val="none"/>
                <w:lang w:eastAsia="zh-CN"/>
              </w:rPr>
              <w:t>的</w:t>
            </w:r>
            <w:r>
              <w:rPr>
                <w:rFonts w:hint="default"/>
                <w:color w:val="auto"/>
                <w:spacing w:val="-10"/>
                <w:sz w:val="21"/>
                <w:szCs w:val="21"/>
                <w:highlight w:val="none"/>
              </w:rPr>
              <w:t>进场投入计划与进度计划呼</w:t>
            </w:r>
            <w:r>
              <w:rPr>
                <w:rFonts w:hint="default"/>
                <w:color w:val="auto"/>
                <w:spacing w:val="-13"/>
                <w:sz w:val="21"/>
                <w:szCs w:val="21"/>
                <w:highlight w:val="none"/>
              </w:rPr>
              <w:t>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每个施工节点开始提供进场计划表，保证施工机械、设备能准时进场，能按照施工要求的进度，</w:t>
            </w:r>
            <w:r>
              <w:rPr>
                <w:rFonts w:hint="default"/>
                <w:color w:val="auto"/>
                <w:spacing w:val="-13"/>
                <w:sz w:val="21"/>
                <w:szCs w:val="21"/>
                <w:highlight w:val="none"/>
              </w:rPr>
              <w:t xml:space="preserve">满足施工需要。 </w:t>
            </w:r>
          </w:p>
          <w:p w14:paraId="32E5CCBD">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101" w:firstLine="368" w:firstLineChars="200"/>
              <w:textAlignment w:val="auto"/>
              <w:rPr>
                <w:rFonts w:hint="default" w:ascii="宋体" w:hAnsi="宋体" w:eastAsia="宋体" w:cs="宋体"/>
                <w:color w:val="auto"/>
                <w:spacing w:val="-3"/>
                <w:sz w:val="21"/>
                <w:szCs w:val="21"/>
                <w:highlight w:val="none"/>
              </w:rPr>
            </w:pPr>
            <w:r>
              <w:rPr>
                <w:rFonts w:hint="eastAsia"/>
                <w:color w:val="auto"/>
                <w:spacing w:val="-13"/>
                <w:sz w:val="21"/>
                <w:szCs w:val="21"/>
                <w:highlight w:val="none"/>
                <w:lang w:eastAsia="zh-CN"/>
              </w:rPr>
              <w:t>中（4分）</w:t>
            </w:r>
            <w:r>
              <w:rPr>
                <w:rFonts w:hint="default"/>
                <w:color w:val="auto"/>
                <w:spacing w:val="-3"/>
                <w:sz w:val="21"/>
                <w:szCs w:val="21"/>
                <w:highlight w:val="none"/>
              </w:rPr>
              <w:t>：</w:t>
            </w:r>
            <w:r>
              <w:rPr>
                <w:rFonts w:hint="eastAsia"/>
                <w:color w:val="auto"/>
                <w:spacing w:val="-3"/>
                <w:sz w:val="21"/>
                <w:szCs w:val="21"/>
                <w:highlight w:val="none"/>
                <w:lang w:eastAsia="zh-CN"/>
              </w:rPr>
              <w:t>投入的主要施工机械设备</w:t>
            </w:r>
            <w:r>
              <w:rPr>
                <w:rFonts w:hint="default" w:ascii="宋体" w:hAnsi="宋体" w:eastAsia="宋体" w:cs="宋体"/>
                <w:color w:val="auto"/>
                <w:spacing w:val="-3"/>
                <w:sz w:val="21"/>
                <w:szCs w:val="21"/>
                <w:highlight w:val="none"/>
              </w:rPr>
              <w:t>有组织计划，</w:t>
            </w:r>
            <w:r>
              <w:rPr>
                <w:rFonts w:hint="eastAsia" w:cs="宋体"/>
                <w:color w:val="auto"/>
                <w:kern w:val="0"/>
                <w:sz w:val="21"/>
                <w:szCs w:val="21"/>
                <w:highlight w:val="none"/>
              </w:rPr>
              <w:t>施工机械、设备</w:t>
            </w:r>
            <w:r>
              <w:rPr>
                <w:rFonts w:hint="default" w:ascii="宋体" w:hAnsi="宋体" w:eastAsia="宋体" w:cs="宋体"/>
                <w:color w:val="auto"/>
                <w:spacing w:val="-3"/>
                <w:sz w:val="21"/>
                <w:szCs w:val="21"/>
                <w:highlight w:val="none"/>
              </w:rPr>
              <w:t>进场投入计划与进度计划呼应，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每个施工节点开始前提供进场计划表，保证施工机械、设备能准时进场，能按照施工要求的进度，</w:t>
            </w:r>
            <w:r>
              <w:rPr>
                <w:rFonts w:hint="default" w:ascii="宋体" w:hAnsi="宋体" w:eastAsia="宋体" w:cs="宋体"/>
                <w:color w:val="auto"/>
                <w:spacing w:val="-3"/>
                <w:sz w:val="21"/>
                <w:szCs w:val="21"/>
                <w:highlight w:val="none"/>
              </w:rPr>
              <w:t xml:space="preserve">基本满足施工需要。 </w:t>
            </w:r>
          </w:p>
          <w:p w14:paraId="6E021AC8">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pacing w:val="-7"/>
                <w:sz w:val="21"/>
                <w:szCs w:val="21"/>
                <w:highlight w:val="none"/>
              </w:rPr>
              <w:t>：</w:t>
            </w:r>
            <w:r>
              <w:rPr>
                <w:rFonts w:hint="eastAsia"/>
                <w:color w:val="auto"/>
                <w:spacing w:val="-7"/>
                <w:sz w:val="21"/>
                <w:szCs w:val="21"/>
                <w:highlight w:val="none"/>
                <w:lang w:eastAsia="zh-CN"/>
              </w:rPr>
              <w:t>投入的主要施工机械设备</w:t>
            </w:r>
            <w:r>
              <w:rPr>
                <w:rFonts w:hint="default"/>
                <w:color w:val="auto"/>
                <w:spacing w:val="-10"/>
                <w:sz w:val="21"/>
                <w:szCs w:val="21"/>
                <w:highlight w:val="none"/>
              </w:rPr>
              <w:t>组织计划差，</w:t>
            </w:r>
            <w:r>
              <w:rPr>
                <w:rFonts w:hint="default"/>
                <w:color w:val="auto"/>
                <w:sz w:val="21"/>
                <w:szCs w:val="21"/>
                <w:highlight w:val="none"/>
              </w:rPr>
              <w:t>投入计划与进度计划不呼应，</w:t>
            </w:r>
            <w:r>
              <w:rPr>
                <w:rFonts w:hint="eastAsia"/>
                <w:color w:val="auto"/>
                <w:sz w:val="21"/>
                <w:szCs w:val="21"/>
                <w:highlight w:val="none"/>
                <w:lang w:eastAsia="zh-CN"/>
              </w:rPr>
              <w:t>在</w:t>
            </w:r>
            <w:r>
              <w:rPr>
                <w:rFonts w:hint="eastAsia"/>
                <w:color w:val="auto"/>
                <w:sz w:val="21"/>
                <w:szCs w:val="21"/>
                <w:highlight w:val="none"/>
                <w:lang w:val="en-US" w:eastAsia="zh-CN"/>
              </w:rPr>
              <w:t>每个施工节点开始前开始安排施工机械、设备，勉强</w:t>
            </w:r>
            <w:r>
              <w:rPr>
                <w:rFonts w:hint="default"/>
                <w:color w:val="auto"/>
                <w:sz w:val="21"/>
                <w:szCs w:val="21"/>
                <w:highlight w:val="none"/>
              </w:rPr>
              <w:t>满足施工需要。</w:t>
            </w:r>
          </w:p>
        </w:tc>
      </w:tr>
      <w:tr w14:paraId="2274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0F89CC78">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ascii="宋体" w:hAnsi="宋体" w:eastAsia="宋体" w:cs="宋体"/>
                <w:color w:val="auto"/>
                <w:spacing w:val="-10"/>
                <w:sz w:val="21"/>
                <w:szCs w:val="21"/>
                <w:highlight w:val="none"/>
                <w:lang w:val="en-US" w:eastAsia="zh-CN" w:bidi="zh-CN"/>
              </w:rPr>
              <w:t>确保工程质量的技术组织措施（满分8分）</w:t>
            </w:r>
          </w:p>
        </w:tc>
        <w:tc>
          <w:tcPr>
            <w:tcW w:w="7413" w:type="dxa"/>
            <w:gridSpan w:val="2"/>
            <w:vAlign w:val="center"/>
          </w:tcPr>
          <w:p w14:paraId="27826053">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评审专家自行对主要质量技术管理班子和制度、人员配备</w:t>
            </w:r>
            <w:r>
              <w:rPr>
                <w:rFonts w:hint="eastAsia" w:cs="宋体"/>
                <w:color w:val="auto"/>
                <w:spacing w:val="-10"/>
                <w:sz w:val="21"/>
                <w:szCs w:val="21"/>
                <w:highlight w:val="none"/>
                <w:lang w:val="en-US" w:eastAsia="zh-CN" w:bidi="zh-CN"/>
              </w:rPr>
              <w:t>（含项目经理、技术负责人、施工、安全、质量、材料等管理人员）</w:t>
            </w:r>
            <w:r>
              <w:rPr>
                <w:rFonts w:hint="eastAsia" w:ascii="宋体" w:hAnsi="宋体" w:eastAsia="宋体" w:cs="宋体"/>
                <w:color w:val="auto"/>
                <w:spacing w:val="-10"/>
                <w:sz w:val="21"/>
                <w:szCs w:val="21"/>
                <w:highlight w:val="none"/>
                <w:lang w:val="en-US" w:eastAsia="zh-CN" w:bidi="zh-CN"/>
              </w:rPr>
              <w:t>、质量技术保证措施和手段等是否完整、齐全，满足施工进度需要等各方面进行独立打分。</w:t>
            </w:r>
          </w:p>
          <w:p w14:paraId="5FAD9535">
            <w:pPr>
              <w:pStyle w:val="39"/>
              <w:keepNext w:val="0"/>
              <w:keepLines w:val="0"/>
              <w:pageBreakBefore w:val="0"/>
              <w:widowControl w:val="0"/>
              <w:suppressLineNumbers w:val="0"/>
              <w:kinsoku/>
              <w:wordWrap/>
              <w:overflowPunct/>
              <w:topLinePunct w:val="0"/>
              <w:autoSpaceDE/>
              <w:autoSpaceDN/>
              <w:bidi w:val="0"/>
              <w:adjustRightInd/>
              <w:snapToGrid/>
              <w:spacing w:before="99"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优（8分）：有专门的质量技术管理班子和制度</w:t>
            </w:r>
            <w:r>
              <w:rPr>
                <w:rFonts w:hint="eastAsia" w:cs="宋体"/>
                <w:color w:val="auto"/>
                <w:spacing w:val="-10"/>
                <w:sz w:val="21"/>
                <w:szCs w:val="21"/>
                <w:highlight w:val="none"/>
                <w:lang w:val="en-US" w:eastAsia="zh-CN" w:bidi="zh-CN"/>
              </w:rPr>
              <w:t>且制度健全</w:t>
            </w:r>
            <w:r>
              <w:rPr>
                <w:rFonts w:hint="eastAsia" w:ascii="宋体" w:hAnsi="宋体" w:eastAsia="宋体" w:cs="宋体"/>
                <w:color w:val="auto"/>
                <w:spacing w:val="-10"/>
                <w:sz w:val="21"/>
                <w:szCs w:val="21"/>
                <w:highlight w:val="none"/>
                <w:lang w:val="en-US" w:eastAsia="zh-CN" w:bidi="zh-CN"/>
              </w:rPr>
              <w:t>，拟投入的</w:t>
            </w:r>
            <w:r>
              <w:rPr>
                <w:rFonts w:hint="eastAsia" w:cs="宋体"/>
                <w:color w:val="auto"/>
                <w:spacing w:val="-10"/>
                <w:sz w:val="21"/>
                <w:szCs w:val="21"/>
                <w:highlight w:val="none"/>
                <w:lang w:val="en-US" w:eastAsia="zh-CN" w:bidi="zh-CN"/>
              </w:rPr>
              <w:t>项目管理机构</w:t>
            </w:r>
            <w:r>
              <w:rPr>
                <w:rFonts w:hint="eastAsia" w:ascii="宋体" w:hAnsi="宋体" w:eastAsia="宋体" w:cs="宋体"/>
                <w:color w:val="auto"/>
                <w:spacing w:val="-10"/>
                <w:sz w:val="21"/>
                <w:szCs w:val="21"/>
                <w:highlight w:val="none"/>
                <w:lang w:val="en-US" w:eastAsia="zh-CN" w:bidi="zh-CN"/>
              </w:rPr>
              <w:t>人员配备合理</w:t>
            </w:r>
            <w:r>
              <w:rPr>
                <w:rFonts w:hint="eastAsia" w:cs="宋体"/>
                <w:color w:val="auto"/>
                <w:spacing w:val="-10"/>
                <w:sz w:val="21"/>
                <w:szCs w:val="21"/>
                <w:highlight w:val="none"/>
                <w:lang w:val="en-US" w:eastAsia="zh-CN" w:bidi="zh-CN"/>
              </w:rPr>
              <w:t>（附</w:t>
            </w:r>
            <w:r>
              <w:rPr>
                <w:rFonts w:hint="eastAsia"/>
                <w:color w:val="auto"/>
                <w:spacing w:val="-10"/>
                <w:sz w:val="21"/>
                <w:szCs w:val="21"/>
                <w:highlight w:val="none"/>
                <w:lang w:val="en-US" w:eastAsia="zh-CN"/>
              </w:rPr>
              <w:t>工作职责范围说明等内容</w:t>
            </w:r>
            <w:r>
              <w:rPr>
                <w:rFonts w:hint="eastAsia" w:cs="宋体"/>
                <w:color w:val="auto"/>
                <w:spacing w:val="-10"/>
                <w:sz w:val="21"/>
                <w:szCs w:val="21"/>
                <w:highlight w:val="none"/>
                <w:lang w:val="en-US" w:eastAsia="zh-CN" w:bidi="zh-CN"/>
              </w:rPr>
              <w:t>）</w:t>
            </w:r>
            <w:r>
              <w:rPr>
                <w:rFonts w:hint="eastAsia" w:ascii="宋体" w:hAnsi="宋体" w:eastAsia="宋体" w:cs="宋体"/>
                <w:color w:val="auto"/>
                <w:spacing w:val="-10"/>
                <w:sz w:val="21"/>
                <w:szCs w:val="21"/>
                <w:highlight w:val="none"/>
                <w:lang w:val="en-US" w:eastAsia="zh-CN" w:bidi="zh-CN"/>
              </w:rPr>
              <w:t>。主要工序有质量技术保证措施和手段，且先进、可行、具体，高于采购文件的质量要求及施工验收规范要求，达到承诺的质量标准。</w:t>
            </w:r>
          </w:p>
          <w:p w14:paraId="0A2E2034">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良（6分）：有专门的质量技术管理班子和制度，拟投入的技术管理班子人员配备合理</w:t>
            </w:r>
            <w:r>
              <w:rPr>
                <w:rFonts w:hint="eastAsia" w:cs="宋体"/>
                <w:color w:val="auto"/>
                <w:spacing w:val="-10"/>
                <w:sz w:val="21"/>
                <w:szCs w:val="21"/>
                <w:highlight w:val="none"/>
                <w:lang w:val="en-US" w:eastAsia="zh-CN" w:bidi="zh-CN"/>
              </w:rPr>
              <w:t>（附</w:t>
            </w:r>
            <w:r>
              <w:rPr>
                <w:rFonts w:hint="eastAsia"/>
                <w:color w:val="auto"/>
                <w:spacing w:val="-10"/>
                <w:sz w:val="21"/>
                <w:szCs w:val="21"/>
                <w:highlight w:val="none"/>
                <w:lang w:val="en-US" w:eastAsia="zh-CN"/>
              </w:rPr>
              <w:t>工作职责范围说明等内容</w:t>
            </w:r>
            <w:r>
              <w:rPr>
                <w:rFonts w:hint="eastAsia" w:cs="宋体"/>
                <w:color w:val="auto"/>
                <w:spacing w:val="-10"/>
                <w:sz w:val="21"/>
                <w:szCs w:val="21"/>
                <w:highlight w:val="none"/>
                <w:lang w:val="en-US" w:eastAsia="zh-CN" w:bidi="zh-CN"/>
              </w:rPr>
              <w:t>）</w:t>
            </w:r>
            <w:r>
              <w:rPr>
                <w:rFonts w:hint="eastAsia" w:ascii="宋体" w:hAnsi="宋体" w:eastAsia="宋体" w:cs="宋体"/>
                <w:color w:val="auto"/>
                <w:spacing w:val="-10"/>
                <w:sz w:val="21"/>
                <w:szCs w:val="21"/>
                <w:highlight w:val="none"/>
                <w:lang w:val="en-US" w:eastAsia="zh-CN" w:bidi="zh-CN"/>
              </w:rPr>
              <w:t>。主要工序有质量技术保证措施和手段，自控体系完整，能有效保证技术质量，可以达到承诺的质量标准。</w:t>
            </w:r>
          </w:p>
          <w:p w14:paraId="58FD4E38">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80" w:firstLineChars="200"/>
              <w:textAlignment w:val="auto"/>
              <w:rPr>
                <w:rFonts w:hint="eastAsia" w:ascii="宋体" w:hAnsi="宋体" w:eastAsia="宋体" w:cs="宋体"/>
                <w:color w:val="auto"/>
                <w:spacing w:val="-10"/>
                <w:sz w:val="21"/>
                <w:szCs w:val="21"/>
                <w:highlight w:val="none"/>
                <w:lang w:val="en-US" w:eastAsia="zh-CN" w:bidi="zh-CN"/>
              </w:rPr>
            </w:pPr>
            <w:r>
              <w:rPr>
                <w:rFonts w:hint="eastAsia" w:ascii="宋体" w:hAnsi="宋体" w:eastAsia="宋体" w:cs="宋体"/>
                <w:color w:val="auto"/>
                <w:spacing w:val="-10"/>
                <w:sz w:val="21"/>
                <w:szCs w:val="21"/>
                <w:highlight w:val="none"/>
                <w:lang w:val="en-US" w:eastAsia="zh-CN" w:bidi="zh-CN"/>
              </w:rPr>
              <w:t xml:space="preserve"> 中（4分）：质量技术管理班子人员配备基本合理，各制度基本健全。主要工序有质量技术保证措施和手段，能有效保证技术质量，满足采购文件的质量要求。 </w:t>
            </w:r>
          </w:p>
          <w:p w14:paraId="133566F4">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380" w:firstLineChars="200"/>
              <w:textAlignment w:val="auto"/>
              <w:rPr>
                <w:rFonts w:hint="default"/>
                <w:color w:val="auto"/>
                <w:sz w:val="21"/>
                <w:szCs w:val="21"/>
                <w:highlight w:val="none"/>
              </w:rPr>
            </w:pPr>
            <w:r>
              <w:rPr>
                <w:rFonts w:hint="eastAsia" w:ascii="宋体" w:hAnsi="宋体" w:eastAsia="宋体" w:cs="宋体"/>
                <w:color w:val="auto"/>
                <w:spacing w:val="-10"/>
                <w:sz w:val="21"/>
                <w:szCs w:val="21"/>
                <w:highlight w:val="none"/>
                <w:lang w:val="en-US" w:eastAsia="zh-CN" w:bidi="zh-CN"/>
              </w:rPr>
              <w:t>一般（1分）：质量技术管理班子人员配备不合理，制度不健全，质量技术保证措施和手段不可行，没有质量违约责任承诺。</w:t>
            </w:r>
          </w:p>
        </w:tc>
      </w:tr>
      <w:tr w14:paraId="050B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2E3A6AEF">
            <w:pPr>
              <w:keepNext w:val="0"/>
              <w:keepLines w:val="0"/>
              <w:widowControl/>
              <w:suppressLineNumbers w:val="0"/>
              <w:spacing w:before="0" w:beforeAutospacing="0" w:after="0" w:afterAutospacing="0" w:line="360" w:lineRule="auto"/>
              <w:ind w:left="0" w:right="0"/>
              <w:rPr>
                <w:rFonts w:hint="default"/>
                <w:color w:val="auto"/>
                <w:kern w:val="0"/>
                <w:sz w:val="21"/>
                <w:szCs w:val="21"/>
                <w:highlight w:val="none"/>
              </w:rPr>
            </w:pPr>
            <w:r>
              <w:rPr>
                <w:rFonts w:hint="eastAsia" w:cs="宋体"/>
                <w:color w:val="auto"/>
                <w:kern w:val="0"/>
                <w:sz w:val="21"/>
                <w:szCs w:val="21"/>
                <w:highlight w:val="none"/>
              </w:rPr>
              <w:t>确保安全生产的技术组织措施</w:t>
            </w:r>
          </w:p>
          <w:p w14:paraId="595CB615">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8</w:t>
            </w:r>
            <w:r>
              <w:rPr>
                <w:rFonts w:hint="eastAsia" w:cs="宋体"/>
                <w:color w:val="auto"/>
                <w:kern w:val="0"/>
                <w:sz w:val="21"/>
                <w:szCs w:val="21"/>
                <w:highlight w:val="none"/>
              </w:rPr>
              <w:t>分）</w:t>
            </w:r>
          </w:p>
        </w:tc>
        <w:tc>
          <w:tcPr>
            <w:tcW w:w="7413" w:type="dxa"/>
            <w:gridSpan w:val="2"/>
            <w:vAlign w:val="center"/>
          </w:tcPr>
          <w:p w14:paraId="31649E46">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评审专家自行对安全生产的技术组织措施、安全人员投入、安全制度管理、安全技术标准要求、现场安全防护是否合理、健全、可行性等各方面进行独立打分。 </w:t>
            </w:r>
          </w:p>
          <w:p w14:paraId="42953674">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olor w:val="auto"/>
                <w:sz w:val="21"/>
                <w:szCs w:val="21"/>
                <w:highlight w:val="none"/>
                <w:lang w:eastAsia="zh-CN"/>
              </w:rPr>
              <w:t>优（</w:t>
            </w:r>
            <w:r>
              <w:rPr>
                <w:rFonts w:hint="eastAsia"/>
                <w:color w:val="auto"/>
                <w:sz w:val="21"/>
                <w:szCs w:val="21"/>
                <w:highlight w:val="none"/>
                <w:lang w:val="en-US" w:eastAsia="zh-CN"/>
              </w:rPr>
              <w:t>8</w:t>
            </w:r>
            <w:r>
              <w:rPr>
                <w:rFonts w:hint="eastAsia"/>
                <w:color w:val="auto"/>
                <w:sz w:val="21"/>
                <w:szCs w:val="21"/>
                <w:highlight w:val="none"/>
                <w:lang w:eastAsia="zh-CN"/>
              </w:rPr>
              <w:t>分）</w:t>
            </w:r>
            <w:r>
              <w:rPr>
                <w:rFonts w:hint="default"/>
                <w:color w:val="auto"/>
                <w:sz w:val="21"/>
                <w:szCs w:val="21"/>
                <w:highlight w:val="none"/>
              </w:rPr>
              <w:t>：有配</w:t>
            </w:r>
            <w:r>
              <w:rPr>
                <w:rFonts w:hint="default" w:ascii="宋体" w:hAnsi="宋体" w:eastAsia="宋体" w:cs="宋体"/>
                <w:color w:val="auto"/>
                <w:sz w:val="21"/>
                <w:szCs w:val="21"/>
                <w:highlight w:val="none"/>
              </w:rPr>
              <w:t xml:space="preserve">备满足项目要求的专职安全员，有健全的安全管理制度， </w:t>
            </w:r>
            <w:r>
              <w:rPr>
                <w:rFonts w:hint="eastAsia"/>
                <w:color w:val="auto"/>
                <w:sz w:val="21"/>
                <w:szCs w:val="21"/>
                <w:highlight w:val="none"/>
                <w:lang w:val="en-US" w:eastAsia="zh-CN"/>
              </w:rPr>
              <w:t>提供的</w:t>
            </w:r>
            <w:r>
              <w:rPr>
                <w:rFonts w:hint="default"/>
                <w:color w:val="auto"/>
                <w:sz w:val="21"/>
                <w:szCs w:val="21"/>
                <w:highlight w:val="none"/>
              </w:rPr>
              <w:t>各道工序安全技术措施</w:t>
            </w:r>
            <w:r>
              <w:rPr>
                <w:rFonts w:hint="default" w:ascii="宋体" w:hAnsi="宋体" w:eastAsia="宋体" w:cs="宋体"/>
                <w:color w:val="auto"/>
                <w:sz w:val="21"/>
                <w:szCs w:val="21"/>
                <w:highlight w:val="none"/>
              </w:rPr>
              <w:t>针对性强，符合实际且高于国家有关安全技术标准要求。现场防火、应急救援、社会治安安全措施得力。</w:t>
            </w:r>
          </w:p>
          <w:p w14:paraId="74384A94">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：有配备满足项目</w:t>
            </w:r>
            <w:r>
              <w:rPr>
                <w:rFonts w:hint="default"/>
                <w:color w:val="auto"/>
                <w:sz w:val="21"/>
                <w:szCs w:val="21"/>
                <w:highlight w:val="none"/>
              </w:rPr>
              <w:t>要求的专职安全员，有健全的安全管理制度，</w:t>
            </w:r>
            <w:r>
              <w:rPr>
                <w:rFonts w:hint="eastAsia"/>
                <w:color w:val="auto"/>
                <w:sz w:val="21"/>
                <w:szCs w:val="21"/>
                <w:highlight w:val="none"/>
                <w:lang w:val="en-US" w:eastAsia="zh-CN"/>
              </w:rPr>
              <w:t>提供的</w:t>
            </w:r>
            <w:r>
              <w:rPr>
                <w:rFonts w:hint="default"/>
                <w:color w:val="auto"/>
                <w:sz w:val="21"/>
                <w:szCs w:val="21"/>
                <w:highlight w:val="none"/>
              </w:rPr>
              <w:t>各道工序安全技术措施符合实际且满足有关安全技术标准要求。现场防火、应急救援、社会治安安全措施合理。</w:t>
            </w:r>
          </w:p>
          <w:p w14:paraId="0440BF4D">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 xml:space="preserve"> </w:t>
            </w:r>
            <w:r>
              <w:rPr>
                <w:rFonts w:hint="eastAsia"/>
                <w:color w:val="auto"/>
                <w:sz w:val="21"/>
                <w:szCs w:val="21"/>
                <w:highlight w:val="none"/>
                <w:lang w:eastAsia="zh-CN"/>
              </w:rPr>
              <w:t>中（4分）</w:t>
            </w:r>
            <w:r>
              <w:rPr>
                <w:rFonts w:hint="default"/>
                <w:color w:val="auto"/>
                <w:sz w:val="21"/>
                <w:szCs w:val="21"/>
                <w:highlight w:val="none"/>
              </w:rPr>
              <w:t>：有配备满足项目要求的专职安全员，安全管理制度基本健全，</w:t>
            </w:r>
            <w:r>
              <w:rPr>
                <w:rFonts w:hint="eastAsia"/>
                <w:color w:val="auto"/>
                <w:sz w:val="21"/>
                <w:szCs w:val="21"/>
                <w:highlight w:val="none"/>
                <w:lang w:val="en-US" w:eastAsia="zh-CN"/>
              </w:rPr>
              <w:t>提供的</w:t>
            </w:r>
            <w:r>
              <w:rPr>
                <w:rFonts w:hint="default"/>
                <w:color w:val="auto"/>
                <w:sz w:val="21"/>
                <w:szCs w:val="21"/>
                <w:highlight w:val="none"/>
              </w:rPr>
              <w:t>各道工序安全技术措施基本符合实际，基本满足有关安全技术标准要求。现场防火、应急救援、社会治安安全措施基本合理。</w:t>
            </w:r>
          </w:p>
          <w:p w14:paraId="4B43CF39">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：有配备满足项目要求的专职安全员，</w:t>
            </w:r>
            <w:r>
              <w:rPr>
                <w:rFonts w:hint="eastAsia"/>
                <w:color w:val="auto"/>
                <w:sz w:val="21"/>
                <w:szCs w:val="21"/>
                <w:highlight w:val="none"/>
                <w:lang w:eastAsia="zh-CN"/>
              </w:rPr>
              <w:t>无</w:t>
            </w:r>
            <w:r>
              <w:rPr>
                <w:rFonts w:hint="eastAsia" w:cs="宋体"/>
                <w:color w:val="auto"/>
                <w:sz w:val="21"/>
                <w:szCs w:val="21"/>
                <w:highlight w:val="none"/>
                <w:lang w:val="en-US" w:eastAsia="zh-CN"/>
              </w:rPr>
              <w:t>其他安全</w:t>
            </w:r>
            <w:r>
              <w:rPr>
                <w:rFonts w:hint="eastAsia" w:cs="宋体"/>
                <w:color w:val="auto"/>
                <w:sz w:val="21"/>
                <w:szCs w:val="21"/>
                <w:highlight w:val="none"/>
                <w:lang w:eastAsia="zh-CN"/>
              </w:rPr>
              <w:t>管理</w:t>
            </w:r>
            <w:r>
              <w:rPr>
                <w:rFonts w:hint="default"/>
                <w:color w:val="auto"/>
                <w:sz w:val="21"/>
                <w:szCs w:val="21"/>
                <w:highlight w:val="none"/>
              </w:rPr>
              <w:t>人员</w:t>
            </w:r>
            <w:r>
              <w:rPr>
                <w:rFonts w:hint="eastAsia"/>
                <w:color w:val="auto"/>
                <w:sz w:val="21"/>
                <w:szCs w:val="21"/>
                <w:highlight w:val="none"/>
                <w:lang w:val="en-US" w:eastAsia="zh-CN"/>
              </w:rPr>
              <w:t>成员</w:t>
            </w:r>
            <w:r>
              <w:rPr>
                <w:rFonts w:hint="default"/>
                <w:color w:val="auto"/>
                <w:sz w:val="21"/>
                <w:szCs w:val="21"/>
                <w:highlight w:val="none"/>
              </w:rPr>
              <w:t>，安全管理制度不健全，各道工序安全技术措施基本符合实际，不能满足有关安全技术标准要求。现场防火、应急 救援、社会治安安全措施不合理。</w:t>
            </w:r>
          </w:p>
        </w:tc>
      </w:tr>
      <w:tr w14:paraId="5E49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7577BC1F">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劳动力安排计划（</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88C473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评审专家对</w:t>
            </w:r>
            <w:r>
              <w:rPr>
                <w:rFonts w:hint="eastAsia" w:ascii="宋体" w:hAnsi="宋体" w:eastAsia="宋体" w:cs="宋体"/>
                <w:color w:val="auto"/>
                <w:sz w:val="21"/>
                <w:szCs w:val="21"/>
                <w:highlight w:val="none"/>
              </w:rPr>
              <w:t>各主要施工工序的劳动力安排计划，有各工种劳动力安排计划，劳动力投入合理</w:t>
            </w:r>
            <w:r>
              <w:rPr>
                <w:rFonts w:hint="eastAsia" w:ascii="宋体" w:hAnsi="宋体" w:eastAsia="宋体" w:cs="宋体"/>
                <w:color w:val="auto"/>
                <w:sz w:val="21"/>
                <w:szCs w:val="21"/>
                <w:highlight w:val="none"/>
                <w:lang w:val="en-US" w:eastAsia="zh-CN"/>
              </w:rPr>
              <w:t>等各方面进行独立打分</w:t>
            </w:r>
            <w:r>
              <w:rPr>
                <w:rFonts w:hint="eastAsia" w:ascii="宋体" w:hAnsi="宋体" w:eastAsia="宋体" w:cs="宋体"/>
                <w:color w:val="auto"/>
                <w:sz w:val="21"/>
                <w:szCs w:val="21"/>
                <w:highlight w:val="none"/>
                <w:lang w:eastAsia="zh-CN"/>
              </w:rPr>
              <w:t>。</w:t>
            </w:r>
          </w:p>
          <w:p w14:paraId="7A9AB302">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优（6分）</w:t>
            </w:r>
            <w:r>
              <w:rPr>
                <w:rFonts w:hint="default" w:ascii="宋体" w:hAnsi="宋体" w:eastAsia="宋体" w:cs="宋体"/>
                <w:color w:val="auto"/>
                <w:sz w:val="21"/>
                <w:szCs w:val="21"/>
                <w:highlight w:val="none"/>
              </w:rPr>
              <w:t>：各主要施工工序有详细周密的劳动力安排计划，各工种劳动力安排计划齐全，</w:t>
            </w:r>
            <w:r>
              <w:rPr>
                <w:rFonts w:hint="default"/>
                <w:color w:val="auto"/>
                <w:sz w:val="21"/>
                <w:szCs w:val="21"/>
                <w:highlight w:val="none"/>
              </w:rPr>
              <w:t>劳动力投入与进度计划呼应合理，</w:t>
            </w:r>
            <w:r>
              <w:rPr>
                <w:rFonts w:hint="eastAsia"/>
                <w:color w:val="auto"/>
                <w:sz w:val="21"/>
                <w:szCs w:val="21"/>
                <w:highlight w:val="none"/>
                <w:lang w:eastAsia="zh-CN"/>
              </w:rPr>
              <w:t>完全</w:t>
            </w:r>
            <w:r>
              <w:rPr>
                <w:rFonts w:hint="default"/>
                <w:color w:val="auto"/>
                <w:sz w:val="21"/>
                <w:szCs w:val="21"/>
                <w:highlight w:val="none"/>
              </w:rPr>
              <w:t>满</w:t>
            </w:r>
            <w:r>
              <w:rPr>
                <w:rFonts w:hint="default" w:ascii="宋体" w:hAnsi="宋体" w:eastAsia="宋体" w:cs="宋体"/>
                <w:color w:val="auto"/>
                <w:sz w:val="21"/>
                <w:szCs w:val="21"/>
                <w:highlight w:val="none"/>
              </w:rPr>
              <w:t xml:space="preserve">足施工需要。 </w:t>
            </w:r>
          </w:p>
          <w:p w14:paraId="3C9AE915">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良（</w:t>
            </w: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w:t>
            </w:r>
            <w:r>
              <w:rPr>
                <w:rFonts w:hint="default" w:ascii="宋体" w:hAnsi="宋体" w:eastAsia="宋体" w:cs="宋体"/>
                <w:color w:val="auto"/>
                <w:sz w:val="21"/>
                <w:szCs w:val="21"/>
                <w:highlight w:val="none"/>
              </w:rPr>
              <w:t>：各主要施工工序有详细的劳动力安排计划，有各工种劳动力安排计划，劳动力投入合理，</w:t>
            </w:r>
            <w:r>
              <w:rPr>
                <w:rFonts w:hint="eastAsia" w:ascii="宋体" w:hAnsi="宋体" w:eastAsia="宋体" w:cs="宋体"/>
                <w:color w:val="auto"/>
                <w:sz w:val="21"/>
                <w:szCs w:val="21"/>
                <w:highlight w:val="none"/>
                <w:lang w:eastAsia="zh-CN"/>
              </w:rPr>
              <w:t>可以</w:t>
            </w:r>
            <w:r>
              <w:rPr>
                <w:rFonts w:hint="default" w:ascii="宋体" w:hAnsi="宋体" w:eastAsia="宋体" w:cs="宋体"/>
                <w:color w:val="auto"/>
                <w:sz w:val="21"/>
                <w:szCs w:val="21"/>
                <w:highlight w:val="none"/>
              </w:rPr>
              <w:t xml:space="preserve">满足施工需要。 </w:t>
            </w:r>
          </w:p>
          <w:p w14:paraId="62F0F6D0">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ascii="宋体" w:hAnsi="宋体" w:eastAsia="宋体" w:cs="宋体"/>
                <w:color w:val="auto"/>
                <w:sz w:val="21"/>
                <w:szCs w:val="21"/>
                <w:highlight w:val="none"/>
              </w:rPr>
            </w:pPr>
            <w:r>
              <w:rPr>
                <w:rFonts w:hint="eastAsia" w:cs="宋体"/>
                <w:color w:val="auto"/>
                <w:sz w:val="21"/>
                <w:szCs w:val="21"/>
                <w:highlight w:val="none"/>
                <w:lang w:eastAsia="zh-CN"/>
              </w:rPr>
              <w:t>中（2分）</w:t>
            </w:r>
            <w:r>
              <w:rPr>
                <w:rFonts w:hint="default" w:ascii="宋体" w:hAnsi="宋体" w:eastAsia="宋体" w:cs="宋体"/>
                <w:color w:val="auto"/>
                <w:sz w:val="21"/>
                <w:szCs w:val="21"/>
                <w:highlight w:val="none"/>
              </w:rPr>
              <w:t>： 各主要施工工序应有劳动力安排计划，有各工种劳动力安排计划，劳动力投入基本合理，基本满足施工需要。</w:t>
            </w:r>
          </w:p>
          <w:p w14:paraId="5898C3B6">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s="宋体"/>
                <w:color w:val="auto"/>
                <w:sz w:val="21"/>
                <w:szCs w:val="21"/>
                <w:highlight w:val="none"/>
                <w:lang w:eastAsia="zh-CN"/>
              </w:rPr>
              <w:t>一般（1分）</w:t>
            </w:r>
            <w:r>
              <w:rPr>
                <w:rFonts w:hint="default" w:ascii="宋体" w:hAnsi="宋体" w:eastAsia="宋体" w:cs="宋体"/>
                <w:color w:val="auto"/>
                <w:sz w:val="21"/>
                <w:szCs w:val="21"/>
                <w:highlight w:val="none"/>
              </w:rPr>
              <w:t>：各主要施工工序劳动力安排计划不全，无各工种劳动力安排计划或计划不全，</w:t>
            </w:r>
            <w:r>
              <w:rPr>
                <w:rFonts w:hint="default"/>
                <w:color w:val="auto"/>
                <w:sz w:val="21"/>
                <w:szCs w:val="21"/>
                <w:highlight w:val="none"/>
              </w:rPr>
              <w:t>劳动力投入不合理，不能满足</w:t>
            </w:r>
            <w:r>
              <w:rPr>
                <w:rFonts w:hint="eastAsia"/>
                <w:color w:val="auto"/>
                <w:sz w:val="21"/>
                <w:szCs w:val="21"/>
                <w:highlight w:val="none"/>
                <w:lang w:eastAsia="zh-CN"/>
              </w:rPr>
              <w:t>施工需求。</w:t>
            </w:r>
          </w:p>
        </w:tc>
      </w:tr>
      <w:tr w14:paraId="2EB8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1BC0EC86">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确保工期的技术组织措施（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7AAB0F99">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评审专家自行对工期的技术组织措施、工期计划图表是否严谨、合理、可行性等各方面进行独立打分。</w:t>
            </w:r>
          </w:p>
          <w:p w14:paraId="25E6B738">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 xml:space="preserve">：有保证工期的具体措施得力。各项计划图表编制详尽周密，安排科学合理，符合本项目施工实际要求。 </w:t>
            </w:r>
          </w:p>
          <w:p w14:paraId="7664C62C">
            <w:pPr>
              <w:pStyle w:val="39"/>
              <w:keepNext w:val="0"/>
              <w:keepLines w:val="0"/>
              <w:pageBreakBefore w:val="0"/>
              <w:widowControl w:val="0"/>
              <w:suppressLineNumbers w:val="0"/>
              <w:kinsoku/>
              <w:wordWrap/>
              <w:overflowPunct/>
              <w:topLinePunct w:val="0"/>
              <w:autoSpaceDE/>
              <w:autoSpaceDN/>
              <w:bidi w:val="0"/>
              <w:adjustRightInd/>
              <w:snapToGrid/>
              <w:spacing w:before="100" w:beforeAutospacing="0" w:after="0" w:afterAutospacing="0" w:line="360" w:lineRule="auto"/>
              <w:ind w:left="107" w:right="0" w:firstLine="420" w:firstLineChars="200"/>
              <w:textAlignment w:val="auto"/>
              <w:rPr>
                <w:rFonts w:hint="default"/>
                <w:color w:val="auto"/>
                <w:spacing w:val="-12"/>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分）：有保证工期的具体措施得当。各项计划图表编制完善，安排较合理，符合本项目施工</w:t>
            </w:r>
            <w:r>
              <w:rPr>
                <w:rFonts w:hint="default"/>
                <w:color w:val="auto"/>
                <w:spacing w:val="-12"/>
                <w:sz w:val="21"/>
                <w:szCs w:val="21"/>
                <w:highlight w:val="none"/>
              </w:rPr>
              <w:t>实际要求。</w:t>
            </w:r>
          </w:p>
          <w:p w14:paraId="008942BA">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372" w:firstLineChars="200"/>
              <w:textAlignment w:val="auto"/>
              <w:rPr>
                <w:rFonts w:hint="default"/>
                <w:color w:val="auto"/>
                <w:sz w:val="21"/>
                <w:szCs w:val="21"/>
                <w:highlight w:val="none"/>
              </w:rPr>
            </w:pPr>
            <w:r>
              <w:rPr>
                <w:rFonts w:hint="default"/>
                <w:color w:val="auto"/>
                <w:spacing w:val="-12"/>
                <w:sz w:val="21"/>
                <w:szCs w:val="21"/>
                <w:highlight w:val="none"/>
              </w:rPr>
              <w:t xml:space="preserve"> </w:t>
            </w:r>
            <w:r>
              <w:rPr>
                <w:rFonts w:hint="eastAsia"/>
                <w:color w:val="auto"/>
                <w:spacing w:val="-12"/>
                <w:sz w:val="21"/>
                <w:szCs w:val="21"/>
                <w:highlight w:val="none"/>
                <w:lang w:eastAsia="zh-CN"/>
              </w:rPr>
              <w:t>中（2分）</w:t>
            </w:r>
            <w:r>
              <w:rPr>
                <w:rFonts w:hint="default"/>
                <w:color w:val="auto"/>
                <w:spacing w:val="-35"/>
                <w:sz w:val="21"/>
                <w:szCs w:val="21"/>
                <w:highlight w:val="none"/>
              </w:rPr>
              <w:t>：</w:t>
            </w:r>
            <w:r>
              <w:rPr>
                <w:rFonts w:hint="default"/>
                <w:color w:val="auto"/>
                <w:sz w:val="21"/>
                <w:szCs w:val="21"/>
                <w:highlight w:val="none"/>
              </w:rPr>
              <w:t xml:space="preserve">有保证工期的具体措施基本得当。各项计划图表编制基本齐全，安排基本合理，基本符合本项目施工实际要求。 </w:t>
            </w:r>
          </w:p>
          <w:p w14:paraId="4397342C">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：有保证工期的具体措施基本得当。各项计划图表编制不完善，安排不合理，不能满足本项目施工实际要求。</w:t>
            </w:r>
          </w:p>
        </w:tc>
      </w:tr>
      <w:tr w14:paraId="649C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49350975">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确保文明施工的技术组织措施（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2598E12E">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评审专家自行对文明施工的技术组织措施、现场施工文明管理是否符合要求、健全、合理有效等各方面进行独立打分。 </w:t>
            </w:r>
          </w:p>
          <w:p w14:paraId="708E350A">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：现场文明施工、环境保护措施和内容</w:t>
            </w:r>
            <w:r>
              <w:rPr>
                <w:rFonts w:hint="eastAsia"/>
                <w:color w:val="auto"/>
                <w:sz w:val="21"/>
                <w:szCs w:val="21"/>
                <w:highlight w:val="none"/>
                <w:lang w:val="en-US" w:eastAsia="zh-CN"/>
              </w:rPr>
              <w:t>完全能</w:t>
            </w:r>
            <w:r>
              <w:rPr>
                <w:rFonts w:hint="default"/>
                <w:color w:val="auto"/>
                <w:sz w:val="21"/>
                <w:szCs w:val="21"/>
                <w:highlight w:val="none"/>
              </w:rPr>
              <w:t>达到</w:t>
            </w:r>
            <w:r>
              <w:rPr>
                <w:rFonts w:hint="eastAsia"/>
                <w:color w:val="auto"/>
                <w:sz w:val="21"/>
                <w:szCs w:val="21"/>
                <w:highlight w:val="none"/>
                <w:lang w:eastAsia="zh-CN"/>
              </w:rPr>
              <w:t>相关施工安全生产标准或文明施工等</w:t>
            </w:r>
            <w:r>
              <w:rPr>
                <w:rFonts w:hint="default"/>
                <w:color w:val="auto"/>
                <w:sz w:val="21"/>
                <w:szCs w:val="21"/>
                <w:highlight w:val="none"/>
              </w:rPr>
              <w:t>要求；</w:t>
            </w:r>
            <w:r>
              <w:rPr>
                <w:rFonts w:hint="eastAsia"/>
                <w:color w:val="auto"/>
                <w:sz w:val="21"/>
                <w:szCs w:val="21"/>
                <w:highlight w:val="none"/>
                <w:lang w:eastAsia="zh-CN"/>
              </w:rPr>
              <w:t>现场施工围挡、安全警示标志牌、文明施工牌图设置合理、现场办公生活设置划分明确、材料堆放安排符合《建筑施工现场安全技术规程》（</w:t>
            </w:r>
            <w:r>
              <w:rPr>
                <w:rFonts w:hint="eastAsia"/>
                <w:color w:val="auto"/>
                <w:sz w:val="21"/>
                <w:szCs w:val="21"/>
                <w:highlight w:val="none"/>
                <w:lang w:val="en-US" w:eastAsia="zh-CN"/>
              </w:rPr>
              <w:t>GB50348-2011</w:t>
            </w:r>
            <w:r>
              <w:rPr>
                <w:rFonts w:hint="eastAsia"/>
                <w:color w:val="auto"/>
                <w:sz w:val="21"/>
                <w:szCs w:val="21"/>
                <w:highlight w:val="none"/>
                <w:lang w:eastAsia="zh-CN"/>
              </w:rPr>
              <w:t>）的要求</w:t>
            </w:r>
            <w:r>
              <w:rPr>
                <w:rFonts w:hint="eastAsia"/>
                <w:color w:val="auto"/>
                <w:spacing w:val="-10"/>
                <w:sz w:val="21"/>
                <w:szCs w:val="21"/>
                <w:highlight w:val="none"/>
                <w:lang w:val="en-US" w:eastAsia="zh-CN"/>
              </w:rPr>
              <w:t>，能在施工过程中全面解决各种紧急异常问题，</w:t>
            </w:r>
            <w:r>
              <w:rPr>
                <w:rFonts w:hint="default"/>
                <w:color w:val="auto"/>
                <w:spacing w:val="-10"/>
                <w:sz w:val="21"/>
                <w:szCs w:val="21"/>
                <w:highlight w:val="none"/>
              </w:rPr>
              <w:t>各项措施周全、</w:t>
            </w:r>
            <w:r>
              <w:rPr>
                <w:rFonts w:hint="default"/>
                <w:color w:val="auto"/>
                <w:sz w:val="21"/>
                <w:szCs w:val="21"/>
                <w:highlight w:val="none"/>
              </w:rPr>
              <w:t>具体、有效的</w:t>
            </w:r>
            <w:r>
              <w:rPr>
                <w:rFonts w:hint="eastAsia"/>
                <w:color w:val="auto"/>
                <w:sz w:val="21"/>
                <w:szCs w:val="21"/>
                <w:highlight w:val="none"/>
                <w:lang w:eastAsia="zh-CN"/>
              </w:rPr>
              <w:t>，</w:t>
            </w:r>
            <w:r>
              <w:rPr>
                <w:rFonts w:hint="eastAsia"/>
                <w:color w:val="auto"/>
                <w:sz w:val="21"/>
                <w:szCs w:val="21"/>
                <w:highlight w:val="none"/>
                <w:lang w:val="en-US" w:eastAsia="zh-CN"/>
              </w:rPr>
              <w:t>可行性强</w:t>
            </w:r>
            <w:r>
              <w:rPr>
                <w:rFonts w:hint="default"/>
                <w:color w:val="auto"/>
                <w:sz w:val="21"/>
                <w:szCs w:val="21"/>
                <w:highlight w:val="none"/>
              </w:rPr>
              <w:t xml:space="preserve">。 </w:t>
            </w:r>
          </w:p>
          <w:p w14:paraId="28E7241E">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分）：现场文明施工、环境保护措施和内容达到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w:t>
            </w:r>
            <w:r>
              <w:rPr>
                <w:rFonts w:hint="eastAsia"/>
                <w:color w:val="auto"/>
                <w:spacing w:val="-10"/>
                <w:sz w:val="21"/>
                <w:szCs w:val="21"/>
                <w:highlight w:val="none"/>
                <w:lang w:val="en-US" w:eastAsia="zh-CN"/>
              </w:rPr>
              <w:t>能在施工过程中解决各种紧急异常问题，</w:t>
            </w:r>
            <w:r>
              <w:rPr>
                <w:rFonts w:hint="default"/>
                <w:color w:val="auto"/>
                <w:sz w:val="21"/>
                <w:szCs w:val="21"/>
                <w:highlight w:val="none"/>
              </w:rPr>
              <w:t>而且各项措施</w:t>
            </w:r>
            <w:r>
              <w:rPr>
                <w:rFonts w:hint="eastAsia"/>
                <w:color w:val="auto"/>
                <w:sz w:val="21"/>
                <w:szCs w:val="21"/>
                <w:highlight w:val="none"/>
                <w:lang w:val="en-US" w:eastAsia="zh-CN"/>
              </w:rPr>
              <w:t>具体、有效</w:t>
            </w:r>
            <w:r>
              <w:rPr>
                <w:rFonts w:hint="default"/>
                <w:color w:val="auto"/>
                <w:sz w:val="21"/>
                <w:szCs w:val="21"/>
                <w:highlight w:val="none"/>
              </w:rPr>
              <w:t xml:space="preserve">。 </w:t>
            </w:r>
          </w:p>
          <w:p w14:paraId="75E8D2CE">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：现场文明施工、环境保护措施和内容基本达到</w:t>
            </w:r>
            <w:r>
              <w:rPr>
                <w:rFonts w:hint="eastAsia"/>
                <w:color w:val="auto"/>
                <w:sz w:val="21"/>
                <w:szCs w:val="21"/>
                <w:highlight w:val="none"/>
                <w:lang w:eastAsia="zh-CN"/>
              </w:rPr>
              <w:t>相关施工安全生产标准或文明施工要求的</w:t>
            </w:r>
            <w:r>
              <w:rPr>
                <w:rFonts w:hint="default"/>
                <w:color w:val="auto"/>
                <w:sz w:val="21"/>
                <w:szCs w:val="21"/>
                <w:highlight w:val="none"/>
              </w:rPr>
              <w:t>；有具体实现现场文明施工目标的承诺，</w:t>
            </w:r>
            <w:r>
              <w:rPr>
                <w:rFonts w:hint="eastAsia"/>
                <w:color w:val="auto"/>
                <w:spacing w:val="-10"/>
                <w:sz w:val="21"/>
                <w:szCs w:val="21"/>
                <w:highlight w:val="none"/>
                <w:lang w:val="en-US" w:eastAsia="zh-CN"/>
              </w:rPr>
              <w:t>能在施工过程中解决各种紧急异常问题，</w:t>
            </w:r>
            <w:r>
              <w:rPr>
                <w:rFonts w:hint="default"/>
                <w:color w:val="auto"/>
                <w:sz w:val="21"/>
                <w:szCs w:val="21"/>
                <w:highlight w:val="none"/>
              </w:rPr>
              <w:t>而且各项措施基本有效的。</w:t>
            </w:r>
          </w:p>
          <w:p w14:paraId="4FF8BC03">
            <w:pPr>
              <w:pStyle w:val="3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07" w:leftChars="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 xml:space="preserve"> </w:t>
            </w:r>
            <w:r>
              <w:rPr>
                <w:rFonts w:hint="eastAsia"/>
                <w:color w:val="auto"/>
                <w:sz w:val="21"/>
                <w:szCs w:val="21"/>
                <w:highlight w:val="none"/>
                <w:lang w:eastAsia="zh-CN"/>
              </w:rPr>
              <w:t>：</w:t>
            </w:r>
            <w:r>
              <w:rPr>
                <w:rFonts w:hint="default"/>
                <w:color w:val="auto"/>
                <w:sz w:val="21"/>
                <w:szCs w:val="21"/>
                <w:highlight w:val="none"/>
              </w:rPr>
              <w:t>现场文明施工、环境保护措施和内容与</w:t>
            </w:r>
            <w:r>
              <w:rPr>
                <w:rFonts w:hint="eastAsia"/>
                <w:color w:val="auto"/>
                <w:sz w:val="21"/>
                <w:szCs w:val="21"/>
                <w:highlight w:val="none"/>
                <w:lang w:eastAsia="zh-CN"/>
              </w:rPr>
              <w:t>相关施工安全生产标准或文明施工要求的</w:t>
            </w:r>
            <w:r>
              <w:rPr>
                <w:rFonts w:hint="default"/>
                <w:color w:val="auto"/>
                <w:sz w:val="21"/>
                <w:szCs w:val="21"/>
                <w:highlight w:val="none"/>
              </w:rPr>
              <w:t>的要求偏差大，</w:t>
            </w:r>
            <w:r>
              <w:rPr>
                <w:rFonts w:hint="eastAsia"/>
                <w:color w:val="auto"/>
                <w:spacing w:val="-10"/>
                <w:sz w:val="21"/>
                <w:szCs w:val="21"/>
                <w:highlight w:val="none"/>
                <w:lang w:val="en-US" w:eastAsia="zh-CN"/>
              </w:rPr>
              <w:t>在施工过程中解决各种紧急异常问题的能力欠佳</w:t>
            </w:r>
            <w:r>
              <w:rPr>
                <w:rFonts w:hint="default"/>
                <w:color w:val="auto"/>
                <w:sz w:val="21"/>
                <w:szCs w:val="21"/>
                <w:highlight w:val="none"/>
              </w:rPr>
              <w:t>。</w:t>
            </w:r>
          </w:p>
        </w:tc>
      </w:tr>
      <w:tr w14:paraId="5125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5D51FF05">
            <w:pPr>
              <w:keepNext w:val="0"/>
              <w:keepLines w:val="0"/>
              <w:widowControl/>
              <w:suppressLineNumbers w:val="0"/>
              <w:spacing w:before="0" w:beforeAutospacing="0" w:after="0" w:afterAutospacing="0" w:line="360" w:lineRule="auto"/>
              <w:ind w:left="0" w:right="0"/>
              <w:rPr>
                <w:rFonts w:hint="default"/>
                <w:color w:val="auto"/>
                <w:sz w:val="21"/>
                <w:szCs w:val="21"/>
                <w:highlight w:val="none"/>
              </w:rPr>
            </w:pPr>
            <w:r>
              <w:rPr>
                <w:rFonts w:hint="eastAsia" w:cs="宋体"/>
                <w:color w:val="auto"/>
                <w:kern w:val="0"/>
                <w:sz w:val="21"/>
                <w:szCs w:val="21"/>
                <w:highlight w:val="none"/>
              </w:rPr>
              <w:t>工程施工的重点和难点及保证措施（</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455E373E">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评审专家自行对重点和难点、现场保证措施、施工衔接是否分析到位、合理有效等各方面进行独立打分。 </w:t>
            </w:r>
          </w:p>
          <w:p w14:paraId="338E4251">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olor w:val="auto"/>
                <w:sz w:val="21"/>
                <w:szCs w:val="21"/>
                <w:highlight w:val="none"/>
                <w:lang w:eastAsia="zh-CN"/>
              </w:rPr>
              <w:t>优（6分）</w:t>
            </w:r>
            <w:r>
              <w:rPr>
                <w:rFonts w:hint="default"/>
                <w:color w:val="auto"/>
                <w:sz w:val="21"/>
                <w:szCs w:val="21"/>
                <w:highlight w:val="none"/>
              </w:rPr>
              <w:t>：针对该项目的</w:t>
            </w:r>
            <w:r>
              <w:rPr>
                <w:rFonts w:hint="eastAsia"/>
                <w:color w:val="auto"/>
                <w:sz w:val="21"/>
                <w:szCs w:val="21"/>
                <w:highlight w:val="none"/>
                <w:lang w:val="en-US" w:eastAsia="zh-CN"/>
              </w:rPr>
              <w:t>重点和</w:t>
            </w:r>
            <w:r>
              <w:rPr>
                <w:rFonts w:hint="default"/>
                <w:color w:val="auto"/>
                <w:sz w:val="21"/>
                <w:szCs w:val="21"/>
                <w:highlight w:val="none"/>
              </w:rPr>
              <w:t>难点</w:t>
            </w:r>
            <w:r>
              <w:rPr>
                <w:rFonts w:hint="eastAsia"/>
                <w:color w:val="auto"/>
                <w:sz w:val="21"/>
                <w:szCs w:val="21"/>
                <w:highlight w:val="none"/>
                <w:lang w:val="en-US" w:eastAsia="zh-CN"/>
              </w:rPr>
              <w:t>分析全面</w:t>
            </w:r>
            <w:r>
              <w:rPr>
                <w:rFonts w:hint="eastAsia"/>
                <w:color w:val="auto"/>
                <w:sz w:val="21"/>
                <w:szCs w:val="21"/>
                <w:highlight w:val="none"/>
                <w:lang w:eastAsia="zh-CN"/>
              </w:rPr>
              <w:t>（</w:t>
            </w:r>
            <w:r>
              <w:rPr>
                <w:rFonts w:hint="eastAsia"/>
                <w:color w:val="auto"/>
                <w:sz w:val="21"/>
                <w:szCs w:val="21"/>
                <w:highlight w:val="none"/>
                <w:lang w:val="en-US" w:eastAsia="zh-CN"/>
              </w:rPr>
              <w:t>且包含但不限于：有重点和难点分析、重点和难点解决措施、重点和难点各部分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措施、重点和难点科学合理可行的优化措施等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，以保证施工质量效果和设计效果的完美统一。 </w:t>
            </w:r>
          </w:p>
          <w:p w14:paraId="73DDE419">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良（</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分）：针对该项目的难点、重点分析到位</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且包含有重点和难点分析、重点和难点解决措施、重点和难点各部分</w:t>
            </w:r>
            <w:r>
              <w:rPr>
                <w:rFonts w:hint="eastAsia" w:ascii="宋体" w:hAnsi="宋体" w:eastAsia="宋体" w:cs="宋体"/>
                <w:color w:val="auto"/>
                <w:sz w:val="21"/>
                <w:szCs w:val="21"/>
                <w:highlight w:val="none"/>
                <w:lang w:eastAsia="zh-CN"/>
              </w:rPr>
              <w:t>交叉和衔接</w:t>
            </w:r>
            <w:r>
              <w:rPr>
                <w:rFonts w:hint="eastAsia"/>
                <w:color w:val="auto"/>
                <w:sz w:val="21"/>
                <w:szCs w:val="21"/>
                <w:highlight w:val="none"/>
                <w:lang w:val="en-US" w:eastAsia="zh-CN"/>
              </w:rPr>
              <w:t>措施等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，未重点考虑各部分施工如何相互交叉和衔接，施工质量效果基本达到设计效果。</w:t>
            </w:r>
          </w:p>
          <w:p w14:paraId="137F20E3">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right="101" w:firstLine="420" w:firstLineChars="20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中（2分）</w:t>
            </w:r>
            <w:r>
              <w:rPr>
                <w:rFonts w:hint="eastAsia" w:ascii="宋体" w:hAnsi="宋体" w:eastAsia="宋体" w:cs="宋体"/>
                <w:color w:val="auto"/>
                <w:sz w:val="21"/>
                <w:szCs w:val="21"/>
                <w:highlight w:val="none"/>
                <w:lang w:eastAsia="zh-CN"/>
              </w:rPr>
              <w:t>：针对该项目的难点、重点分析</w:t>
            </w:r>
            <w:r>
              <w:rPr>
                <w:rFonts w:hint="eastAsia" w:cs="宋体"/>
                <w:color w:val="auto"/>
                <w:sz w:val="21"/>
                <w:szCs w:val="21"/>
                <w:highlight w:val="none"/>
                <w:lang w:val="en-US" w:eastAsia="zh-CN"/>
              </w:rPr>
              <w:t>简单</w:t>
            </w:r>
            <w:r>
              <w:rPr>
                <w:rFonts w:hint="eastAsia"/>
                <w:color w:val="auto"/>
                <w:sz w:val="21"/>
                <w:szCs w:val="21"/>
                <w:highlight w:val="none"/>
                <w:lang w:eastAsia="zh-CN"/>
              </w:rPr>
              <w:t>（</w:t>
            </w:r>
            <w:r>
              <w:rPr>
                <w:rFonts w:hint="eastAsia"/>
                <w:color w:val="auto"/>
                <w:sz w:val="21"/>
                <w:szCs w:val="21"/>
                <w:highlight w:val="none"/>
                <w:lang w:val="en-US" w:eastAsia="zh-CN"/>
              </w:rPr>
              <w:t>且包含有重点和难点分析、重点和难点解决措等</w:t>
            </w:r>
            <w:r>
              <w:rPr>
                <w:rFonts w:hint="eastAsia"/>
                <w:color w:val="auto"/>
                <w:sz w:val="21"/>
                <w:szCs w:val="21"/>
                <w:highlight w:val="none"/>
                <w:lang w:eastAsia="zh-CN"/>
              </w:rPr>
              <w:t>）</w:t>
            </w:r>
            <w:r>
              <w:rPr>
                <w:rFonts w:hint="eastAsia" w:ascii="宋体" w:hAnsi="宋体" w:eastAsia="宋体" w:cs="宋体"/>
                <w:color w:val="auto"/>
                <w:sz w:val="21"/>
                <w:szCs w:val="21"/>
                <w:highlight w:val="none"/>
                <w:lang w:eastAsia="zh-CN"/>
              </w:rPr>
              <w:t xml:space="preserve">，各部分施工如何相互交叉和衔接不合理， 施工质量效果和设计效果有较大差距。 </w:t>
            </w:r>
          </w:p>
          <w:p w14:paraId="568AD162">
            <w:pPr>
              <w:pStyle w:val="39"/>
              <w:keepNext w:val="0"/>
              <w:keepLines w:val="0"/>
              <w:pageBreakBefore w:val="0"/>
              <w:widowControl w:val="0"/>
              <w:suppressLineNumbers w:val="0"/>
              <w:kinsoku/>
              <w:wordWrap/>
              <w:overflowPunct/>
              <w:topLinePunct w:val="0"/>
              <w:autoSpaceDE/>
              <w:autoSpaceDN/>
              <w:bidi w:val="0"/>
              <w:adjustRightInd/>
              <w:snapToGrid/>
              <w:spacing w:before="101" w:beforeAutospacing="0" w:after="0" w:afterAutospacing="0" w:line="360" w:lineRule="auto"/>
              <w:ind w:left="107" w:leftChars="0" w:right="101" w:rightChars="0" w:firstLine="420" w:firstLineChars="200"/>
              <w:textAlignment w:val="auto"/>
              <w:rPr>
                <w:rFonts w:hint="default"/>
                <w:color w:val="auto"/>
                <w:sz w:val="21"/>
                <w:szCs w:val="21"/>
                <w:highlight w:val="none"/>
              </w:rPr>
            </w:pPr>
            <w:r>
              <w:rPr>
                <w:rFonts w:hint="eastAsia" w:cs="宋体"/>
                <w:color w:val="auto"/>
                <w:sz w:val="21"/>
                <w:szCs w:val="21"/>
                <w:highlight w:val="none"/>
                <w:lang w:eastAsia="zh-CN"/>
              </w:rPr>
              <w:t>一般（1分）</w:t>
            </w:r>
            <w:r>
              <w:rPr>
                <w:rFonts w:hint="eastAsia" w:ascii="宋体" w:hAnsi="宋体" w:eastAsia="宋体" w:cs="宋体"/>
                <w:color w:val="auto"/>
                <w:sz w:val="21"/>
                <w:szCs w:val="21"/>
                <w:highlight w:val="none"/>
                <w:lang w:eastAsia="zh-CN"/>
              </w:rPr>
              <w:t>：未针对该项目的难点、重点进行分</w:t>
            </w:r>
            <w:r>
              <w:rPr>
                <w:rFonts w:hint="default"/>
                <w:color w:val="auto"/>
                <w:sz w:val="21"/>
                <w:szCs w:val="21"/>
                <w:highlight w:val="none"/>
              </w:rPr>
              <w:t>析</w:t>
            </w:r>
            <w:r>
              <w:rPr>
                <w:rFonts w:hint="eastAsia"/>
                <w:color w:val="auto"/>
                <w:sz w:val="21"/>
                <w:szCs w:val="21"/>
                <w:highlight w:val="none"/>
                <w:lang w:val="en-US" w:eastAsia="zh-CN"/>
              </w:rPr>
              <w:t>欠缺实战经验，措施简单只包含有重点和难点分析、重点和难点解决措等</w:t>
            </w:r>
            <w:r>
              <w:rPr>
                <w:rFonts w:hint="default"/>
                <w:color w:val="auto"/>
                <w:sz w:val="21"/>
                <w:szCs w:val="21"/>
                <w:highlight w:val="none"/>
              </w:rPr>
              <w:t>，未考虑各部分施工如何相互交叉和衔接，施工质量效果和设计效果的无法统一。</w:t>
            </w:r>
          </w:p>
        </w:tc>
      </w:tr>
      <w:tr w14:paraId="6388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1437" w:type="dxa"/>
            <w:vAlign w:val="center"/>
          </w:tcPr>
          <w:p w14:paraId="64106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color w:val="auto"/>
                <w:sz w:val="21"/>
                <w:szCs w:val="21"/>
                <w:highlight w:val="none"/>
              </w:rPr>
            </w:pPr>
            <w:r>
              <w:rPr>
                <w:rFonts w:hint="eastAsia" w:cs="宋体"/>
                <w:color w:val="auto"/>
                <w:kern w:val="0"/>
                <w:sz w:val="21"/>
                <w:szCs w:val="21"/>
                <w:highlight w:val="none"/>
              </w:rPr>
              <w:t>施工总平面布置图（</w:t>
            </w:r>
            <w:r>
              <w:rPr>
                <w:rFonts w:hint="eastAsia" w:cs="宋体"/>
                <w:color w:val="auto"/>
                <w:kern w:val="0"/>
                <w:sz w:val="21"/>
                <w:szCs w:val="21"/>
                <w:highlight w:val="none"/>
                <w:lang w:eastAsia="zh-CN"/>
              </w:rPr>
              <w:t>满分</w:t>
            </w:r>
            <w:r>
              <w:rPr>
                <w:rFonts w:hint="eastAsia"/>
                <w:color w:val="auto"/>
                <w:kern w:val="0"/>
                <w:sz w:val="21"/>
                <w:szCs w:val="21"/>
                <w:highlight w:val="none"/>
                <w:lang w:val="en-US" w:eastAsia="zh-CN"/>
              </w:rPr>
              <w:t>6</w:t>
            </w:r>
            <w:r>
              <w:rPr>
                <w:rFonts w:hint="eastAsia" w:cs="宋体"/>
                <w:color w:val="auto"/>
                <w:kern w:val="0"/>
                <w:sz w:val="21"/>
                <w:szCs w:val="21"/>
                <w:highlight w:val="none"/>
              </w:rPr>
              <w:t>分）</w:t>
            </w:r>
          </w:p>
        </w:tc>
        <w:tc>
          <w:tcPr>
            <w:tcW w:w="7413" w:type="dxa"/>
            <w:gridSpan w:val="2"/>
            <w:vAlign w:val="center"/>
          </w:tcPr>
          <w:p w14:paraId="2F761145">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 xml:space="preserve">评审专家自行对施工总平面图是否有针对性、满足施工要求、完整合理性等各方面进行独立打分。 </w:t>
            </w:r>
          </w:p>
          <w:p w14:paraId="736A9687">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优（6分）</w:t>
            </w:r>
            <w:r>
              <w:rPr>
                <w:rFonts w:hint="default"/>
                <w:color w:val="auto"/>
                <w:sz w:val="21"/>
                <w:szCs w:val="21"/>
                <w:highlight w:val="none"/>
              </w:rPr>
              <w:t>：总体布置有针对性、合理，</w:t>
            </w:r>
            <w:r>
              <w:rPr>
                <w:rFonts w:hint="eastAsia"/>
                <w:color w:val="auto"/>
                <w:sz w:val="21"/>
                <w:szCs w:val="21"/>
                <w:highlight w:val="none"/>
                <w:lang w:eastAsia="zh-CN"/>
              </w:rPr>
              <w:t>完全</w:t>
            </w:r>
            <w:r>
              <w:rPr>
                <w:rFonts w:hint="default"/>
                <w:color w:val="auto"/>
                <w:sz w:val="21"/>
                <w:szCs w:val="21"/>
                <w:highlight w:val="none"/>
              </w:rPr>
              <w:t>满足施工需要，符合安全、文明生产要求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 xml:space="preserve">。 </w:t>
            </w:r>
          </w:p>
          <w:p w14:paraId="120FB279">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default"/>
                <w:color w:val="auto"/>
                <w:sz w:val="21"/>
                <w:szCs w:val="21"/>
                <w:highlight w:val="none"/>
              </w:rPr>
              <w:t>良（</w:t>
            </w:r>
            <w:r>
              <w:rPr>
                <w:rFonts w:hint="eastAsia"/>
                <w:color w:val="auto"/>
                <w:sz w:val="21"/>
                <w:szCs w:val="21"/>
                <w:highlight w:val="none"/>
                <w:lang w:val="en-US" w:eastAsia="zh-CN"/>
              </w:rPr>
              <w:t>4</w:t>
            </w:r>
            <w:r>
              <w:rPr>
                <w:rFonts w:hint="default"/>
                <w:color w:val="auto"/>
                <w:sz w:val="21"/>
                <w:szCs w:val="21"/>
                <w:highlight w:val="none"/>
              </w:rPr>
              <w:t xml:space="preserve">分）：总体布置合理，能满足施工需要， </w:t>
            </w:r>
            <w:r>
              <w:rPr>
                <w:rFonts w:hint="eastAsia"/>
                <w:color w:val="auto"/>
                <w:sz w:val="21"/>
                <w:szCs w:val="21"/>
                <w:highlight w:val="none"/>
                <w:lang w:eastAsia="zh-CN"/>
              </w:rPr>
              <w:t>可以</w:t>
            </w:r>
            <w:r>
              <w:rPr>
                <w:rFonts w:hint="default"/>
                <w:color w:val="auto"/>
                <w:sz w:val="21"/>
                <w:szCs w:val="21"/>
                <w:highlight w:val="none"/>
              </w:rPr>
              <w:t>符合安全、文明生产要求</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w:t>
            </w:r>
          </w:p>
          <w:p w14:paraId="583CA6F7">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中（2分）</w:t>
            </w:r>
            <w:r>
              <w:rPr>
                <w:rFonts w:hint="default"/>
                <w:color w:val="auto"/>
                <w:sz w:val="21"/>
                <w:szCs w:val="21"/>
                <w:highlight w:val="none"/>
              </w:rPr>
              <w:t>：总体布置基本合理，基本满足施工需要</w:t>
            </w:r>
            <w:r>
              <w:rPr>
                <w:rFonts w:hint="eastAsia"/>
                <w:color w:val="auto"/>
                <w:sz w:val="21"/>
                <w:szCs w:val="21"/>
                <w:highlight w:val="none"/>
                <w:lang w:eastAsia="zh-CN"/>
              </w:rPr>
              <w:t>，</w:t>
            </w:r>
            <w:r>
              <w:rPr>
                <w:rFonts w:hint="eastAsia"/>
                <w:color w:val="auto"/>
                <w:sz w:val="21"/>
                <w:szCs w:val="21"/>
                <w:highlight w:val="none"/>
                <w:lang w:val="en-US" w:eastAsia="zh-CN"/>
              </w:rPr>
              <w:t>并对每部分的区域进行细分管理</w:t>
            </w:r>
            <w:r>
              <w:rPr>
                <w:rFonts w:hint="default"/>
                <w:color w:val="auto"/>
                <w:sz w:val="21"/>
                <w:szCs w:val="21"/>
                <w:highlight w:val="none"/>
              </w:rPr>
              <w:t>。</w:t>
            </w:r>
          </w:p>
          <w:p w14:paraId="4545004A">
            <w:pPr>
              <w:pStyle w:val="39"/>
              <w:keepNext w:val="0"/>
              <w:keepLines w:val="0"/>
              <w:pageBreakBefore w:val="0"/>
              <w:suppressLineNumbers w:val="0"/>
              <w:kinsoku/>
              <w:wordWrap/>
              <w:overflowPunct/>
              <w:topLinePunct w:val="0"/>
              <w:autoSpaceDE/>
              <w:autoSpaceDN/>
              <w:bidi w:val="0"/>
              <w:adjustRightInd/>
              <w:snapToGrid/>
              <w:spacing w:before="101" w:beforeAutospacing="0" w:after="0" w:afterAutospacing="0" w:line="360" w:lineRule="auto"/>
              <w:ind w:left="0" w:right="0" w:firstLine="420" w:firstLineChars="200"/>
              <w:textAlignment w:val="auto"/>
              <w:rPr>
                <w:rFonts w:hint="default"/>
                <w:color w:val="auto"/>
                <w:sz w:val="21"/>
                <w:szCs w:val="21"/>
                <w:highlight w:val="none"/>
              </w:rPr>
            </w:pPr>
            <w:r>
              <w:rPr>
                <w:rFonts w:hint="eastAsia"/>
                <w:color w:val="auto"/>
                <w:sz w:val="21"/>
                <w:szCs w:val="21"/>
                <w:highlight w:val="none"/>
                <w:lang w:eastAsia="zh-CN"/>
              </w:rPr>
              <w:t>一般（1分）</w:t>
            </w:r>
            <w:r>
              <w:rPr>
                <w:rFonts w:hint="default"/>
                <w:color w:val="auto"/>
                <w:sz w:val="21"/>
                <w:szCs w:val="21"/>
                <w:highlight w:val="none"/>
              </w:rPr>
              <w:t>：总体布置不合理，</w:t>
            </w:r>
            <w:r>
              <w:rPr>
                <w:rFonts w:hint="eastAsia"/>
                <w:color w:val="auto"/>
                <w:sz w:val="21"/>
                <w:szCs w:val="21"/>
                <w:highlight w:val="none"/>
                <w:lang w:val="en-US" w:eastAsia="zh-CN"/>
              </w:rPr>
              <w:t>每部分的区域管理</w:t>
            </w:r>
            <w:r>
              <w:rPr>
                <w:rFonts w:hint="default"/>
                <w:color w:val="auto"/>
                <w:sz w:val="21"/>
                <w:szCs w:val="21"/>
                <w:highlight w:val="none"/>
              </w:rPr>
              <w:t>不符合安全、文明生产要求。</w:t>
            </w:r>
          </w:p>
        </w:tc>
      </w:tr>
      <w:tr w14:paraId="7CAE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437" w:type="dxa"/>
            <w:vAlign w:val="center"/>
          </w:tcPr>
          <w:p w14:paraId="333C3B7A">
            <w:pPr>
              <w:keepNext w:val="0"/>
              <w:keepLines w:val="0"/>
              <w:pageBreakBefore w:val="0"/>
              <w:suppressLineNumbers w:val="0"/>
              <w:kinsoku/>
              <w:wordWrap/>
              <w:overflowPunct/>
              <w:topLinePunct w:val="0"/>
              <w:autoSpaceDE/>
              <w:autoSpaceDN/>
              <w:bidi w:val="0"/>
              <w:snapToGrid/>
              <w:spacing w:before="0" w:beforeAutospacing="0" w:after="0" w:afterAutospacing="0" w:line="360" w:lineRule="auto"/>
              <w:ind w:left="0" w:right="0"/>
              <w:jc w:val="both"/>
              <w:rPr>
                <w:rFonts w:hint="default"/>
                <w:b/>
                <w:bCs/>
                <w:color w:val="auto"/>
                <w:sz w:val="21"/>
                <w:szCs w:val="21"/>
                <w:highlight w:val="none"/>
              </w:rPr>
            </w:pPr>
            <w:r>
              <w:rPr>
                <w:rFonts w:hint="eastAsia"/>
                <w:b/>
                <w:bCs/>
                <w:color w:val="auto"/>
                <w:sz w:val="21"/>
                <w:szCs w:val="21"/>
                <w:highlight w:val="none"/>
                <w:lang w:val="en-US" w:eastAsia="zh-CN"/>
              </w:rPr>
              <w:t>2、报价文件</w:t>
            </w:r>
            <w:r>
              <w:rPr>
                <w:rFonts w:hint="default"/>
                <w:b/>
                <w:bCs/>
                <w:color w:val="auto"/>
                <w:sz w:val="21"/>
                <w:szCs w:val="21"/>
                <w:highlight w:val="none"/>
              </w:rPr>
              <w:t>（满分</w:t>
            </w:r>
            <w:r>
              <w:rPr>
                <w:rFonts w:hint="eastAsia"/>
                <w:b/>
                <w:bCs/>
                <w:color w:val="auto"/>
                <w:sz w:val="21"/>
                <w:szCs w:val="21"/>
                <w:highlight w:val="none"/>
                <w:lang w:val="en-US" w:eastAsia="zh-CN"/>
              </w:rPr>
              <w:t>3</w:t>
            </w:r>
            <w:r>
              <w:rPr>
                <w:rFonts w:hint="eastAsia"/>
                <w:b/>
                <w:bCs/>
                <w:color w:val="auto"/>
                <w:sz w:val="21"/>
                <w:szCs w:val="21"/>
                <w:highlight w:val="none"/>
              </w:rPr>
              <w:t>0</w:t>
            </w:r>
            <w:r>
              <w:rPr>
                <w:rFonts w:hint="default"/>
                <w:b/>
                <w:bCs/>
                <w:color w:val="auto"/>
                <w:sz w:val="21"/>
                <w:szCs w:val="21"/>
                <w:highlight w:val="none"/>
              </w:rPr>
              <w:t>分）</w:t>
            </w:r>
          </w:p>
        </w:tc>
        <w:tc>
          <w:tcPr>
            <w:tcW w:w="7413" w:type="dxa"/>
            <w:gridSpan w:val="2"/>
            <w:vAlign w:val="top"/>
          </w:tcPr>
          <w:p w14:paraId="49A494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color w:val="auto"/>
                <w:kern w:val="2"/>
                <w:sz w:val="21"/>
                <w:szCs w:val="21"/>
                <w:highlight w:val="none"/>
                <w:lang w:val="zh-CN" w:eastAsia="zh-CN" w:bidi="zh-CN"/>
              </w:rPr>
            </w:pPr>
            <w:r>
              <w:rPr>
                <w:rFonts w:hint="default" w:ascii="宋体" w:hAnsi="宋体" w:eastAsia="宋体" w:cs="宋体"/>
                <w:color w:val="auto"/>
                <w:kern w:val="2"/>
                <w:sz w:val="21"/>
                <w:szCs w:val="21"/>
                <w:highlight w:val="none"/>
                <w:lang w:val="zh-CN" w:eastAsia="zh-CN" w:bidi="zh-CN"/>
              </w:rPr>
              <w:t>综合评分法中的价格分统一采用低价优先法计算，即满足磋商文件要求且最后报价最低的供应商的价格为磋商基准价，其价格分为满分。其他供应商的价格分统一按照下列公式计算:</w:t>
            </w:r>
          </w:p>
          <w:p w14:paraId="261ADC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eastAsia="宋体"/>
                <w:color w:val="auto"/>
                <w:sz w:val="21"/>
                <w:szCs w:val="21"/>
                <w:highlight w:val="none"/>
                <w:lang w:val="en-US" w:eastAsia="zh-CN"/>
              </w:rPr>
            </w:pPr>
            <w:r>
              <w:rPr>
                <w:rFonts w:hint="default" w:ascii="宋体" w:hAnsi="宋体" w:eastAsia="宋体" w:cs="宋体"/>
                <w:color w:val="auto"/>
                <w:kern w:val="2"/>
                <w:sz w:val="21"/>
                <w:szCs w:val="21"/>
                <w:highlight w:val="none"/>
                <w:lang w:val="zh-CN" w:eastAsia="zh-CN" w:bidi="zh-CN"/>
              </w:rPr>
              <w:t>磋商报价得分=(磋商基准价/最后磋商报价)×</w:t>
            </w:r>
            <w:r>
              <w:rPr>
                <w:rFonts w:hint="eastAsia" w:ascii="宋体" w:hAnsi="宋体" w:eastAsia="宋体" w:cs="宋体"/>
                <w:color w:val="auto"/>
                <w:kern w:val="2"/>
                <w:sz w:val="21"/>
                <w:szCs w:val="21"/>
                <w:highlight w:val="none"/>
                <w:lang w:val="en-US" w:eastAsia="zh-CN" w:bidi="zh-CN"/>
              </w:rPr>
              <w:t>30分</w:t>
            </w:r>
          </w:p>
        </w:tc>
      </w:tr>
    </w:tbl>
    <w:p w14:paraId="644374D9">
      <w:pPr>
        <w:numPr>
          <w:ilvl w:val="0"/>
          <w:numId w:val="7"/>
        </w:numPr>
        <w:shd w:val="clear"/>
        <w:spacing w:line="360" w:lineRule="auto"/>
        <w:ind w:left="-73" w:leftChars="0" w:firstLine="482" w:firstLineChars="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评标报告</w:t>
      </w:r>
    </w:p>
    <w:p w14:paraId="61A826E7">
      <w:pPr>
        <w:numPr>
          <w:ilvl w:val="0"/>
          <w:numId w:val="0"/>
        </w:num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1.成交标准</w:t>
      </w:r>
    </w:p>
    <w:p w14:paraId="22CA634D">
      <w:pPr>
        <w:keepNext w:val="0"/>
        <w:keepLines w:val="0"/>
        <w:pageBreakBefore w:val="0"/>
        <w:shd w:val="clear"/>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磋商小组根据综合评分情况，按照评审得分由高到低顺序推荐3名以上成交候选供应商,并在线编写电子评审报告。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F7D13E7">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2.评标争议事项处理</w:t>
      </w:r>
    </w:p>
    <w:p w14:paraId="0D60CF8F">
      <w:pPr>
        <w:pStyle w:val="43"/>
        <w:shd w:val="clear"/>
        <w:spacing w:before="0"/>
        <w:ind w:firstLine="420"/>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2109441B">
      <w:pPr>
        <w:pStyle w:val="3"/>
        <w:shd w:val="clear"/>
        <w:spacing w:before="0" w:after="0" w:line="360" w:lineRule="auto"/>
        <w:ind w:firstLine="482" w:firstLineChars="200"/>
        <w:jc w:val="both"/>
        <w:rPr>
          <w:rFonts w:hint="eastAsia" w:ascii="宋体" w:hAnsi="宋体" w:eastAsia="宋体" w:cs="宋体"/>
          <w:b/>
          <w:bCs/>
          <w:color w:val="auto"/>
          <w:sz w:val="24"/>
          <w:highlight w:val="none"/>
          <w:lang w:val="en-US" w:eastAsia="zh-CN" w:bidi="hi-IN"/>
        </w:rPr>
      </w:pPr>
      <w:bookmarkStart w:id="1120" w:name="_Toc80886940"/>
      <w:bookmarkStart w:id="1121" w:name="_Toc80205936"/>
      <w:r>
        <w:rPr>
          <w:rFonts w:hint="eastAsia" w:ascii="宋体" w:hAnsi="宋体" w:eastAsia="宋体" w:cs="宋体"/>
          <w:b/>
          <w:bCs/>
          <w:color w:val="auto"/>
          <w:sz w:val="24"/>
          <w:highlight w:val="none"/>
          <w:lang w:val="en-US" w:eastAsia="zh-CN" w:bidi="hi-IN"/>
        </w:rPr>
        <w:t>五、 评审过程的保密与录像</w:t>
      </w:r>
      <w:bookmarkEnd w:id="1120"/>
      <w:bookmarkEnd w:id="1121"/>
    </w:p>
    <w:p w14:paraId="5B51E774">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1.保密。</w:t>
      </w:r>
    </w:p>
    <w:p w14:paraId="598B2AEF">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EF4934B">
      <w:pPr>
        <w:shd w:val="clea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2.录音录像。</w:t>
      </w:r>
    </w:p>
    <w:p w14:paraId="1F09D013">
      <w:pPr>
        <w:widowControl/>
        <w:shd w:val="clear"/>
        <w:spacing w:line="360" w:lineRule="auto"/>
        <w:ind w:firstLine="420" w:firstLineChars="200"/>
        <w:rPr>
          <w:rFonts w:hint="eastAsia" w:ascii="宋体" w:hAnsi="宋体" w:eastAsia="宋体" w:cs="宋体"/>
          <w:color w:val="auto"/>
          <w:kern w:val="2"/>
          <w:sz w:val="21"/>
          <w:szCs w:val="24"/>
          <w:highlight w:val="none"/>
          <w:lang w:val="en-US" w:eastAsia="zh-CN" w:bidi="hi-IN"/>
        </w:rPr>
      </w:pPr>
      <w:r>
        <w:rPr>
          <w:rFonts w:hint="eastAsia" w:ascii="宋体" w:hAnsi="宋体" w:eastAsia="宋体" w:cs="宋体"/>
          <w:color w:val="auto"/>
          <w:kern w:val="2"/>
          <w:sz w:val="21"/>
          <w:szCs w:val="24"/>
          <w:highlight w:val="none"/>
          <w:lang w:val="en-US" w:eastAsia="zh-CN" w:bidi="hi-IN"/>
        </w:rPr>
        <w:t>采购代理机构对评审工作现场及操作屏幕进行全过程录音录像，录音录像资料作为采购项目文件随其他文件一并存档。</w:t>
      </w:r>
    </w:p>
    <w:p w14:paraId="275E02E3">
      <w:pPr>
        <w:pStyle w:val="32"/>
        <w:shd w:val="clear"/>
        <w:rPr>
          <w:rFonts w:hint="eastAsia" w:ascii="宋体" w:hAnsi="宋体" w:cs="宋体"/>
          <w:bCs/>
          <w:color w:val="auto"/>
          <w:sz w:val="21"/>
          <w:szCs w:val="21"/>
          <w:highlight w:val="none"/>
        </w:rPr>
      </w:pPr>
    </w:p>
    <w:p w14:paraId="5D9BC675">
      <w:pPr>
        <w:pStyle w:val="31"/>
        <w:shd w:val="clear"/>
        <w:rPr>
          <w:rFonts w:hint="eastAsia"/>
          <w:color w:val="auto"/>
          <w:highlight w:val="none"/>
        </w:rPr>
      </w:pPr>
    </w:p>
    <w:p w14:paraId="4F237F18">
      <w:pPr>
        <w:pStyle w:val="32"/>
        <w:rPr>
          <w:rFonts w:hint="eastAsia"/>
          <w:color w:val="auto"/>
          <w:highlight w:val="none"/>
        </w:rPr>
      </w:pPr>
    </w:p>
    <w:p w14:paraId="1E63B5BE">
      <w:pPr>
        <w:pStyle w:val="31"/>
        <w:rPr>
          <w:rFonts w:hint="eastAsia"/>
          <w:color w:val="auto"/>
          <w:highlight w:val="none"/>
        </w:rPr>
      </w:pPr>
    </w:p>
    <w:p w14:paraId="2E4E9200">
      <w:pPr>
        <w:pStyle w:val="32"/>
        <w:shd w:val="clear"/>
        <w:rPr>
          <w:rFonts w:hint="eastAsia"/>
          <w:color w:val="auto"/>
          <w:highlight w:val="none"/>
        </w:rPr>
      </w:pPr>
    </w:p>
    <w:p w14:paraId="69DC7348">
      <w:pPr>
        <w:pStyle w:val="31"/>
        <w:rPr>
          <w:rFonts w:hint="eastAsia"/>
          <w:color w:val="auto"/>
          <w:highlight w:val="none"/>
        </w:rPr>
      </w:pPr>
    </w:p>
    <w:p w14:paraId="7F167B96">
      <w:pPr>
        <w:pStyle w:val="32"/>
        <w:rPr>
          <w:rFonts w:hint="eastAsia"/>
          <w:color w:val="auto"/>
          <w:highlight w:val="none"/>
        </w:rPr>
      </w:pPr>
    </w:p>
    <w:p w14:paraId="0D0DADDE">
      <w:pPr>
        <w:pStyle w:val="31"/>
        <w:rPr>
          <w:rFonts w:hint="eastAsia"/>
          <w:color w:val="auto"/>
          <w:highlight w:val="none"/>
        </w:rPr>
      </w:pPr>
    </w:p>
    <w:p w14:paraId="325E0C3D">
      <w:pPr>
        <w:pStyle w:val="32"/>
        <w:rPr>
          <w:rFonts w:hint="eastAsia"/>
          <w:color w:val="auto"/>
          <w:highlight w:val="none"/>
        </w:rPr>
      </w:pPr>
    </w:p>
    <w:p w14:paraId="0B5850C4">
      <w:pPr>
        <w:pStyle w:val="31"/>
        <w:rPr>
          <w:rFonts w:hint="eastAsia"/>
          <w:color w:val="auto"/>
          <w:highlight w:val="none"/>
        </w:rPr>
      </w:pPr>
    </w:p>
    <w:p w14:paraId="31E3CC85">
      <w:pPr>
        <w:pStyle w:val="32"/>
        <w:rPr>
          <w:rFonts w:hint="eastAsia"/>
          <w:color w:val="auto"/>
          <w:highlight w:val="none"/>
        </w:rPr>
      </w:pPr>
    </w:p>
    <w:p w14:paraId="5BEF8302">
      <w:pPr>
        <w:pStyle w:val="31"/>
        <w:rPr>
          <w:rFonts w:hint="eastAsia"/>
          <w:color w:val="auto"/>
          <w:highlight w:val="none"/>
        </w:rPr>
      </w:pPr>
    </w:p>
    <w:p w14:paraId="3DACC71D">
      <w:pPr>
        <w:pStyle w:val="32"/>
        <w:rPr>
          <w:rFonts w:hint="eastAsia"/>
          <w:color w:val="auto"/>
          <w:highlight w:val="none"/>
        </w:rPr>
      </w:pPr>
    </w:p>
    <w:p w14:paraId="6D7A0E32">
      <w:pPr>
        <w:pStyle w:val="31"/>
        <w:rPr>
          <w:rFonts w:hint="eastAsia"/>
          <w:color w:val="auto"/>
          <w:highlight w:val="none"/>
        </w:rPr>
      </w:pPr>
    </w:p>
    <w:p w14:paraId="6BA3C22E">
      <w:pPr>
        <w:pStyle w:val="32"/>
        <w:rPr>
          <w:rFonts w:hint="eastAsia"/>
          <w:color w:val="auto"/>
          <w:highlight w:val="none"/>
        </w:rPr>
      </w:pPr>
    </w:p>
    <w:p w14:paraId="1FD16562">
      <w:pPr>
        <w:pStyle w:val="31"/>
        <w:rPr>
          <w:rFonts w:hint="eastAsia"/>
          <w:color w:val="auto"/>
          <w:highlight w:val="none"/>
        </w:rPr>
      </w:pPr>
    </w:p>
    <w:p w14:paraId="37E7CA3D">
      <w:pPr>
        <w:pStyle w:val="32"/>
        <w:rPr>
          <w:rFonts w:hint="eastAsia"/>
          <w:color w:val="auto"/>
          <w:highlight w:val="none"/>
        </w:rPr>
      </w:pPr>
    </w:p>
    <w:p w14:paraId="0ED3891F">
      <w:pPr>
        <w:pStyle w:val="31"/>
        <w:rPr>
          <w:rFonts w:hint="eastAsia"/>
          <w:color w:val="auto"/>
          <w:highlight w:val="none"/>
        </w:rPr>
      </w:pPr>
    </w:p>
    <w:p w14:paraId="02290E4B">
      <w:pPr>
        <w:pStyle w:val="32"/>
        <w:rPr>
          <w:rFonts w:hint="eastAsia"/>
          <w:color w:val="auto"/>
          <w:highlight w:val="none"/>
        </w:rPr>
      </w:pPr>
    </w:p>
    <w:p w14:paraId="68C65939">
      <w:pPr>
        <w:pStyle w:val="31"/>
        <w:rPr>
          <w:rFonts w:hint="eastAsia"/>
          <w:color w:val="auto"/>
          <w:highlight w:val="none"/>
        </w:rPr>
      </w:pPr>
    </w:p>
    <w:p w14:paraId="1D3BE80E">
      <w:pPr>
        <w:pStyle w:val="32"/>
        <w:rPr>
          <w:rFonts w:hint="eastAsia"/>
          <w:color w:val="auto"/>
          <w:highlight w:val="none"/>
        </w:rPr>
      </w:pPr>
    </w:p>
    <w:p w14:paraId="0068A057">
      <w:pPr>
        <w:pStyle w:val="31"/>
        <w:rPr>
          <w:rFonts w:hint="eastAsia"/>
          <w:color w:val="auto"/>
          <w:highlight w:val="none"/>
        </w:rPr>
      </w:pPr>
    </w:p>
    <w:p w14:paraId="0F645B9D">
      <w:pPr>
        <w:pStyle w:val="32"/>
        <w:rPr>
          <w:rFonts w:hint="eastAsia"/>
          <w:color w:val="auto"/>
          <w:highlight w:val="none"/>
        </w:rPr>
      </w:pPr>
    </w:p>
    <w:p w14:paraId="29D584C1">
      <w:pPr>
        <w:pStyle w:val="32"/>
        <w:shd w:val="clear"/>
        <w:rPr>
          <w:rFonts w:hint="eastAsia" w:ascii="宋体" w:hAnsi="宋体" w:cs="宋体"/>
          <w:bCs/>
          <w:color w:val="auto"/>
          <w:sz w:val="21"/>
          <w:szCs w:val="21"/>
          <w:highlight w:val="none"/>
        </w:rPr>
      </w:pPr>
    </w:p>
    <w:p w14:paraId="398F4BFF">
      <w:pPr>
        <w:shd w:val="clear"/>
        <w:spacing w:line="360" w:lineRule="auto"/>
        <w:ind w:firstLine="632" w:firstLineChars="300"/>
        <w:jc w:val="center"/>
        <w:rPr>
          <w:rFonts w:ascii="宋体" w:hAnsi="宋体"/>
          <w:b/>
          <w:bCs/>
          <w:color w:val="auto"/>
          <w:sz w:val="21"/>
          <w:szCs w:val="21"/>
          <w:highlight w:val="none"/>
        </w:rPr>
      </w:pPr>
      <w:r>
        <w:rPr>
          <w:rFonts w:hint="eastAsia" w:ascii="宋体" w:hAnsi="宋体"/>
          <w:b/>
          <w:bCs/>
          <w:color w:val="auto"/>
          <w:sz w:val="21"/>
          <w:szCs w:val="21"/>
          <w:highlight w:val="none"/>
        </w:rPr>
        <w:t>附件：评分细则</w:t>
      </w:r>
    </w:p>
    <w:p w14:paraId="571650E0">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1.初步评审</w:t>
      </w:r>
    </w:p>
    <w:p w14:paraId="44F58DA4">
      <w:pPr>
        <w:shd w:val="clea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磋商小组对供应商资格审查、</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rPr>
        <w:t>性进行评审。资格审查指依据法律、法规和竞争性磋商文件的规定，对竞争性磋商响应文件中的资格证明</w:t>
      </w:r>
      <w:r>
        <w:rPr>
          <w:rFonts w:hint="eastAsia" w:ascii="宋体" w:hAnsi="宋体"/>
          <w:bCs/>
          <w:color w:val="auto"/>
          <w:sz w:val="21"/>
          <w:szCs w:val="21"/>
          <w:highlight w:val="none"/>
          <w:lang w:eastAsia="zh-CN"/>
        </w:rPr>
        <w:t>资料</w:t>
      </w:r>
      <w:r>
        <w:rPr>
          <w:rFonts w:hint="eastAsia" w:ascii="宋体" w:hAnsi="宋体"/>
          <w:bCs/>
          <w:color w:val="auto"/>
          <w:sz w:val="21"/>
          <w:szCs w:val="21"/>
          <w:highlight w:val="none"/>
        </w:rPr>
        <w:t>进行审查，如果供应商出现没有按照要求提交全部资格证明文件或资格证明无效；未按</w:t>
      </w:r>
      <w:r>
        <w:rPr>
          <w:rFonts w:hint="eastAsia" w:ascii="宋体" w:hAnsi="宋体"/>
          <w:bCs/>
          <w:color w:val="auto"/>
          <w:sz w:val="21"/>
          <w:szCs w:val="21"/>
          <w:highlight w:val="none"/>
          <w:lang w:eastAsia="zh-CN"/>
        </w:rPr>
        <w:t>采购文件</w:t>
      </w:r>
      <w:r>
        <w:rPr>
          <w:rFonts w:hint="eastAsia" w:ascii="宋体" w:hAnsi="宋体"/>
          <w:bCs/>
          <w:color w:val="auto"/>
          <w:sz w:val="21"/>
          <w:szCs w:val="21"/>
          <w:highlight w:val="none"/>
        </w:rPr>
        <w:t>要求</w:t>
      </w:r>
      <w:r>
        <w:rPr>
          <w:rFonts w:hint="eastAsia" w:ascii="宋体" w:hAnsi="宋体"/>
          <w:bCs/>
          <w:color w:val="auto"/>
          <w:sz w:val="21"/>
          <w:szCs w:val="21"/>
          <w:highlight w:val="none"/>
          <w:lang w:eastAsia="zh-CN"/>
        </w:rPr>
        <w:t>签字盖章、提</w:t>
      </w:r>
      <w:r>
        <w:rPr>
          <w:rFonts w:hint="eastAsia" w:ascii="宋体" w:hAnsi="宋体"/>
          <w:bCs/>
          <w:color w:val="auto"/>
          <w:sz w:val="21"/>
          <w:szCs w:val="21"/>
          <w:highlight w:val="none"/>
        </w:rPr>
        <w:t>交磋商保证金</w:t>
      </w:r>
      <w:r>
        <w:rPr>
          <w:rFonts w:hint="eastAsia" w:ascii="宋体" w:hAnsi="宋体"/>
          <w:bCs/>
          <w:color w:val="auto"/>
          <w:sz w:val="21"/>
          <w:szCs w:val="21"/>
          <w:highlight w:val="none"/>
          <w:lang w:eastAsia="zh-CN"/>
        </w:rPr>
        <w:t>、有效报价</w:t>
      </w:r>
      <w:r>
        <w:rPr>
          <w:rFonts w:hint="eastAsia" w:ascii="宋体" w:hAnsi="宋体"/>
          <w:bCs/>
          <w:color w:val="auto"/>
          <w:sz w:val="21"/>
          <w:szCs w:val="21"/>
          <w:highlight w:val="none"/>
        </w:rPr>
        <w:t>等则视为该供应商</w:t>
      </w:r>
      <w:r>
        <w:rPr>
          <w:rFonts w:hint="eastAsia" w:ascii="宋体" w:hAnsi="宋体"/>
          <w:bCs/>
          <w:color w:val="auto"/>
          <w:sz w:val="21"/>
          <w:szCs w:val="21"/>
          <w:highlight w:val="none"/>
          <w:lang w:val="en-US" w:eastAsia="zh-CN"/>
        </w:rPr>
        <w:t>符合</w:t>
      </w:r>
      <w:r>
        <w:rPr>
          <w:rFonts w:hint="eastAsia" w:ascii="宋体" w:hAnsi="宋体"/>
          <w:bCs/>
          <w:color w:val="auto"/>
          <w:sz w:val="21"/>
          <w:szCs w:val="21"/>
          <w:highlight w:val="none"/>
          <w:lang w:eastAsia="zh-CN"/>
        </w:rPr>
        <w:t>性</w:t>
      </w:r>
      <w:r>
        <w:rPr>
          <w:rFonts w:hint="eastAsia" w:ascii="宋体" w:hAnsi="宋体"/>
          <w:bCs/>
          <w:color w:val="auto"/>
          <w:sz w:val="21"/>
          <w:szCs w:val="21"/>
          <w:highlight w:val="none"/>
        </w:rPr>
        <w:t>不合格</w:t>
      </w:r>
      <w:r>
        <w:rPr>
          <w:rFonts w:hint="eastAsia" w:ascii="宋体" w:hAnsi="宋体"/>
          <w:bCs/>
          <w:color w:val="auto"/>
          <w:sz w:val="21"/>
          <w:szCs w:val="21"/>
          <w:highlight w:val="none"/>
          <w:lang w:eastAsia="zh-CN"/>
        </w:rPr>
        <w:t>，未按采购文件响应工期、质量，内容等则</w:t>
      </w:r>
      <w:r>
        <w:rPr>
          <w:rFonts w:hint="eastAsia" w:ascii="宋体" w:hAnsi="宋体"/>
          <w:bCs/>
          <w:color w:val="auto"/>
          <w:sz w:val="21"/>
          <w:szCs w:val="21"/>
          <w:highlight w:val="none"/>
        </w:rPr>
        <w:t>视为该供应商</w:t>
      </w:r>
      <w:r>
        <w:rPr>
          <w:rFonts w:hint="eastAsia" w:ascii="宋体" w:hAnsi="宋体"/>
          <w:bCs/>
          <w:color w:val="auto"/>
          <w:sz w:val="21"/>
          <w:szCs w:val="21"/>
          <w:highlight w:val="none"/>
          <w:lang w:eastAsia="zh-CN"/>
        </w:rPr>
        <w:t>响应性</w:t>
      </w:r>
      <w:r>
        <w:rPr>
          <w:rFonts w:hint="eastAsia" w:ascii="宋体" w:hAnsi="宋体"/>
          <w:bCs/>
          <w:color w:val="auto"/>
          <w:sz w:val="21"/>
          <w:szCs w:val="21"/>
          <w:highlight w:val="none"/>
        </w:rPr>
        <w:t>不合格。</w:t>
      </w:r>
    </w:p>
    <w:p w14:paraId="5C9358A3">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2.磋商</w:t>
      </w:r>
    </w:p>
    <w:p w14:paraId="587F37F6">
      <w:pPr>
        <w:shd w:val="clear"/>
        <w:spacing w:line="360" w:lineRule="auto"/>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磋商小组将与通过</w:t>
      </w:r>
      <w:r>
        <w:rPr>
          <w:rFonts w:hint="eastAsia" w:ascii="宋体" w:hAnsi="宋体"/>
          <w:bCs/>
          <w:color w:val="auto"/>
          <w:sz w:val="21"/>
          <w:szCs w:val="21"/>
          <w:highlight w:val="none"/>
          <w:lang w:eastAsia="zh-CN"/>
        </w:rPr>
        <w:t>初步审查</w:t>
      </w:r>
      <w:r>
        <w:rPr>
          <w:rFonts w:hint="eastAsia" w:ascii="宋体" w:hAnsi="宋体"/>
          <w:bCs/>
          <w:color w:val="auto"/>
          <w:sz w:val="21"/>
          <w:szCs w:val="21"/>
          <w:highlight w:val="none"/>
        </w:rPr>
        <w:t>的供应商分别进行磋商。在磋商中，磋商的任何一方不得透露与磋商有关的其他供应商的技术资料、价格和其他信息。竞争性磋商文件有实质性变动的，磋商小组将以书面形式通知所有参加磋商的供应商。</w:t>
      </w:r>
    </w:p>
    <w:p w14:paraId="77A5EF31">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（1）供应商在磋商小组规定的时间内按要求再次以书面形式报价，并由法定代表人或授权代理人签字确认。</w:t>
      </w:r>
    </w:p>
    <w:p w14:paraId="6E28F38E">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（2）最终报价后，重大偏离不允许被修正，但磋商小组将允许修正报价中不构成重大偏离的地方，这些修正不会对其他实质上响应竞争性磋商文件要求的供应商的竞争地位产生不公正的影响。</w:t>
      </w:r>
    </w:p>
    <w:p w14:paraId="617BADAA">
      <w:pPr>
        <w:shd w:val="clear"/>
        <w:spacing w:line="360" w:lineRule="auto"/>
        <w:ind w:firstLine="210" w:firstLineChars="100"/>
        <w:rPr>
          <w:rFonts w:ascii="宋体" w:hAnsi="宋体"/>
          <w:bCs/>
          <w:color w:val="auto"/>
          <w:sz w:val="21"/>
          <w:szCs w:val="21"/>
          <w:highlight w:val="none"/>
        </w:rPr>
      </w:pPr>
      <w:r>
        <w:rPr>
          <w:rFonts w:hint="eastAsia" w:ascii="宋体" w:hAnsi="宋体"/>
          <w:bCs/>
          <w:color w:val="auto"/>
          <w:sz w:val="21"/>
          <w:szCs w:val="21"/>
          <w:highlight w:val="none"/>
        </w:rPr>
        <w:t>（3）如出现供应商达不到法定数量，供应商最终报价均超出采购预算，磋商小组有权否决所有报价，采购人报请监督管理机构批准后另行采购。</w:t>
      </w:r>
    </w:p>
    <w:p w14:paraId="027130EB">
      <w:pPr>
        <w:shd w:val="clear"/>
        <w:spacing w:line="360" w:lineRule="auto"/>
        <w:rPr>
          <w:rFonts w:ascii="宋体" w:hAnsi="宋体"/>
          <w:bCs/>
          <w:color w:val="auto"/>
          <w:sz w:val="21"/>
          <w:szCs w:val="21"/>
          <w:highlight w:val="none"/>
        </w:rPr>
      </w:pPr>
      <w:r>
        <w:rPr>
          <w:rFonts w:hint="eastAsia" w:ascii="宋体" w:hAnsi="宋体"/>
          <w:bCs/>
          <w:color w:val="auto"/>
          <w:sz w:val="21"/>
          <w:szCs w:val="21"/>
          <w:highlight w:val="none"/>
        </w:rPr>
        <w:t>3、确定成交供应商</w:t>
      </w:r>
    </w:p>
    <w:p w14:paraId="7878362A">
      <w:pPr>
        <w:shd w:val="clear"/>
        <w:spacing w:line="360" w:lineRule="auto"/>
        <w:ind w:firstLine="525" w:firstLineChars="250"/>
        <w:rPr>
          <w:rFonts w:ascii="宋体" w:hAnsi="宋体"/>
          <w:bCs/>
          <w:color w:val="auto"/>
          <w:sz w:val="21"/>
          <w:szCs w:val="21"/>
          <w:highlight w:val="none"/>
        </w:rPr>
      </w:pPr>
      <w:r>
        <w:rPr>
          <w:rFonts w:hint="eastAsia" w:ascii="宋体" w:hAnsi="宋体"/>
          <w:bCs/>
          <w:color w:val="auto"/>
          <w:sz w:val="21"/>
          <w:szCs w:val="21"/>
          <w:highlight w:val="none"/>
        </w:rPr>
        <w:t>竞争性磋商小组根据磋商文件中确定的评分办法综合评定各供应商提交的竞标文件，按照评标得分由高到低推荐成交候选人。</w:t>
      </w:r>
    </w:p>
    <w:p w14:paraId="6AE3AC50">
      <w:pPr>
        <w:shd w:val="clear"/>
        <w:spacing w:line="360" w:lineRule="auto"/>
        <w:outlineLvl w:val="0"/>
        <w:rPr>
          <w:rFonts w:ascii="宋体" w:hAnsi="宋体"/>
          <w:bCs/>
          <w:color w:val="auto"/>
          <w:sz w:val="21"/>
          <w:szCs w:val="21"/>
          <w:highlight w:val="none"/>
        </w:rPr>
      </w:pPr>
      <w:r>
        <w:rPr>
          <w:rFonts w:hint="eastAsia" w:ascii="宋体" w:hAnsi="宋体"/>
          <w:bCs/>
          <w:color w:val="auto"/>
          <w:sz w:val="21"/>
          <w:szCs w:val="21"/>
          <w:highlight w:val="none"/>
        </w:rPr>
        <w:t>4、磋商纪律</w:t>
      </w:r>
    </w:p>
    <w:p w14:paraId="62872F25">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（1）磋商小组内部讨论的情况和意见必须保密，任何人不得以任何形式透露给供应商或与供应商有关的单位或个人。</w:t>
      </w:r>
    </w:p>
    <w:p w14:paraId="5C8E49D8">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（2）磋商小组成员在磋商期间不得与供应商进行私下接触，不得私自离开磋商现场，如确需离开现场须在监督员监督下进行，并按时返回。</w:t>
      </w:r>
    </w:p>
    <w:p w14:paraId="1267BA77">
      <w:pPr>
        <w:shd w:val="clear"/>
        <w:spacing w:line="360" w:lineRule="auto"/>
        <w:ind w:firstLine="315" w:firstLineChars="150"/>
        <w:rPr>
          <w:rFonts w:ascii="宋体" w:hAnsi="宋体"/>
          <w:bCs/>
          <w:color w:val="auto"/>
          <w:sz w:val="21"/>
          <w:szCs w:val="21"/>
          <w:highlight w:val="none"/>
        </w:rPr>
      </w:pPr>
      <w:r>
        <w:rPr>
          <w:rFonts w:hint="eastAsia" w:ascii="宋体" w:hAnsi="宋体"/>
          <w:bCs/>
          <w:color w:val="auto"/>
          <w:sz w:val="21"/>
          <w:szCs w:val="21"/>
          <w:highlight w:val="none"/>
        </w:rPr>
        <w:t>（3）在磋商过程中，供应商不得以任何形式对磋商小组成员进行旨在影响磋商及结果的任何行为，否则取消其磋商资格。</w:t>
      </w:r>
    </w:p>
    <w:p w14:paraId="01F93867">
      <w:pPr>
        <w:shd w:val="clear"/>
        <w:spacing w:line="360" w:lineRule="auto"/>
        <w:ind w:firstLine="315" w:firstLineChars="150"/>
        <w:rPr>
          <w:rFonts w:hint="eastAsia" w:ascii="宋体" w:hAnsi="宋体"/>
          <w:bCs/>
          <w:color w:val="auto"/>
          <w:sz w:val="21"/>
          <w:szCs w:val="21"/>
          <w:highlight w:val="none"/>
        </w:rPr>
      </w:pPr>
      <w:r>
        <w:rPr>
          <w:rFonts w:hint="eastAsia" w:ascii="宋体" w:hAnsi="宋体"/>
          <w:bCs/>
          <w:color w:val="auto"/>
          <w:sz w:val="21"/>
          <w:szCs w:val="21"/>
          <w:highlight w:val="none"/>
        </w:rPr>
        <w:t>（4）在磋商过程中，供应商对竞争性磋商响应文件的内容在符合竞争性磋商文件的前提下可进行修改，但最终报价必须以书面形式确认。</w:t>
      </w:r>
    </w:p>
    <w:p w14:paraId="7D4DE8DF">
      <w:pPr>
        <w:shd w:val="clear"/>
        <w:spacing w:line="360" w:lineRule="auto"/>
        <w:ind w:firstLine="315" w:firstLineChars="150"/>
        <w:rPr>
          <w:color w:val="auto"/>
          <w:sz w:val="21"/>
          <w:szCs w:val="21"/>
          <w:highlight w:val="none"/>
        </w:rPr>
      </w:pPr>
      <w:r>
        <w:rPr>
          <w:rFonts w:hint="eastAsia" w:ascii="宋体" w:hAnsi="宋体"/>
          <w:bCs/>
          <w:color w:val="auto"/>
          <w:sz w:val="21"/>
          <w:szCs w:val="21"/>
          <w:highlight w:val="none"/>
          <w:lang w:val="en-US" w:eastAsia="zh-CN"/>
        </w:rPr>
        <w:t>5、以上评审方法按照竞争性磋商采购文件要求和相关法律法规进行。</w:t>
      </w:r>
    </w:p>
    <w:p w14:paraId="5B40B07A">
      <w:pPr>
        <w:pStyle w:val="31"/>
        <w:shd w:val="clear"/>
        <w:rPr>
          <w:rFonts w:hint="eastAsia"/>
          <w:color w:val="auto"/>
          <w:sz w:val="21"/>
          <w:szCs w:val="21"/>
          <w:highlight w:val="none"/>
        </w:rPr>
        <w:sectPr>
          <w:pgSz w:w="11906" w:h="16838"/>
          <w:pgMar w:top="1134" w:right="1134" w:bottom="1134" w:left="1417" w:header="851" w:footer="851" w:gutter="0"/>
          <w:cols w:space="720" w:num="1"/>
          <w:formProt w:val="1"/>
          <w:docGrid w:linePitch="312" w:charSpace="43007"/>
        </w:sectPr>
      </w:pPr>
    </w:p>
    <w:p w14:paraId="60A28253">
      <w:pPr>
        <w:pStyle w:val="31"/>
        <w:shd w:val="clear"/>
        <w:spacing w:line="360" w:lineRule="auto"/>
        <w:jc w:val="center"/>
        <w:rPr>
          <w:rFonts w:hint="eastAsia" w:ascii="宋体" w:hAnsi="宋体"/>
          <w:b/>
          <w:color w:val="auto"/>
          <w:sz w:val="32"/>
          <w:szCs w:val="32"/>
          <w:highlight w:val="none"/>
        </w:rPr>
      </w:pPr>
    </w:p>
    <w:p w14:paraId="0BA24B0D">
      <w:pPr>
        <w:pStyle w:val="32"/>
        <w:shd w:val="clear"/>
        <w:rPr>
          <w:rFonts w:hint="eastAsia" w:ascii="宋体" w:hAnsi="宋体" w:eastAsia="宋体"/>
          <w:color w:val="auto"/>
          <w:sz w:val="32"/>
          <w:szCs w:val="32"/>
          <w:highlight w:val="none"/>
        </w:rPr>
      </w:pPr>
    </w:p>
    <w:p w14:paraId="74B4B9E7">
      <w:pPr>
        <w:pStyle w:val="31"/>
        <w:shd w:val="clear"/>
        <w:rPr>
          <w:rFonts w:hint="eastAsia" w:ascii="宋体" w:hAnsi="宋体"/>
          <w:b/>
          <w:color w:val="auto"/>
          <w:sz w:val="32"/>
          <w:szCs w:val="32"/>
          <w:highlight w:val="none"/>
        </w:rPr>
      </w:pPr>
    </w:p>
    <w:p w14:paraId="31FC2E00">
      <w:pPr>
        <w:pStyle w:val="32"/>
        <w:shd w:val="clear"/>
        <w:rPr>
          <w:rFonts w:hint="eastAsia"/>
          <w:color w:val="auto"/>
          <w:highlight w:val="none"/>
        </w:rPr>
      </w:pPr>
    </w:p>
    <w:p w14:paraId="275BD6CB">
      <w:pPr>
        <w:pStyle w:val="32"/>
        <w:shd w:val="clear"/>
        <w:rPr>
          <w:rFonts w:hint="eastAsia" w:ascii="宋体" w:hAnsi="宋体" w:eastAsia="宋体"/>
          <w:color w:val="auto"/>
          <w:sz w:val="32"/>
          <w:szCs w:val="32"/>
          <w:highlight w:val="none"/>
        </w:rPr>
      </w:pPr>
    </w:p>
    <w:p w14:paraId="10F0ABEC">
      <w:pPr>
        <w:pStyle w:val="31"/>
        <w:shd w:val="clear"/>
        <w:rPr>
          <w:rFonts w:hint="eastAsia" w:ascii="宋体" w:hAnsi="宋体"/>
          <w:b/>
          <w:color w:val="auto"/>
          <w:sz w:val="32"/>
          <w:szCs w:val="32"/>
          <w:highlight w:val="none"/>
        </w:rPr>
      </w:pPr>
    </w:p>
    <w:p w14:paraId="51966B4C">
      <w:pPr>
        <w:pStyle w:val="32"/>
        <w:shd w:val="clear"/>
        <w:rPr>
          <w:rFonts w:hint="eastAsia"/>
          <w:color w:val="auto"/>
          <w:highlight w:val="none"/>
        </w:rPr>
      </w:pPr>
    </w:p>
    <w:p w14:paraId="412913CE">
      <w:pPr>
        <w:pStyle w:val="31"/>
        <w:shd w:val="clear"/>
        <w:spacing w:line="360" w:lineRule="auto"/>
        <w:jc w:val="center"/>
        <w:outlineLvl w:val="0"/>
        <w:rPr>
          <w:rFonts w:hint="eastAsia" w:ascii="宋体" w:hAnsi="宋体"/>
          <w:b/>
          <w:color w:val="auto"/>
          <w:sz w:val="32"/>
          <w:szCs w:val="32"/>
          <w:highlight w:val="none"/>
        </w:rPr>
      </w:pPr>
      <w:bookmarkStart w:id="1122" w:name="_Toc5706"/>
      <w:r>
        <w:rPr>
          <w:rFonts w:hint="eastAsia" w:ascii="宋体" w:hAnsi="宋体"/>
          <w:b/>
          <w:color w:val="auto"/>
          <w:sz w:val="32"/>
          <w:szCs w:val="32"/>
          <w:highlight w:val="none"/>
        </w:rPr>
        <w:t>第七章   施工图纸及工程量清单</w:t>
      </w:r>
      <w:bookmarkEnd w:id="1122"/>
    </w:p>
    <w:p w14:paraId="2A9A50D2">
      <w:pPr>
        <w:pStyle w:val="32"/>
        <w:shd w:val="clear"/>
        <w:jc w:val="center"/>
        <w:rPr>
          <w:color w:val="auto"/>
          <w:highlight w:val="none"/>
        </w:rPr>
      </w:pPr>
      <w:r>
        <w:rPr>
          <w:rFonts w:hint="eastAsia"/>
          <w:color w:val="auto"/>
          <w:highlight w:val="none"/>
        </w:rPr>
        <w:t>另册</w:t>
      </w:r>
    </w:p>
    <w:p w14:paraId="28F80774">
      <w:pPr>
        <w:shd w:val="clear"/>
        <w:rPr>
          <w:color w:val="auto"/>
          <w:highlight w:val="none"/>
        </w:rPr>
      </w:pPr>
    </w:p>
    <w:p w14:paraId="2E0542AF">
      <w:pPr>
        <w:rPr>
          <w:color w:val="auto"/>
          <w:highlight w:val="none"/>
        </w:rPr>
      </w:pPr>
    </w:p>
    <w:sectPr>
      <w:headerReference r:id="rId12" w:type="default"/>
      <w:footerReference r:id="rId13" w:type="default"/>
      <w:pgSz w:w="11906" w:h="16838"/>
      <w:pgMar w:top="1134" w:right="1134" w:bottom="1134" w:left="1417" w:header="851" w:footer="851" w:gutter="0"/>
      <w:cols w:space="720" w:num="1"/>
      <w:formProt w:val="1"/>
      <w:docGrid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8B942E-04D3-4F52-89F0-0837F20610A9}"/>
  </w:font>
  <w:font w:name="黑体">
    <w:panose1 w:val="02010609060101010101"/>
    <w:charset w:val="86"/>
    <w:family w:val="auto"/>
    <w:pitch w:val="default"/>
    <w:sig w:usb0="800002BF" w:usb1="38CF7CFA" w:usb2="00000016" w:usb3="00000000" w:csb0="00040001" w:csb1="00000000"/>
    <w:embedRegular r:id="rId2" w:fontKey="{3FA425F1-FE10-4DC7-827D-E079B33FB77C}"/>
  </w:font>
  <w:font w:name="Courier New">
    <w:panose1 w:val="02070309020205020404"/>
    <w:charset w:val="01"/>
    <w:family w:val="modern"/>
    <w:pitch w:val="default"/>
    <w:sig w:usb0="E0002AFF" w:usb1="C0007843" w:usb2="00000009" w:usb3="00000000" w:csb0="400001FF" w:csb1="FFFF0000"/>
    <w:embedRegular r:id="rId3" w:fontKey="{4AD1FC7C-AD43-4FFD-9B28-CF89F850CB2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AEF087CB-DDD3-4476-9CB8-7DA4709DA53C}"/>
  </w:font>
  <w:font w:name="Mangal">
    <w:panose1 w:val="02040503050203030202"/>
    <w:charset w:val="00"/>
    <w:family w:val="roman"/>
    <w:pitch w:val="default"/>
    <w:sig w:usb0="00008003"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金山简黑体">
    <w:altName w:val="黑体"/>
    <w:panose1 w:val="00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5" w:fontKey="{90D7DC4A-971A-46A8-B253-7E986719C341}"/>
  </w:font>
  <w:font w:name="方正隶书简体">
    <w:altName w:val="宋体"/>
    <w:panose1 w:val="00000000000000000000"/>
    <w:charset w:val="86"/>
    <w:family w:val="roman"/>
    <w:pitch w:val="default"/>
    <w:sig w:usb0="00000000" w:usb1="00000000" w:usb2="00000000" w:usb3="00000000" w:csb0="00040001" w:csb1="00000000"/>
    <w:embedRegular r:id="rId6" w:fontKey="{071C2FC0-8162-481D-B1E5-A3094B361FDA}"/>
  </w:font>
  <w:font w:name="楷体_GB2312">
    <w:panose1 w:val="02010609030101010101"/>
    <w:charset w:val="86"/>
    <w:family w:val="modern"/>
    <w:pitch w:val="default"/>
    <w:sig w:usb0="00000001" w:usb1="080E0000" w:usb2="00000000" w:usb3="00000000" w:csb0="00040000" w:csb1="00000000"/>
    <w:embedRegular r:id="rId7" w:fontKey="{3592FC02-7522-4817-A89B-70E6997F9B33}"/>
  </w:font>
  <w:font w:name="MingLiU_HKSCS">
    <w:panose1 w:val="02020500000000000000"/>
    <w:charset w:val="88"/>
    <w:family w:val="auto"/>
    <w:pitch w:val="default"/>
    <w:sig w:usb0="A00002FF" w:usb1="38CFFCFA" w:usb2="00000016" w:usb3="00000000" w:csb0="00100001" w:csb1="00000000"/>
    <w:embedRegular r:id="rId8" w:fontKey="{E1214061-F59D-4B9B-AE27-96E3333AE623}"/>
  </w:font>
  <w:font w:name="WPSEMBED1">
    <w:panose1 w:val="02010609030101010101"/>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466F">
    <w:pPr>
      <w:pStyle w:val="1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56F95">
    <w:pPr>
      <w:pStyle w:val="15"/>
      <w:framePr w:wrap="around" w:vAnchor="text" w:hAnchor="margin" w:xAlign="center" w:y="1"/>
      <w:rPr>
        <w:rStyle w:val="26"/>
      </w:rPr>
    </w:pPr>
    <w:r>
      <w:rPr>
        <w:rStyle w:val="26"/>
      </w:rPr>
      <w:fldChar w:fldCharType="begin"/>
    </w:r>
    <w:r>
      <w:rPr>
        <w:rStyle w:val="26"/>
      </w:rPr>
      <w:instrText xml:space="preserve">PAGE  </w:instrText>
    </w:r>
    <w:r>
      <w:rPr>
        <w:rStyle w:val="26"/>
      </w:rPr>
      <w:fldChar w:fldCharType="separate"/>
    </w:r>
    <w:r>
      <w:rPr>
        <w:rStyle w:val="26"/>
        <w:rFonts w:hint="eastAsia"/>
      </w:rPr>
      <w:t>６</w:t>
    </w:r>
    <w:r>
      <w:rPr>
        <w:rStyle w:val="26"/>
      </w:rPr>
      <w:fldChar w:fldCharType="end"/>
    </w:r>
  </w:p>
  <w:p w14:paraId="38B4C6CC">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83263">
    <w:pPr>
      <w:pStyle w:val="1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0865F">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87248F">
                          <w:pPr>
                            <w:pStyle w:val="15"/>
                          </w:pPr>
                          <w:r>
                            <w:fldChar w:fldCharType="begin"/>
                          </w:r>
                          <w:r>
                            <w:instrText xml:space="preserve"> PAGE  \* MERGEFORMAT </w:instrText>
                          </w:r>
                          <w:r>
                            <w:fldChar w:fldCharType="separate"/>
                          </w:r>
                          <w:r>
                            <w:t>10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87248F">
                    <w:pPr>
                      <w:pStyle w:val="1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C7F2C">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C2CE80">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5C2CE80">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08B29">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9F08B">
                          <w:pPr>
                            <w:pStyle w:val="15"/>
                          </w:pPr>
                          <w:r>
                            <w:fldChar w:fldCharType="begin"/>
                          </w:r>
                          <w:r>
                            <w:instrText xml:space="preserve"> PAGE  \* MERGEFORMAT </w:instrText>
                          </w:r>
                          <w:r>
                            <w:fldChar w:fldCharType="separate"/>
                          </w:r>
                          <w:r>
                            <w:t>89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B9F08B">
                    <w:pPr>
                      <w:pStyle w:val="15"/>
                    </w:pPr>
                    <w:r>
                      <w:fldChar w:fldCharType="begin"/>
                    </w:r>
                    <w:r>
                      <w:instrText xml:space="preserve"> PAGE  \* MERGEFORMAT </w:instrText>
                    </w:r>
                    <w:r>
                      <w:fldChar w:fldCharType="separate"/>
                    </w:r>
                    <w:r>
                      <w:t>89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FBC9">
    <w:pPr>
      <w:spacing w:beforeLines="100" w:line="600" w:lineRule="exact"/>
      <w:rPr>
        <w:rFonts w:ascii="仿宋_GB2312" w:eastAsia="仿宋_GB2312"/>
        <w:sz w:val="24"/>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319AA">
    <w:pPr>
      <w:pStyle w:val="16"/>
      <w:pBdr>
        <w:bottom w:val="none" w:color="auto" w:sz="0" w:space="0"/>
      </w:pBdr>
    </w:pPr>
  </w:p>
  <w:p w14:paraId="32060970">
    <w:pPr>
      <w:pStyle w:val="16"/>
      <w:pBdr>
        <w:bottom w:val="none" w:color="auto" w:sz="0" w:space="0"/>
      </w:pBdr>
    </w:pPr>
  </w:p>
  <w:p w14:paraId="5BE88137">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33B44">
    <w:pPr>
      <w:pStyle w:val="40"/>
      <w:jc w:val="right"/>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DD15">
    <w:pPr>
      <w:pStyle w:val="16"/>
      <w:pBdr>
        <w:bottom w:val="single" w:color="auto" w:sz="4" w:space="1"/>
      </w:pBdr>
      <w:rPr>
        <w:rFonts w:hint="default" w:ascii="宋体" w:hAnsi="宋体" w:eastAsia="宋体" w:cs="宋体"/>
        <w:sz w:val="28"/>
        <w:szCs w:val="28"/>
        <w:lang w:val="en-US"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A14A6">
    <w:pPr>
      <w:pStyle w:val="16"/>
      <w:pBdr>
        <w:bottom w:val="single" w:color="auto" w:sz="4" w:space="1"/>
      </w:pBdr>
      <w:rPr>
        <w:rFonts w:hint="default" w:ascii="宋体" w:hAnsi="宋体" w:eastAsia="宋体" w:cs="宋体"/>
        <w:sz w:val="28"/>
        <w:szCs w:val="28"/>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8B3B9"/>
    <w:multiLevelType w:val="singleLevel"/>
    <w:tmpl w:val="8E88B3B9"/>
    <w:lvl w:ilvl="0" w:tentative="0">
      <w:start w:val="8"/>
      <w:numFmt w:val="decimal"/>
      <w:suff w:val="nothing"/>
      <w:lvlText w:val="%1、"/>
      <w:lvlJc w:val="left"/>
    </w:lvl>
  </w:abstractNum>
  <w:abstractNum w:abstractNumId="1">
    <w:nsid w:val="AA34FD10"/>
    <w:multiLevelType w:val="singleLevel"/>
    <w:tmpl w:val="AA34FD10"/>
    <w:lvl w:ilvl="0" w:tentative="0">
      <w:start w:val="1"/>
      <w:numFmt w:val="chineseCounting"/>
      <w:suff w:val="space"/>
      <w:lvlText w:val="第%1章"/>
      <w:lvlJc w:val="left"/>
      <w:rPr>
        <w:rFonts w:hint="eastAsia"/>
      </w:rPr>
    </w:lvl>
  </w:abstractNum>
  <w:abstractNum w:abstractNumId="2">
    <w:nsid w:val="D347C309"/>
    <w:multiLevelType w:val="multilevel"/>
    <w:tmpl w:val="D347C309"/>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
    <w:nsid w:val="EF18EC1F"/>
    <w:multiLevelType w:val="singleLevel"/>
    <w:tmpl w:val="EF18EC1F"/>
    <w:lvl w:ilvl="0" w:tentative="0">
      <w:start w:val="4"/>
      <w:numFmt w:val="chineseCounting"/>
      <w:suff w:val="nothing"/>
      <w:lvlText w:val="%1、"/>
      <w:lvlJc w:val="left"/>
      <w:pPr>
        <w:ind w:left="-73"/>
      </w:pPr>
      <w:rPr>
        <w:rFonts w:hint="eastAsia"/>
      </w:rPr>
    </w:lvl>
  </w:abstractNum>
  <w:abstractNum w:abstractNumId="4">
    <w:nsid w:val="3B19DE67"/>
    <w:multiLevelType w:val="multilevel"/>
    <w:tmpl w:val="3B19DE67"/>
    <w:lvl w:ilvl="0" w:tentative="0">
      <w:start w:val="1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697E4BDF"/>
    <w:multiLevelType w:val="singleLevel"/>
    <w:tmpl w:val="697E4BDF"/>
    <w:lvl w:ilvl="0" w:tentative="0">
      <w:start w:val="5"/>
      <w:numFmt w:val="decimal"/>
      <w:suff w:val="nothing"/>
      <w:lvlText w:val="%1、"/>
      <w:lvlJc w:val="left"/>
    </w:lvl>
  </w:abstractNum>
  <w:abstractNum w:abstractNumId="6">
    <w:nsid w:val="76D49BAE"/>
    <w:multiLevelType w:val="singleLevel"/>
    <w:tmpl w:val="76D49BAE"/>
    <w:lvl w:ilvl="0" w:tentative="0">
      <w:start w:val="5"/>
      <w:numFmt w:val="chineseCounting"/>
      <w:suff w:val="nothing"/>
      <w:lvlText w:val="%1、"/>
      <w:lvlJc w:val="left"/>
      <w:rPr>
        <w:rFonts w:hint="eastAsia"/>
      </w:r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forms" w:formatting="1" w:enforcement="1" w:cryptProviderType="rsaFull" w:cryptAlgorithmClass="hash" w:cryptAlgorithmType="typeAny" w:cryptAlgorithmSid="4" w:cryptSpinCount="0" w:hash="ZAgwze95ZeGK34bMUFRmJqqxw7Q=" w:salt="EIyfzQXiMrd7OwIqxPlDew=="/>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0ODkyOGZhN2I4NTA1NDAwZjI5ZDFmZTRmOGQwZGYifQ=="/>
  </w:docVars>
  <w:rsids>
    <w:rsidRoot w:val="54F246F3"/>
    <w:rsid w:val="002027AF"/>
    <w:rsid w:val="01B34312"/>
    <w:rsid w:val="02D46EC9"/>
    <w:rsid w:val="02E01C47"/>
    <w:rsid w:val="030C4C45"/>
    <w:rsid w:val="034C267B"/>
    <w:rsid w:val="055F58C5"/>
    <w:rsid w:val="06731F0E"/>
    <w:rsid w:val="06CB57BF"/>
    <w:rsid w:val="071F55C0"/>
    <w:rsid w:val="088A4403"/>
    <w:rsid w:val="08AE0E4A"/>
    <w:rsid w:val="08DF474E"/>
    <w:rsid w:val="090745A8"/>
    <w:rsid w:val="09176EE3"/>
    <w:rsid w:val="091E79DC"/>
    <w:rsid w:val="09593447"/>
    <w:rsid w:val="09EC6763"/>
    <w:rsid w:val="0A756EBC"/>
    <w:rsid w:val="0AD457D5"/>
    <w:rsid w:val="0B005F5D"/>
    <w:rsid w:val="0BB02781"/>
    <w:rsid w:val="0BB50C28"/>
    <w:rsid w:val="0BD9237C"/>
    <w:rsid w:val="0BFB2792"/>
    <w:rsid w:val="0C3A0683"/>
    <w:rsid w:val="0C536B2D"/>
    <w:rsid w:val="0C9F1A9A"/>
    <w:rsid w:val="0E3D4936"/>
    <w:rsid w:val="0E6049DB"/>
    <w:rsid w:val="0F025C80"/>
    <w:rsid w:val="0FF27563"/>
    <w:rsid w:val="101A7939"/>
    <w:rsid w:val="109C1A23"/>
    <w:rsid w:val="109F51B3"/>
    <w:rsid w:val="10D25C88"/>
    <w:rsid w:val="113046A9"/>
    <w:rsid w:val="117429AC"/>
    <w:rsid w:val="11C11B68"/>
    <w:rsid w:val="12123139"/>
    <w:rsid w:val="128424D9"/>
    <w:rsid w:val="12F35C08"/>
    <w:rsid w:val="1324110B"/>
    <w:rsid w:val="13500F2D"/>
    <w:rsid w:val="141476FE"/>
    <w:rsid w:val="16024CD6"/>
    <w:rsid w:val="17716417"/>
    <w:rsid w:val="1998697F"/>
    <w:rsid w:val="19A1391A"/>
    <w:rsid w:val="19B56C9A"/>
    <w:rsid w:val="1A703458"/>
    <w:rsid w:val="1C7E55CF"/>
    <w:rsid w:val="1D9864DE"/>
    <w:rsid w:val="1E836F11"/>
    <w:rsid w:val="1F143AAE"/>
    <w:rsid w:val="1F695856"/>
    <w:rsid w:val="1FE77392"/>
    <w:rsid w:val="20CF3CE7"/>
    <w:rsid w:val="20DD2CF7"/>
    <w:rsid w:val="215F5FD5"/>
    <w:rsid w:val="21EB5A51"/>
    <w:rsid w:val="22385AFF"/>
    <w:rsid w:val="225D7B60"/>
    <w:rsid w:val="2477778F"/>
    <w:rsid w:val="253D2794"/>
    <w:rsid w:val="257E3626"/>
    <w:rsid w:val="26612BE0"/>
    <w:rsid w:val="277F6CFA"/>
    <w:rsid w:val="284D6D68"/>
    <w:rsid w:val="29DD1C30"/>
    <w:rsid w:val="2A28618B"/>
    <w:rsid w:val="2A37190A"/>
    <w:rsid w:val="2AA77BC3"/>
    <w:rsid w:val="2ABC734E"/>
    <w:rsid w:val="2B88422F"/>
    <w:rsid w:val="2B952D9C"/>
    <w:rsid w:val="2D67115C"/>
    <w:rsid w:val="2D683E6D"/>
    <w:rsid w:val="2DA955AB"/>
    <w:rsid w:val="2E884DBD"/>
    <w:rsid w:val="2F21435D"/>
    <w:rsid w:val="2FF73BA9"/>
    <w:rsid w:val="30D0400A"/>
    <w:rsid w:val="31AA0A84"/>
    <w:rsid w:val="33B67FF6"/>
    <w:rsid w:val="344F5C9B"/>
    <w:rsid w:val="35993D6C"/>
    <w:rsid w:val="35B83119"/>
    <w:rsid w:val="362D624A"/>
    <w:rsid w:val="378676A1"/>
    <w:rsid w:val="38282C21"/>
    <w:rsid w:val="39467D8B"/>
    <w:rsid w:val="3A477BE0"/>
    <w:rsid w:val="3A9657FF"/>
    <w:rsid w:val="3CAE03B6"/>
    <w:rsid w:val="3D023C5C"/>
    <w:rsid w:val="3D296FD1"/>
    <w:rsid w:val="3D91058D"/>
    <w:rsid w:val="3E1B0A24"/>
    <w:rsid w:val="3E304B29"/>
    <w:rsid w:val="3E36702A"/>
    <w:rsid w:val="3EEA1A03"/>
    <w:rsid w:val="3F530122"/>
    <w:rsid w:val="413C678F"/>
    <w:rsid w:val="41635D8B"/>
    <w:rsid w:val="417B18D6"/>
    <w:rsid w:val="41952473"/>
    <w:rsid w:val="420C5218"/>
    <w:rsid w:val="429D4387"/>
    <w:rsid w:val="432F233E"/>
    <w:rsid w:val="449F74D0"/>
    <w:rsid w:val="459E6943"/>
    <w:rsid w:val="46291052"/>
    <w:rsid w:val="46571466"/>
    <w:rsid w:val="46A40FA9"/>
    <w:rsid w:val="46E37CCC"/>
    <w:rsid w:val="471368FC"/>
    <w:rsid w:val="47202054"/>
    <w:rsid w:val="47212364"/>
    <w:rsid w:val="483A6747"/>
    <w:rsid w:val="48625C24"/>
    <w:rsid w:val="489C2ECF"/>
    <w:rsid w:val="49B542D6"/>
    <w:rsid w:val="4A007AA5"/>
    <w:rsid w:val="4A1009F7"/>
    <w:rsid w:val="4B650E36"/>
    <w:rsid w:val="4BFE2ECA"/>
    <w:rsid w:val="4E1A46AB"/>
    <w:rsid w:val="4F52428A"/>
    <w:rsid w:val="4F5F78A0"/>
    <w:rsid w:val="506E408B"/>
    <w:rsid w:val="50EA2026"/>
    <w:rsid w:val="5155508B"/>
    <w:rsid w:val="517D2C22"/>
    <w:rsid w:val="51885E41"/>
    <w:rsid w:val="51BA49DD"/>
    <w:rsid w:val="52925522"/>
    <w:rsid w:val="52FC4970"/>
    <w:rsid w:val="53E76A21"/>
    <w:rsid w:val="54342B51"/>
    <w:rsid w:val="54F246F3"/>
    <w:rsid w:val="552D4E0B"/>
    <w:rsid w:val="55604FD5"/>
    <w:rsid w:val="55C71477"/>
    <w:rsid w:val="56C5399A"/>
    <w:rsid w:val="57511389"/>
    <w:rsid w:val="57CF589D"/>
    <w:rsid w:val="57E76F08"/>
    <w:rsid w:val="59076E59"/>
    <w:rsid w:val="5A3F1DEC"/>
    <w:rsid w:val="5A4D2FA3"/>
    <w:rsid w:val="5AFE55D9"/>
    <w:rsid w:val="5B334B73"/>
    <w:rsid w:val="5B823F90"/>
    <w:rsid w:val="5C55629B"/>
    <w:rsid w:val="5D480DFC"/>
    <w:rsid w:val="5DDA108E"/>
    <w:rsid w:val="5E373140"/>
    <w:rsid w:val="5EA3255D"/>
    <w:rsid w:val="5EC734CA"/>
    <w:rsid w:val="60D77618"/>
    <w:rsid w:val="618000D4"/>
    <w:rsid w:val="64A930CD"/>
    <w:rsid w:val="65B35CAB"/>
    <w:rsid w:val="65BF7472"/>
    <w:rsid w:val="65CD5006"/>
    <w:rsid w:val="663544CE"/>
    <w:rsid w:val="68443284"/>
    <w:rsid w:val="68920B0B"/>
    <w:rsid w:val="69EB0AAC"/>
    <w:rsid w:val="6AFB6ED0"/>
    <w:rsid w:val="6C070D0B"/>
    <w:rsid w:val="6D8B497C"/>
    <w:rsid w:val="6DC13221"/>
    <w:rsid w:val="6DE06E27"/>
    <w:rsid w:val="6E273A79"/>
    <w:rsid w:val="6EBD2F41"/>
    <w:rsid w:val="6FF0068F"/>
    <w:rsid w:val="70E84778"/>
    <w:rsid w:val="71324139"/>
    <w:rsid w:val="71781C4C"/>
    <w:rsid w:val="727644F9"/>
    <w:rsid w:val="72C46C87"/>
    <w:rsid w:val="72F943F2"/>
    <w:rsid w:val="73C03FFE"/>
    <w:rsid w:val="741D4694"/>
    <w:rsid w:val="74736BDD"/>
    <w:rsid w:val="756D7BB4"/>
    <w:rsid w:val="7599649C"/>
    <w:rsid w:val="765A6170"/>
    <w:rsid w:val="768C3D6E"/>
    <w:rsid w:val="77154DBA"/>
    <w:rsid w:val="7727635A"/>
    <w:rsid w:val="77DF12DF"/>
    <w:rsid w:val="77E17995"/>
    <w:rsid w:val="795443BD"/>
    <w:rsid w:val="79CF730C"/>
    <w:rsid w:val="7A160FF1"/>
    <w:rsid w:val="7ADC3C75"/>
    <w:rsid w:val="7B6F1D5A"/>
    <w:rsid w:val="7CCB2423"/>
    <w:rsid w:val="7E9C48E7"/>
    <w:rsid w:val="7EA83C75"/>
    <w:rsid w:val="7F5D730F"/>
    <w:rsid w:val="7F863749"/>
    <w:rsid w:val="7FA04BD5"/>
    <w:rsid w:val="7FA4628C"/>
    <w:rsid w:val="7FBA6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lang w:val="en-US" w:eastAsia="zh-CN" w:bidi="hi-IN"/>
    </w:rPr>
  </w:style>
  <w:style w:type="paragraph" w:styleId="2">
    <w:name w:val="heading 1"/>
    <w:basedOn w:val="1"/>
    <w:next w:val="1"/>
    <w:autoRedefine/>
    <w:qFormat/>
    <w:uiPriority w:val="99"/>
    <w:pPr>
      <w:keepNext/>
      <w:keepLines/>
      <w:spacing w:line="400" w:lineRule="exact"/>
      <w:outlineLvl w:val="0"/>
    </w:pPr>
    <w:rPr>
      <w:b/>
      <w:kern w:val="0"/>
      <w:sz w:val="44"/>
    </w:rPr>
  </w:style>
  <w:style w:type="paragraph" w:styleId="3">
    <w:name w:val="heading 2"/>
    <w:basedOn w:val="1"/>
    <w:next w:val="1"/>
    <w:autoRedefine/>
    <w:qFormat/>
    <w:uiPriority w:val="0"/>
    <w:pPr>
      <w:keepNext/>
      <w:keepLines/>
      <w:adjustRightInd w:val="0"/>
      <w:spacing w:before="260" w:after="260" w:line="416" w:lineRule="atLeast"/>
      <w:textAlignment w:val="baseline"/>
      <w:outlineLvl w:val="1"/>
    </w:pPr>
    <w:rPr>
      <w:rFonts w:ascii="Arial" w:hAnsi="Arial" w:eastAsia="黑体"/>
      <w:b/>
      <w:sz w:val="32"/>
    </w:rPr>
  </w:style>
  <w:style w:type="paragraph" w:styleId="4">
    <w:name w:val="heading 3"/>
    <w:basedOn w:val="1"/>
    <w:next w:val="1"/>
    <w:autoRedefine/>
    <w:qFormat/>
    <w:uiPriority w:val="0"/>
    <w:pPr>
      <w:keepNext/>
      <w:keepLines/>
      <w:widowControl w:val="0"/>
      <w:spacing w:before="260" w:after="260" w:line="416" w:lineRule="auto"/>
      <w:jc w:val="both"/>
      <w:outlineLvl w:val="2"/>
    </w:pPr>
    <w:rPr>
      <w:b/>
      <w:bCs/>
      <w:kern w:val="2"/>
      <w:sz w:val="32"/>
      <w:szCs w:val="32"/>
    </w:rPr>
  </w:style>
  <w:style w:type="paragraph" w:styleId="5">
    <w:name w:val="heading 4"/>
    <w:basedOn w:val="1"/>
    <w:next w:val="1"/>
    <w:autoRedefine/>
    <w:unhideWhenUsed/>
    <w:qFormat/>
    <w:uiPriority w:val="9"/>
    <w:pPr>
      <w:keepNext/>
      <w:keepLines/>
      <w:spacing w:before="280" w:beforeLines="0" w:after="290" w:afterLines="0" w:line="372" w:lineRule="auto"/>
      <w:outlineLvl w:val="3"/>
    </w:pPr>
    <w:rPr>
      <w:rFonts w:ascii="Arial" w:hAnsi="Arial" w:eastAsia="黑体" w:cs="Arial"/>
      <w:b/>
      <w:bCs/>
      <w:sz w:val="28"/>
      <w:szCs w:val="28"/>
    </w:rPr>
  </w:style>
  <w:style w:type="character" w:default="1" w:styleId="25">
    <w:name w:val="Default Paragraph Font"/>
    <w:autoRedefine/>
    <w:semiHidden/>
    <w:qFormat/>
    <w:uiPriority w:val="0"/>
  </w:style>
  <w:style w:type="table" w:default="1" w:styleId="23">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ind w:firstLine="420"/>
      <w:jc w:val="left"/>
    </w:pPr>
    <w:rPr>
      <w:kern w:val="0"/>
      <w:sz w:val="20"/>
    </w:rPr>
  </w:style>
  <w:style w:type="paragraph" w:styleId="7">
    <w:name w:val="toa heading"/>
    <w:basedOn w:val="1"/>
    <w:next w:val="1"/>
    <w:autoRedefine/>
    <w:qFormat/>
    <w:uiPriority w:val="0"/>
    <w:rPr>
      <w:rFonts w:ascii="Arial" w:hAnsi="Arial" w:eastAsia="宋体" w:cs="Times New Roman"/>
      <w:sz w:val="24"/>
    </w:rPr>
  </w:style>
  <w:style w:type="paragraph" w:styleId="8">
    <w:name w:val="annotation text"/>
    <w:basedOn w:val="1"/>
    <w:autoRedefine/>
    <w:qFormat/>
    <w:uiPriority w:val="0"/>
    <w:pPr>
      <w:jc w:val="left"/>
    </w:pPr>
  </w:style>
  <w:style w:type="paragraph" w:styleId="9">
    <w:name w:val="index 6"/>
    <w:basedOn w:val="1"/>
    <w:next w:val="1"/>
    <w:autoRedefine/>
    <w:qFormat/>
    <w:uiPriority w:val="0"/>
    <w:pPr>
      <w:ind w:left="1000" w:leftChars="1000"/>
    </w:pPr>
  </w:style>
  <w:style w:type="paragraph" w:styleId="10">
    <w:name w:val="Body Text"/>
    <w:basedOn w:val="1"/>
    <w:next w:val="1"/>
    <w:autoRedefine/>
    <w:semiHidden/>
    <w:qFormat/>
    <w:uiPriority w:val="0"/>
    <w:pPr>
      <w:spacing w:after="120"/>
    </w:pPr>
  </w:style>
  <w:style w:type="paragraph" w:styleId="11">
    <w:name w:val="Body Text Indent"/>
    <w:basedOn w:val="1"/>
    <w:next w:val="12"/>
    <w:autoRedefine/>
    <w:qFormat/>
    <w:uiPriority w:val="0"/>
    <w:pPr>
      <w:spacing w:line="200" w:lineRule="exact"/>
      <w:ind w:firstLine="301"/>
    </w:pPr>
    <w:rPr>
      <w:rFonts w:ascii="宋体" w:hAnsi="Courier New"/>
      <w:spacing w:val="-4"/>
      <w:sz w:val="18"/>
    </w:rPr>
  </w:style>
  <w:style w:type="paragraph" w:customStyle="1" w:styleId="1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3">
    <w:name w:val="Plain Text"/>
    <w:basedOn w:val="1"/>
    <w:next w:val="5"/>
    <w:autoRedefine/>
    <w:qFormat/>
    <w:uiPriority w:val="99"/>
    <w:rPr>
      <w:rFonts w:ascii="宋体" w:hAnsi="宋体"/>
    </w:rPr>
  </w:style>
  <w:style w:type="paragraph" w:styleId="14">
    <w:name w:val="Date"/>
    <w:basedOn w:val="1"/>
    <w:next w:val="1"/>
    <w:autoRedefine/>
    <w:qFormat/>
    <w:uiPriority w:val="0"/>
    <w:rPr>
      <w:rFonts w:ascii="宋体"/>
      <w:color w:val="000000"/>
      <w:kern w:val="0"/>
      <w:sz w:val="30"/>
    </w:rPr>
  </w:style>
  <w:style w:type="paragraph" w:styleId="15">
    <w:name w:val="footer"/>
    <w:basedOn w:val="1"/>
    <w:next w:val="1"/>
    <w:autoRedefine/>
    <w:qFormat/>
    <w:uiPriority w:val="99"/>
    <w:pPr>
      <w:tabs>
        <w:tab w:val="center" w:pos="4153"/>
        <w:tab w:val="right" w:pos="8306"/>
      </w:tabs>
      <w:snapToGrid w:val="0"/>
      <w:jc w:val="left"/>
    </w:pPr>
    <w:rPr>
      <w:rFonts w:cs="Mangal"/>
      <w:sz w:val="18"/>
      <w:szCs w:val="16"/>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39"/>
  </w:style>
  <w:style w:type="paragraph" w:styleId="18">
    <w:name w:val="toc 2"/>
    <w:basedOn w:val="1"/>
    <w:next w:val="1"/>
    <w:autoRedefine/>
    <w:qFormat/>
    <w:uiPriority w:val="0"/>
    <w:pPr>
      <w:tabs>
        <w:tab w:val="right" w:leader="dot" w:pos="9060"/>
      </w:tabs>
      <w:ind w:left="210"/>
      <w:jc w:val="left"/>
    </w:pPr>
    <w:rPr>
      <w:rFonts w:ascii="宋体" w:hAnsi="宋体"/>
      <w:smallCaps/>
      <w:kern w:val="0"/>
      <w:sz w:val="24"/>
    </w:rPr>
  </w:style>
  <w:style w:type="paragraph" w:styleId="1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0">
    <w:name w:val="index 1"/>
    <w:basedOn w:val="1"/>
    <w:next w:val="1"/>
    <w:autoRedefine/>
    <w:qFormat/>
    <w:uiPriority w:val="99"/>
  </w:style>
  <w:style w:type="paragraph" w:styleId="21">
    <w:name w:val="Title"/>
    <w:basedOn w:val="1"/>
    <w:next w:val="1"/>
    <w:autoRedefine/>
    <w:qFormat/>
    <w:uiPriority w:val="10"/>
    <w:pPr>
      <w:spacing w:before="240" w:after="60"/>
      <w:jc w:val="center"/>
      <w:outlineLvl w:val="0"/>
    </w:pPr>
    <w:rPr>
      <w:rFonts w:ascii="Cambria" w:hAnsi="Cambria"/>
      <w:b/>
      <w:bCs/>
      <w:sz w:val="32"/>
      <w:szCs w:val="32"/>
    </w:rPr>
  </w:style>
  <w:style w:type="paragraph" w:styleId="22">
    <w:name w:val="Body Text First Indent 2"/>
    <w:basedOn w:val="11"/>
    <w:autoRedefine/>
    <w:unhideWhenUsed/>
    <w:qFormat/>
    <w:uiPriority w:val="99"/>
    <w:pPr>
      <w:ind w:firstLine="420" w:firstLineChars="20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99"/>
    <w:rPr>
      <w:rFonts w:cs="Times New Roman"/>
    </w:rPr>
  </w:style>
  <w:style w:type="character" w:styleId="27">
    <w:name w:val="FollowedHyperlink"/>
    <w:basedOn w:val="25"/>
    <w:autoRedefine/>
    <w:qFormat/>
    <w:uiPriority w:val="0"/>
    <w:rPr>
      <w:color w:val="800080"/>
      <w:u w:val="none"/>
    </w:rPr>
  </w:style>
  <w:style w:type="paragraph" w:customStyle="1" w:styleId="28">
    <w:name w:val="表格文字"/>
    <w:basedOn w:val="11"/>
    <w:autoRedefine/>
    <w:qFormat/>
    <w:uiPriority w:val="0"/>
    <w:pPr>
      <w:jc w:val="left"/>
    </w:pPr>
    <w:rPr>
      <w:bCs/>
      <w:spacing w:val="10"/>
      <w:sz w:val="24"/>
    </w:rPr>
  </w:style>
  <w:style w:type="paragraph" w:customStyle="1" w:styleId="29">
    <w:name w:val="BodyText1I2"/>
    <w:basedOn w:val="30"/>
    <w:autoRedefine/>
    <w:qFormat/>
    <w:uiPriority w:val="0"/>
    <w:pPr>
      <w:ind w:firstLine="200" w:firstLineChars="200"/>
    </w:pPr>
  </w:style>
  <w:style w:type="paragraph" w:customStyle="1" w:styleId="30">
    <w:name w:val="BodyTextIndent"/>
    <w:basedOn w:val="1"/>
    <w:autoRedefine/>
    <w:qFormat/>
    <w:uiPriority w:val="0"/>
    <w:pPr>
      <w:spacing w:after="120"/>
      <w:ind w:left="420" w:leftChars="200"/>
    </w:pPr>
  </w:style>
  <w:style w:type="paragraph" w:customStyle="1" w:styleId="31">
    <w:name w:val="正文1"/>
    <w:next w:val="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正文文本1"/>
    <w:basedOn w:val="31"/>
    <w:next w:val="31"/>
    <w:autoRedefine/>
    <w:qFormat/>
    <w:uiPriority w:val="0"/>
    <w:rPr>
      <w:rFonts w:ascii="金山简黑体" w:hAnsi="金山简黑体" w:eastAsia="金山简黑体"/>
      <w:b/>
      <w:spacing w:val="-8"/>
      <w:sz w:val="44"/>
      <w:szCs w:val="20"/>
    </w:rPr>
  </w:style>
  <w:style w:type="paragraph" w:customStyle="1" w:styleId="33">
    <w:name w:val="目录 11"/>
    <w:basedOn w:val="31"/>
    <w:next w:val="31"/>
    <w:autoRedefine/>
    <w:qFormat/>
    <w:uiPriority w:val="39"/>
    <w:pPr>
      <w:tabs>
        <w:tab w:val="right" w:leader="dot" w:pos="9628"/>
      </w:tabs>
    </w:pPr>
    <w:rPr>
      <w:rFonts w:ascii="宋体" w:hAnsi="宋体"/>
      <w:b/>
      <w:color w:val="000000"/>
      <w:sz w:val="32"/>
      <w:szCs w:val="32"/>
    </w:rPr>
  </w:style>
  <w:style w:type="paragraph" w:customStyle="1" w:styleId="34">
    <w:name w:val="正文缩进1"/>
    <w:basedOn w:val="31"/>
    <w:autoRedefine/>
    <w:qFormat/>
    <w:uiPriority w:val="0"/>
    <w:pPr>
      <w:spacing w:line="200" w:lineRule="exact"/>
      <w:ind w:firstLine="301"/>
    </w:pPr>
    <w:rPr>
      <w:rFonts w:ascii="宋体" w:hAnsi="宋体"/>
      <w:spacing w:val="-4"/>
      <w:sz w:val="18"/>
      <w:szCs w:val="20"/>
    </w:rPr>
  </w:style>
  <w:style w:type="paragraph" w:customStyle="1" w:styleId="35">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reader-word-layer reader-word-s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7">
    <w:name w:val="标题 31"/>
    <w:basedOn w:val="31"/>
    <w:next w:val="31"/>
    <w:autoRedefine/>
    <w:qFormat/>
    <w:uiPriority w:val="0"/>
    <w:pPr>
      <w:keepNext/>
      <w:keepLines/>
      <w:spacing w:before="260" w:after="260" w:line="415" w:lineRule="auto"/>
      <w:outlineLvl w:val="2"/>
    </w:pPr>
    <w:rPr>
      <w:b/>
      <w:bCs/>
      <w:sz w:val="32"/>
      <w:szCs w:val="32"/>
    </w:rPr>
  </w:style>
  <w:style w:type="paragraph" w:customStyle="1" w:styleId="38">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
    <w:name w:val="Table Paragraph"/>
    <w:basedOn w:val="31"/>
    <w:autoRedefine/>
    <w:qFormat/>
    <w:uiPriority w:val="1"/>
    <w:rPr>
      <w:rFonts w:ascii="宋体" w:hAnsi="宋体" w:eastAsia="宋体" w:cs="宋体"/>
      <w:lang w:val="zh-CN" w:eastAsia="zh-CN" w:bidi="zh-CN"/>
    </w:rPr>
  </w:style>
  <w:style w:type="paragraph" w:customStyle="1" w:styleId="40">
    <w:name w:val="页眉1"/>
    <w:basedOn w:val="31"/>
    <w:autoRedefine/>
    <w:qFormat/>
    <w:uiPriority w:val="0"/>
    <w:pPr>
      <w:pBdr>
        <w:bottom w:val="single" w:color="000000" w:sz="6" w:space="1"/>
      </w:pBdr>
      <w:tabs>
        <w:tab w:val="center" w:pos="4153"/>
        <w:tab w:val="right" w:pos="8306"/>
      </w:tabs>
      <w:snapToGrid w:val="0"/>
      <w:jc w:val="center"/>
    </w:pPr>
    <w:rPr>
      <w:rFonts w:ascii="宋体" w:hAnsi="宋体"/>
      <w:sz w:val="18"/>
      <w:szCs w:val="20"/>
    </w:rPr>
  </w:style>
  <w:style w:type="paragraph" w:customStyle="1" w:styleId="41">
    <w:name w:val="页脚1"/>
    <w:basedOn w:val="31"/>
    <w:autoRedefine/>
    <w:qFormat/>
    <w:uiPriority w:val="99"/>
    <w:pPr>
      <w:tabs>
        <w:tab w:val="center" w:pos="4153"/>
        <w:tab w:val="right" w:pos="8306"/>
      </w:tabs>
      <w:snapToGrid w:val="0"/>
      <w:jc w:val="left"/>
    </w:pPr>
    <w:rPr>
      <w:rFonts w:ascii="宋体" w:hAnsi="宋体"/>
      <w:sz w:val="18"/>
      <w:szCs w:val="20"/>
    </w:rPr>
  </w:style>
  <w:style w:type="paragraph" w:customStyle="1" w:styleId="42">
    <w:name w:val="段落2"/>
    <w:basedOn w:val="1"/>
    <w:autoRedefine/>
    <w:qFormat/>
    <w:uiPriority w:val="0"/>
    <w:pPr>
      <w:spacing w:line="360" w:lineRule="auto"/>
      <w:ind w:firstLine="480" w:firstLineChars="200"/>
    </w:pPr>
    <w:rPr>
      <w:rFonts w:ascii="Calibri" w:hAnsi="Calibri" w:eastAsia="宋体" w:cs="Courier New"/>
      <w:sz w:val="24"/>
      <w:szCs w:val="21"/>
    </w:rPr>
  </w:style>
  <w:style w:type="paragraph" w:customStyle="1" w:styleId="43">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44">
    <w:name w:val="目录 21"/>
    <w:basedOn w:val="31"/>
    <w:next w:val="31"/>
    <w:autoRedefine/>
    <w:qFormat/>
    <w:uiPriority w:val="0"/>
    <w:pPr>
      <w:ind w:left="42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20606</Words>
  <Characters>22553</Characters>
  <Lines>0</Lines>
  <Paragraphs>0</Paragraphs>
  <TotalTime>14</TotalTime>
  <ScaleCrop>false</ScaleCrop>
  <LinksUpToDate>false</LinksUpToDate>
  <CharactersWithSpaces>22857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2022-01-17T14:56:00Z</dcterms:created>
  <dc:creator>吴先森</dc:creator>
  <cp:lastModifiedBy>何艳</cp:lastModifiedBy>
  <dcterms:modified xsi:type="dcterms:W3CDTF">2025-09-02T09:29:10Z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0F272D2DF91A4C9A8652E30D7B906995_13</vt:lpwstr>
  </property>
  <property fmtid="{D5CDD505-2E9C-101B-9397-08002B2CF9AE}" pid="4" name="commondata">
    <vt:lpwstr>eyJoZGlkIjoiMDMxMGZjOWUzMGUxMmI4NzRjODAzZDBkNzM1YzcyY2UifQ==</vt:lpwstr>
  </property>
  <property fmtid="{D5CDD505-2E9C-101B-9397-08002B2CF9AE}" pid="5" name="KSOTemplateDocerSaveRecord">
    <vt:lpwstr>eyJoZGlkIjoiOGM3N2Q2N2Q5ZGNhOWFlMDAwOWM1NjNjZjA2MzQ0ZGUiLCJ1c2VySWQiOiI1MjI1OTQxMDYifQ==</vt:lpwstr>
  </property>
</Properties>
</file>