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2A59D">
      <w:pPr>
        <w:snapToGrid w:val="0"/>
        <w:spacing w:before="120" w:beforeLines="50" w:line="360" w:lineRule="auto"/>
        <w:jc w:val="center"/>
        <w:rPr>
          <w:rFonts w:ascii="宋体" w:hAnsi="宋体" w:cs="宋体"/>
          <w:color w:val="auto"/>
          <w:kern w:val="21"/>
          <w:sz w:val="72"/>
          <w:szCs w:val="72"/>
          <w:highlight w:val="none"/>
        </w:rPr>
      </w:pPr>
      <w:r>
        <w:rPr>
          <w:color w:val="auto"/>
          <w:highlight w:val="none"/>
        </w:rPr>
        <w:drawing>
          <wp:anchor distT="0" distB="0" distL="114300" distR="114300" simplePos="0" relativeHeight="251659264" behindDoc="1" locked="0" layoutInCell="1" allowOverlap="1">
            <wp:simplePos x="0" y="0"/>
            <wp:positionH relativeFrom="column">
              <wp:posOffset>1643380</wp:posOffset>
            </wp:positionH>
            <wp:positionV relativeFrom="paragraph">
              <wp:posOffset>26035</wp:posOffset>
            </wp:positionV>
            <wp:extent cx="2447925" cy="2095500"/>
            <wp:effectExtent l="0" t="0" r="15875" b="12700"/>
            <wp:wrapNone/>
            <wp:docPr id="1" name="图片" descr="中国通信服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descr="中国通信服务 "/>
                    <pic:cNvPicPr>
                      <a:picLocks noChangeAspect="1"/>
                    </pic:cNvPicPr>
                  </pic:nvPicPr>
                  <pic:blipFill>
                    <a:blip r:embed="rId13"/>
                    <a:stretch>
                      <a:fillRect/>
                    </a:stretch>
                  </pic:blipFill>
                  <pic:spPr>
                    <a:xfrm>
                      <a:off x="0" y="0"/>
                      <a:ext cx="2447925" cy="2095500"/>
                    </a:xfrm>
                    <a:prstGeom prst="rect">
                      <a:avLst/>
                    </a:prstGeom>
                    <a:noFill/>
                    <a:ln>
                      <a:noFill/>
                    </a:ln>
                  </pic:spPr>
                </pic:pic>
              </a:graphicData>
            </a:graphic>
          </wp:anchor>
        </w:drawing>
      </w:r>
    </w:p>
    <w:p w14:paraId="252042B4">
      <w:pPr>
        <w:snapToGrid w:val="0"/>
        <w:spacing w:before="120" w:beforeLines="50" w:line="360" w:lineRule="auto"/>
        <w:jc w:val="right"/>
        <w:rPr>
          <w:rFonts w:ascii="宋体" w:hAnsi="宋体" w:cs="宋体"/>
          <w:color w:val="auto"/>
          <w:kern w:val="21"/>
          <w:sz w:val="72"/>
          <w:szCs w:val="72"/>
          <w:highlight w:val="none"/>
        </w:rPr>
      </w:pPr>
    </w:p>
    <w:p w14:paraId="69A2FF93">
      <w:pPr>
        <w:snapToGrid w:val="0"/>
        <w:spacing w:line="360" w:lineRule="auto"/>
        <w:jc w:val="center"/>
        <w:rPr>
          <w:rFonts w:ascii="宋体" w:hAnsi="宋体" w:cs="宋体"/>
          <w:color w:val="auto"/>
          <w:kern w:val="21"/>
          <w:sz w:val="72"/>
          <w:szCs w:val="72"/>
          <w:highlight w:val="none"/>
        </w:rPr>
      </w:pPr>
    </w:p>
    <w:p w14:paraId="6D59EA1F">
      <w:pPr>
        <w:snapToGrid w:val="0"/>
        <w:spacing w:before="120" w:beforeLines="50" w:line="360" w:lineRule="auto"/>
        <w:jc w:val="center"/>
        <w:rPr>
          <w:rFonts w:ascii="宋体" w:hAnsi="宋体" w:cs="宋体"/>
          <w:b/>
          <w:bCs/>
          <w:color w:val="auto"/>
          <w:kern w:val="21"/>
          <w:sz w:val="44"/>
          <w:szCs w:val="44"/>
          <w:highlight w:val="none"/>
        </w:rPr>
      </w:pPr>
      <w:r>
        <w:rPr>
          <w:rFonts w:hint="eastAsia" w:ascii="宋体" w:hAnsi="宋体" w:cs="宋体"/>
          <w:b/>
          <w:bCs/>
          <w:color w:val="auto"/>
          <w:kern w:val="21"/>
          <w:sz w:val="72"/>
          <w:szCs w:val="72"/>
          <w:highlight w:val="none"/>
        </w:rPr>
        <w:t>竞争性磋商文件</w:t>
      </w:r>
    </w:p>
    <w:p w14:paraId="08B496BD">
      <w:pPr>
        <w:spacing w:before="240" w:beforeLines="100" w:after="120" w:afterLines="50" w:line="360" w:lineRule="auto"/>
        <w:jc w:val="center"/>
        <w:rPr>
          <w:rFonts w:ascii="宋体" w:hAnsi="宋体" w:cs="宋体"/>
          <w:b/>
          <w:bCs/>
          <w:color w:val="auto"/>
          <w:kern w:val="21"/>
          <w:szCs w:val="21"/>
          <w:highlight w:val="none"/>
        </w:rPr>
      </w:pPr>
      <w:r>
        <w:rPr>
          <w:rFonts w:hint="eastAsia" w:ascii="宋体" w:hAnsi="宋体" w:cs="宋体"/>
          <w:b/>
          <w:bCs/>
          <w:color w:val="auto"/>
          <w:kern w:val="21"/>
          <w:szCs w:val="21"/>
          <w:highlight w:val="none"/>
        </w:rPr>
        <w:t>（全流程电子化评标）</w:t>
      </w:r>
    </w:p>
    <w:p w14:paraId="609CC37D">
      <w:pPr>
        <w:spacing w:line="360" w:lineRule="auto"/>
        <w:rPr>
          <w:rFonts w:ascii="宋体" w:hAnsi="宋体" w:cs="宋体"/>
          <w:b/>
          <w:bCs/>
          <w:color w:val="auto"/>
          <w:kern w:val="21"/>
          <w:sz w:val="32"/>
          <w:szCs w:val="32"/>
          <w:highlight w:val="none"/>
        </w:rPr>
      </w:pPr>
    </w:p>
    <w:p w14:paraId="5E575C6B">
      <w:pPr>
        <w:spacing w:line="400" w:lineRule="exact"/>
        <w:ind w:firstLine="1205" w:firstLineChars="400"/>
        <w:rPr>
          <w:rFonts w:ascii="宋体" w:hAnsi="宋体" w:cs="宋体"/>
          <w:b/>
          <w:color w:val="auto"/>
          <w:kern w:val="21"/>
          <w:sz w:val="30"/>
          <w:szCs w:val="30"/>
          <w:highlight w:val="none"/>
        </w:rPr>
      </w:pPr>
    </w:p>
    <w:p w14:paraId="054D4258">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hint="eastAsia" w:ascii="宋体" w:hAnsi="宋体" w:eastAsia="宋体" w:cs="宋体"/>
          <w:b/>
          <w:bCs/>
          <w:color w:val="auto"/>
          <w:kern w:val="21"/>
          <w:sz w:val="30"/>
          <w:szCs w:val="30"/>
          <w:highlight w:val="none"/>
          <w:u w:val="single"/>
          <w:lang w:eastAsia="zh-CN"/>
        </w:rPr>
      </w:pPr>
      <w:r>
        <w:rPr>
          <w:rFonts w:hint="eastAsia" w:ascii="宋体" w:hAnsi="宋体" w:cs="宋体"/>
          <w:b/>
          <w:color w:val="auto"/>
          <w:kern w:val="21"/>
          <w:sz w:val="30"/>
          <w:szCs w:val="30"/>
          <w:highlight w:val="none"/>
        </w:rPr>
        <w:t>项目名称：</w:t>
      </w:r>
      <w:r>
        <w:rPr>
          <w:rFonts w:hint="eastAsia" w:ascii="宋体" w:hAnsi="宋体" w:cs="宋体"/>
          <w:b/>
          <w:color w:val="auto"/>
          <w:spacing w:val="-11"/>
          <w:kern w:val="21"/>
          <w:sz w:val="30"/>
          <w:szCs w:val="30"/>
          <w:highlight w:val="none"/>
          <w:lang w:eastAsia="zh-CN"/>
        </w:rPr>
        <w:t>2025年“数据要素×”大赛广西分赛</w:t>
      </w:r>
    </w:p>
    <w:p w14:paraId="07B61E30">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p>
    <w:p w14:paraId="3B6EC8E1">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hint="eastAsia" w:ascii="宋体" w:hAnsi="宋体" w:eastAsia="宋体" w:cs="宋体"/>
          <w:b/>
          <w:bCs/>
          <w:color w:val="auto"/>
          <w:kern w:val="21"/>
          <w:sz w:val="30"/>
          <w:szCs w:val="30"/>
          <w:highlight w:val="none"/>
          <w:u w:val="single"/>
          <w:lang w:eastAsia="zh-CN"/>
        </w:rPr>
      </w:pPr>
      <w:r>
        <w:rPr>
          <w:rFonts w:hint="eastAsia" w:ascii="宋体" w:hAnsi="宋体" w:cs="宋体"/>
          <w:b/>
          <w:color w:val="auto"/>
          <w:kern w:val="21"/>
          <w:sz w:val="30"/>
          <w:szCs w:val="30"/>
          <w:highlight w:val="none"/>
        </w:rPr>
        <w:t>项目编号：</w:t>
      </w:r>
      <w:r>
        <w:rPr>
          <w:rFonts w:hint="eastAsia" w:ascii="宋体" w:hAnsi="宋体" w:cs="宋体"/>
          <w:b/>
          <w:color w:val="auto"/>
          <w:kern w:val="21"/>
          <w:sz w:val="30"/>
          <w:szCs w:val="30"/>
          <w:highlight w:val="none"/>
          <w:lang w:eastAsia="zh-CN"/>
        </w:rPr>
        <w:t>GXZC2025-C3-002194-GXTF</w:t>
      </w:r>
    </w:p>
    <w:p w14:paraId="23A4A1D0">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bCs/>
          <w:color w:val="auto"/>
          <w:kern w:val="21"/>
          <w:sz w:val="30"/>
          <w:szCs w:val="30"/>
          <w:highlight w:val="none"/>
          <w:u w:val="single"/>
        </w:rPr>
      </w:pPr>
    </w:p>
    <w:p w14:paraId="5FE87347">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p>
    <w:p w14:paraId="53E7008B">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p>
    <w:p w14:paraId="78EE1AEF">
      <w:pPr>
        <w:pStyle w:val="2"/>
        <w:keepNext w:val="0"/>
        <w:keepLines w:val="0"/>
        <w:pageBreakBefore w:val="0"/>
        <w:widowControl w:val="0"/>
        <w:kinsoku/>
        <w:wordWrap/>
        <w:overflowPunct/>
        <w:topLinePunct w:val="0"/>
        <w:autoSpaceDE/>
        <w:autoSpaceDN/>
        <w:bidi w:val="0"/>
        <w:adjustRightInd/>
        <w:snapToGrid/>
        <w:ind w:firstLine="840" w:firstLineChars="400"/>
        <w:textAlignment w:val="auto"/>
        <w:rPr>
          <w:color w:val="auto"/>
          <w:highlight w:val="none"/>
        </w:rPr>
      </w:pPr>
    </w:p>
    <w:p w14:paraId="6BC4C123">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p>
    <w:p w14:paraId="4F31FD3C">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采购单位：广西壮族自治区信息中心</w:t>
      </w:r>
    </w:p>
    <w:p w14:paraId="6245BF58">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 xml:space="preserve"> </w:t>
      </w:r>
    </w:p>
    <w:p w14:paraId="62F44360">
      <w:pPr>
        <w:keepNext w:val="0"/>
        <w:keepLines w:val="0"/>
        <w:pageBreakBefore w:val="0"/>
        <w:widowControl w:val="0"/>
        <w:kinsoku/>
        <w:wordWrap/>
        <w:overflowPunct/>
        <w:topLinePunct w:val="0"/>
        <w:autoSpaceDE/>
        <w:autoSpaceDN/>
        <w:bidi w:val="0"/>
        <w:adjustRightInd/>
        <w:snapToGrid/>
        <w:spacing w:line="400" w:lineRule="exact"/>
        <w:ind w:firstLine="1205" w:firstLineChars="400"/>
        <w:textAlignment w:val="auto"/>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采购代理机构：广西壮族自治区通信产业服务有限公司</w:t>
      </w:r>
    </w:p>
    <w:p w14:paraId="6471FAFD">
      <w:pPr>
        <w:spacing w:line="400" w:lineRule="exact"/>
        <w:ind w:firstLine="1205" w:firstLineChars="400"/>
        <w:jc w:val="center"/>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 xml:space="preserve"> </w:t>
      </w:r>
    </w:p>
    <w:p w14:paraId="1372F2ED">
      <w:pPr>
        <w:spacing w:line="400" w:lineRule="exact"/>
        <w:ind w:firstLine="1205" w:firstLineChars="400"/>
        <w:jc w:val="center"/>
        <w:rPr>
          <w:rFonts w:ascii="宋体" w:hAnsi="宋体" w:cs="宋体"/>
          <w:b/>
          <w:color w:val="auto"/>
          <w:kern w:val="21"/>
          <w:sz w:val="30"/>
          <w:szCs w:val="30"/>
          <w:highlight w:val="none"/>
        </w:rPr>
      </w:pPr>
    </w:p>
    <w:p w14:paraId="0AC03AE4">
      <w:pPr>
        <w:spacing w:line="400" w:lineRule="exact"/>
        <w:jc w:val="center"/>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202</w:t>
      </w:r>
      <w:r>
        <w:rPr>
          <w:rFonts w:hint="eastAsia" w:ascii="宋体" w:hAnsi="宋体" w:cs="宋体"/>
          <w:b/>
          <w:color w:val="auto"/>
          <w:kern w:val="21"/>
          <w:sz w:val="30"/>
          <w:szCs w:val="30"/>
          <w:highlight w:val="none"/>
          <w:lang w:val="en-US" w:eastAsia="zh-CN"/>
        </w:rPr>
        <w:t>5</w:t>
      </w:r>
      <w:r>
        <w:rPr>
          <w:rFonts w:hint="eastAsia" w:ascii="宋体" w:hAnsi="宋体" w:cs="宋体"/>
          <w:b/>
          <w:color w:val="auto"/>
          <w:kern w:val="21"/>
          <w:sz w:val="30"/>
          <w:szCs w:val="30"/>
          <w:highlight w:val="none"/>
        </w:rPr>
        <w:t>年</w:t>
      </w:r>
      <w:r>
        <w:rPr>
          <w:rFonts w:hint="eastAsia" w:ascii="宋体" w:hAnsi="宋体" w:cs="宋体"/>
          <w:b/>
          <w:color w:val="auto"/>
          <w:kern w:val="21"/>
          <w:sz w:val="30"/>
          <w:szCs w:val="30"/>
          <w:highlight w:val="none"/>
          <w:lang w:val="en-US" w:eastAsia="zh-CN"/>
        </w:rPr>
        <w:t>8</w:t>
      </w:r>
      <w:r>
        <w:rPr>
          <w:rFonts w:hint="eastAsia" w:ascii="宋体" w:hAnsi="宋体" w:cs="宋体"/>
          <w:b/>
          <w:color w:val="auto"/>
          <w:kern w:val="21"/>
          <w:sz w:val="30"/>
          <w:szCs w:val="30"/>
          <w:highlight w:val="none"/>
        </w:rPr>
        <w:t>月</w:t>
      </w:r>
    </w:p>
    <w:p w14:paraId="289CD909">
      <w:pPr>
        <w:pStyle w:val="18"/>
        <w:snapToGrid w:val="0"/>
        <w:spacing w:before="50" w:after="120" w:line="480" w:lineRule="auto"/>
        <w:ind w:firstLine="588" w:firstLineChars="294"/>
        <w:rPr>
          <w:rFonts w:hAnsi="宋体" w:cs="宋体"/>
          <w:b/>
          <w:bCs/>
          <w:color w:val="auto"/>
          <w:kern w:val="21"/>
          <w:sz w:val="30"/>
          <w:szCs w:val="30"/>
          <w:highlight w:val="none"/>
        </w:rPr>
        <w:sectPr>
          <w:footerReference r:id="rId3" w:type="default"/>
          <w:footerReference r:id="rId4" w:type="even"/>
          <w:pgSz w:w="11911" w:h="16838"/>
          <w:pgMar w:top="1440" w:right="1440" w:bottom="1440" w:left="1440" w:header="720" w:footer="720" w:gutter="0"/>
          <w:pgNumType w:start="1"/>
          <w:cols w:space="720" w:num="1"/>
          <w:docGrid w:linePitch="331" w:charSpace="0"/>
        </w:sectPr>
      </w:pPr>
      <w:r>
        <w:rPr>
          <w:rFonts w:hint="eastAsia" w:hAnsi="宋体" w:cs="宋体"/>
          <w:color w:val="auto"/>
          <w:kern w:val="21"/>
          <w:highlight w:val="none"/>
        </w:rPr>
        <w:t xml:space="preserve"> </w:t>
      </w:r>
    </w:p>
    <w:p w14:paraId="43ACDF13">
      <w:pPr>
        <w:spacing w:line="360" w:lineRule="auto"/>
        <w:jc w:val="center"/>
        <w:rPr>
          <w:rFonts w:ascii="宋体" w:hAnsi="宋体" w:cs="宋体"/>
          <w:b/>
          <w:color w:val="auto"/>
          <w:kern w:val="21"/>
          <w:sz w:val="44"/>
          <w:szCs w:val="44"/>
          <w:highlight w:val="none"/>
        </w:rPr>
      </w:pPr>
      <w:r>
        <w:rPr>
          <w:rFonts w:hint="eastAsia" w:ascii="宋体" w:hAnsi="宋体" w:cs="宋体"/>
          <w:b/>
          <w:color w:val="auto"/>
          <w:kern w:val="21"/>
          <w:sz w:val="44"/>
          <w:szCs w:val="44"/>
          <w:highlight w:val="none"/>
        </w:rPr>
        <w:t>目   录</w:t>
      </w:r>
    </w:p>
    <w:p w14:paraId="1E6621AC">
      <w:pPr>
        <w:spacing w:line="400" w:lineRule="exact"/>
        <w:jc w:val="center"/>
        <w:rPr>
          <w:rFonts w:ascii="宋体" w:hAnsi="宋体" w:cs="宋体"/>
          <w:b/>
          <w:color w:val="auto"/>
          <w:kern w:val="21"/>
          <w:sz w:val="44"/>
          <w:szCs w:val="44"/>
          <w:highlight w:val="none"/>
        </w:rPr>
      </w:pPr>
    </w:p>
    <w:p w14:paraId="63D1775A">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21"/>
          <w:sz w:val="24"/>
          <w:highlight w:val="none"/>
        </w:rPr>
        <w:fldChar w:fldCharType="begin"/>
      </w:r>
      <w:r>
        <w:rPr>
          <w:rFonts w:hint="eastAsia" w:ascii="宋体" w:hAnsi="宋体" w:eastAsia="宋体" w:cs="宋体"/>
          <w:b/>
          <w:color w:val="auto"/>
          <w:kern w:val="21"/>
          <w:sz w:val="24"/>
          <w:highlight w:val="none"/>
        </w:rPr>
        <w:instrText xml:space="preserve"> TOC \o "1-3" \h \z \u </w:instrText>
      </w:r>
      <w:r>
        <w:rPr>
          <w:rFonts w:hint="eastAsia" w:ascii="宋体" w:hAnsi="宋体" w:eastAsia="宋体" w:cs="宋体"/>
          <w:b/>
          <w:color w:val="auto"/>
          <w:kern w:val="21"/>
          <w:sz w:val="24"/>
          <w:highlight w:val="none"/>
        </w:rPr>
        <w:fldChar w:fldCharType="separate"/>
      </w: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_Toc5624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第一章 竞争性磋商公告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_Toc5624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42D7465A">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_Toc12314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szCs w:val="24"/>
          <w:highlight w:val="none"/>
        </w:rPr>
        <w:t>第二章 采购需求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_Toc12314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0AB0AC0F">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_Toc24485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szCs w:val="24"/>
          <w:highlight w:val="none"/>
        </w:rPr>
        <w:t>第三章 供应商须知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_Toc24485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122828CB">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_Toc26015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第一节 供应商须知前附表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_Toc26015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2FF42E90">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_Toc10889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szCs w:val="24"/>
          <w:highlight w:val="none"/>
        </w:rPr>
        <w:t>第二节 供应商须知正文</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_Toc10889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20</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3B50297B">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_Toc22837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szCs w:val="24"/>
          <w:highlight w:val="none"/>
        </w:rPr>
        <w:t>一、总则</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_Toc22837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20</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64011334">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_Toc3880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二、磋商文件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_Toc3880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23</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3BFB2C5B">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_Toc14557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三、响应文件的编制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_Toc14557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24</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148927D0">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_Toc25792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四、评审及磋商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_Toc25792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27</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18E09763">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_Toc767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五、成交及合同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_Toc767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28</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497E1A1C">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_Toc11194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六、验收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_Toc11194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31</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5B425B73">
      <w:pPr>
        <w:pStyle w:val="17"/>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_Toc11157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七、其他事项</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_Toc11157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32</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7E331065">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_Toc28814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szCs w:val="24"/>
          <w:highlight w:val="none"/>
        </w:rPr>
        <w:t>第四章 评审程序、评审方法和评审标准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_Toc28814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33</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096B902D">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_Toc31735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第一节 评审程序和评审方法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_Toc31735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33</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66055B72">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_Toc4847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第二节 评</w:t>
      </w:r>
      <w:r>
        <w:rPr>
          <w:rFonts w:hint="eastAsia" w:ascii="宋体" w:hAnsi="宋体" w:eastAsia="宋体" w:cs="宋体"/>
          <w:bCs w:val="0"/>
          <w:color w:val="auto"/>
          <w:kern w:val="21"/>
          <w:sz w:val="24"/>
          <w:highlight w:val="none"/>
          <w:lang w:val="en-US" w:eastAsia="zh-CN"/>
        </w:rPr>
        <w:t>审</w:t>
      </w:r>
      <w:r>
        <w:rPr>
          <w:rFonts w:hint="eastAsia" w:ascii="宋体" w:hAnsi="宋体" w:eastAsia="宋体" w:cs="宋体"/>
          <w:bCs w:val="0"/>
          <w:color w:val="auto"/>
          <w:kern w:val="21"/>
          <w:sz w:val="24"/>
          <w:highlight w:val="none"/>
        </w:rPr>
        <w:t>报告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_Toc4847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45</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2492C62A">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_Toc2526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第三节 评审过程的保密与录像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_Toc2526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45</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7095A12D">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_Toc31548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highlight w:val="none"/>
        </w:rPr>
        <w:t>第五章 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_Toc31548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46</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10E09036">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_Toc18318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第一节 封面格式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_Toc18318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47</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798BC778">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_Toc22661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第二节 资格证明文件格式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_Toc22661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48</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07929016">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_Toc32331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highlight w:val="none"/>
        </w:rPr>
        <w:t>第三节 商务技术文件格式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_Toc32331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56</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0F3402C0">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_Toc5028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highlight w:val="none"/>
        </w:rPr>
        <w:t>第四节 报价文件格式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_Toc5028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68</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33565876">
      <w:pPr>
        <w:pStyle w:val="25"/>
        <w:tabs>
          <w:tab w:val="right" w:leader="dot" w:pos="9031"/>
          <w:tab w:val="clear" w:pos="8296"/>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_Toc19848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highlight w:val="none"/>
        </w:rPr>
        <w:t>第五节 其他文书、文件格式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_Toc19848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74</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67AE44F1">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_Toc18493 </w:instrText>
      </w:r>
      <w:r>
        <w:rPr>
          <w:rFonts w:hint="eastAsia" w:ascii="宋体" w:hAnsi="宋体" w:eastAsia="宋体" w:cs="宋体"/>
          <w:color w:val="auto"/>
          <w:kern w:val="21"/>
          <w:sz w:val="24"/>
          <w:highlight w:val="none"/>
        </w:rPr>
        <w:fldChar w:fldCharType="separate"/>
      </w:r>
      <w:r>
        <w:rPr>
          <w:rFonts w:hint="eastAsia" w:ascii="宋体" w:hAnsi="宋体" w:eastAsia="宋体" w:cs="宋体"/>
          <w:color w:val="auto"/>
          <w:kern w:val="21"/>
          <w:sz w:val="24"/>
          <w:highlight w:val="none"/>
        </w:rPr>
        <w:t>第六章 合同文本</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_Toc18493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76</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7409734A">
      <w:pPr>
        <w:pStyle w:val="23"/>
        <w:tabs>
          <w:tab w:val="right" w:leader="dot" w:pos="9031"/>
        </w:tabs>
        <w:spacing w:line="360" w:lineRule="auto"/>
        <w:rPr>
          <w:rFonts w:hint="eastAsia" w:ascii="宋体" w:hAnsi="宋体" w:eastAsia="宋体" w:cs="宋体"/>
          <w:color w:val="auto"/>
          <w:sz w:val="24"/>
          <w:highlight w:val="none"/>
        </w:rPr>
      </w:pPr>
      <w:r>
        <w:rPr>
          <w:rFonts w:hint="eastAsia" w:ascii="宋体" w:hAnsi="宋体" w:eastAsia="宋体" w:cs="宋体"/>
          <w:color w:val="auto"/>
          <w:kern w:val="21"/>
          <w:sz w:val="24"/>
          <w:highlight w:val="none"/>
        </w:rPr>
        <w:fldChar w:fldCharType="begin"/>
      </w:r>
      <w:r>
        <w:rPr>
          <w:rFonts w:hint="eastAsia" w:ascii="宋体" w:hAnsi="宋体" w:eastAsia="宋体" w:cs="宋体"/>
          <w:color w:val="auto"/>
          <w:kern w:val="21"/>
          <w:sz w:val="24"/>
          <w:highlight w:val="none"/>
        </w:rPr>
        <w:instrText xml:space="preserve"> HYPERLINK \l _Toc23662 </w:instrText>
      </w:r>
      <w:r>
        <w:rPr>
          <w:rFonts w:hint="eastAsia" w:ascii="宋体" w:hAnsi="宋体" w:eastAsia="宋体" w:cs="宋体"/>
          <w:color w:val="auto"/>
          <w:kern w:val="21"/>
          <w:sz w:val="24"/>
          <w:highlight w:val="none"/>
        </w:rPr>
        <w:fldChar w:fldCharType="separate"/>
      </w:r>
      <w:r>
        <w:rPr>
          <w:rFonts w:hint="eastAsia" w:ascii="宋体" w:hAnsi="宋体" w:eastAsia="宋体" w:cs="宋体"/>
          <w:bCs w:val="0"/>
          <w:color w:val="auto"/>
          <w:kern w:val="21"/>
          <w:sz w:val="24"/>
          <w:highlight w:val="none"/>
        </w:rPr>
        <w:t>第七章 质疑、投诉材料格式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_Toc23662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86</w:t>
      </w:r>
      <w:r>
        <w:rPr>
          <w:rFonts w:hint="eastAsia" w:ascii="宋体" w:hAnsi="宋体" w:eastAsia="宋体" w:cs="宋体"/>
          <w:color w:val="auto"/>
          <w:sz w:val="24"/>
          <w:highlight w:val="none"/>
        </w:rPr>
        <w:fldChar w:fldCharType="end"/>
      </w:r>
      <w:r>
        <w:rPr>
          <w:rFonts w:hint="eastAsia" w:ascii="宋体" w:hAnsi="宋体" w:eastAsia="宋体" w:cs="宋体"/>
          <w:color w:val="auto"/>
          <w:kern w:val="21"/>
          <w:sz w:val="24"/>
          <w:highlight w:val="none"/>
        </w:rPr>
        <w:fldChar w:fldCharType="end"/>
      </w:r>
    </w:p>
    <w:p w14:paraId="709A7E7F">
      <w:pPr>
        <w:pStyle w:val="25"/>
        <w:spacing w:line="360" w:lineRule="auto"/>
        <w:rPr>
          <w:rFonts w:ascii="宋体" w:hAnsi="宋体" w:cs="宋体"/>
          <w:color w:val="auto"/>
          <w:kern w:val="21"/>
          <w:sz w:val="28"/>
          <w:szCs w:val="28"/>
          <w:highlight w:val="none"/>
        </w:rPr>
      </w:pPr>
      <w:r>
        <w:rPr>
          <w:rFonts w:hint="eastAsia" w:ascii="宋体" w:hAnsi="宋体" w:eastAsia="宋体" w:cs="宋体"/>
          <w:color w:val="auto"/>
          <w:kern w:val="21"/>
          <w:sz w:val="24"/>
          <w:highlight w:val="none"/>
        </w:rPr>
        <w:fldChar w:fldCharType="end"/>
      </w:r>
    </w:p>
    <w:p w14:paraId="348B7FBF">
      <w:pPr>
        <w:spacing w:line="400" w:lineRule="exact"/>
        <w:jc w:val="left"/>
        <w:rPr>
          <w:rFonts w:ascii="宋体" w:hAnsi="宋体" w:cs="宋体"/>
          <w:b/>
          <w:color w:val="auto"/>
          <w:kern w:val="21"/>
          <w:sz w:val="32"/>
          <w:szCs w:val="32"/>
          <w:highlight w:val="none"/>
        </w:rPr>
      </w:pPr>
    </w:p>
    <w:p w14:paraId="71FB489E">
      <w:pPr>
        <w:spacing w:line="400" w:lineRule="exact"/>
        <w:jc w:val="center"/>
        <w:rPr>
          <w:rFonts w:ascii="宋体" w:hAnsi="宋体" w:cs="宋体"/>
          <w:b/>
          <w:color w:val="auto"/>
          <w:kern w:val="21"/>
          <w:sz w:val="32"/>
          <w:szCs w:val="32"/>
          <w:highlight w:val="none"/>
        </w:rPr>
      </w:pPr>
    </w:p>
    <w:p w14:paraId="716C13E5">
      <w:pPr>
        <w:spacing w:line="400" w:lineRule="exact"/>
        <w:rPr>
          <w:rFonts w:ascii="宋体" w:hAnsi="宋体" w:cs="宋体"/>
          <w:b/>
          <w:color w:val="auto"/>
          <w:kern w:val="21"/>
          <w:sz w:val="32"/>
          <w:szCs w:val="32"/>
          <w:highlight w:val="none"/>
        </w:rPr>
        <w:sectPr>
          <w:headerReference r:id="rId6" w:type="first"/>
          <w:footerReference r:id="rId8" w:type="first"/>
          <w:headerReference r:id="rId5" w:type="default"/>
          <w:footerReference r:id="rId7" w:type="default"/>
          <w:pgSz w:w="11911" w:h="16838"/>
          <w:pgMar w:top="1440" w:right="1440" w:bottom="1440" w:left="1440" w:header="720" w:footer="720" w:gutter="0"/>
          <w:pgNumType w:start="1"/>
          <w:cols w:space="720" w:num="1"/>
          <w:docGrid w:linePitch="312" w:charSpace="0"/>
        </w:sectPr>
      </w:pPr>
    </w:p>
    <w:p w14:paraId="497A3CAE">
      <w:pPr>
        <w:pStyle w:val="3"/>
        <w:spacing w:before="0" w:after="0" w:line="360" w:lineRule="auto"/>
        <w:jc w:val="center"/>
        <w:rPr>
          <w:rFonts w:hint="eastAsia" w:ascii="宋体" w:hAnsi="宋体" w:eastAsia="宋体" w:cs="宋体"/>
          <w:color w:val="auto"/>
          <w:kern w:val="21"/>
          <w:sz w:val="32"/>
          <w:szCs w:val="32"/>
          <w:highlight w:val="none"/>
        </w:rPr>
      </w:pPr>
      <w:bookmarkStart w:id="0" w:name="_Toc32460"/>
      <w:bookmarkStart w:id="1" w:name="_Toc5624"/>
      <w:bookmarkStart w:id="2" w:name="_Toc80205920"/>
      <w:r>
        <w:rPr>
          <w:rFonts w:hint="eastAsia" w:ascii="宋体" w:hAnsi="宋体" w:eastAsia="宋体" w:cs="宋体"/>
          <w:color w:val="auto"/>
          <w:kern w:val="21"/>
          <w:sz w:val="32"/>
          <w:szCs w:val="32"/>
          <w:highlight w:val="none"/>
        </w:rPr>
        <w:t>第一章 竞争性磋商公告</w:t>
      </w:r>
      <w:bookmarkEnd w:id="0"/>
      <w:bookmarkEnd w:id="1"/>
      <w:bookmarkEnd w:id="2"/>
      <w:bookmarkStart w:id="3" w:name="_Toc35393629"/>
      <w:bookmarkStart w:id="4" w:name="_Toc44229878"/>
      <w:bookmarkStart w:id="5" w:name="_Toc28359012"/>
      <w:bookmarkStart w:id="6" w:name="_Toc35393798"/>
      <w:bookmarkStart w:id="7" w:name="_Toc28359089"/>
      <w:bookmarkStart w:id="8" w:name="_Toc28359004"/>
      <w:bookmarkStart w:id="9" w:name="_Toc35393792"/>
      <w:bookmarkStart w:id="10" w:name="_Toc35393623"/>
      <w:bookmarkStart w:id="11" w:name="_Toc28359081"/>
    </w:p>
    <w:p w14:paraId="77C658CF">
      <w:pPr>
        <w:keepNext/>
        <w:keepLines/>
        <w:pageBreakBefore w:val="0"/>
        <w:widowControl/>
        <w:tabs>
          <w:tab w:val="left" w:pos="0"/>
          <w:tab w:val="left" w:pos="3165"/>
          <w:tab w:val="center" w:pos="4153"/>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b/>
          <w:color w:val="auto"/>
          <w:kern w:val="21"/>
          <w:sz w:val="28"/>
          <w:szCs w:val="28"/>
          <w:highlight w:val="none"/>
          <w:lang w:eastAsia="zh-CN"/>
        </w:rPr>
      </w:pPr>
      <w:bookmarkStart w:id="12" w:name="_Toc91262500"/>
      <w:bookmarkStart w:id="13" w:name="_Toc101775056"/>
      <w:bookmarkStart w:id="14" w:name="_Toc91262597"/>
      <w:r>
        <w:rPr>
          <w:rFonts w:hint="eastAsia" w:ascii="宋体" w:hAnsi="宋体" w:eastAsia="宋体" w:cs="宋体"/>
          <w:b/>
          <w:color w:val="auto"/>
          <w:kern w:val="21"/>
          <w:sz w:val="28"/>
          <w:szCs w:val="28"/>
          <w:highlight w:val="none"/>
        </w:rPr>
        <w:t>广西壮族自治区通信产业服务有限公司关于</w:t>
      </w:r>
      <w:r>
        <w:rPr>
          <w:rFonts w:hint="eastAsia" w:ascii="宋体" w:hAnsi="宋体" w:eastAsia="宋体" w:cs="宋体"/>
          <w:b/>
          <w:color w:val="auto"/>
          <w:kern w:val="21"/>
          <w:sz w:val="28"/>
          <w:szCs w:val="28"/>
          <w:highlight w:val="none"/>
          <w:lang w:eastAsia="zh-CN"/>
        </w:rPr>
        <w:t>2025年“数据要素×”大赛</w:t>
      </w:r>
    </w:p>
    <w:p w14:paraId="1B378062">
      <w:pPr>
        <w:keepNext/>
        <w:keepLines/>
        <w:pageBreakBefore w:val="0"/>
        <w:widowControl/>
        <w:tabs>
          <w:tab w:val="left" w:pos="0"/>
          <w:tab w:val="left" w:pos="3165"/>
          <w:tab w:val="center" w:pos="4153"/>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b/>
          <w:color w:val="auto"/>
          <w:kern w:val="21"/>
          <w:sz w:val="28"/>
          <w:szCs w:val="28"/>
          <w:highlight w:val="none"/>
        </w:rPr>
      </w:pPr>
      <w:r>
        <w:rPr>
          <w:rFonts w:hint="eastAsia" w:ascii="宋体" w:hAnsi="宋体" w:eastAsia="宋体" w:cs="宋体"/>
          <w:b/>
          <w:color w:val="auto"/>
          <w:kern w:val="21"/>
          <w:sz w:val="28"/>
          <w:szCs w:val="28"/>
          <w:highlight w:val="none"/>
          <w:lang w:eastAsia="zh-CN"/>
        </w:rPr>
        <w:t>广西分赛</w:t>
      </w:r>
      <w:r>
        <w:rPr>
          <w:rFonts w:hint="eastAsia" w:ascii="宋体" w:hAnsi="宋体" w:eastAsia="宋体" w:cs="宋体"/>
          <w:b/>
          <w:color w:val="auto"/>
          <w:kern w:val="21"/>
          <w:sz w:val="28"/>
          <w:szCs w:val="28"/>
          <w:highlight w:val="none"/>
        </w:rPr>
        <w:t>（</w:t>
      </w:r>
      <w:r>
        <w:rPr>
          <w:rFonts w:hint="eastAsia" w:ascii="宋体" w:hAnsi="宋体" w:cs="宋体"/>
          <w:b/>
          <w:color w:val="auto"/>
          <w:kern w:val="21"/>
          <w:sz w:val="28"/>
          <w:szCs w:val="28"/>
          <w:highlight w:val="none"/>
          <w:lang w:eastAsia="zh-CN"/>
        </w:rPr>
        <w:t>GXZC2025-C3-002194-GXTF</w:t>
      </w:r>
      <w:r>
        <w:rPr>
          <w:rFonts w:hint="eastAsia" w:ascii="宋体" w:hAnsi="宋体" w:eastAsia="宋体" w:cs="宋体"/>
          <w:b/>
          <w:color w:val="auto"/>
          <w:kern w:val="21"/>
          <w:sz w:val="28"/>
          <w:szCs w:val="28"/>
          <w:highlight w:val="none"/>
        </w:rPr>
        <w:t>）</w:t>
      </w:r>
    </w:p>
    <w:p w14:paraId="396EEB48">
      <w:pPr>
        <w:keepNext/>
        <w:keepLines/>
        <w:pageBreakBefore w:val="0"/>
        <w:widowControl/>
        <w:tabs>
          <w:tab w:val="left" w:pos="0"/>
          <w:tab w:val="left" w:pos="3165"/>
          <w:tab w:val="center" w:pos="4153"/>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b/>
          <w:color w:val="auto"/>
          <w:kern w:val="21"/>
          <w:sz w:val="28"/>
          <w:szCs w:val="28"/>
          <w:highlight w:val="none"/>
        </w:rPr>
      </w:pPr>
      <w:r>
        <w:rPr>
          <w:rFonts w:hint="eastAsia" w:ascii="宋体" w:hAnsi="宋体" w:eastAsia="宋体" w:cs="宋体"/>
          <w:b/>
          <w:color w:val="auto"/>
          <w:kern w:val="21"/>
          <w:sz w:val="28"/>
          <w:szCs w:val="28"/>
          <w:highlight w:val="none"/>
        </w:rPr>
        <w:t>竞争性磋商公告</w:t>
      </w:r>
      <w:bookmarkEnd w:id="12"/>
      <w:bookmarkEnd w:id="13"/>
      <w:bookmarkEnd w:id="14"/>
    </w:p>
    <w:p w14:paraId="59C72E9F">
      <w:pPr>
        <w:pageBreakBefore w:val="0"/>
        <w:pBdr>
          <w:top w:val="single" w:color="auto" w:sz="4" w:space="1"/>
          <w:left w:val="single" w:color="auto" w:sz="4" w:space="4"/>
          <w:bottom w:val="single" w:color="auto" w:sz="4" w:space="1"/>
          <w:right w:val="single" w:color="auto" w:sz="4" w:space="4"/>
        </w:pBdr>
        <w:kinsoku/>
        <w:wordWrap/>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项目概况</w:t>
      </w:r>
    </w:p>
    <w:p w14:paraId="6BFD89D7">
      <w:pPr>
        <w:pageBreakBefore w:val="0"/>
        <w:pBdr>
          <w:top w:val="single" w:color="auto" w:sz="4" w:space="1"/>
          <w:left w:val="single" w:color="auto" w:sz="4" w:space="4"/>
          <w:bottom w:val="single" w:color="auto" w:sz="4" w:space="1"/>
          <w:right w:val="single" w:color="auto" w:sz="4" w:space="4"/>
        </w:pBdr>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eastAsia="zh-CN"/>
        </w:rPr>
        <w:t>2025年“数据要素×”大赛广西分赛</w:t>
      </w:r>
      <w:r>
        <w:rPr>
          <w:rFonts w:hint="eastAsia" w:ascii="宋体" w:hAnsi="宋体" w:eastAsia="宋体" w:cs="宋体"/>
          <w:color w:val="auto"/>
          <w:kern w:val="21"/>
          <w:sz w:val="21"/>
          <w:szCs w:val="21"/>
          <w:highlight w:val="none"/>
        </w:rPr>
        <w:t>的潜在供应商应在“广西政府采购云平台”</w:t>
      </w:r>
      <w:r>
        <w:rPr>
          <w:rFonts w:hint="eastAsia" w:ascii="宋体" w:hAnsi="宋体" w:eastAsia="宋体" w:cs="宋体"/>
          <w:color w:val="auto"/>
          <w:kern w:val="21"/>
          <w:sz w:val="21"/>
          <w:szCs w:val="21"/>
          <w:highlight w:val="none"/>
        </w:rPr>
        <w:fldChar w:fldCharType="begin"/>
      </w:r>
      <w:r>
        <w:rPr>
          <w:rFonts w:hint="eastAsia" w:ascii="宋体" w:hAnsi="宋体" w:eastAsia="宋体" w:cs="宋体"/>
          <w:color w:val="auto"/>
          <w:kern w:val="21"/>
          <w:sz w:val="21"/>
          <w:szCs w:val="21"/>
          <w:highlight w:val="none"/>
        </w:rPr>
        <w:instrText xml:space="preserve"> HYPERLINK "https://www.zcygov.cn/）获取（下载）获取竞争性磋商文件，并于" </w:instrText>
      </w:r>
      <w:r>
        <w:rPr>
          <w:rFonts w:hint="eastAsia" w:ascii="宋体" w:hAnsi="宋体" w:eastAsia="宋体" w:cs="宋体"/>
          <w:color w:val="auto"/>
          <w:kern w:val="21"/>
          <w:sz w:val="21"/>
          <w:szCs w:val="21"/>
          <w:highlight w:val="none"/>
        </w:rPr>
        <w:fldChar w:fldCharType="separate"/>
      </w:r>
      <w:r>
        <w:rPr>
          <w:rStyle w:val="38"/>
          <w:rFonts w:hint="eastAsia" w:ascii="宋体" w:hAnsi="宋体" w:eastAsia="宋体" w:cs="宋体"/>
          <w:color w:val="auto"/>
          <w:kern w:val="21"/>
          <w:sz w:val="21"/>
          <w:szCs w:val="21"/>
          <w:highlight w:val="none"/>
          <w:u w:val="none"/>
        </w:rPr>
        <w:t>获取（下载）竞争性磋商文件，并于</w:t>
      </w:r>
      <w:r>
        <w:rPr>
          <w:rFonts w:hint="eastAsia" w:ascii="宋体" w:hAnsi="宋体" w:eastAsia="宋体" w:cs="宋体"/>
          <w:color w:val="auto"/>
          <w:kern w:val="21"/>
          <w:sz w:val="21"/>
          <w:szCs w:val="21"/>
          <w:highlight w:val="none"/>
        </w:rPr>
        <w:fldChar w:fldCharType="end"/>
      </w:r>
      <w:r>
        <w:rPr>
          <w:rFonts w:hint="eastAsia" w:ascii="宋体" w:hAnsi="宋体" w:eastAsia="宋体" w:cs="宋体"/>
          <w:color w:val="auto"/>
          <w:kern w:val="21"/>
          <w:sz w:val="21"/>
          <w:szCs w:val="21"/>
          <w:highlight w:val="none"/>
        </w:rPr>
        <w:t>202</w:t>
      </w: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年</w:t>
      </w:r>
      <w:r>
        <w:rPr>
          <w:rFonts w:hint="eastAsia" w:ascii="宋体" w:hAnsi="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月</w:t>
      </w:r>
      <w:r>
        <w:rPr>
          <w:rFonts w:hint="eastAsia" w:ascii="宋体" w:hAnsi="宋体" w:cs="宋体"/>
          <w:color w:val="auto"/>
          <w:kern w:val="21"/>
          <w:sz w:val="21"/>
          <w:szCs w:val="21"/>
          <w:highlight w:val="none"/>
          <w:lang w:val="en-US" w:eastAsia="zh-CN"/>
        </w:rPr>
        <w:t>13</w:t>
      </w:r>
      <w:r>
        <w:rPr>
          <w:rFonts w:hint="eastAsia" w:ascii="宋体" w:hAnsi="宋体" w:eastAsia="宋体" w:cs="宋体"/>
          <w:color w:val="auto"/>
          <w:kern w:val="21"/>
          <w:sz w:val="21"/>
          <w:szCs w:val="21"/>
          <w:highlight w:val="none"/>
        </w:rPr>
        <w:t>日</w:t>
      </w:r>
      <w:r>
        <w:rPr>
          <w:rFonts w:hint="eastAsia" w:ascii="宋体" w:hAnsi="宋体" w:cs="宋体"/>
          <w:color w:val="auto"/>
          <w:kern w:val="21"/>
          <w:sz w:val="21"/>
          <w:szCs w:val="21"/>
          <w:highlight w:val="none"/>
          <w:lang w:val="en-US" w:eastAsia="zh-CN"/>
        </w:rPr>
        <w:t>9</w:t>
      </w:r>
      <w:r>
        <w:rPr>
          <w:rFonts w:hint="eastAsia" w:ascii="宋体" w:hAnsi="宋体" w:eastAsia="宋体" w:cs="宋体"/>
          <w:color w:val="auto"/>
          <w:kern w:val="21"/>
          <w:sz w:val="21"/>
          <w:szCs w:val="21"/>
          <w:highlight w:val="none"/>
        </w:rPr>
        <w:t>时</w:t>
      </w:r>
      <w:r>
        <w:rPr>
          <w:rFonts w:hint="eastAsia" w:ascii="宋体" w:hAnsi="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rPr>
        <w:t>0分</w:t>
      </w:r>
      <w:r>
        <w:rPr>
          <w:rFonts w:hint="eastAsia" w:ascii="宋体" w:hAnsi="宋体" w:eastAsia="宋体" w:cs="宋体"/>
          <w:bCs/>
          <w:color w:val="auto"/>
          <w:kern w:val="21"/>
          <w:sz w:val="21"/>
          <w:szCs w:val="21"/>
          <w:highlight w:val="none"/>
        </w:rPr>
        <w:t>（北京时间）前提交响应文件</w:t>
      </w:r>
      <w:r>
        <w:rPr>
          <w:rFonts w:hint="eastAsia" w:ascii="宋体" w:hAnsi="宋体" w:eastAsia="宋体" w:cs="宋体"/>
          <w:color w:val="auto"/>
          <w:kern w:val="21"/>
          <w:sz w:val="21"/>
          <w:szCs w:val="21"/>
          <w:highlight w:val="none"/>
        </w:rPr>
        <w:t>。</w:t>
      </w:r>
    </w:p>
    <w:p w14:paraId="5029F57C">
      <w:pPr>
        <w:keepNext/>
        <w:keepLines/>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bCs/>
          <w:color w:val="auto"/>
          <w:kern w:val="21"/>
          <w:sz w:val="21"/>
          <w:szCs w:val="21"/>
          <w:highlight w:val="none"/>
        </w:rPr>
      </w:pPr>
    </w:p>
    <w:p w14:paraId="7F62FCD0">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
          <w:color w:val="auto"/>
          <w:kern w:val="21"/>
          <w:sz w:val="21"/>
          <w:szCs w:val="21"/>
          <w:highlight w:val="none"/>
        </w:rPr>
      </w:pPr>
      <w:r>
        <w:rPr>
          <w:rFonts w:hint="eastAsia" w:ascii="宋体" w:hAnsi="宋体" w:eastAsia="宋体" w:cs="宋体"/>
          <w:b/>
          <w:color w:val="auto"/>
          <w:kern w:val="21"/>
          <w:sz w:val="21"/>
          <w:szCs w:val="21"/>
          <w:highlight w:val="none"/>
        </w:rPr>
        <w:t>一、项目基本情况</w:t>
      </w:r>
      <w:bookmarkEnd w:id="3"/>
      <w:bookmarkEnd w:id="4"/>
      <w:bookmarkEnd w:id="5"/>
      <w:bookmarkEnd w:id="6"/>
      <w:bookmarkEnd w:id="7"/>
    </w:p>
    <w:p w14:paraId="64C833C5">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项目编号：</w:t>
      </w:r>
      <w:r>
        <w:rPr>
          <w:rFonts w:hint="eastAsia" w:ascii="宋体" w:hAnsi="宋体" w:cs="宋体"/>
          <w:color w:val="auto"/>
          <w:kern w:val="21"/>
          <w:sz w:val="21"/>
          <w:szCs w:val="21"/>
          <w:highlight w:val="none"/>
          <w:lang w:eastAsia="zh-CN"/>
        </w:rPr>
        <w:t>GXZC2025-C3-002194-GXTF</w:t>
      </w:r>
    </w:p>
    <w:p w14:paraId="6C730BEB">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项目名称：</w:t>
      </w:r>
      <w:r>
        <w:rPr>
          <w:rFonts w:hint="eastAsia" w:ascii="宋体" w:hAnsi="宋体" w:eastAsia="宋体" w:cs="宋体"/>
          <w:color w:val="auto"/>
          <w:kern w:val="21"/>
          <w:sz w:val="21"/>
          <w:szCs w:val="21"/>
          <w:highlight w:val="none"/>
          <w:lang w:eastAsia="zh-CN"/>
        </w:rPr>
        <w:t>2025年“数据要素×”大赛广西分赛</w:t>
      </w:r>
    </w:p>
    <w:p w14:paraId="160A881D">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采购方式：□竞争性谈判 ☑竞争性磋商 □询价</w:t>
      </w:r>
    </w:p>
    <w:p w14:paraId="3E26FADD">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预算金额：164.69万元</w:t>
      </w:r>
    </w:p>
    <w:p w14:paraId="5CAC68CA">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bookmarkStart w:id="15" w:name="_Toc28359013"/>
      <w:bookmarkStart w:id="16" w:name="_Toc35393630"/>
      <w:bookmarkStart w:id="17" w:name="_Toc44229879"/>
      <w:bookmarkStart w:id="18" w:name="_Toc35393799"/>
      <w:bookmarkStart w:id="19" w:name="_Toc28359090"/>
      <w:r>
        <w:rPr>
          <w:rFonts w:hint="eastAsia" w:ascii="宋体" w:hAnsi="宋体" w:eastAsia="宋体" w:cs="宋体"/>
          <w:color w:val="auto"/>
          <w:kern w:val="21"/>
          <w:sz w:val="21"/>
          <w:szCs w:val="21"/>
          <w:highlight w:val="none"/>
        </w:rPr>
        <w:t>采购需求：2025年“数据要素×”大赛广西分赛1项。如需进一步了解详细内容，详见竞争性磋商文件。</w:t>
      </w:r>
    </w:p>
    <w:p w14:paraId="794E19B5">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合同履行期限：提交服务成果时间：自合同签订之日起6个月内完成全部服务内容、提交全部服务成果</w:t>
      </w:r>
      <w:r>
        <w:rPr>
          <w:rFonts w:hint="eastAsia" w:ascii="宋体" w:hAnsi="宋体" w:cs="宋体"/>
          <w:color w:val="auto"/>
          <w:kern w:val="21"/>
          <w:sz w:val="21"/>
          <w:szCs w:val="21"/>
          <w:highlight w:val="none"/>
          <w:lang w:eastAsia="zh-CN"/>
        </w:rPr>
        <w:t>。</w:t>
      </w:r>
    </w:p>
    <w:p w14:paraId="0C3AAF4A">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本项目不接受联合体响应。</w:t>
      </w:r>
    </w:p>
    <w:p w14:paraId="0744404C">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Cs/>
          <w:color w:val="auto"/>
          <w:kern w:val="21"/>
          <w:sz w:val="21"/>
          <w:szCs w:val="21"/>
          <w:highlight w:val="none"/>
        </w:rPr>
      </w:pPr>
      <w:r>
        <w:rPr>
          <w:rFonts w:hint="eastAsia" w:ascii="宋体" w:hAnsi="宋体" w:eastAsia="宋体" w:cs="宋体"/>
          <w:b/>
          <w:color w:val="auto"/>
          <w:kern w:val="21"/>
          <w:sz w:val="21"/>
          <w:szCs w:val="21"/>
          <w:highlight w:val="none"/>
        </w:rPr>
        <w:t>二、供应商的资格条件</w:t>
      </w:r>
      <w:bookmarkEnd w:id="15"/>
      <w:bookmarkEnd w:id="16"/>
      <w:bookmarkEnd w:id="17"/>
      <w:bookmarkEnd w:id="18"/>
      <w:bookmarkEnd w:id="19"/>
    </w:p>
    <w:p w14:paraId="48A8D2A0">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1.满足《中华人民共和国政府采购法》第二十二条规定。</w:t>
      </w:r>
    </w:p>
    <w:p w14:paraId="512880D1">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2.落实政府采购政策需满足的资格要求：</w:t>
      </w:r>
    </w:p>
    <w:p w14:paraId="4D6DF976">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□专门面向中小企业采购的项目（供应商应为中小微企业、监狱企业、残疾人福利性单位）</w:t>
      </w:r>
    </w:p>
    <w:p w14:paraId="7F3CE97A">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☑非专门面向中小企业采购的项目</w:t>
      </w:r>
    </w:p>
    <w:p w14:paraId="4EB8921E">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其他要求：无</w:t>
      </w:r>
    </w:p>
    <w:p w14:paraId="20DE2A8B">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u w:val="single"/>
          <w:lang w:eastAsia="zh-CN"/>
        </w:rPr>
      </w:pPr>
      <w:r>
        <w:rPr>
          <w:rFonts w:hint="eastAsia" w:ascii="宋体" w:hAnsi="宋体" w:eastAsia="宋体" w:cs="宋体"/>
          <w:color w:val="auto"/>
          <w:kern w:val="21"/>
          <w:sz w:val="21"/>
          <w:szCs w:val="21"/>
          <w:highlight w:val="none"/>
        </w:rPr>
        <w:t>3.本项目的特定资格要求：本项目允许分公司参与竞标，如分公司参与的，须提供具有法人资格的总公司出具的授权书；已由总公司授权的，总公司取得的资质证书对分公</w:t>
      </w:r>
      <w:bookmarkStart w:id="120" w:name="_GoBack"/>
      <w:bookmarkEnd w:id="120"/>
      <w:r>
        <w:rPr>
          <w:rFonts w:hint="eastAsia" w:ascii="宋体" w:hAnsi="宋体" w:eastAsia="宋体" w:cs="宋体"/>
          <w:color w:val="auto"/>
          <w:kern w:val="21"/>
          <w:sz w:val="21"/>
          <w:szCs w:val="21"/>
          <w:highlight w:val="none"/>
        </w:rPr>
        <w:t>司有效。</w:t>
      </w:r>
    </w:p>
    <w:p w14:paraId="2C9EEB3B">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三、获取采购文件</w:t>
      </w:r>
      <w:bookmarkEnd w:id="8"/>
      <w:bookmarkEnd w:id="9"/>
      <w:bookmarkEnd w:id="10"/>
      <w:bookmarkEnd w:id="11"/>
    </w:p>
    <w:p w14:paraId="0F90E511">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bookmarkStart w:id="20" w:name="_Toc35393793"/>
      <w:bookmarkStart w:id="21" w:name="_Toc35393624"/>
      <w:bookmarkStart w:id="22" w:name="_Toc28359005"/>
      <w:bookmarkStart w:id="23" w:name="_Toc28359082"/>
      <w:r>
        <w:rPr>
          <w:rFonts w:hint="eastAsia" w:ascii="宋体" w:hAnsi="宋体" w:eastAsia="宋体" w:cs="宋体"/>
          <w:color w:val="auto"/>
          <w:kern w:val="21"/>
          <w:sz w:val="21"/>
          <w:szCs w:val="21"/>
          <w:highlight w:val="none"/>
        </w:rPr>
        <w:t>1.时间：202</w:t>
      </w: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年</w:t>
      </w:r>
      <w:r>
        <w:rPr>
          <w:rFonts w:hint="eastAsia" w:ascii="宋体" w:hAnsi="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月</w:t>
      </w:r>
      <w:r>
        <w:rPr>
          <w:rFonts w:hint="eastAsia" w:ascii="宋体" w:hAnsi="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日起至202</w:t>
      </w: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年</w:t>
      </w:r>
      <w:r>
        <w:rPr>
          <w:rFonts w:hint="eastAsia" w:ascii="宋体" w:hAnsi="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月</w:t>
      </w:r>
      <w:r>
        <w:rPr>
          <w:rFonts w:hint="eastAsia" w:ascii="宋体" w:hAnsi="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日，每天上午</w:t>
      </w:r>
      <w:r>
        <w:rPr>
          <w:rFonts w:hint="eastAsia" w:ascii="宋体" w:hAnsi="宋体" w:eastAsia="宋体" w:cs="宋体"/>
          <w:color w:val="auto"/>
          <w:kern w:val="21"/>
          <w:sz w:val="21"/>
          <w:szCs w:val="21"/>
          <w:highlight w:val="none"/>
          <w:u w:val="single"/>
        </w:rPr>
        <w:t>0：00</w:t>
      </w:r>
      <w:r>
        <w:rPr>
          <w:rFonts w:hint="eastAsia" w:ascii="宋体" w:hAnsi="宋体" w:eastAsia="宋体" w:cs="宋体"/>
          <w:color w:val="auto"/>
          <w:kern w:val="21"/>
          <w:sz w:val="21"/>
          <w:szCs w:val="21"/>
          <w:highlight w:val="none"/>
        </w:rPr>
        <w:t>至</w:t>
      </w:r>
      <w:r>
        <w:rPr>
          <w:rFonts w:hint="eastAsia" w:ascii="宋体" w:hAnsi="宋体" w:eastAsia="宋体" w:cs="宋体"/>
          <w:color w:val="auto"/>
          <w:kern w:val="21"/>
          <w:sz w:val="21"/>
          <w:szCs w:val="21"/>
          <w:highlight w:val="none"/>
          <w:u w:val="single"/>
        </w:rPr>
        <w:t>12：00</w:t>
      </w:r>
      <w:r>
        <w:rPr>
          <w:rFonts w:hint="eastAsia" w:ascii="宋体" w:hAnsi="宋体" w:eastAsia="宋体" w:cs="宋体"/>
          <w:color w:val="auto"/>
          <w:kern w:val="21"/>
          <w:sz w:val="21"/>
          <w:szCs w:val="21"/>
          <w:highlight w:val="none"/>
        </w:rPr>
        <w:t>，下午</w:t>
      </w:r>
      <w:r>
        <w:rPr>
          <w:rFonts w:hint="eastAsia" w:ascii="宋体" w:hAnsi="宋体" w:eastAsia="宋体" w:cs="宋体"/>
          <w:color w:val="auto"/>
          <w:kern w:val="21"/>
          <w:sz w:val="21"/>
          <w:szCs w:val="21"/>
          <w:highlight w:val="none"/>
          <w:u w:val="single"/>
        </w:rPr>
        <w:t>12：00</w:t>
      </w:r>
      <w:r>
        <w:rPr>
          <w:rFonts w:hint="eastAsia" w:ascii="宋体" w:hAnsi="宋体" w:eastAsia="宋体" w:cs="宋体"/>
          <w:color w:val="auto"/>
          <w:kern w:val="21"/>
          <w:sz w:val="21"/>
          <w:szCs w:val="21"/>
          <w:highlight w:val="none"/>
        </w:rPr>
        <w:t>至</w:t>
      </w:r>
      <w:r>
        <w:rPr>
          <w:rFonts w:hint="eastAsia" w:ascii="宋体" w:hAnsi="宋体" w:eastAsia="宋体" w:cs="宋体"/>
          <w:color w:val="auto"/>
          <w:kern w:val="21"/>
          <w:sz w:val="21"/>
          <w:szCs w:val="21"/>
          <w:highlight w:val="none"/>
          <w:u w:val="single"/>
        </w:rPr>
        <w:t>23：59</w:t>
      </w:r>
      <w:r>
        <w:rPr>
          <w:rFonts w:hint="eastAsia" w:ascii="宋体" w:hAnsi="宋体" w:eastAsia="宋体" w:cs="宋体"/>
          <w:color w:val="auto"/>
          <w:kern w:val="21"/>
          <w:sz w:val="21"/>
          <w:szCs w:val="21"/>
          <w:highlight w:val="none"/>
        </w:rPr>
        <w:t>（北京时间，法定节假日除外）。</w:t>
      </w:r>
    </w:p>
    <w:p w14:paraId="0A60A814">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2.地点：“广西政府采购云平台”</w:t>
      </w:r>
    </w:p>
    <w:p w14:paraId="53A49ACB">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获取方式：网上下载。本项目不提供纸质文件，潜在供应商需通过账号或者CA登录“广西政府采购云平台”（https://www.gcy.zfcg.gxzf.gov.cn/）进行报名并获取采购文件。电子响应文件制作需要基于“广西政府采购云平台”获取的采购文件编制，通过其他方式获取采购文件的，将有可能导致供应商无法在“广西政府采购云平台”编制及上传响应文件。</w:t>
      </w:r>
    </w:p>
    <w:p w14:paraId="204D5A07">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4.售价：采购文件工本费每本</w:t>
      </w:r>
      <w:r>
        <w:rPr>
          <w:rFonts w:hint="eastAsia" w:ascii="宋体" w:hAnsi="宋体" w:eastAsia="宋体" w:cs="宋体"/>
          <w:color w:val="auto"/>
          <w:kern w:val="21"/>
          <w:sz w:val="21"/>
          <w:szCs w:val="21"/>
          <w:highlight w:val="none"/>
          <w:u w:val="single"/>
        </w:rPr>
        <w:t xml:space="preserve"> 0 </w:t>
      </w:r>
      <w:r>
        <w:rPr>
          <w:rFonts w:hint="eastAsia" w:ascii="宋体" w:hAnsi="宋体" w:eastAsia="宋体" w:cs="宋体"/>
          <w:color w:val="auto"/>
          <w:kern w:val="21"/>
          <w:sz w:val="21"/>
          <w:szCs w:val="21"/>
          <w:highlight w:val="none"/>
        </w:rPr>
        <w:t>元。</w:t>
      </w:r>
    </w:p>
    <w:p w14:paraId="4489FB9A">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四、</w:t>
      </w:r>
      <w:bookmarkEnd w:id="20"/>
      <w:bookmarkEnd w:id="21"/>
      <w:bookmarkEnd w:id="22"/>
      <w:bookmarkEnd w:id="23"/>
      <w:r>
        <w:rPr>
          <w:rFonts w:hint="eastAsia" w:ascii="宋体" w:hAnsi="宋体" w:eastAsia="宋体" w:cs="宋体"/>
          <w:b/>
          <w:bCs/>
          <w:color w:val="auto"/>
          <w:kern w:val="21"/>
          <w:sz w:val="21"/>
          <w:szCs w:val="21"/>
          <w:highlight w:val="none"/>
        </w:rPr>
        <w:t>响应文件提交</w:t>
      </w:r>
    </w:p>
    <w:p w14:paraId="6EAF62CB">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u w:val="single"/>
        </w:rPr>
      </w:pPr>
      <w:r>
        <w:rPr>
          <w:rFonts w:hint="eastAsia" w:ascii="宋体" w:hAnsi="宋体" w:eastAsia="宋体" w:cs="宋体"/>
          <w:color w:val="auto"/>
          <w:kern w:val="21"/>
          <w:sz w:val="21"/>
          <w:szCs w:val="21"/>
          <w:highlight w:val="none"/>
        </w:rPr>
        <w:t>1.响应文件提交截止时间</w:t>
      </w:r>
      <w:r>
        <w:rPr>
          <w:rFonts w:hint="eastAsia" w:ascii="宋体" w:hAnsi="宋体" w:eastAsia="宋体" w:cs="宋体"/>
          <w:bCs/>
          <w:color w:val="auto"/>
          <w:kern w:val="21"/>
          <w:sz w:val="21"/>
          <w:szCs w:val="21"/>
          <w:highlight w:val="none"/>
        </w:rPr>
        <w:t>（北京时间）：202</w:t>
      </w:r>
      <w:r>
        <w:rPr>
          <w:rFonts w:hint="eastAsia" w:ascii="宋体" w:hAnsi="宋体" w:eastAsia="宋体" w:cs="宋体"/>
          <w:bCs/>
          <w:color w:val="auto"/>
          <w:kern w:val="21"/>
          <w:sz w:val="21"/>
          <w:szCs w:val="21"/>
          <w:highlight w:val="none"/>
          <w:lang w:val="en-US" w:eastAsia="zh-CN"/>
        </w:rPr>
        <w:t>5</w:t>
      </w:r>
      <w:r>
        <w:rPr>
          <w:rFonts w:hint="eastAsia" w:ascii="宋体" w:hAnsi="宋体" w:eastAsia="宋体" w:cs="宋体"/>
          <w:bCs/>
          <w:color w:val="auto"/>
          <w:kern w:val="21"/>
          <w:sz w:val="21"/>
          <w:szCs w:val="21"/>
          <w:highlight w:val="none"/>
        </w:rPr>
        <w:t>年</w:t>
      </w:r>
      <w:r>
        <w:rPr>
          <w:rFonts w:hint="eastAsia" w:ascii="宋体" w:hAnsi="宋体" w:cs="宋体"/>
          <w:bCs/>
          <w:color w:val="auto"/>
          <w:kern w:val="21"/>
          <w:sz w:val="21"/>
          <w:szCs w:val="21"/>
          <w:highlight w:val="none"/>
          <w:lang w:val="en-US" w:eastAsia="zh-CN"/>
        </w:rPr>
        <w:t>8</w:t>
      </w:r>
      <w:r>
        <w:rPr>
          <w:rFonts w:hint="eastAsia" w:ascii="宋体" w:hAnsi="宋体" w:eastAsia="宋体" w:cs="宋体"/>
          <w:bCs/>
          <w:color w:val="auto"/>
          <w:kern w:val="21"/>
          <w:sz w:val="21"/>
          <w:szCs w:val="21"/>
          <w:highlight w:val="none"/>
        </w:rPr>
        <w:t>月</w:t>
      </w:r>
      <w:r>
        <w:rPr>
          <w:rFonts w:hint="eastAsia" w:ascii="宋体" w:hAnsi="宋体" w:cs="宋体"/>
          <w:bCs/>
          <w:color w:val="auto"/>
          <w:kern w:val="21"/>
          <w:sz w:val="21"/>
          <w:szCs w:val="21"/>
          <w:highlight w:val="none"/>
          <w:lang w:val="en-US" w:eastAsia="zh-CN"/>
        </w:rPr>
        <w:t>13</w:t>
      </w:r>
      <w:r>
        <w:rPr>
          <w:rFonts w:hint="eastAsia" w:ascii="宋体" w:hAnsi="宋体" w:eastAsia="宋体" w:cs="宋体"/>
          <w:bCs/>
          <w:color w:val="auto"/>
          <w:kern w:val="21"/>
          <w:sz w:val="21"/>
          <w:szCs w:val="21"/>
          <w:highlight w:val="none"/>
        </w:rPr>
        <w:t>日</w:t>
      </w:r>
      <w:r>
        <w:rPr>
          <w:rFonts w:hint="eastAsia" w:ascii="宋体" w:hAnsi="宋体" w:cs="宋体"/>
          <w:bCs/>
          <w:color w:val="auto"/>
          <w:kern w:val="21"/>
          <w:sz w:val="21"/>
          <w:szCs w:val="21"/>
          <w:highlight w:val="none"/>
          <w:lang w:val="en-US" w:eastAsia="zh-CN"/>
        </w:rPr>
        <w:t>9</w:t>
      </w:r>
      <w:r>
        <w:rPr>
          <w:rFonts w:hint="eastAsia" w:ascii="宋体" w:hAnsi="宋体" w:eastAsia="宋体" w:cs="宋体"/>
          <w:bCs/>
          <w:color w:val="auto"/>
          <w:kern w:val="21"/>
          <w:sz w:val="21"/>
          <w:szCs w:val="21"/>
          <w:highlight w:val="none"/>
        </w:rPr>
        <w:t>时</w:t>
      </w:r>
      <w:r>
        <w:rPr>
          <w:rFonts w:hint="eastAsia" w:ascii="宋体" w:hAnsi="宋体" w:cs="宋体"/>
          <w:bCs/>
          <w:color w:val="auto"/>
          <w:kern w:val="21"/>
          <w:sz w:val="21"/>
          <w:szCs w:val="21"/>
          <w:highlight w:val="none"/>
          <w:lang w:val="en-US" w:eastAsia="zh-CN"/>
        </w:rPr>
        <w:t>3</w:t>
      </w:r>
      <w:r>
        <w:rPr>
          <w:rFonts w:hint="eastAsia" w:ascii="宋体" w:hAnsi="宋体" w:eastAsia="宋体" w:cs="宋体"/>
          <w:bCs/>
          <w:color w:val="auto"/>
          <w:kern w:val="21"/>
          <w:sz w:val="21"/>
          <w:szCs w:val="21"/>
          <w:highlight w:val="none"/>
        </w:rPr>
        <w:t>0分</w:t>
      </w:r>
    </w:p>
    <w:p w14:paraId="2E7C1347">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2.响应文件提交地点：“广西政府采购云平台”。</w:t>
      </w:r>
    </w:p>
    <w:p w14:paraId="5530509F">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五、开启（首次响应文件开启时间）</w:t>
      </w:r>
    </w:p>
    <w:p w14:paraId="657F0387">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bCs/>
          <w:color w:val="auto"/>
          <w:kern w:val="21"/>
          <w:sz w:val="21"/>
          <w:szCs w:val="21"/>
          <w:highlight w:val="none"/>
        </w:rPr>
      </w:pPr>
      <w:r>
        <w:rPr>
          <w:rFonts w:hint="eastAsia" w:ascii="宋体" w:hAnsi="宋体" w:eastAsia="宋体" w:cs="宋体"/>
          <w:color w:val="auto"/>
          <w:kern w:val="21"/>
          <w:sz w:val="21"/>
          <w:szCs w:val="21"/>
          <w:highlight w:val="none"/>
        </w:rPr>
        <w:t>1.时间</w:t>
      </w:r>
      <w:r>
        <w:rPr>
          <w:rFonts w:hint="eastAsia" w:ascii="宋体" w:hAnsi="宋体" w:eastAsia="宋体" w:cs="宋体"/>
          <w:bCs/>
          <w:color w:val="auto"/>
          <w:kern w:val="21"/>
          <w:sz w:val="21"/>
          <w:szCs w:val="21"/>
          <w:highlight w:val="none"/>
        </w:rPr>
        <w:t>（北京时间）</w:t>
      </w:r>
      <w:r>
        <w:rPr>
          <w:rFonts w:hint="eastAsia" w:ascii="宋体" w:hAnsi="宋体" w:eastAsia="宋体" w:cs="宋体"/>
          <w:color w:val="auto"/>
          <w:kern w:val="21"/>
          <w:sz w:val="21"/>
          <w:szCs w:val="21"/>
          <w:highlight w:val="none"/>
        </w:rPr>
        <w:t>：</w:t>
      </w:r>
      <w:r>
        <w:rPr>
          <w:rFonts w:hint="eastAsia" w:ascii="宋体" w:hAnsi="宋体" w:eastAsia="宋体" w:cs="宋体"/>
          <w:bCs/>
          <w:color w:val="auto"/>
          <w:kern w:val="21"/>
          <w:sz w:val="21"/>
          <w:szCs w:val="21"/>
          <w:highlight w:val="none"/>
        </w:rPr>
        <w:t>202</w:t>
      </w:r>
      <w:r>
        <w:rPr>
          <w:rFonts w:hint="eastAsia" w:ascii="宋体" w:hAnsi="宋体" w:eastAsia="宋体" w:cs="宋体"/>
          <w:bCs/>
          <w:color w:val="auto"/>
          <w:kern w:val="21"/>
          <w:sz w:val="21"/>
          <w:szCs w:val="21"/>
          <w:highlight w:val="none"/>
          <w:lang w:val="en-US" w:eastAsia="zh-CN"/>
        </w:rPr>
        <w:t>5</w:t>
      </w:r>
      <w:r>
        <w:rPr>
          <w:rFonts w:hint="eastAsia" w:ascii="宋体" w:hAnsi="宋体" w:eastAsia="宋体" w:cs="宋体"/>
          <w:bCs/>
          <w:color w:val="auto"/>
          <w:kern w:val="21"/>
          <w:sz w:val="21"/>
          <w:szCs w:val="21"/>
          <w:highlight w:val="none"/>
        </w:rPr>
        <w:t>年</w:t>
      </w:r>
      <w:r>
        <w:rPr>
          <w:rFonts w:hint="eastAsia" w:ascii="宋体" w:hAnsi="宋体" w:cs="宋体"/>
          <w:bCs/>
          <w:color w:val="auto"/>
          <w:kern w:val="21"/>
          <w:sz w:val="21"/>
          <w:szCs w:val="21"/>
          <w:highlight w:val="none"/>
          <w:lang w:val="en-US" w:eastAsia="zh-CN"/>
        </w:rPr>
        <w:t>8</w:t>
      </w:r>
      <w:r>
        <w:rPr>
          <w:rFonts w:hint="eastAsia" w:ascii="宋体" w:hAnsi="宋体" w:eastAsia="宋体" w:cs="宋体"/>
          <w:bCs/>
          <w:color w:val="auto"/>
          <w:kern w:val="21"/>
          <w:sz w:val="21"/>
          <w:szCs w:val="21"/>
          <w:highlight w:val="none"/>
        </w:rPr>
        <w:t>月</w:t>
      </w:r>
      <w:r>
        <w:rPr>
          <w:rFonts w:hint="eastAsia" w:ascii="宋体" w:hAnsi="宋体" w:cs="宋体"/>
          <w:bCs/>
          <w:color w:val="auto"/>
          <w:kern w:val="21"/>
          <w:sz w:val="21"/>
          <w:szCs w:val="21"/>
          <w:highlight w:val="none"/>
          <w:lang w:val="en-US" w:eastAsia="zh-CN"/>
        </w:rPr>
        <w:t>13</w:t>
      </w:r>
      <w:r>
        <w:rPr>
          <w:rFonts w:hint="eastAsia" w:ascii="宋体" w:hAnsi="宋体" w:eastAsia="宋体" w:cs="宋体"/>
          <w:bCs/>
          <w:color w:val="auto"/>
          <w:kern w:val="21"/>
          <w:sz w:val="21"/>
          <w:szCs w:val="21"/>
          <w:highlight w:val="none"/>
        </w:rPr>
        <w:t>日</w:t>
      </w:r>
      <w:r>
        <w:rPr>
          <w:rFonts w:hint="eastAsia" w:ascii="宋体" w:hAnsi="宋体" w:cs="宋体"/>
          <w:bCs/>
          <w:color w:val="auto"/>
          <w:kern w:val="21"/>
          <w:sz w:val="21"/>
          <w:szCs w:val="21"/>
          <w:highlight w:val="none"/>
          <w:lang w:val="en-US" w:eastAsia="zh-CN"/>
        </w:rPr>
        <w:t>9</w:t>
      </w:r>
      <w:r>
        <w:rPr>
          <w:rFonts w:hint="eastAsia" w:ascii="宋体" w:hAnsi="宋体" w:eastAsia="宋体" w:cs="宋体"/>
          <w:bCs/>
          <w:color w:val="auto"/>
          <w:kern w:val="21"/>
          <w:sz w:val="21"/>
          <w:szCs w:val="21"/>
          <w:highlight w:val="none"/>
        </w:rPr>
        <w:t>时</w:t>
      </w:r>
      <w:r>
        <w:rPr>
          <w:rFonts w:hint="eastAsia" w:ascii="宋体" w:hAnsi="宋体" w:cs="宋体"/>
          <w:bCs/>
          <w:color w:val="auto"/>
          <w:kern w:val="21"/>
          <w:sz w:val="21"/>
          <w:szCs w:val="21"/>
          <w:highlight w:val="none"/>
          <w:lang w:val="en-US" w:eastAsia="zh-CN"/>
        </w:rPr>
        <w:t>3</w:t>
      </w:r>
      <w:r>
        <w:rPr>
          <w:rFonts w:hint="eastAsia" w:ascii="宋体" w:hAnsi="宋体" w:eastAsia="宋体" w:cs="宋体"/>
          <w:bCs/>
          <w:color w:val="auto"/>
          <w:kern w:val="21"/>
          <w:sz w:val="21"/>
          <w:szCs w:val="21"/>
          <w:highlight w:val="none"/>
        </w:rPr>
        <w:t>0分</w:t>
      </w:r>
    </w:p>
    <w:p w14:paraId="05258CB2">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bCs/>
          <w:color w:val="auto"/>
          <w:kern w:val="21"/>
          <w:sz w:val="21"/>
          <w:szCs w:val="21"/>
          <w:highlight w:val="none"/>
        </w:rPr>
      </w:pPr>
      <w:r>
        <w:rPr>
          <w:rFonts w:hint="eastAsia" w:ascii="宋体" w:hAnsi="宋体" w:eastAsia="宋体" w:cs="宋体"/>
          <w:color w:val="auto"/>
          <w:kern w:val="21"/>
          <w:sz w:val="21"/>
          <w:szCs w:val="21"/>
          <w:highlight w:val="none"/>
        </w:rPr>
        <w:t xml:space="preserve">2.地点：“广西政府采购云平台”电子开标大厅（南宁市青秀区金湖路52-1号东方曼哈顿大厦20楼广西壮族自治区通信产业服务有限公司开评标室）    </w:t>
      </w:r>
    </w:p>
    <w:p w14:paraId="387559E8">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24" w:name="_Toc35393625"/>
      <w:bookmarkStart w:id="25" w:name="_Toc28359084"/>
      <w:bookmarkStart w:id="26" w:name="_Toc35393794"/>
      <w:bookmarkStart w:id="27" w:name="_Toc28359007"/>
      <w:r>
        <w:rPr>
          <w:rFonts w:hint="eastAsia" w:ascii="宋体" w:hAnsi="宋体" w:eastAsia="宋体" w:cs="宋体"/>
          <w:b/>
          <w:bCs/>
          <w:color w:val="auto"/>
          <w:kern w:val="21"/>
          <w:sz w:val="21"/>
          <w:szCs w:val="21"/>
          <w:highlight w:val="none"/>
        </w:rPr>
        <w:t>六、公告期限</w:t>
      </w:r>
      <w:bookmarkEnd w:id="24"/>
      <w:bookmarkEnd w:id="25"/>
      <w:bookmarkEnd w:id="26"/>
      <w:bookmarkEnd w:id="27"/>
    </w:p>
    <w:p w14:paraId="16387EB8">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自本公告发布之日起5个工作日。</w:t>
      </w:r>
    </w:p>
    <w:p w14:paraId="0906D080">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
          <w:bCs/>
          <w:color w:val="auto"/>
          <w:kern w:val="21"/>
          <w:sz w:val="21"/>
          <w:szCs w:val="21"/>
          <w:highlight w:val="none"/>
        </w:rPr>
      </w:pPr>
      <w:bookmarkStart w:id="28" w:name="_Toc35393626"/>
      <w:bookmarkStart w:id="29" w:name="_Toc35393795"/>
      <w:r>
        <w:rPr>
          <w:rFonts w:hint="eastAsia" w:ascii="宋体" w:hAnsi="宋体" w:eastAsia="宋体" w:cs="宋体"/>
          <w:b/>
          <w:bCs/>
          <w:color w:val="auto"/>
          <w:kern w:val="21"/>
          <w:sz w:val="21"/>
          <w:szCs w:val="21"/>
          <w:highlight w:val="none"/>
        </w:rPr>
        <w:t>七、其他补充事宜</w:t>
      </w:r>
      <w:bookmarkEnd w:id="28"/>
      <w:bookmarkEnd w:id="29"/>
    </w:p>
    <w:p w14:paraId="24A30C9A">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w:t>
      </w:r>
      <w:r>
        <w:rPr>
          <w:rFonts w:hint="eastAsia" w:ascii="宋体" w:hAnsi="宋体" w:eastAsia="宋体" w:cs="宋体"/>
          <w:bCs/>
          <w:color w:val="auto"/>
          <w:kern w:val="21"/>
          <w:sz w:val="21"/>
          <w:szCs w:val="21"/>
          <w:highlight w:val="none"/>
          <w:lang w:bidi="ar"/>
        </w:rPr>
        <w:t>磋商保证金（人民币）</w:t>
      </w:r>
      <w:r>
        <w:rPr>
          <w:rFonts w:hint="eastAsia" w:ascii="宋体" w:hAnsi="宋体" w:eastAsia="宋体" w:cs="宋体"/>
          <w:color w:val="auto"/>
          <w:kern w:val="21"/>
          <w:sz w:val="21"/>
          <w:szCs w:val="21"/>
          <w:highlight w:val="none"/>
          <w:lang w:bidi="ar"/>
        </w:rPr>
        <w:t>：</w:t>
      </w:r>
      <w:r>
        <w:rPr>
          <w:rFonts w:hint="eastAsia" w:ascii="宋体" w:hAnsi="宋体" w:eastAsia="宋体" w:cs="宋体"/>
          <w:color w:val="auto"/>
          <w:kern w:val="21"/>
          <w:sz w:val="21"/>
          <w:szCs w:val="21"/>
          <w:highlight w:val="none"/>
          <w:u w:val="single"/>
          <w:lang w:bidi="ar"/>
        </w:rPr>
        <w:t>1</w:t>
      </w:r>
      <w:r>
        <w:rPr>
          <w:rFonts w:hint="eastAsia" w:ascii="宋体" w:hAnsi="宋体" w:cs="宋体"/>
          <w:color w:val="auto"/>
          <w:kern w:val="21"/>
          <w:sz w:val="21"/>
          <w:szCs w:val="21"/>
          <w:highlight w:val="none"/>
          <w:u w:val="single"/>
          <w:lang w:val="en-US" w:eastAsia="zh-CN" w:bidi="ar"/>
        </w:rPr>
        <w:t>0</w:t>
      </w:r>
      <w:r>
        <w:rPr>
          <w:rFonts w:hint="eastAsia" w:ascii="宋体" w:hAnsi="宋体" w:eastAsia="宋体" w:cs="宋体"/>
          <w:color w:val="auto"/>
          <w:kern w:val="21"/>
          <w:sz w:val="21"/>
          <w:szCs w:val="21"/>
          <w:highlight w:val="none"/>
          <w:u w:val="single"/>
          <w:lang w:bidi="ar"/>
        </w:rPr>
        <w:t xml:space="preserve">000.00 </w:t>
      </w:r>
      <w:r>
        <w:rPr>
          <w:rFonts w:hint="eastAsia" w:ascii="宋体" w:hAnsi="宋体" w:eastAsia="宋体" w:cs="宋体"/>
          <w:color w:val="auto"/>
          <w:kern w:val="21"/>
          <w:sz w:val="21"/>
          <w:szCs w:val="21"/>
          <w:highlight w:val="none"/>
          <w:lang w:bidi="ar"/>
        </w:rPr>
        <w:t>元。</w:t>
      </w:r>
      <w:r>
        <w:rPr>
          <w:rFonts w:hint="eastAsia" w:ascii="宋体" w:hAnsi="宋体" w:eastAsia="宋体" w:cs="宋体"/>
          <w:bCs/>
          <w:color w:val="auto"/>
          <w:kern w:val="21"/>
          <w:sz w:val="21"/>
          <w:szCs w:val="21"/>
          <w:highlight w:val="none"/>
          <w:lang w:bidi="ar"/>
        </w:rPr>
        <w:t>（必须足额</w:t>
      </w:r>
      <w:r>
        <w:rPr>
          <w:rFonts w:hint="eastAsia" w:ascii="宋体" w:hAnsi="宋体" w:eastAsia="宋体" w:cs="宋体"/>
          <w:bCs/>
          <w:color w:val="auto"/>
          <w:kern w:val="21"/>
          <w:sz w:val="21"/>
          <w:szCs w:val="21"/>
          <w:highlight w:val="none"/>
          <w:lang w:val="en-US" w:eastAsia="zh-CN" w:bidi="ar"/>
        </w:rPr>
        <w:t>缴</w:t>
      </w:r>
      <w:r>
        <w:rPr>
          <w:rFonts w:hint="eastAsia" w:ascii="宋体" w:hAnsi="宋体" w:eastAsia="宋体" w:cs="宋体"/>
          <w:bCs/>
          <w:color w:val="auto"/>
          <w:kern w:val="21"/>
          <w:sz w:val="21"/>
          <w:szCs w:val="21"/>
          <w:highlight w:val="none"/>
          <w:lang w:bidi="ar"/>
        </w:rPr>
        <w:t>纳）</w:t>
      </w:r>
    </w:p>
    <w:p w14:paraId="0F367502">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bCs/>
          <w:color w:val="auto"/>
          <w:kern w:val="21"/>
          <w:sz w:val="21"/>
          <w:szCs w:val="21"/>
          <w:highlight w:val="none"/>
          <w:lang w:bidi="ar"/>
        </w:rPr>
        <w:t>竞标人应于响应文件递交截止时间前将磋商保证金以银行转账、电汇、网上支付、支票、汇票、本票或者金融机构、担保机构、保险机构出具的保函</w:t>
      </w:r>
      <w:r>
        <w:rPr>
          <w:rFonts w:hint="eastAsia" w:ascii="宋体" w:hAnsi="宋体" w:eastAsia="宋体" w:cs="宋体"/>
          <w:color w:val="auto"/>
          <w:kern w:val="21"/>
          <w:sz w:val="21"/>
          <w:szCs w:val="21"/>
          <w:highlight w:val="none"/>
        </w:rPr>
        <w:t>、保险单</w:t>
      </w:r>
      <w:r>
        <w:rPr>
          <w:rFonts w:hint="eastAsia" w:ascii="宋体" w:hAnsi="宋体" w:eastAsia="宋体" w:cs="宋体"/>
          <w:bCs/>
          <w:color w:val="auto"/>
          <w:kern w:val="21"/>
          <w:sz w:val="21"/>
          <w:szCs w:val="21"/>
          <w:highlight w:val="none"/>
          <w:lang w:bidi="ar"/>
        </w:rPr>
        <w:t>等非现金形式提交。采用支票、汇票、本票或者金融机构、担保机构、保险机构出具的保函</w:t>
      </w:r>
      <w:r>
        <w:rPr>
          <w:rFonts w:hint="eastAsia" w:ascii="宋体" w:hAnsi="宋体" w:eastAsia="宋体" w:cs="宋体"/>
          <w:color w:val="auto"/>
          <w:kern w:val="21"/>
          <w:sz w:val="21"/>
          <w:szCs w:val="21"/>
          <w:highlight w:val="none"/>
        </w:rPr>
        <w:t>、保险单</w:t>
      </w:r>
      <w:r>
        <w:rPr>
          <w:rFonts w:hint="eastAsia" w:ascii="宋体" w:hAnsi="宋体" w:eastAsia="宋体" w:cs="宋体"/>
          <w:bCs/>
          <w:color w:val="auto"/>
          <w:kern w:val="21"/>
          <w:sz w:val="21"/>
          <w:szCs w:val="21"/>
          <w:highlight w:val="none"/>
          <w:lang w:bidi="ar"/>
        </w:rPr>
        <w:t>等形式的，竞标人应当在递交响应文件的同时递交单独密封的票据或保函</w:t>
      </w:r>
      <w:r>
        <w:rPr>
          <w:rFonts w:hint="eastAsia" w:ascii="宋体" w:hAnsi="宋体" w:eastAsia="宋体" w:cs="宋体"/>
          <w:color w:val="auto"/>
          <w:kern w:val="21"/>
          <w:sz w:val="21"/>
          <w:szCs w:val="21"/>
          <w:highlight w:val="none"/>
        </w:rPr>
        <w:t>、保险单</w:t>
      </w:r>
      <w:r>
        <w:rPr>
          <w:rFonts w:hint="eastAsia" w:ascii="宋体" w:hAnsi="宋体" w:eastAsia="宋体" w:cs="宋体"/>
          <w:bCs/>
          <w:color w:val="auto"/>
          <w:kern w:val="21"/>
          <w:sz w:val="21"/>
          <w:szCs w:val="21"/>
          <w:highlight w:val="none"/>
          <w:lang w:bidi="ar"/>
        </w:rPr>
        <w:t>原件；采用银行转账、电汇、网上支付形式的，竞标人须于响应文件递交截止时间前将磋商保证金从竞标人基本账户转至采购代理机构指定账户（</w:t>
      </w:r>
      <w:r>
        <w:rPr>
          <w:rFonts w:hint="eastAsia" w:ascii="宋体" w:hAnsi="宋体" w:eastAsia="宋体" w:cs="宋体"/>
          <w:b/>
          <w:bCs/>
          <w:color w:val="auto"/>
          <w:kern w:val="21"/>
          <w:sz w:val="21"/>
          <w:szCs w:val="21"/>
          <w:highlight w:val="none"/>
          <w:lang w:bidi="ar"/>
        </w:rPr>
        <w:t>缴纳时注明项目编号</w:t>
      </w:r>
      <w:r>
        <w:rPr>
          <w:rFonts w:hint="eastAsia" w:ascii="宋体" w:hAnsi="宋体" w:eastAsia="宋体" w:cs="宋体"/>
          <w:bCs/>
          <w:color w:val="auto"/>
          <w:kern w:val="21"/>
          <w:sz w:val="21"/>
          <w:szCs w:val="21"/>
          <w:highlight w:val="none"/>
          <w:lang w:bidi="ar"/>
        </w:rPr>
        <w:t>）。</w:t>
      </w:r>
    </w:p>
    <w:p w14:paraId="491C73C9">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开户名称：广西壮族自治区通信产业服务有限公司招标中心</w:t>
      </w:r>
    </w:p>
    <w:p w14:paraId="3955916C">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开户行：建行南宁苏州路支行</w:t>
      </w:r>
    </w:p>
    <w:p w14:paraId="7C929A1E">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账号：4500 1604 4660 5070 1096</w:t>
      </w:r>
    </w:p>
    <w:p w14:paraId="39A6ACFF">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联行号：105611044521</w:t>
      </w:r>
    </w:p>
    <w:p w14:paraId="7A68A29E">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2.网上查询地址：中国政府采购网、广西壮族自治区政府采购网。</w:t>
      </w:r>
    </w:p>
    <w:p w14:paraId="5FD7C490">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DD06E1A">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4</w:t>
      </w:r>
      <w:r>
        <w:rPr>
          <w:rFonts w:hint="eastAsia" w:ascii="宋体" w:hAnsi="宋体" w:eastAsia="宋体" w:cs="宋体"/>
          <w:color w:val="auto"/>
          <w:kern w:val="21"/>
          <w:sz w:val="21"/>
          <w:szCs w:val="21"/>
          <w:highlight w:val="none"/>
        </w:rPr>
        <w:t>.对在“信用中国”网站（www.creditchina.gov.cn）、中国政府采购网（</w:t>
      </w:r>
      <w:r>
        <w:rPr>
          <w:rFonts w:hint="eastAsia" w:ascii="宋体" w:hAnsi="宋体" w:eastAsia="宋体" w:cs="宋体"/>
          <w:color w:val="auto"/>
          <w:kern w:val="21"/>
          <w:sz w:val="21"/>
          <w:szCs w:val="21"/>
          <w:highlight w:val="none"/>
        </w:rPr>
        <w:fldChar w:fldCharType="begin"/>
      </w:r>
      <w:r>
        <w:rPr>
          <w:rFonts w:hint="eastAsia" w:ascii="宋体" w:hAnsi="宋体" w:eastAsia="宋体" w:cs="宋体"/>
          <w:color w:val="auto"/>
          <w:kern w:val="21"/>
          <w:sz w:val="21"/>
          <w:szCs w:val="21"/>
          <w:highlight w:val="none"/>
        </w:rPr>
        <w:instrText xml:space="preserve"> HYPERLINK "http://www.ccgp.gov.cn" </w:instrText>
      </w:r>
      <w:r>
        <w:rPr>
          <w:rFonts w:hint="eastAsia" w:ascii="宋体" w:hAnsi="宋体" w:eastAsia="宋体" w:cs="宋体"/>
          <w:color w:val="auto"/>
          <w:kern w:val="21"/>
          <w:sz w:val="21"/>
          <w:szCs w:val="21"/>
          <w:highlight w:val="none"/>
        </w:rPr>
        <w:fldChar w:fldCharType="separate"/>
      </w:r>
      <w:r>
        <w:rPr>
          <w:rStyle w:val="38"/>
          <w:rFonts w:hint="eastAsia" w:ascii="宋体" w:hAnsi="宋体" w:eastAsia="宋体" w:cs="宋体"/>
          <w:color w:val="auto"/>
          <w:kern w:val="21"/>
          <w:sz w:val="21"/>
          <w:szCs w:val="21"/>
          <w:highlight w:val="none"/>
        </w:rPr>
        <w:t>www.ccgp.gov.cn</w:t>
      </w:r>
      <w:r>
        <w:rPr>
          <w:rFonts w:hint="eastAsia" w:ascii="宋体" w:hAnsi="宋体" w:eastAsia="宋体" w:cs="宋体"/>
          <w:color w:val="auto"/>
          <w:kern w:val="21"/>
          <w:sz w:val="21"/>
          <w:szCs w:val="21"/>
          <w:highlight w:val="none"/>
        </w:rPr>
        <w:fldChar w:fldCharType="end"/>
      </w:r>
      <w:r>
        <w:rPr>
          <w:rFonts w:hint="eastAsia" w:ascii="宋体" w:hAnsi="宋体" w:eastAsia="宋体" w:cs="宋体"/>
          <w:color w:val="auto"/>
          <w:kern w:val="21"/>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p>
    <w:p w14:paraId="32659E54">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.本项目需要落实的政府采购政策：</w:t>
      </w:r>
    </w:p>
    <w:p w14:paraId="7AD58672">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（1）政府采购促进中小企业发展。</w:t>
      </w:r>
    </w:p>
    <w:p w14:paraId="4448EC02">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（2）政府采购促进残疾人就业政策。</w:t>
      </w:r>
    </w:p>
    <w:p w14:paraId="04330FF8">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（3）政府采购支持监狱企业发展。</w:t>
      </w:r>
    </w:p>
    <w:p w14:paraId="04CFAE5F">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（4）扶持不发达地区和少数民族地区政策。</w:t>
      </w:r>
    </w:p>
    <w:p w14:paraId="106ED2A4">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6</w:t>
      </w:r>
      <w:r>
        <w:rPr>
          <w:rFonts w:hint="eastAsia" w:ascii="宋体" w:hAnsi="宋体" w:eastAsia="宋体" w:cs="宋体"/>
          <w:color w:val="auto"/>
          <w:kern w:val="21"/>
          <w:sz w:val="21"/>
          <w:szCs w:val="21"/>
          <w:highlight w:val="none"/>
        </w:rPr>
        <w:t>.在线竞标响应（电子竞标）说明及注意事项</w:t>
      </w:r>
    </w:p>
    <w:p w14:paraId="01E997DA">
      <w:pPr>
        <w:pageBreakBefore w:val="0"/>
        <w:kinsoku/>
        <w:wordWrap/>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本项目为全流程电子化采购项目，通过“广西政府采购云平台”实行在线电子竞标，供应商应先安装“政采云电子交易客户端”（请自行前往“广西政府采购云平台”进行下载），并按照本项目采购文件和“广西政府采购云平台”的要求编制、加密后在响应文件递交截止时间前通过网络上传至“广西政府采购云平台”，</w:t>
      </w:r>
      <w:r>
        <w:rPr>
          <w:rFonts w:hint="eastAsia" w:ascii="宋体" w:hAnsi="宋体" w:eastAsia="宋体" w:cs="宋体"/>
          <w:b/>
          <w:bCs/>
          <w:color w:val="auto"/>
          <w:kern w:val="21"/>
          <w:sz w:val="21"/>
          <w:szCs w:val="21"/>
          <w:highlight w:val="none"/>
        </w:rPr>
        <w:t>供应商在“广西政府采购云平台”提交电子响应文件时，请填写参加远程采购活动经办人联系方式</w:t>
      </w:r>
      <w:r>
        <w:rPr>
          <w:rFonts w:hint="eastAsia" w:ascii="宋体" w:hAnsi="宋体" w:eastAsia="宋体" w:cs="宋体"/>
          <w:color w:val="auto"/>
          <w:kern w:val="21"/>
          <w:sz w:val="21"/>
          <w:szCs w:val="21"/>
          <w:highlight w:val="none"/>
        </w:rPr>
        <w:t>。电子竞标具体操作流程见“广西政府采购云电子卖场首页右上角—服务中心—帮助中心-项目采购-常见问题”。</w:t>
      </w:r>
    </w:p>
    <w:p w14:paraId="3992D697">
      <w:pPr>
        <w:pageBreakBefore w:val="0"/>
        <w:kinsoku/>
        <w:wordWrap/>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未进行网上注册并办理数字证书（CA认证）的供应商将无法参与本项目政府采购活动，供应商应当在响应文件递交截止时间前，完成电子交易平台上的CA数字证书办理及响应文件的提交（供应商可登录“广西政府采购网”，依次进入“办事服务-办事指南” 或者登录“广西政府采购云平台”电子卖场，依次进入“服务中心-帮助中心-入驻与配置-常见问题-CA管理”中查看CA数字证书办理操作流程。如在操作过程中遇到问题或者需要技术支持，请致电政采云客服热线：95763）。</w:t>
      </w:r>
    </w:p>
    <w:p w14:paraId="020BC0FE">
      <w:pPr>
        <w:pageBreakBefore w:val="0"/>
        <w:kinsoku/>
        <w:wordWrap/>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（3）CA证书在线解密：供应商竞标时，需通过制作响应文件时用来加密的有效数字证书（CA认证）登录“广西政府采购云平台”电子开标大厅现场在规定时间对加密的响应文件进行解密，否则后果自负。</w:t>
      </w:r>
    </w:p>
    <w:p w14:paraId="46F2ADAA">
      <w:pPr>
        <w:pageBreakBefore w:val="0"/>
        <w:kinsoku/>
        <w:wordWrap/>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（4）本项目不接受未登录“广西政府采购云平台”获取本项目采购文件的供应商竞标。</w:t>
      </w:r>
    </w:p>
    <w:p w14:paraId="1CE379C5">
      <w:pPr>
        <w:pageBreakBefore w:val="0"/>
        <w:kinsoku/>
        <w:wordWrap/>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注：1）为确保网上操作合法、有效和安全，请供应商确保在电子竞标过程中能够对相关数据电文进行加密和使用电子签章，妥善保管CA数字证书并使用有效的CA数字证书参与整个竞标活动。</w:t>
      </w:r>
    </w:p>
    <w:p w14:paraId="35050389">
      <w:pPr>
        <w:pageBreakBefore w:val="0"/>
        <w:kinsoku/>
        <w:wordWrap/>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w:t>
      </w:r>
    </w:p>
    <w:p w14:paraId="5836C4E4">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7</w:t>
      </w:r>
      <w:r>
        <w:rPr>
          <w:rFonts w:hint="eastAsia" w:ascii="宋体" w:hAnsi="宋体" w:eastAsia="宋体" w:cs="宋体"/>
          <w:color w:val="auto"/>
          <w:kern w:val="21"/>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61CA63F9">
      <w:pPr>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 xml:space="preserve">.若对项目采购电子交易系统操作有疑问，可登录“广西政府采购云平台”（https://www.gcy.zfcg.gxzf.gov.cn/），点击右侧咨询小采，获取采小蜜智能服务管家帮助，或拨打政采云服务热线95763获取热线服务帮助。 </w:t>
      </w:r>
    </w:p>
    <w:p w14:paraId="11D3874A">
      <w:pPr>
        <w:pageBreakBefore w:val="0"/>
        <w:kinsoku/>
        <w:wordWrap/>
        <w:autoSpaceDE/>
        <w:autoSpaceDN/>
        <w:bidi w:val="0"/>
        <w:adjustRightInd/>
        <w:snapToGrid/>
        <w:spacing w:line="360" w:lineRule="auto"/>
        <w:ind w:firstLine="422" w:firstLineChars="200"/>
        <w:textAlignment w:val="auto"/>
        <w:rPr>
          <w:rFonts w:hint="eastAsia" w:ascii="宋体" w:hAnsi="宋体" w:eastAsia="宋体" w:cs="宋体"/>
          <w:bCs/>
          <w:color w:val="auto"/>
          <w:kern w:val="21"/>
          <w:sz w:val="21"/>
          <w:szCs w:val="21"/>
          <w:highlight w:val="none"/>
        </w:rPr>
      </w:pPr>
      <w:r>
        <w:rPr>
          <w:rFonts w:hint="eastAsia" w:ascii="宋体" w:hAnsi="宋体" w:eastAsia="宋体" w:cs="宋体"/>
          <w:b/>
          <w:color w:val="auto"/>
          <w:kern w:val="21"/>
          <w:sz w:val="21"/>
          <w:szCs w:val="21"/>
          <w:highlight w:val="none"/>
        </w:rPr>
        <w:t>八、凡对本次采购提出询问，请按以下方式联系</w:t>
      </w:r>
    </w:p>
    <w:p w14:paraId="0FDB1B5B">
      <w:pPr>
        <w:pStyle w:val="14"/>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1.采购人信息</w:t>
      </w:r>
    </w:p>
    <w:p w14:paraId="18A16300">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名 称：广西壮族自治区信息中心</w:t>
      </w:r>
    </w:p>
    <w:p w14:paraId="435F9A40">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地 址：南宁市体强路18号</w:t>
      </w:r>
    </w:p>
    <w:p w14:paraId="7E5E3F30">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项目联系人：韦宝</w:t>
      </w:r>
    </w:p>
    <w:p w14:paraId="4E62B4A8">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项目联系方式：0771-6113503</w:t>
      </w:r>
    </w:p>
    <w:p w14:paraId="0A238454">
      <w:pPr>
        <w:pStyle w:val="14"/>
        <w:pageBreakBefore w:val="0"/>
        <w:kinsoku/>
        <w:wordWrap/>
        <w:autoSpaceDE/>
        <w:autoSpaceDN/>
        <w:bidi w:val="0"/>
        <w:adjustRightInd/>
        <w:snapToGrid/>
        <w:spacing w:line="360" w:lineRule="auto"/>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2.采购代理机构信息</w:t>
      </w:r>
    </w:p>
    <w:p w14:paraId="7CAF528D">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名 称：广西壮族自治区通信产业服务有限公司</w:t>
      </w:r>
    </w:p>
    <w:p w14:paraId="61D27A93">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地 址：南宁市青秀区金湖路52-1号东方曼哈顿大厦20楼2003B</w:t>
      </w:r>
    </w:p>
    <w:p w14:paraId="49FDA270">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项目联系人：唐佳乐、覃振祝、陆秋云</w:t>
      </w:r>
    </w:p>
    <w:p w14:paraId="7EA8A64A">
      <w:pPr>
        <w:pStyle w:val="14"/>
        <w:pageBreakBefore w:val="0"/>
        <w:kinsoku/>
        <w:wordWrap/>
        <w:autoSpaceDE/>
        <w:autoSpaceDN/>
        <w:bidi w:val="0"/>
        <w:adjustRightInd/>
        <w:snapToGrid/>
        <w:spacing w:line="360" w:lineRule="auto"/>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项目联系方式：13878854248、18178633229</w:t>
      </w:r>
    </w:p>
    <w:p w14:paraId="0B0F13E7">
      <w:pPr>
        <w:pageBreakBefore w:val="0"/>
        <w:kinsoku/>
        <w:wordWrap/>
        <w:autoSpaceDE/>
        <w:autoSpaceDN/>
        <w:bidi w:val="0"/>
        <w:adjustRightInd/>
        <w:snapToGrid/>
        <w:spacing w:line="360" w:lineRule="auto"/>
        <w:ind w:firstLine="420" w:firstLineChars="200"/>
        <w:jc w:val="right"/>
        <w:textAlignment w:val="auto"/>
        <w:rPr>
          <w:rFonts w:hint="eastAsia" w:ascii="宋体" w:hAnsi="宋体" w:eastAsia="宋体" w:cs="宋体"/>
          <w:color w:val="auto"/>
          <w:kern w:val="21"/>
          <w:sz w:val="21"/>
          <w:szCs w:val="21"/>
          <w:highlight w:val="none"/>
        </w:rPr>
      </w:pPr>
    </w:p>
    <w:p w14:paraId="66D255E3">
      <w:pPr>
        <w:pageBreakBefore w:val="0"/>
        <w:kinsoku/>
        <w:wordWrap/>
        <w:autoSpaceDE/>
        <w:autoSpaceDN/>
        <w:bidi w:val="0"/>
        <w:adjustRightInd/>
        <w:snapToGrid/>
        <w:spacing w:line="360" w:lineRule="auto"/>
        <w:ind w:firstLine="420" w:firstLineChars="200"/>
        <w:jc w:val="right"/>
        <w:textAlignment w:val="auto"/>
        <w:rPr>
          <w:rFonts w:hint="eastAsia" w:ascii="宋体" w:hAnsi="宋体" w:eastAsia="宋体" w:cs="宋体"/>
          <w:color w:val="auto"/>
          <w:kern w:val="21"/>
          <w:sz w:val="21"/>
          <w:szCs w:val="21"/>
          <w:highlight w:val="none"/>
        </w:rPr>
      </w:pPr>
    </w:p>
    <w:p w14:paraId="2E73FD6E">
      <w:pPr>
        <w:pageBreakBefore w:val="0"/>
        <w:kinsoku/>
        <w:wordWrap/>
        <w:autoSpaceDE/>
        <w:autoSpaceDN/>
        <w:bidi w:val="0"/>
        <w:adjustRightInd/>
        <w:snapToGrid/>
        <w:spacing w:line="360" w:lineRule="auto"/>
        <w:ind w:firstLine="420" w:firstLineChars="200"/>
        <w:jc w:val="righ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广西壮族自治区通信产业服务有限公司</w:t>
      </w:r>
    </w:p>
    <w:p w14:paraId="37825E5D">
      <w:pPr>
        <w:pageBreakBefore w:val="0"/>
        <w:kinsoku/>
        <w:wordWrap/>
        <w:autoSpaceDE/>
        <w:autoSpaceDN/>
        <w:bidi w:val="0"/>
        <w:adjustRightInd/>
        <w:snapToGrid/>
        <w:spacing w:line="360" w:lineRule="auto"/>
        <w:ind w:firstLine="420" w:firstLineChars="200"/>
        <w:jc w:val="right"/>
        <w:textAlignment w:val="auto"/>
        <w:rPr>
          <w:rFonts w:hint="eastAsia" w:ascii="宋体" w:hAnsi="宋体" w:eastAsia="宋体" w:cs="宋体"/>
          <w:b/>
          <w:color w:val="auto"/>
          <w:kern w:val="21"/>
          <w:sz w:val="21"/>
          <w:szCs w:val="21"/>
          <w:highlight w:val="none"/>
        </w:rPr>
      </w:pPr>
      <w:r>
        <w:rPr>
          <w:rFonts w:hint="eastAsia" w:ascii="宋体" w:hAnsi="宋体" w:eastAsia="宋体" w:cs="宋体"/>
          <w:color w:val="auto"/>
          <w:kern w:val="21"/>
          <w:sz w:val="21"/>
          <w:szCs w:val="21"/>
          <w:highlight w:val="none"/>
        </w:rPr>
        <w:t>202</w:t>
      </w:r>
      <w:r>
        <w:rPr>
          <w:rFonts w:hint="eastAsia" w:ascii="宋体" w:hAnsi="宋体" w:eastAsia="宋体" w:cs="宋体"/>
          <w:color w:val="auto"/>
          <w:kern w:val="21"/>
          <w:sz w:val="21"/>
          <w:szCs w:val="21"/>
          <w:highlight w:val="none"/>
          <w:lang w:val="en-US" w:eastAsia="zh-CN"/>
        </w:rPr>
        <w:t>5</w:t>
      </w:r>
      <w:r>
        <w:rPr>
          <w:rFonts w:hint="eastAsia" w:ascii="宋体" w:hAnsi="宋体" w:eastAsia="宋体" w:cs="宋体"/>
          <w:color w:val="auto"/>
          <w:kern w:val="21"/>
          <w:sz w:val="21"/>
          <w:szCs w:val="21"/>
          <w:highlight w:val="none"/>
        </w:rPr>
        <w:t>年</w:t>
      </w:r>
      <w:r>
        <w:rPr>
          <w:rFonts w:hint="eastAsia" w:ascii="宋体" w:hAnsi="宋体" w:cs="宋体"/>
          <w:color w:val="auto"/>
          <w:kern w:val="21"/>
          <w:sz w:val="21"/>
          <w:szCs w:val="21"/>
          <w:highlight w:val="none"/>
          <w:lang w:val="en-US" w:eastAsia="zh-CN"/>
        </w:rPr>
        <w:t>8</w:t>
      </w:r>
      <w:r>
        <w:rPr>
          <w:rFonts w:hint="eastAsia" w:ascii="宋体" w:hAnsi="宋体" w:eastAsia="宋体" w:cs="宋体"/>
          <w:color w:val="auto"/>
          <w:kern w:val="21"/>
          <w:sz w:val="21"/>
          <w:szCs w:val="21"/>
          <w:highlight w:val="none"/>
        </w:rPr>
        <w:t>月</w:t>
      </w:r>
      <w:r>
        <w:rPr>
          <w:rFonts w:hint="eastAsia" w:ascii="宋体" w:hAnsi="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日</w:t>
      </w:r>
    </w:p>
    <w:p w14:paraId="7601D257">
      <w:pPr>
        <w:pStyle w:val="3"/>
        <w:spacing w:before="0" w:after="0" w:line="579" w:lineRule="auto"/>
        <w:jc w:val="center"/>
        <w:rPr>
          <w:rFonts w:ascii="宋体" w:hAnsi="宋体" w:cs="宋体"/>
          <w:color w:val="auto"/>
          <w:kern w:val="21"/>
          <w:highlight w:val="none"/>
        </w:rPr>
      </w:pPr>
      <w:r>
        <w:rPr>
          <w:rFonts w:hint="eastAsia" w:ascii="宋体" w:hAnsi="宋体" w:cs="宋体"/>
          <w:bCs w:val="0"/>
          <w:color w:val="auto"/>
          <w:kern w:val="21"/>
          <w:sz w:val="32"/>
          <w:szCs w:val="32"/>
          <w:highlight w:val="none"/>
        </w:rPr>
        <w:br w:type="page"/>
      </w:r>
      <w:bookmarkStart w:id="30" w:name="_Toc12314"/>
      <w:bookmarkStart w:id="31" w:name="_Toc16716"/>
      <w:r>
        <w:rPr>
          <w:rFonts w:hint="eastAsia" w:ascii="宋体" w:hAnsi="宋体" w:cs="宋体"/>
          <w:bCs w:val="0"/>
          <w:color w:val="auto"/>
          <w:kern w:val="21"/>
          <w:sz w:val="32"/>
          <w:szCs w:val="32"/>
          <w:highlight w:val="none"/>
        </w:rPr>
        <w:t>第二章 采购需求</w:t>
      </w:r>
      <w:bookmarkEnd w:id="30"/>
      <w:bookmarkEnd w:id="31"/>
    </w:p>
    <w:p w14:paraId="13397B41">
      <w:pPr>
        <w:spacing w:line="360" w:lineRule="auto"/>
        <w:jc w:val="left"/>
        <w:rPr>
          <w:rFonts w:ascii="宋体" w:hAnsi="宋体" w:cs="宋体"/>
          <w:b/>
          <w:bCs/>
          <w:color w:val="auto"/>
          <w:kern w:val="21"/>
          <w:szCs w:val="21"/>
          <w:highlight w:val="none"/>
        </w:rPr>
      </w:pPr>
      <w:r>
        <w:rPr>
          <w:rFonts w:hint="eastAsia" w:ascii="宋体" w:hAnsi="宋体" w:cs="宋体"/>
          <w:b/>
          <w:bCs/>
          <w:color w:val="auto"/>
          <w:kern w:val="21"/>
          <w:szCs w:val="21"/>
          <w:highlight w:val="none"/>
        </w:rPr>
        <w:t>▲说明：</w:t>
      </w:r>
    </w:p>
    <w:p w14:paraId="616EA3B9">
      <w:pPr>
        <w:spacing w:line="360" w:lineRule="auto"/>
        <w:ind w:firstLine="420" w:firstLineChars="200"/>
        <w:jc w:val="left"/>
        <w:rPr>
          <w:rFonts w:ascii="宋体" w:hAnsi="宋体" w:cs="宋体"/>
          <w:color w:val="auto"/>
          <w:kern w:val="21"/>
          <w:szCs w:val="21"/>
          <w:highlight w:val="none"/>
        </w:rPr>
      </w:pPr>
      <w:r>
        <w:rPr>
          <w:rFonts w:hint="eastAsia" w:ascii="宋体" w:hAnsi="宋体" w:cs="宋体"/>
          <w:color w:val="auto"/>
          <w:kern w:val="21"/>
          <w:highlight w:val="none"/>
        </w:rPr>
        <w:t>1. 为落实政府采购政策需满足的要求：</w:t>
      </w:r>
    </w:p>
    <w:p w14:paraId="3B2D225E">
      <w:pPr>
        <w:spacing w:line="360" w:lineRule="auto"/>
        <w:ind w:firstLine="420" w:firstLineChars="200"/>
        <w:jc w:val="left"/>
        <w:rPr>
          <w:rFonts w:ascii="宋体" w:hAnsi="宋体" w:cs="宋体"/>
          <w:color w:val="auto"/>
          <w:kern w:val="21"/>
          <w:szCs w:val="21"/>
          <w:highlight w:val="none"/>
        </w:rPr>
      </w:pPr>
      <w:r>
        <w:rPr>
          <w:rFonts w:hint="eastAsia" w:ascii="宋体" w:hAnsi="宋体" w:cs="宋体"/>
          <w:color w:val="auto"/>
          <w:kern w:val="21"/>
          <w:szCs w:val="21"/>
          <w:highlight w:val="none"/>
        </w:rPr>
        <w:t>（1）本竞争性磋商采购文件所称中小企业必须符合《政府采购促进中小企业发展管理办法》（财库〔2020〕46号）的规定。</w:t>
      </w:r>
    </w:p>
    <w:p w14:paraId="496CA977">
      <w:pPr>
        <w:tabs>
          <w:tab w:val="left" w:pos="180"/>
          <w:tab w:val="left" w:pos="1620"/>
        </w:tabs>
        <w:spacing w:line="360" w:lineRule="auto"/>
        <w:ind w:firstLine="420" w:firstLineChars="200"/>
        <w:rPr>
          <w:rFonts w:ascii="宋体" w:hAnsi="宋体" w:cs="宋体"/>
          <w:b/>
          <w:bCs/>
          <w:color w:val="auto"/>
          <w:kern w:val="21"/>
          <w:szCs w:val="21"/>
          <w:highlight w:val="none"/>
        </w:rPr>
      </w:pPr>
      <w:r>
        <w:rPr>
          <w:rFonts w:hint="eastAsia" w:ascii="宋体" w:hAnsi="宋体" w:cs="宋体"/>
          <w:color w:val="auto"/>
          <w:kern w:val="21"/>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1228B14">
      <w:pPr>
        <w:spacing w:line="360" w:lineRule="auto"/>
        <w:ind w:firstLine="420" w:firstLineChars="200"/>
        <w:jc w:val="left"/>
        <w:rPr>
          <w:rFonts w:ascii="宋体" w:hAnsi="宋体" w:cs="宋体"/>
          <w:color w:val="auto"/>
          <w:kern w:val="21"/>
          <w:szCs w:val="21"/>
          <w:highlight w:val="none"/>
        </w:rPr>
      </w:pPr>
      <w:r>
        <w:rPr>
          <w:rFonts w:hint="eastAsia" w:ascii="宋体" w:hAnsi="宋体" w:cs="宋体"/>
          <w:color w:val="auto"/>
          <w:kern w:val="21"/>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41190B25">
      <w:pPr>
        <w:spacing w:line="360" w:lineRule="auto"/>
        <w:ind w:firstLine="413" w:firstLineChars="196"/>
        <w:rPr>
          <w:rFonts w:ascii="宋体" w:hAnsi="宋体" w:cs="宋体"/>
          <w:b/>
          <w:bCs/>
          <w:color w:val="auto"/>
          <w:kern w:val="21"/>
          <w:szCs w:val="21"/>
          <w:highlight w:val="none"/>
        </w:rPr>
      </w:pPr>
      <w:r>
        <w:rPr>
          <w:rFonts w:hint="eastAsia" w:ascii="宋体" w:hAnsi="宋体" w:cs="宋体"/>
          <w:b/>
          <w:bCs/>
          <w:color w:val="auto"/>
          <w:kern w:val="21"/>
          <w:szCs w:val="21"/>
          <w:highlight w:val="none"/>
        </w:rPr>
        <w:t>2. 标“▲”为实质性参数要求和条件，供应商必须满足并在响应文件中如实作出响应，否则视为无效。</w:t>
      </w:r>
    </w:p>
    <w:p w14:paraId="174BBAB3">
      <w:pPr>
        <w:pStyle w:val="14"/>
        <w:spacing w:line="360" w:lineRule="auto"/>
        <w:ind w:firstLine="420" w:firstLineChars="200"/>
        <w:rPr>
          <w:rFonts w:ascii="宋体" w:hAnsi="宋体" w:cs="宋体"/>
          <w:color w:val="auto"/>
          <w:kern w:val="21"/>
          <w:highlight w:val="none"/>
        </w:rPr>
      </w:pPr>
      <w:r>
        <w:rPr>
          <w:rFonts w:hint="eastAsia" w:ascii="宋体" w:hAnsi="宋体" w:cs="宋体"/>
          <w:color w:val="auto"/>
          <w:kern w:val="21"/>
          <w:highlight w:val="none"/>
        </w:rPr>
        <w:t>3. 供应商必须自行为其竞标产品侵犯他人的知识产权或者专利成果的行为承担相应法律责任。</w:t>
      </w:r>
    </w:p>
    <w:tbl>
      <w:tblPr>
        <w:tblStyle w:val="31"/>
        <w:tblW w:w="9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795"/>
        <w:gridCol w:w="570"/>
        <w:gridCol w:w="525"/>
        <w:gridCol w:w="5880"/>
        <w:gridCol w:w="1300"/>
      </w:tblGrid>
      <w:tr w14:paraId="5A84B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92" w:type="dxa"/>
            <w:gridSpan w:val="6"/>
            <w:tcBorders>
              <w:top w:val="single" w:color="auto" w:sz="4" w:space="0"/>
              <w:left w:val="single" w:color="auto" w:sz="4" w:space="0"/>
              <w:right w:val="single" w:color="auto" w:sz="4" w:space="0"/>
            </w:tcBorders>
            <w:noWrap w:val="0"/>
            <w:vAlign w:val="center"/>
          </w:tcPr>
          <w:p w14:paraId="3647A2D9">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color w:val="auto"/>
                <w:kern w:val="21"/>
                <w:sz w:val="21"/>
                <w:szCs w:val="21"/>
                <w:highlight w:val="none"/>
              </w:rPr>
            </w:pPr>
            <w:r>
              <w:rPr>
                <w:rFonts w:hint="eastAsia" w:ascii="宋体" w:hAnsi="宋体" w:eastAsia="宋体" w:cs="宋体"/>
                <w:b/>
                <w:color w:val="auto"/>
                <w:kern w:val="21"/>
                <w:sz w:val="21"/>
                <w:szCs w:val="21"/>
                <w:highlight w:val="none"/>
              </w:rPr>
              <w:t>服务需求一览表</w:t>
            </w:r>
          </w:p>
        </w:tc>
      </w:tr>
      <w:tr w14:paraId="0C2D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2" w:type="dxa"/>
            <w:tcBorders>
              <w:top w:val="single" w:color="auto" w:sz="4" w:space="0"/>
              <w:left w:val="single" w:color="auto" w:sz="4" w:space="0"/>
              <w:right w:val="single" w:color="auto" w:sz="4" w:space="0"/>
            </w:tcBorders>
            <w:noWrap w:val="0"/>
            <w:vAlign w:val="center"/>
          </w:tcPr>
          <w:p w14:paraId="39AC8713">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序号</w:t>
            </w:r>
          </w:p>
        </w:tc>
        <w:tc>
          <w:tcPr>
            <w:tcW w:w="795" w:type="dxa"/>
            <w:tcBorders>
              <w:top w:val="single" w:color="auto" w:sz="4" w:space="0"/>
              <w:left w:val="single" w:color="auto" w:sz="4" w:space="0"/>
              <w:right w:val="single" w:color="auto" w:sz="4" w:space="0"/>
            </w:tcBorders>
            <w:noWrap w:val="0"/>
            <w:vAlign w:val="center"/>
          </w:tcPr>
          <w:p w14:paraId="01CBEAF5">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标的名称</w:t>
            </w:r>
          </w:p>
        </w:tc>
        <w:tc>
          <w:tcPr>
            <w:tcW w:w="570" w:type="dxa"/>
            <w:tcBorders>
              <w:top w:val="single" w:color="auto" w:sz="4" w:space="0"/>
              <w:left w:val="single" w:color="auto" w:sz="4" w:space="0"/>
              <w:right w:val="single" w:color="auto" w:sz="4" w:space="0"/>
            </w:tcBorders>
            <w:noWrap w:val="0"/>
            <w:vAlign w:val="center"/>
          </w:tcPr>
          <w:p w14:paraId="5B98EAEC">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单位</w:t>
            </w:r>
          </w:p>
        </w:tc>
        <w:tc>
          <w:tcPr>
            <w:tcW w:w="525" w:type="dxa"/>
            <w:tcBorders>
              <w:top w:val="single" w:color="auto" w:sz="4" w:space="0"/>
              <w:left w:val="single" w:color="auto" w:sz="4" w:space="0"/>
              <w:right w:val="single" w:color="auto" w:sz="4" w:space="0"/>
            </w:tcBorders>
            <w:noWrap w:val="0"/>
            <w:vAlign w:val="center"/>
          </w:tcPr>
          <w:p w14:paraId="337A00B9">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数量</w:t>
            </w:r>
          </w:p>
        </w:tc>
        <w:tc>
          <w:tcPr>
            <w:tcW w:w="5880" w:type="dxa"/>
            <w:tcBorders>
              <w:top w:val="single" w:color="auto" w:sz="4" w:space="0"/>
              <w:left w:val="single" w:color="auto" w:sz="4" w:space="0"/>
              <w:right w:val="single" w:color="auto" w:sz="4" w:space="0"/>
            </w:tcBorders>
            <w:noWrap w:val="0"/>
            <w:vAlign w:val="center"/>
          </w:tcPr>
          <w:p w14:paraId="5B008DA2">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▲服务要求</w:t>
            </w:r>
          </w:p>
        </w:tc>
        <w:tc>
          <w:tcPr>
            <w:tcW w:w="1300" w:type="dxa"/>
            <w:tcBorders>
              <w:top w:val="single" w:color="auto" w:sz="4" w:space="0"/>
              <w:left w:val="single" w:color="auto" w:sz="4" w:space="0"/>
              <w:right w:val="single" w:color="auto" w:sz="4" w:space="0"/>
            </w:tcBorders>
            <w:noWrap w:val="0"/>
            <w:vAlign w:val="center"/>
          </w:tcPr>
          <w:p w14:paraId="79486E0A">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中小企业划分标准所属行业名称</w:t>
            </w:r>
          </w:p>
        </w:tc>
      </w:tr>
      <w:tr w14:paraId="32CFB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2" w:type="dxa"/>
            <w:tcBorders>
              <w:top w:val="single" w:color="auto" w:sz="4" w:space="0"/>
              <w:left w:val="single" w:color="auto" w:sz="4" w:space="0"/>
              <w:right w:val="single" w:color="auto" w:sz="4" w:space="0"/>
            </w:tcBorders>
            <w:noWrap w:val="0"/>
            <w:vAlign w:val="center"/>
          </w:tcPr>
          <w:p w14:paraId="21CF3B2A">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1</w:t>
            </w:r>
          </w:p>
        </w:tc>
        <w:tc>
          <w:tcPr>
            <w:tcW w:w="795" w:type="dxa"/>
            <w:tcBorders>
              <w:top w:val="single" w:color="auto" w:sz="4" w:space="0"/>
              <w:left w:val="single" w:color="auto" w:sz="4" w:space="0"/>
              <w:right w:val="single" w:color="auto" w:sz="4" w:space="0"/>
            </w:tcBorders>
            <w:noWrap w:val="0"/>
            <w:vAlign w:val="center"/>
          </w:tcPr>
          <w:p w14:paraId="61B7CEA9">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lang w:eastAsia="zh-CN"/>
              </w:rPr>
            </w:pPr>
            <w:r>
              <w:rPr>
                <w:rFonts w:hint="eastAsia" w:ascii="宋体" w:hAnsi="宋体" w:eastAsia="宋体" w:cs="宋体"/>
                <w:b/>
                <w:bCs/>
                <w:color w:val="auto"/>
                <w:kern w:val="21"/>
                <w:sz w:val="21"/>
                <w:szCs w:val="21"/>
                <w:highlight w:val="none"/>
                <w:lang w:eastAsia="zh-CN"/>
              </w:rPr>
              <w:t>2025年“数据要素×”大赛广西分赛</w:t>
            </w:r>
          </w:p>
        </w:tc>
        <w:tc>
          <w:tcPr>
            <w:tcW w:w="570" w:type="dxa"/>
            <w:tcBorders>
              <w:top w:val="single" w:color="auto" w:sz="4" w:space="0"/>
              <w:left w:val="single" w:color="auto" w:sz="4" w:space="0"/>
              <w:right w:val="single" w:color="auto" w:sz="4" w:space="0"/>
            </w:tcBorders>
            <w:noWrap w:val="0"/>
            <w:vAlign w:val="center"/>
          </w:tcPr>
          <w:p w14:paraId="55BEEDB3">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项</w:t>
            </w:r>
          </w:p>
        </w:tc>
        <w:tc>
          <w:tcPr>
            <w:tcW w:w="525" w:type="dxa"/>
            <w:tcBorders>
              <w:top w:val="single" w:color="auto" w:sz="4" w:space="0"/>
              <w:left w:val="single" w:color="auto" w:sz="4" w:space="0"/>
              <w:right w:val="single" w:color="auto" w:sz="4" w:space="0"/>
            </w:tcBorders>
            <w:noWrap w:val="0"/>
            <w:vAlign w:val="center"/>
          </w:tcPr>
          <w:p w14:paraId="6A0DD804">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1</w:t>
            </w:r>
          </w:p>
        </w:tc>
        <w:tc>
          <w:tcPr>
            <w:tcW w:w="5880" w:type="dxa"/>
            <w:tcBorders>
              <w:top w:val="single" w:color="auto" w:sz="4" w:space="0"/>
              <w:left w:val="single" w:color="auto" w:sz="4" w:space="0"/>
              <w:right w:val="single" w:color="auto" w:sz="4" w:space="0"/>
            </w:tcBorders>
            <w:noWrap w:val="0"/>
            <w:vAlign w:val="center"/>
          </w:tcPr>
          <w:p w14:paraId="00D5B830">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w:t>
            </w:r>
            <w:r>
              <w:rPr>
                <w:rFonts w:hint="eastAsia" w:ascii="宋体" w:hAnsi="宋体" w:eastAsia="宋体" w:cs="宋体"/>
                <w:b/>
                <w:bCs/>
                <w:color w:val="auto"/>
                <w:kern w:val="21"/>
                <w:sz w:val="21"/>
                <w:szCs w:val="21"/>
                <w:highlight w:val="none"/>
                <w:lang w:val="en-US" w:eastAsia="zh-CN"/>
              </w:rPr>
              <w:t>一</w:t>
            </w:r>
            <w:r>
              <w:rPr>
                <w:rFonts w:hint="eastAsia" w:ascii="宋体" w:hAnsi="宋体" w:eastAsia="宋体" w:cs="宋体"/>
                <w:b/>
                <w:bCs/>
                <w:color w:val="auto"/>
                <w:kern w:val="21"/>
                <w:sz w:val="21"/>
                <w:szCs w:val="21"/>
                <w:highlight w:val="none"/>
              </w:rPr>
              <w:t>）大赛宣传规划</w:t>
            </w:r>
          </w:p>
          <w:p w14:paraId="798D2840">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1.新闻宣传。在赛事全流程中对国内外（东盟国家）各大新闻媒体进行精准推送宣传，以及高校、企业、重点园区等进行赛事宣讲。</w:t>
            </w:r>
          </w:p>
          <w:p w14:paraId="49FA3015">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2.宣传制作。制作大赛宣传片和大赛相关内容在各大新闻媒体同步推送。</w:t>
            </w:r>
          </w:p>
          <w:p w14:paraId="3A632AFF">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3.网站开发。依托2024年官方报名网站进行迭代升级，根据本年度大赛实际需求提供赛事网站系统的定制开发和技术支持，对接国家总决赛官方网站。</w:t>
            </w:r>
          </w:p>
          <w:p w14:paraId="3CA1B459">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w:t>
            </w:r>
            <w:r>
              <w:rPr>
                <w:rFonts w:hint="eastAsia" w:ascii="宋体" w:hAnsi="宋体" w:eastAsia="宋体" w:cs="宋体"/>
                <w:b/>
                <w:bCs/>
                <w:color w:val="auto"/>
                <w:kern w:val="21"/>
                <w:sz w:val="21"/>
                <w:szCs w:val="21"/>
                <w:highlight w:val="none"/>
                <w:lang w:val="en-US" w:eastAsia="zh-CN"/>
              </w:rPr>
              <w:t>二</w:t>
            </w:r>
            <w:r>
              <w:rPr>
                <w:rFonts w:hint="eastAsia" w:ascii="宋体" w:hAnsi="宋体" w:eastAsia="宋体" w:cs="宋体"/>
                <w:b/>
                <w:bCs/>
                <w:color w:val="auto"/>
                <w:kern w:val="21"/>
                <w:sz w:val="21"/>
                <w:szCs w:val="21"/>
                <w:highlight w:val="none"/>
              </w:rPr>
              <w:t>）赛事活动策划</w:t>
            </w:r>
          </w:p>
          <w:p w14:paraId="68348C1C">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1.活动策划方案。包含整体策划方案、实施方案、决赛方案、颁奖方案、赛后评估等。</w:t>
            </w:r>
          </w:p>
          <w:p w14:paraId="3543C841">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2.专家邀请。社会赛道和高校赛道初赛和决赛共邀请不少于30位评审专家。</w:t>
            </w:r>
          </w:p>
          <w:p w14:paraId="44402B0B">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3.参赛队伍培训。邀请领域内专家、导师进行赛前培训、辅导，并在项目包装、展示主题选择等方面给予指导和建议。</w:t>
            </w:r>
          </w:p>
          <w:p w14:paraId="3922D76C">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4.赛题服务。对本次比赛进行活动策划，包括赛题命题、数据协调、数据目录拟定、编目、脱敏、清洗样本数据制作、运行环境等。</w:t>
            </w:r>
          </w:p>
          <w:p w14:paraId="249DD0AE">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5.赛事评估服务。对赛事服务和赛后成果孵化进行效果评估。</w:t>
            </w:r>
          </w:p>
          <w:p w14:paraId="6CE187E7">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6.赛后成果输出。编制优秀应用成果汇编并向全区发布。</w:t>
            </w:r>
          </w:p>
          <w:p w14:paraId="42BE9F15">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w:t>
            </w:r>
            <w:r>
              <w:rPr>
                <w:rFonts w:hint="eastAsia" w:ascii="宋体" w:hAnsi="宋体" w:eastAsia="宋体" w:cs="宋体"/>
                <w:b/>
                <w:bCs/>
                <w:color w:val="auto"/>
                <w:kern w:val="21"/>
                <w:sz w:val="21"/>
                <w:szCs w:val="21"/>
                <w:highlight w:val="none"/>
                <w:lang w:val="en-US" w:eastAsia="zh-CN"/>
              </w:rPr>
              <w:t>三</w:t>
            </w:r>
            <w:r>
              <w:rPr>
                <w:rFonts w:hint="eastAsia" w:ascii="宋体" w:hAnsi="宋体" w:eastAsia="宋体" w:cs="宋体"/>
                <w:b/>
                <w:bCs/>
                <w:color w:val="auto"/>
                <w:kern w:val="21"/>
                <w:sz w:val="21"/>
                <w:szCs w:val="21"/>
                <w:highlight w:val="none"/>
              </w:rPr>
              <w:t>）决赛会务服务</w:t>
            </w:r>
          </w:p>
          <w:p w14:paraId="1D816CE8">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1.会场搭建。场地需安排在</w:t>
            </w:r>
            <w:r>
              <w:rPr>
                <w:rFonts w:hint="eastAsia" w:ascii="宋体" w:hAnsi="宋体" w:eastAsia="宋体" w:cs="宋体"/>
                <w:color w:val="auto"/>
                <w:kern w:val="21"/>
                <w:sz w:val="21"/>
                <w:szCs w:val="21"/>
                <w:highlight w:val="none"/>
                <w:lang w:val="en-US" w:eastAsia="zh-CN"/>
              </w:rPr>
              <w:t>场地</w:t>
            </w:r>
            <w:r>
              <w:rPr>
                <w:rFonts w:hint="eastAsia" w:ascii="宋体" w:hAnsi="宋体" w:eastAsia="宋体" w:cs="宋体"/>
                <w:color w:val="auto"/>
                <w:kern w:val="21"/>
                <w:sz w:val="21"/>
                <w:szCs w:val="21"/>
                <w:highlight w:val="none"/>
              </w:rPr>
              <w:t>，分设社会赛道和高校赛道两个赛场，其中社会赛道决赛现场满足500</w:t>
            </w:r>
            <w:r>
              <w:rPr>
                <w:rFonts w:hint="eastAsia" w:ascii="宋体" w:hAnsi="宋体" w:eastAsia="宋体" w:cs="宋体"/>
                <w:color w:val="auto"/>
                <w:kern w:val="21"/>
                <w:sz w:val="21"/>
                <w:szCs w:val="21"/>
                <w:highlight w:val="none"/>
                <w:lang w:eastAsia="zh-CN"/>
              </w:rPr>
              <w:t>平方米</w:t>
            </w:r>
            <w:r>
              <w:rPr>
                <w:rFonts w:hint="eastAsia" w:ascii="宋体" w:hAnsi="宋体" w:eastAsia="宋体" w:cs="宋体"/>
                <w:color w:val="auto"/>
                <w:kern w:val="21"/>
                <w:sz w:val="21"/>
                <w:szCs w:val="21"/>
                <w:highlight w:val="none"/>
              </w:rPr>
              <w:t>以上，LED大屏在50平方以上，清晰度在p3及以上。高校赛道决赛现场满足5个及以上多媒体教室，6间及以上普通候场教室（根据决赛现场调整）。并在活动开始之前进行</w:t>
            </w:r>
            <w:r>
              <w:rPr>
                <w:rFonts w:hint="eastAsia" w:ascii="宋体" w:hAnsi="宋体" w:eastAsia="宋体" w:cs="宋体"/>
                <w:color w:val="auto"/>
                <w:kern w:val="21"/>
                <w:sz w:val="21"/>
                <w:szCs w:val="21"/>
                <w:highlight w:val="none"/>
                <w:lang w:val="en-US" w:eastAsia="zh-CN"/>
              </w:rPr>
              <w:t>并完成</w:t>
            </w:r>
            <w:r>
              <w:rPr>
                <w:rFonts w:hint="eastAsia" w:ascii="宋体" w:hAnsi="宋体" w:eastAsia="宋体" w:cs="宋体"/>
                <w:color w:val="auto"/>
                <w:kern w:val="21"/>
                <w:sz w:val="21"/>
                <w:szCs w:val="21"/>
                <w:highlight w:val="none"/>
              </w:rPr>
              <w:t>场地</w:t>
            </w:r>
            <w:r>
              <w:rPr>
                <w:rFonts w:hint="eastAsia" w:ascii="宋体" w:hAnsi="宋体" w:eastAsia="宋体" w:cs="宋体"/>
                <w:color w:val="auto"/>
                <w:kern w:val="21"/>
                <w:sz w:val="21"/>
                <w:szCs w:val="21"/>
                <w:highlight w:val="none"/>
                <w:lang w:val="en-US" w:eastAsia="zh-CN"/>
              </w:rPr>
              <w:t>规划及</w:t>
            </w:r>
            <w:r>
              <w:rPr>
                <w:rFonts w:hint="eastAsia" w:ascii="宋体" w:hAnsi="宋体" w:eastAsia="宋体" w:cs="宋体"/>
                <w:color w:val="auto"/>
                <w:kern w:val="21"/>
                <w:sz w:val="21"/>
                <w:szCs w:val="21"/>
                <w:highlight w:val="none"/>
              </w:rPr>
              <w:t>基础搭建，包括主会场（舞台效果）、外场马路、入口处、签到处、贵宾区、展示区等各个活动区域。</w:t>
            </w:r>
          </w:p>
          <w:p w14:paraId="606B1FF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2.视觉设计。为赛事和活动进行视觉设计，包括主背景、证件、指示牌、邀请函、会议手册、资料袋、网站设计等。</w:t>
            </w:r>
          </w:p>
          <w:p w14:paraId="77FE897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3.物料制作。提前做好活动所需物料及延展物料。</w:t>
            </w:r>
          </w:p>
          <w:p w14:paraId="5A5AFC05">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4.活动流程设计。对每场活动进行具体的流程设计，时间节点清晰明确，在活动开始前对每一个环节都进行确认和彩排，确保整个流程的顺利进行。流程中涉及的稿件、文案的撰写。</w:t>
            </w:r>
          </w:p>
          <w:p w14:paraId="4826B8A1">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5.会务服务。包括车辆安排、餐饮住宿、人员接待、摄影摄像、直播、现场礼仪等。</w:t>
            </w:r>
          </w:p>
          <w:p w14:paraId="5CAF7369">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（四）奖金和专家咨询费发放</w:t>
            </w:r>
          </w:p>
          <w:p w14:paraId="3AB10C6C">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1.奖金发放。协助对各个获奖团队材料收集，进行奖金发放。</w:t>
            </w:r>
          </w:p>
          <w:p w14:paraId="456076BA">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2.专家咨询费。初赛和决赛参赛作品评审费。</w:t>
            </w:r>
          </w:p>
          <w:p w14:paraId="7C05CE2D">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（五）评估和技术支撑</w:t>
            </w:r>
          </w:p>
          <w:p w14:paraId="5F7EE0C7">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1.对比赛进行效果评估，输出评估报告。</w:t>
            </w:r>
          </w:p>
          <w:p w14:paraId="3516ECEB">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2.对大赛提供整体技术咨询服务及参赛作品的评审服务。</w:t>
            </w:r>
          </w:p>
        </w:tc>
        <w:tc>
          <w:tcPr>
            <w:tcW w:w="1300" w:type="dxa"/>
            <w:tcBorders>
              <w:top w:val="single" w:color="auto" w:sz="4" w:space="0"/>
              <w:left w:val="single" w:color="auto" w:sz="4" w:space="0"/>
              <w:right w:val="single" w:color="auto" w:sz="4" w:space="0"/>
            </w:tcBorders>
            <w:noWrap w:val="0"/>
            <w:vAlign w:val="center"/>
          </w:tcPr>
          <w:p w14:paraId="7AB31B2A">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b/>
                <w:bCs/>
                <w:color w:val="auto"/>
                <w:kern w:val="21"/>
                <w:sz w:val="21"/>
                <w:szCs w:val="21"/>
                <w:highlight w:val="none"/>
              </w:rPr>
              <w:t>其他未列明行业</w:t>
            </w:r>
          </w:p>
        </w:tc>
      </w:tr>
      <w:tr w14:paraId="11F8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3AA61F07">
            <w:pPr>
              <w:keepNext w:val="0"/>
              <w:keepLines w:val="0"/>
              <w:pageBreakBefore w:val="0"/>
              <w:widowControl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b/>
                <w:bCs/>
                <w:color w:val="auto"/>
                <w:kern w:val="21"/>
                <w:sz w:val="21"/>
                <w:szCs w:val="21"/>
                <w:highlight w:val="none"/>
              </w:rPr>
              <w:t>▲商务条款</w:t>
            </w:r>
          </w:p>
        </w:tc>
        <w:tc>
          <w:tcPr>
            <w:tcW w:w="9070" w:type="dxa"/>
            <w:gridSpan w:val="5"/>
            <w:tcBorders>
              <w:top w:val="single" w:color="auto" w:sz="4" w:space="0"/>
              <w:left w:val="single" w:color="auto" w:sz="4" w:space="0"/>
              <w:bottom w:val="single" w:color="auto" w:sz="4" w:space="0"/>
              <w:right w:val="single" w:color="auto" w:sz="4" w:space="0"/>
            </w:tcBorders>
            <w:noWrap w:val="0"/>
            <w:vAlign w:val="top"/>
          </w:tcPr>
          <w:p w14:paraId="5B85D41D">
            <w:pPr>
              <w:keepNext w:val="0"/>
              <w:keepLines w:val="0"/>
              <w:pageBreakBefore w:val="0"/>
              <w:widowControl w:val="0"/>
              <w:kinsoku/>
              <w:wordWrap/>
              <w:overflowPunct/>
              <w:topLinePunct/>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一、合同签订期：自成交通知书发出之日起25日内。</w:t>
            </w:r>
          </w:p>
          <w:p w14:paraId="79B14A3F">
            <w:pPr>
              <w:keepNext w:val="0"/>
              <w:keepLines w:val="0"/>
              <w:pageBreakBefore w:val="0"/>
              <w:widowControl w:val="0"/>
              <w:kinsoku/>
              <w:wordWrap/>
              <w:overflowPunct/>
              <w:topLinePunct/>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二、提交服务成果时间：自合同签订之日起6个月内完成全部服务内容、提交全部服务成果。</w:t>
            </w:r>
          </w:p>
          <w:p w14:paraId="5896B5EF">
            <w:pPr>
              <w:keepNext w:val="0"/>
              <w:keepLines w:val="0"/>
              <w:pageBreakBefore w:val="0"/>
              <w:widowControl w:val="0"/>
              <w:kinsoku/>
              <w:wordWrap/>
              <w:overflowPunct/>
              <w:topLinePunct/>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三、服务地点：采购人指定地点。</w:t>
            </w:r>
          </w:p>
          <w:p w14:paraId="61CBB8BE">
            <w:pPr>
              <w:keepNext w:val="0"/>
              <w:keepLines w:val="0"/>
              <w:pageBreakBefore w:val="0"/>
              <w:widowControl w:val="0"/>
              <w:kinsoku/>
              <w:wordWrap/>
              <w:overflowPunct/>
              <w:topLinePunct/>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四、报价要求：</w:t>
            </w:r>
          </w:p>
          <w:p w14:paraId="5E64DEE7">
            <w:pPr>
              <w:keepNext w:val="0"/>
              <w:keepLines w:val="0"/>
              <w:pageBreakBefore w:val="0"/>
              <w:widowControl w:val="0"/>
              <w:kinsoku/>
              <w:wordWrap/>
              <w:overflowPunct/>
              <w:topLinePunct/>
              <w:autoSpaceDE/>
              <w:autoSpaceDN/>
              <w:bidi w:val="0"/>
              <w:adjustRightInd/>
              <w:snapToGrid/>
              <w:spacing w:line="400" w:lineRule="exact"/>
              <w:ind w:firstLine="210" w:firstLineChars="1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本项目磋商报价（及最终报价）为完成采购人指定内容的整体包干价，包括但不限于：工作设备购置费用、专家咨询、评审会议费用、出版、印刷费、成果材料费用等项目所需一切费用</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lang w:val="en-US" w:eastAsia="zh-CN"/>
              </w:rPr>
              <w:t>以及</w:t>
            </w:r>
            <w:r>
              <w:rPr>
                <w:rFonts w:hint="eastAsia" w:ascii="宋体" w:hAnsi="宋体" w:eastAsia="宋体" w:cs="宋体"/>
                <w:color w:val="auto"/>
                <w:kern w:val="21"/>
                <w:sz w:val="21"/>
                <w:szCs w:val="21"/>
                <w:highlight w:val="none"/>
              </w:rPr>
              <w:t>国家规定的所有税费和采购代理服务费等。因磋商供应商自身原因造成漏报、少报皆由磋商供应商自行承担责任，采购人不再补偿。除政策性文件规定以外，磋商供应商所报价格在合同实施期间不因市场变化因素而变动。</w:t>
            </w:r>
          </w:p>
          <w:p w14:paraId="1C1CD07A">
            <w:pPr>
              <w:keepNext w:val="0"/>
              <w:keepLines w:val="0"/>
              <w:pageBreakBefore w:val="0"/>
              <w:widowControl w:val="0"/>
              <w:kinsoku/>
              <w:wordWrap/>
              <w:overflowPunct/>
              <w:topLinePunct/>
              <w:autoSpaceDE/>
              <w:autoSpaceDN/>
              <w:bidi w:val="0"/>
              <w:adjustRightInd/>
              <w:snapToGrid/>
              <w:spacing w:line="400" w:lineRule="exact"/>
              <w:ind w:firstLine="210" w:firstLineChars="100"/>
              <w:jc w:val="left"/>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2.为保证价格的正当竞争，同时为了保证服务质量及合同的正常履行，如磋商小组在采购过程中发现某供应商的报价明显低于其他通过符合性审查供应商的报价或明显低于采购预算价，有理由怀疑其报价可能低于其成本的，将要求其在合理的时间内提供本项目的成本分析报告，对其报价进行说明。成本分析报告须包括但不限于管理费用、人员成本构成、技术成本等所有成本和利润。供应商也可直接在响应文件中提供相关证明资料以避免因无法及时提供材料而导致可能被磋商小组作为无效响应处理。如在规定时间内不提供或者磋商小组认定其材料不能详尽合理说明其成本的，或者相关资料真实性及合理性不被磋商小组完全接受的，磋商小组将其作为无效竞标处理。</w:t>
            </w:r>
          </w:p>
          <w:p w14:paraId="5B63D30E">
            <w:pPr>
              <w:keepNext w:val="0"/>
              <w:keepLines w:val="0"/>
              <w:pageBreakBefore w:val="0"/>
              <w:widowControl w:val="0"/>
              <w:kinsoku/>
              <w:wordWrap/>
              <w:overflowPunct/>
              <w:topLinePunct/>
              <w:autoSpaceDE/>
              <w:autoSpaceDN/>
              <w:bidi w:val="0"/>
              <w:adjustRightInd/>
              <w:snapToGrid/>
              <w:spacing w:line="400" w:lineRule="exact"/>
              <w:ind w:firstLine="211" w:firstLineChars="100"/>
              <w:jc w:val="left"/>
              <w:textAlignment w:val="auto"/>
              <w:rPr>
                <w:rFonts w:hint="eastAsia" w:ascii="宋体" w:hAnsi="宋体" w:eastAsia="宋体" w:cs="宋体"/>
                <w:b/>
                <w:bCs/>
                <w:color w:val="auto"/>
                <w:kern w:val="21"/>
                <w:sz w:val="21"/>
                <w:szCs w:val="21"/>
                <w:highlight w:val="none"/>
              </w:rPr>
            </w:pPr>
            <w:r>
              <w:rPr>
                <w:rFonts w:hint="eastAsia" w:ascii="宋体" w:hAnsi="宋体" w:eastAsia="宋体" w:cs="宋体"/>
                <w:b/>
                <w:bCs/>
                <w:color w:val="auto"/>
                <w:kern w:val="21"/>
                <w:sz w:val="21"/>
                <w:szCs w:val="21"/>
                <w:highlight w:val="none"/>
              </w:rPr>
              <w:t>五、付款方式：</w:t>
            </w:r>
          </w:p>
          <w:p w14:paraId="5E92A873">
            <w:pPr>
              <w:keepNext w:val="0"/>
              <w:keepLines w:val="0"/>
              <w:pageBreakBefore w:val="0"/>
              <w:widowControl w:val="0"/>
              <w:numPr>
                <w:ilvl w:val="0"/>
                <w:numId w:val="0"/>
              </w:numPr>
              <w:kinsoku/>
              <w:wordWrap/>
              <w:overflowPunct/>
              <w:topLinePunct/>
              <w:autoSpaceDE/>
              <w:autoSpaceDN/>
              <w:bidi w:val="0"/>
              <w:adjustRightInd/>
              <w:snapToGrid/>
              <w:spacing w:before="0" w:line="400" w:lineRule="exact"/>
              <w:ind w:firstLine="210" w:firstLineChars="100"/>
              <w:jc w:val="lef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color w:val="auto"/>
                <w:kern w:val="2"/>
                <w:sz w:val="21"/>
                <w:szCs w:val="21"/>
                <w:highlight w:val="none"/>
                <w:lang w:val="en-US" w:eastAsia="zh-CN" w:bidi="ar"/>
              </w:rPr>
              <w:t>在合同签订之日起10个工作日内采购人向成交供应商支付合同总金额的50%作为预付款；剩余款项在成交供应商完成全部服务内容、提交全部服务成果并经采购人验收合格后的10个工作日内一次性结清；每次付款前，成交供应商需向采购人提供请款函及等额合法有效发票，否则采购人有权顺延付款且无需承担任何逾期付款责任。成交供应商未在规定时间内提供任一服务或完成任一任务，或经抽查发现服务质量不符合采购文件规定、合同约定或采购人要求的，采购人有权按照合同约定扣减相应费用。</w:t>
            </w:r>
          </w:p>
          <w:p w14:paraId="66534C0F">
            <w:pPr>
              <w:keepNext w:val="0"/>
              <w:keepLines w:val="0"/>
              <w:pageBreakBefore w:val="0"/>
              <w:widowControl w:val="0"/>
              <w:numPr>
                <w:ilvl w:val="0"/>
                <w:numId w:val="0"/>
              </w:numPr>
              <w:kinsoku/>
              <w:wordWrap/>
              <w:overflowPunct/>
              <w:topLinePunct/>
              <w:autoSpaceDE/>
              <w:autoSpaceDN/>
              <w:bidi w:val="0"/>
              <w:adjustRightInd/>
              <w:snapToGrid/>
              <w:spacing w:line="400" w:lineRule="exact"/>
              <w:ind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1"/>
                <w:sz w:val="21"/>
                <w:szCs w:val="21"/>
                <w:highlight w:val="none"/>
              </w:rPr>
              <w:t>六</w:t>
            </w:r>
            <w:r>
              <w:rPr>
                <w:rFonts w:hint="eastAsia" w:ascii="宋体" w:hAnsi="宋体" w:eastAsia="宋体" w:cs="宋体"/>
                <w:b/>
                <w:bCs/>
                <w:color w:val="auto"/>
                <w:sz w:val="21"/>
                <w:szCs w:val="21"/>
                <w:highlight w:val="none"/>
              </w:rPr>
              <w:t>、保密要求：</w:t>
            </w:r>
          </w:p>
          <w:p w14:paraId="19D41B01">
            <w:pPr>
              <w:keepNext w:val="0"/>
              <w:keepLines w:val="0"/>
              <w:pageBreakBefore w:val="0"/>
              <w:widowControl w:val="0"/>
              <w:kinsoku/>
              <w:wordWrap/>
              <w:overflowPunct/>
              <w:topLinePunct/>
              <w:autoSpaceDE/>
              <w:autoSpaceDN/>
              <w:bidi w:val="0"/>
              <w:adjustRightInd/>
              <w:snapToGrid/>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1.成交供应商</w:t>
            </w:r>
            <w:r>
              <w:rPr>
                <w:rFonts w:hint="eastAsia" w:ascii="宋体" w:hAnsi="宋体" w:eastAsia="宋体" w:cs="宋体"/>
                <w:color w:val="auto"/>
                <w:sz w:val="21"/>
                <w:szCs w:val="21"/>
                <w:highlight w:val="none"/>
              </w:rPr>
              <w:t>必须严格遵守采购人各项管理规定，在任何情况下，禁止复制、传播、引用及所接触到的采购人各类业务数据、工作措施等信息，如出现业务数据、涉密数据泄漏，采购人将终止合同，并将追究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相应违约责任及</w:t>
            </w:r>
            <w:r>
              <w:rPr>
                <w:rFonts w:hint="eastAsia" w:ascii="宋体" w:hAnsi="宋体" w:eastAsia="宋体" w:cs="宋体"/>
                <w:color w:val="auto"/>
                <w:sz w:val="21"/>
                <w:szCs w:val="21"/>
                <w:highlight w:val="none"/>
              </w:rPr>
              <w:t>相关法律责任。</w:t>
            </w:r>
          </w:p>
          <w:p w14:paraId="70239C85">
            <w:pPr>
              <w:keepNext w:val="0"/>
              <w:keepLines w:val="0"/>
              <w:pageBreakBefore w:val="0"/>
              <w:widowControl w:val="0"/>
              <w:kinsoku/>
              <w:wordWrap/>
              <w:overflowPunct/>
              <w:topLinePunct/>
              <w:autoSpaceDE/>
              <w:autoSpaceDN/>
              <w:bidi w:val="0"/>
              <w:adjustRightInd/>
              <w:snapToGrid/>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
              </w:rPr>
              <w:t>成交供应商</w:t>
            </w:r>
            <w:r>
              <w:rPr>
                <w:rFonts w:hint="eastAsia" w:ascii="宋体" w:hAnsi="宋体" w:eastAsia="宋体" w:cs="宋体"/>
                <w:color w:val="auto"/>
                <w:sz w:val="21"/>
                <w:szCs w:val="21"/>
                <w:highlight w:val="none"/>
              </w:rPr>
              <w:t>在项目服务过程中，必须对本项目所有项目信息以及接触到数据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予以保密，未经采购人书面许可，</w:t>
            </w:r>
            <w:r>
              <w:rPr>
                <w:rFonts w:hint="eastAsia" w:ascii="宋体" w:hAnsi="宋体" w:eastAsia="宋体" w:cs="宋体"/>
                <w:color w:val="auto"/>
                <w:kern w:val="2"/>
                <w:sz w:val="21"/>
                <w:szCs w:val="21"/>
                <w:highlight w:val="none"/>
                <w:lang w:val="en-US" w:eastAsia="zh-CN" w:bidi="ar"/>
              </w:rPr>
              <w:t>成交供应商</w:t>
            </w:r>
            <w:r>
              <w:rPr>
                <w:rFonts w:hint="eastAsia" w:ascii="宋体" w:hAnsi="宋体" w:eastAsia="宋体" w:cs="宋体"/>
                <w:color w:val="auto"/>
                <w:sz w:val="21"/>
                <w:szCs w:val="21"/>
                <w:highlight w:val="none"/>
              </w:rPr>
              <w:t>不得以任何形式向第三方透露的关于本项目的任何内容或数据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w:t>
            </w:r>
          </w:p>
          <w:p w14:paraId="4A700FAB">
            <w:pPr>
              <w:keepNext w:val="0"/>
              <w:keepLines w:val="0"/>
              <w:pageBreakBefore w:val="0"/>
              <w:widowControl w:val="0"/>
              <w:kinsoku/>
              <w:wordWrap/>
              <w:overflowPunct/>
              <w:topLinePunct/>
              <w:autoSpaceDE/>
              <w:autoSpaceDN/>
              <w:bidi w:val="0"/>
              <w:adjustRightInd/>
              <w:snapToGrid/>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
              </w:rPr>
              <w:t>成交供应商</w:t>
            </w:r>
            <w:r>
              <w:rPr>
                <w:rFonts w:hint="eastAsia" w:ascii="宋体" w:hAnsi="宋体" w:eastAsia="宋体" w:cs="宋体"/>
                <w:color w:val="auto"/>
                <w:sz w:val="21"/>
                <w:szCs w:val="21"/>
                <w:highlight w:val="none"/>
              </w:rPr>
              <w:t>需与采购人签订保密协议，履行数据与网络安全保密；实际实施人员与</w:t>
            </w:r>
            <w:r>
              <w:rPr>
                <w:rFonts w:hint="eastAsia" w:ascii="宋体" w:hAnsi="宋体" w:eastAsia="宋体" w:cs="宋体"/>
                <w:color w:val="auto"/>
                <w:kern w:val="2"/>
                <w:sz w:val="21"/>
                <w:szCs w:val="21"/>
                <w:highlight w:val="none"/>
                <w:lang w:val="en-US" w:eastAsia="zh-CN" w:bidi="ar"/>
              </w:rPr>
              <w:t>成交供应商</w:t>
            </w:r>
            <w:r>
              <w:rPr>
                <w:rFonts w:hint="eastAsia" w:ascii="宋体" w:hAnsi="宋体" w:eastAsia="宋体" w:cs="宋体"/>
                <w:color w:val="auto"/>
                <w:sz w:val="21"/>
                <w:szCs w:val="21"/>
                <w:highlight w:val="none"/>
              </w:rPr>
              <w:t>签订保密协议，若实际实施人员未按要求</w:t>
            </w:r>
            <w:r>
              <w:rPr>
                <w:rFonts w:hint="eastAsia" w:ascii="宋体" w:hAnsi="宋体" w:eastAsia="宋体" w:cs="宋体"/>
                <w:color w:val="auto"/>
                <w:sz w:val="21"/>
                <w:szCs w:val="21"/>
                <w:highlight w:val="none"/>
                <w:lang w:val="en-US" w:eastAsia="zh-CN"/>
              </w:rPr>
              <w:t>保密</w:t>
            </w:r>
            <w:r>
              <w:rPr>
                <w:rFonts w:hint="eastAsia" w:ascii="宋体" w:hAnsi="宋体" w:eastAsia="宋体" w:cs="宋体"/>
                <w:color w:val="auto"/>
                <w:sz w:val="21"/>
                <w:szCs w:val="21"/>
                <w:highlight w:val="none"/>
              </w:rPr>
              <w:t>，随意泄露本项目信息或者数据，采购人有权</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kern w:val="2"/>
                <w:sz w:val="21"/>
                <w:szCs w:val="21"/>
                <w:highlight w:val="none"/>
                <w:lang w:val="en-US" w:eastAsia="zh-CN" w:bidi="ar"/>
              </w:rPr>
              <w:t>成交供应商</w:t>
            </w:r>
            <w:r>
              <w:rPr>
                <w:rFonts w:hint="eastAsia" w:ascii="宋体" w:hAnsi="宋体" w:eastAsia="宋体" w:cs="宋体"/>
                <w:color w:val="auto"/>
                <w:sz w:val="21"/>
                <w:szCs w:val="21"/>
                <w:highlight w:val="none"/>
                <w:lang w:val="en-US" w:eastAsia="zh-CN"/>
              </w:rPr>
              <w:t>承担相应违约责任及相关法律责任</w:t>
            </w:r>
            <w:r>
              <w:rPr>
                <w:rFonts w:hint="eastAsia" w:ascii="宋体" w:hAnsi="宋体" w:eastAsia="宋体" w:cs="宋体"/>
                <w:color w:val="auto"/>
                <w:sz w:val="21"/>
                <w:szCs w:val="21"/>
                <w:highlight w:val="none"/>
              </w:rPr>
              <w:t>。</w:t>
            </w:r>
          </w:p>
          <w:p w14:paraId="73422B17">
            <w:pPr>
              <w:keepNext w:val="0"/>
              <w:keepLines w:val="0"/>
              <w:pageBreakBefore w:val="0"/>
              <w:widowControl w:val="0"/>
              <w:kinsoku/>
              <w:wordWrap/>
              <w:overflowPunct/>
              <w:autoSpaceDE/>
              <w:autoSpaceDN/>
              <w:bidi w:val="0"/>
              <w:adjustRightInd/>
              <w:snapToGrid/>
              <w:spacing w:line="400" w:lineRule="exact"/>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、其他要求</w:t>
            </w:r>
          </w:p>
          <w:p w14:paraId="29538D30">
            <w:pPr>
              <w:keepNext w:val="0"/>
              <w:keepLines w:val="0"/>
              <w:pageBreakBefore w:val="0"/>
              <w:widowControl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1.以</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en-US" w:eastAsia="zh-CN"/>
              </w:rPr>
              <w:t>小时</w:t>
            </w:r>
            <w:r>
              <w:rPr>
                <w:rFonts w:hint="eastAsia" w:ascii="宋体" w:hAnsi="宋体" w:eastAsia="宋体" w:cs="宋体"/>
                <w:color w:val="auto"/>
                <w:sz w:val="21"/>
                <w:szCs w:val="21"/>
                <w:highlight w:val="none"/>
              </w:rPr>
              <w:t>现场服务、电话、E-mail 等方式为用户提供完善的售前和售后技术咨询服务</w:t>
            </w:r>
            <w:r>
              <w:rPr>
                <w:rFonts w:hint="eastAsia" w:ascii="宋体" w:hAnsi="宋体" w:eastAsia="宋体" w:cs="宋体"/>
                <w:color w:val="auto"/>
                <w:sz w:val="21"/>
                <w:szCs w:val="21"/>
                <w:highlight w:val="none"/>
                <w:lang w:eastAsia="zh-CN"/>
              </w:rPr>
              <w:t>。</w:t>
            </w:r>
          </w:p>
          <w:p w14:paraId="56801242">
            <w:pPr>
              <w:keepNext w:val="0"/>
              <w:keepLines w:val="0"/>
              <w:pageBreakBefore w:val="0"/>
              <w:widowControl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接到故障通知，当赛事系统宕机时</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的技术工程师</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6小时内到达现场处理。</w:t>
            </w:r>
          </w:p>
          <w:p w14:paraId="69B40709">
            <w:pPr>
              <w:pStyle w:val="2"/>
              <w:keepNext w:val="0"/>
              <w:keepLines w:val="0"/>
              <w:pageBreakBefore w:val="0"/>
              <w:widowControl w:val="0"/>
              <w:kinsoku/>
              <w:wordWrap/>
              <w:overflowPunct/>
              <w:autoSpaceDE/>
              <w:autoSpaceDN/>
              <w:bidi w:val="0"/>
              <w:adjustRightInd/>
              <w:snapToGrid/>
              <w:spacing w:after="0" w:line="40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3.磋商供应商须为本项目服务实施投入至少5名的服务人员。</w:t>
            </w:r>
          </w:p>
          <w:p w14:paraId="6E4E4EFB">
            <w:pPr>
              <w:keepNext w:val="0"/>
              <w:keepLines w:val="0"/>
              <w:pageBreakBefore w:val="0"/>
              <w:widowControl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知识产权：采购人在中华人民共和国境内使用成交供应商提供的产品及服务时免受第三方提出的侵犯其专利权或其他知识产权的起诉。如果第三方提出侵权指控，成交供应商应承担由此而引起的一切法律责任和费用。</w:t>
            </w:r>
          </w:p>
        </w:tc>
      </w:tr>
    </w:tbl>
    <w:p w14:paraId="258A373A">
      <w:pPr>
        <w:pStyle w:val="30"/>
        <w:ind w:firstLine="0" w:firstLineChars="0"/>
        <w:rPr>
          <w:rFonts w:ascii="宋体" w:hAnsi="宋体" w:cs="宋体"/>
          <w:b/>
          <w:bCs/>
          <w:color w:val="auto"/>
          <w:kern w:val="21"/>
          <w:sz w:val="17"/>
          <w:szCs w:val="17"/>
          <w:highlight w:val="none"/>
        </w:rPr>
      </w:pPr>
      <w:r>
        <w:rPr>
          <w:rFonts w:hint="eastAsia" w:ascii="宋体" w:hAnsi="宋体" w:cs="宋体"/>
          <w:b/>
          <w:bCs/>
          <w:color w:val="auto"/>
          <w:kern w:val="21"/>
          <w:szCs w:val="32"/>
          <w:highlight w:val="none"/>
        </w:rPr>
        <w:br w:type="page"/>
      </w:r>
      <w:r>
        <w:rPr>
          <w:rFonts w:hint="eastAsia" w:ascii="宋体" w:hAnsi="宋体" w:cs="宋体"/>
          <w:b/>
          <w:bCs/>
          <w:color w:val="auto"/>
          <w:kern w:val="21"/>
          <w:szCs w:val="32"/>
          <w:highlight w:val="none"/>
        </w:rPr>
        <w:t>附件1：</w:t>
      </w:r>
    </w:p>
    <w:p w14:paraId="05757B76">
      <w:pPr>
        <w:spacing w:line="528" w:lineRule="exact"/>
        <w:jc w:val="center"/>
        <w:rPr>
          <w:rFonts w:ascii="宋体" w:hAnsi="宋体" w:cs="宋体"/>
          <w:color w:val="auto"/>
          <w:kern w:val="21"/>
          <w:sz w:val="40"/>
          <w:szCs w:val="40"/>
          <w:highlight w:val="none"/>
        </w:rPr>
      </w:pPr>
      <w:r>
        <w:rPr>
          <w:rFonts w:hint="eastAsia" w:ascii="Arial Unicode MS" w:hAnsi="Arial Unicode MS" w:eastAsia="Arial Unicode MS" w:cs="Arial Unicode MS"/>
          <w:b/>
          <w:bCs/>
          <w:color w:val="auto"/>
          <w:sz w:val="40"/>
          <w:szCs w:val="40"/>
          <w:highlight w:val="none"/>
        </w:rPr>
        <w:t>节能产品政府采购品目清单</w:t>
      </w:r>
    </w:p>
    <w:p w14:paraId="66A0BD6F">
      <w:pPr>
        <w:rPr>
          <w:rFonts w:ascii="宋体" w:hAnsi="宋体" w:cs="宋体"/>
          <w:color w:val="auto"/>
          <w:kern w:val="21"/>
          <w:sz w:val="20"/>
          <w:szCs w:val="20"/>
          <w:highlight w:val="none"/>
        </w:rPr>
      </w:pPr>
    </w:p>
    <w:tbl>
      <w:tblPr>
        <w:tblStyle w:val="3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16"/>
        <w:gridCol w:w="1516"/>
        <w:gridCol w:w="1612"/>
        <w:gridCol w:w="4335"/>
      </w:tblGrid>
      <w:tr w14:paraId="12001896">
        <w:tblPrEx>
          <w:tblCellMar>
            <w:top w:w="0" w:type="dxa"/>
            <w:left w:w="108" w:type="dxa"/>
            <w:bottom w:w="0" w:type="dxa"/>
            <w:right w:w="108" w:type="dxa"/>
          </w:tblCellMar>
        </w:tblPrEx>
        <w:trPr>
          <w:trHeight w:val="555" w:hRule="atLeast"/>
          <w:tblHeader/>
          <w:jc w:val="center"/>
        </w:trPr>
        <w:tc>
          <w:tcPr>
            <w:tcW w:w="770" w:type="dxa"/>
            <w:shd w:val="clear" w:color="auto" w:fill="D7D7D7"/>
            <w:noWrap w:val="0"/>
            <w:vAlign w:val="top"/>
          </w:tcPr>
          <w:p w14:paraId="079EC14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品目序号</w:t>
            </w:r>
          </w:p>
        </w:tc>
        <w:tc>
          <w:tcPr>
            <w:tcW w:w="4244" w:type="dxa"/>
            <w:gridSpan w:val="3"/>
            <w:shd w:val="clear" w:color="auto" w:fill="D7D7D7"/>
            <w:noWrap w:val="0"/>
            <w:vAlign w:val="center"/>
          </w:tcPr>
          <w:p w14:paraId="36270D1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名称</w:t>
            </w:r>
          </w:p>
        </w:tc>
        <w:tc>
          <w:tcPr>
            <w:tcW w:w="4335" w:type="dxa"/>
            <w:shd w:val="clear" w:color="auto" w:fill="D7D7D7"/>
            <w:noWrap w:val="0"/>
            <w:vAlign w:val="center"/>
          </w:tcPr>
          <w:p w14:paraId="08FFA9A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依据的标准</w:t>
            </w:r>
          </w:p>
        </w:tc>
      </w:tr>
      <w:tr w14:paraId="4BD2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noWrap w:val="0"/>
            <w:vAlign w:val="center"/>
          </w:tcPr>
          <w:p w14:paraId="5A5B18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116" w:type="dxa"/>
            <w:vMerge w:val="restart"/>
            <w:noWrap w:val="0"/>
            <w:vAlign w:val="center"/>
          </w:tcPr>
          <w:p w14:paraId="0CD3E3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A020101计算机设备</w:t>
            </w:r>
          </w:p>
        </w:tc>
        <w:tc>
          <w:tcPr>
            <w:tcW w:w="1516" w:type="dxa"/>
            <w:noWrap w:val="0"/>
            <w:vAlign w:val="center"/>
          </w:tcPr>
          <w:p w14:paraId="1D2DA6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★A02010104台式计算机</w:t>
            </w:r>
          </w:p>
        </w:tc>
        <w:tc>
          <w:tcPr>
            <w:tcW w:w="1612" w:type="dxa"/>
            <w:noWrap w:val="0"/>
            <w:vAlign w:val="center"/>
          </w:tcPr>
          <w:p w14:paraId="019015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0C2990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《微型计算机能效限定值及能效等级》（GB28380）</w:t>
            </w:r>
          </w:p>
        </w:tc>
      </w:tr>
      <w:tr w14:paraId="0E56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4D90509E">
            <w:pPr>
              <w:widowControl/>
              <w:jc w:val="left"/>
              <w:rPr>
                <w:rFonts w:ascii="宋体" w:hAnsi="宋体" w:cs="宋体"/>
                <w:color w:val="auto"/>
                <w:kern w:val="0"/>
                <w:sz w:val="18"/>
                <w:szCs w:val="18"/>
                <w:highlight w:val="none"/>
              </w:rPr>
            </w:pPr>
          </w:p>
        </w:tc>
        <w:tc>
          <w:tcPr>
            <w:tcW w:w="1116" w:type="dxa"/>
            <w:vMerge w:val="continue"/>
            <w:noWrap w:val="0"/>
            <w:vAlign w:val="center"/>
          </w:tcPr>
          <w:p w14:paraId="32991FFC">
            <w:pPr>
              <w:widowControl/>
              <w:jc w:val="left"/>
              <w:rPr>
                <w:rFonts w:ascii="宋体" w:hAnsi="宋体" w:cs="宋体"/>
                <w:color w:val="auto"/>
                <w:kern w:val="0"/>
                <w:sz w:val="18"/>
                <w:szCs w:val="18"/>
                <w:highlight w:val="none"/>
              </w:rPr>
            </w:pPr>
          </w:p>
        </w:tc>
        <w:tc>
          <w:tcPr>
            <w:tcW w:w="1516" w:type="dxa"/>
            <w:noWrap w:val="0"/>
            <w:vAlign w:val="center"/>
          </w:tcPr>
          <w:p w14:paraId="2AFC9A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★A02010105便携式计算机</w:t>
            </w:r>
          </w:p>
        </w:tc>
        <w:tc>
          <w:tcPr>
            <w:tcW w:w="1612" w:type="dxa"/>
            <w:noWrap w:val="0"/>
            <w:vAlign w:val="center"/>
          </w:tcPr>
          <w:p w14:paraId="7803C6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56AA13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《微型计算机能效限定值及能效等级》（GB28380）</w:t>
            </w:r>
          </w:p>
        </w:tc>
      </w:tr>
      <w:tr w14:paraId="701F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675840AD">
            <w:pPr>
              <w:widowControl/>
              <w:jc w:val="left"/>
              <w:rPr>
                <w:rFonts w:ascii="宋体" w:hAnsi="宋体" w:cs="宋体"/>
                <w:color w:val="auto"/>
                <w:kern w:val="0"/>
                <w:sz w:val="18"/>
                <w:szCs w:val="18"/>
                <w:highlight w:val="none"/>
              </w:rPr>
            </w:pPr>
          </w:p>
        </w:tc>
        <w:tc>
          <w:tcPr>
            <w:tcW w:w="1116" w:type="dxa"/>
            <w:vMerge w:val="continue"/>
            <w:noWrap w:val="0"/>
            <w:vAlign w:val="center"/>
          </w:tcPr>
          <w:p w14:paraId="40FD1DF6">
            <w:pPr>
              <w:widowControl/>
              <w:jc w:val="left"/>
              <w:rPr>
                <w:rFonts w:ascii="宋体" w:hAnsi="宋体" w:cs="宋体"/>
                <w:color w:val="auto"/>
                <w:kern w:val="0"/>
                <w:sz w:val="18"/>
                <w:szCs w:val="18"/>
                <w:highlight w:val="none"/>
              </w:rPr>
            </w:pPr>
          </w:p>
        </w:tc>
        <w:tc>
          <w:tcPr>
            <w:tcW w:w="1516" w:type="dxa"/>
            <w:noWrap w:val="0"/>
            <w:vAlign w:val="center"/>
          </w:tcPr>
          <w:p w14:paraId="5F07EB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★A02010107平板式微型计算机</w:t>
            </w:r>
          </w:p>
        </w:tc>
        <w:tc>
          <w:tcPr>
            <w:tcW w:w="1612" w:type="dxa"/>
            <w:noWrap w:val="0"/>
            <w:vAlign w:val="center"/>
          </w:tcPr>
          <w:p w14:paraId="0A62E7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74A7DB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《微型计算机能效限定值及能效等级》（GB28380）</w:t>
            </w:r>
          </w:p>
        </w:tc>
      </w:tr>
      <w:tr w14:paraId="4D91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noWrap w:val="0"/>
            <w:vAlign w:val="center"/>
          </w:tcPr>
          <w:p w14:paraId="2F77ED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116" w:type="dxa"/>
            <w:vMerge w:val="restart"/>
            <w:noWrap w:val="0"/>
            <w:vAlign w:val="center"/>
          </w:tcPr>
          <w:p w14:paraId="3CA0EE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A020106输入输出设备</w:t>
            </w:r>
          </w:p>
        </w:tc>
        <w:tc>
          <w:tcPr>
            <w:tcW w:w="1516" w:type="dxa"/>
            <w:vMerge w:val="restart"/>
            <w:noWrap w:val="0"/>
            <w:vAlign w:val="center"/>
          </w:tcPr>
          <w:p w14:paraId="1558D4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A02010601打印设备</w:t>
            </w:r>
          </w:p>
        </w:tc>
        <w:tc>
          <w:tcPr>
            <w:tcW w:w="1612" w:type="dxa"/>
            <w:noWrap w:val="0"/>
            <w:vAlign w:val="center"/>
          </w:tcPr>
          <w:p w14:paraId="79E097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A0201060101喷墨打印机</w:t>
            </w:r>
          </w:p>
        </w:tc>
        <w:tc>
          <w:tcPr>
            <w:tcW w:w="4335" w:type="dxa"/>
            <w:noWrap w:val="0"/>
            <w:vAlign w:val="center"/>
          </w:tcPr>
          <w:p w14:paraId="6C85C9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3F7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1A069290">
            <w:pPr>
              <w:widowControl/>
              <w:jc w:val="left"/>
              <w:rPr>
                <w:rFonts w:ascii="宋体" w:hAnsi="宋体" w:cs="宋体"/>
                <w:color w:val="auto"/>
                <w:kern w:val="0"/>
                <w:sz w:val="18"/>
                <w:szCs w:val="18"/>
                <w:highlight w:val="none"/>
              </w:rPr>
            </w:pPr>
          </w:p>
        </w:tc>
        <w:tc>
          <w:tcPr>
            <w:tcW w:w="1116" w:type="dxa"/>
            <w:vMerge w:val="continue"/>
            <w:noWrap w:val="0"/>
            <w:vAlign w:val="center"/>
          </w:tcPr>
          <w:p w14:paraId="12330BF7">
            <w:pPr>
              <w:widowControl/>
              <w:jc w:val="left"/>
              <w:rPr>
                <w:rFonts w:ascii="宋体" w:hAnsi="宋体" w:cs="宋体"/>
                <w:color w:val="auto"/>
                <w:kern w:val="0"/>
                <w:sz w:val="18"/>
                <w:szCs w:val="18"/>
                <w:highlight w:val="none"/>
              </w:rPr>
            </w:pPr>
          </w:p>
        </w:tc>
        <w:tc>
          <w:tcPr>
            <w:tcW w:w="1516" w:type="dxa"/>
            <w:vMerge w:val="continue"/>
            <w:noWrap w:val="0"/>
            <w:vAlign w:val="center"/>
          </w:tcPr>
          <w:p w14:paraId="4C5052CD">
            <w:pPr>
              <w:widowControl/>
              <w:jc w:val="left"/>
              <w:rPr>
                <w:rFonts w:ascii="宋体" w:hAnsi="宋体" w:cs="宋体"/>
                <w:color w:val="auto"/>
                <w:kern w:val="0"/>
                <w:sz w:val="18"/>
                <w:szCs w:val="18"/>
                <w:highlight w:val="none"/>
              </w:rPr>
            </w:pPr>
          </w:p>
        </w:tc>
        <w:tc>
          <w:tcPr>
            <w:tcW w:w="1612" w:type="dxa"/>
            <w:noWrap w:val="0"/>
            <w:vAlign w:val="center"/>
          </w:tcPr>
          <w:p w14:paraId="044C83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★A0201060102激光打印机</w:t>
            </w:r>
          </w:p>
        </w:tc>
        <w:tc>
          <w:tcPr>
            <w:tcW w:w="4335" w:type="dxa"/>
            <w:noWrap w:val="0"/>
            <w:vAlign w:val="center"/>
          </w:tcPr>
          <w:p w14:paraId="3F3A1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5A71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2FCA4736">
            <w:pPr>
              <w:widowControl/>
              <w:jc w:val="left"/>
              <w:rPr>
                <w:rFonts w:ascii="宋体" w:hAnsi="宋体" w:cs="宋体"/>
                <w:color w:val="auto"/>
                <w:kern w:val="0"/>
                <w:sz w:val="18"/>
                <w:szCs w:val="18"/>
                <w:highlight w:val="none"/>
              </w:rPr>
            </w:pPr>
          </w:p>
        </w:tc>
        <w:tc>
          <w:tcPr>
            <w:tcW w:w="1116" w:type="dxa"/>
            <w:vMerge w:val="continue"/>
            <w:noWrap w:val="0"/>
            <w:vAlign w:val="center"/>
          </w:tcPr>
          <w:p w14:paraId="15A409C8">
            <w:pPr>
              <w:widowControl/>
              <w:jc w:val="left"/>
              <w:rPr>
                <w:rFonts w:ascii="宋体" w:hAnsi="宋体" w:cs="宋体"/>
                <w:color w:val="auto"/>
                <w:kern w:val="0"/>
                <w:sz w:val="18"/>
                <w:szCs w:val="18"/>
                <w:highlight w:val="none"/>
              </w:rPr>
            </w:pPr>
          </w:p>
        </w:tc>
        <w:tc>
          <w:tcPr>
            <w:tcW w:w="1516" w:type="dxa"/>
            <w:vMerge w:val="continue"/>
            <w:noWrap w:val="0"/>
            <w:vAlign w:val="center"/>
          </w:tcPr>
          <w:p w14:paraId="0A0CAA51">
            <w:pPr>
              <w:widowControl/>
              <w:jc w:val="left"/>
              <w:rPr>
                <w:rFonts w:ascii="宋体" w:hAnsi="宋体" w:cs="宋体"/>
                <w:color w:val="auto"/>
                <w:kern w:val="0"/>
                <w:sz w:val="18"/>
                <w:szCs w:val="18"/>
                <w:highlight w:val="none"/>
              </w:rPr>
            </w:pPr>
          </w:p>
        </w:tc>
        <w:tc>
          <w:tcPr>
            <w:tcW w:w="1612" w:type="dxa"/>
            <w:noWrap w:val="0"/>
            <w:vAlign w:val="center"/>
          </w:tcPr>
          <w:p w14:paraId="2A399B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★A0201060104针式打印机</w:t>
            </w:r>
          </w:p>
        </w:tc>
        <w:tc>
          <w:tcPr>
            <w:tcW w:w="4335" w:type="dxa"/>
            <w:noWrap w:val="0"/>
            <w:vAlign w:val="center"/>
          </w:tcPr>
          <w:p w14:paraId="675248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661D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49CCACB2">
            <w:pPr>
              <w:widowControl/>
              <w:jc w:val="left"/>
              <w:rPr>
                <w:rFonts w:ascii="宋体" w:hAnsi="宋体" w:cs="宋体"/>
                <w:color w:val="auto"/>
                <w:kern w:val="0"/>
                <w:sz w:val="18"/>
                <w:szCs w:val="18"/>
                <w:highlight w:val="none"/>
              </w:rPr>
            </w:pPr>
          </w:p>
        </w:tc>
        <w:tc>
          <w:tcPr>
            <w:tcW w:w="1116" w:type="dxa"/>
            <w:vMerge w:val="continue"/>
            <w:noWrap w:val="0"/>
            <w:vAlign w:val="center"/>
          </w:tcPr>
          <w:p w14:paraId="6587631C">
            <w:pPr>
              <w:widowControl/>
              <w:jc w:val="left"/>
              <w:rPr>
                <w:rFonts w:ascii="宋体" w:hAnsi="宋体" w:cs="宋体"/>
                <w:color w:val="auto"/>
                <w:kern w:val="0"/>
                <w:sz w:val="18"/>
                <w:szCs w:val="18"/>
                <w:highlight w:val="none"/>
              </w:rPr>
            </w:pPr>
          </w:p>
        </w:tc>
        <w:tc>
          <w:tcPr>
            <w:tcW w:w="1516" w:type="dxa"/>
            <w:noWrap w:val="0"/>
            <w:vAlign w:val="center"/>
          </w:tcPr>
          <w:p w14:paraId="7ED554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A02010604显示设备</w:t>
            </w:r>
          </w:p>
        </w:tc>
        <w:tc>
          <w:tcPr>
            <w:tcW w:w="1612" w:type="dxa"/>
            <w:noWrap w:val="0"/>
            <w:vAlign w:val="center"/>
          </w:tcPr>
          <w:p w14:paraId="6B21F3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★A0201060401液晶显示器</w:t>
            </w:r>
          </w:p>
        </w:tc>
        <w:tc>
          <w:tcPr>
            <w:tcW w:w="4335" w:type="dxa"/>
            <w:noWrap w:val="0"/>
            <w:vAlign w:val="center"/>
          </w:tcPr>
          <w:p w14:paraId="7A51DB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《计算机显示器能效限定值及能效等级》（GB21520）</w:t>
            </w:r>
          </w:p>
        </w:tc>
      </w:tr>
      <w:tr w14:paraId="6729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0" w:type="dxa"/>
            <w:vMerge w:val="continue"/>
            <w:noWrap w:val="0"/>
            <w:vAlign w:val="center"/>
          </w:tcPr>
          <w:p w14:paraId="14C2A4E1">
            <w:pPr>
              <w:widowControl/>
              <w:jc w:val="left"/>
              <w:rPr>
                <w:rFonts w:ascii="宋体" w:hAnsi="宋体" w:cs="宋体"/>
                <w:color w:val="auto"/>
                <w:kern w:val="0"/>
                <w:sz w:val="18"/>
                <w:szCs w:val="18"/>
                <w:highlight w:val="none"/>
              </w:rPr>
            </w:pPr>
          </w:p>
        </w:tc>
        <w:tc>
          <w:tcPr>
            <w:tcW w:w="1116" w:type="dxa"/>
            <w:vMerge w:val="continue"/>
            <w:noWrap w:val="0"/>
            <w:vAlign w:val="center"/>
          </w:tcPr>
          <w:p w14:paraId="5CD1D4A8">
            <w:pPr>
              <w:widowControl/>
              <w:jc w:val="left"/>
              <w:rPr>
                <w:rFonts w:ascii="宋体" w:hAnsi="宋体" w:cs="宋体"/>
                <w:color w:val="auto"/>
                <w:kern w:val="0"/>
                <w:sz w:val="18"/>
                <w:szCs w:val="18"/>
                <w:highlight w:val="none"/>
              </w:rPr>
            </w:pPr>
          </w:p>
        </w:tc>
        <w:tc>
          <w:tcPr>
            <w:tcW w:w="1516" w:type="dxa"/>
            <w:noWrap w:val="0"/>
            <w:vAlign w:val="center"/>
          </w:tcPr>
          <w:p w14:paraId="56FEEE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A02010609图形图像输入设备</w:t>
            </w:r>
          </w:p>
        </w:tc>
        <w:tc>
          <w:tcPr>
            <w:tcW w:w="1612" w:type="dxa"/>
            <w:noWrap w:val="0"/>
            <w:vAlign w:val="center"/>
          </w:tcPr>
          <w:p w14:paraId="7FAE5B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A0201060901扫描仪</w:t>
            </w:r>
          </w:p>
        </w:tc>
        <w:tc>
          <w:tcPr>
            <w:tcW w:w="4335" w:type="dxa"/>
            <w:noWrap w:val="0"/>
            <w:vAlign w:val="center"/>
          </w:tcPr>
          <w:p w14:paraId="4058F5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参照《复印机、打印机和传真机能效限定值及能效等级》（GB21521</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中打印速度为15页/分的针式打印机相关要求</w:t>
            </w:r>
          </w:p>
        </w:tc>
      </w:tr>
      <w:tr w14:paraId="5A09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20CDEB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16" w:type="dxa"/>
            <w:noWrap w:val="0"/>
            <w:vAlign w:val="center"/>
          </w:tcPr>
          <w:p w14:paraId="20886C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A020202投影仪</w:t>
            </w:r>
          </w:p>
        </w:tc>
        <w:tc>
          <w:tcPr>
            <w:tcW w:w="1516" w:type="dxa"/>
            <w:noWrap w:val="0"/>
            <w:vAlign w:val="center"/>
          </w:tcPr>
          <w:p w14:paraId="5AC3E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noWrap w:val="0"/>
            <w:vAlign w:val="center"/>
          </w:tcPr>
          <w:p w14:paraId="5FE7BC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24BAF4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《投影机能效限定值及能效等级》（GB32028）</w:t>
            </w:r>
          </w:p>
        </w:tc>
      </w:tr>
      <w:tr w14:paraId="629B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6A1AA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16" w:type="dxa"/>
            <w:noWrap w:val="0"/>
            <w:vAlign w:val="center"/>
          </w:tcPr>
          <w:p w14:paraId="1FAB80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A020204多功能一体机</w:t>
            </w:r>
          </w:p>
        </w:tc>
        <w:tc>
          <w:tcPr>
            <w:tcW w:w="1516" w:type="dxa"/>
            <w:noWrap w:val="0"/>
            <w:vAlign w:val="center"/>
          </w:tcPr>
          <w:p w14:paraId="4D6528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noWrap w:val="0"/>
            <w:vAlign w:val="center"/>
          </w:tcPr>
          <w:p w14:paraId="17E16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159790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《复印机、打印机和传真机能效限定值及能效等级》（GB21521）</w:t>
            </w:r>
          </w:p>
        </w:tc>
      </w:tr>
      <w:tr w14:paraId="7F1C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718D87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16" w:type="dxa"/>
            <w:noWrap w:val="0"/>
            <w:vAlign w:val="center"/>
          </w:tcPr>
          <w:p w14:paraId="673A77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A020519泵</w:t>
            </w:r>
          </w:p>
        </w:tc>
        <w:tc>
          <w:tcPr>
            <w:tcW w:w="1516" w:type="dxa"/>
            <w:noWrap w:val="0"/>
            <w:vAlign w:val="center"/>
          </w:tcPr>
          <w:p w14:paraId="25CC1F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A02051901离心泵</w:t>
            </w:r>
          </w:p>
        </w:tc>
        <w:tc>
          <w:tcPr>
            <w:tcW w:w="1612" w:type="dxa"/>
            <w:noWrap w:val="0"/>
            <w:vAlign w:val="center"/>
          </w:tcPr>
          <w:p w14:paraId="66819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673046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《清水离心泵能效限定值及节能评价值》（GB19762）</w:t>
            </w:r>
          </w:p>
        </w:tc>
      </w:tr>
      <w:tr w14:paraId="7938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restart"/>
            <w:noWrap w:val="0"/>
            <w:vAlign w:val="center"/>
          </w:tcPr>
          <w:p w14:paraId="5FBEDC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16" w:type="dxa"/>
            <w:vMerge w:val="restart"/>
            <w:noWrap w:val="0"/>
            <w:vAlign w:val="center"/>
          </w:tcPr>
          <w:p w14:paraId="4173BB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A020523制冷空调设备</w:t>
            </w:r>
          </w:p>
        </w:tc>
        <w:tc>
          <w:tcPr>
            <w:tcW w:w="1516" w:type="dxa"/>
            <w:vMerge w:val="restart"/>
            <w:noWrap w:val="0"/>
            <w:vAlign w:val="center"/>
          </w:tcPr>
          <w:p w14:paraId="5972BD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★A02052301制冷压缩机</w:t>
            </w:r>
          </w:p>
        </w:tc>
        <w:tc>
          <w:tcPr>
            <w:tcW w:w="1612" w:type="dxa"/>
            <w:noWrap w:val="0"/>
            <w:vAlign w:val="center"/>
          </w:tcPr>
          <w:p w14:paraId="386AD8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冷水机组</w:t>
            </w:r>
          </w:p>
        </w:tc>
        <w:tc>
          <w:tcPr>
            <w:tcW w:w="4335" w:type="dxa"/>
            <w:noWrap w:val="0"/>
            <w:vAlign w:val="center"/>
          </w:tcPr>
          <w:p w14:paraId="3991AD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《冷水机组能效限定值及能效等级》（GB19577），《低环境温度空气源热泵（冷水）机组能效限定值及能效等级》（GB37480）</w:t>
            </w:r>
          </w:p>
        </w:tc>
      </w:tr>
      <w:tr w14:paraId="6F08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0DAA3EC9">
            <w:pPr>
              <w:widowControl/>
              <w:jc w:val="left"/>
              <w:rPr>
                <w:rFonts w:ascii="宋体" w:hAnsi="宋体" w:cs="宋体"/>
                <w:color w:val="auto"/>
                <w:kern w:val="0"/>
                <w:sz w:val="18"/>
                <w:szCs w:val="18"/>
                <w:highlight w:val="none"/>
              </w:rPr>
            </w:pPr>
          </w:p>
        </w:tc>
        <w:tc>
          <w:tcPr>
            <w:tcW w:w="1116" w:type="dxa"/>
            <w:vMerge w:val="continue"/>
            <w:noWrap w:val="0"/>
            <w:vAlign w:val="center"/>
          </w:tcPr>
          <w:p w14:paraId="541EF8B6">
            <w:pPr>
              <w:widowControl/>
              <w:jc w:val="left"/>
              <w:rPr>
                <w:rFonts w:ascii="宋体" w:hAnsi="宋体" w:cs="宋体"/>
                <w:color w:val="auto"/>
                <w:kern w:val="0"/>
                <w:sz w:val="18"/>
                <w:szCs w:val="18"/>
                <w:highlight w:val="none"/>
              </w:rPr>
            </w:pPr>
          </w:p>
        </w:tc>
        <w:tc>
          <w:tcPr>
            <w:tcW w:w="1516" w:type="dxa"/>
            <w:vMerge w:val="continue"/>
            <w:noWrap w:val="0"/>
            <w:vAlign w:val="center"/>
          </w:tcPr>
          <w:p w14:paraId="264A9B82">
            <w:pPr>
              <w:widowControl/>
              <w:jc w:val="left"/>
              <w:rPr>
                <w:rFonts w:ascii="宋体" w:hAnsi="宋体" w:cs="宋体"/>
                <w:color w:val="auto"/>
                <w:kern w:val="0"/>
                <w:sz w:val="18"/>
                <w:szCs w:val="18"/>
                <w:highlight w:val="none"/>
              </w:rPr>
            </w:pPr>
          </w:p>
        </w:tc>
        <w:tc>
          <w:tcPr>
            <w:tcW w:w="1612" w:type="dxa"/>
            <w:noWrap w:val="0"/>
            <w:vAlign w:val="center"/>
          </w:tcPr>
          <w:p w14:paraId="4D23C3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水源热泵机组</w:t>
            </w:r>
          </w:p>
        </w:tc>
        <w:tc>
          <w:tcPr>
            <w:tcW w:w="4335" w:type="dxa"/>
            <w:noWrap w:val="0"/>
            <w:vAlign w:val="center"/>
          </w:tcPr>
          <w:p w14:paraId="61E188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《水（地）源热泵机组能效限定值及能效等级》（GB30721）</w:t>
            </w:r>
          </w:p>
        </w:tc>
      </w:tr>
      <w:tr w14:paraId="395E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7D4E8842">
            <w:pPr>
              <w:widowControl/>
              <w:jc w:val="left"/>
              <w:rPr>
                <w:rFonts w:ascii="宋体" w:hAnsi="宋体" w:cs="宋体"/>
                <w:color w:val="auto"/>
                <w:kern w:val="0"/>
                <w:sz w:val="18"/>
                <w:szCs w:val="18"/>
                <w:highlight w:val="none"/>
              </w:rPr>
            </w:pPr>
          </w:p>
        </w:tc>
        <w:tc>
          <w:tcPr>
            <w:tcW w:w="1116" w:type="dxa"/>
            <w:vMerge w:val="continue"/>
            <w:noWrap w:val="0"/>
            <w:vAlign w:val="center"/>
          </w:tcPr>
          <w:p w14:paraId="041DB981">
            <w:pPr>
              <w:widowControl/>
              <w:jc w:val="left"/>
              <w:rPr>
                <w:rFonts w:ascii="宋体" w:hAnsi="宋体" w:cs="宋体"/>
                <w:color w:val="auto"/>
                <w:kern w:val="0"/>
                <w:sz w:val="18"/>
                <w:szCs w:val="18"/>
                <w:highlight w:val="none"/>
              </w:rPr>
            </w:pPr>
          </w:p>
        </w:tc>
        <w:tc>
          <w:tcPr>
            <w:tcW w:w="1516" w:type="dxa"/>
            <w:vMerge w:val="continue"/>
            <w:noWrap w:val="0"/>
            <w:vAlign w:val="center"/>
          </w:tcPr>
          <w:p w14:paraId="1F2B96F1">
            <w:pPr>
              <w:widowControl/>
              <w:jc w:val="left"/>
              <w:rPr>
                <w:rFonts w:ascii="宋体" w:hAnsi="宋体" w:cs="宋体"/>
                <w:color w:val="auto"/>
                <w:kern w:val="0"/>
                <w:sz w:val="18"/>
                <w:szCs w:val="18"/>
                <w:highlight w:val="none"/>
              </w:rPr>
            </w:pPr>
          </w:p>
        </w:tc>
        <w:tc>
          <w:tcPr>
            <w:tcW w:w="1612" w:type="dxa"/>
            <w:noWrap w:val="0"/>
            <w:vAlign w:val="center"/>
          </w:tcPr>
          <w:p w14:paraId="16CF5A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溴化锂吸收式冷水机组</w:t>
            </w:r>
          </w:p>
        </w:tc>
        <w:tc>
          <w:tcPr>
            <w:tcW w:w="4335" w:type="dxa"/>
            <w:noWrap w:val="0"/>
            <w:vAlign w:val="center"/>
          </w:tcPr>
          <w:p w14:paraId="581158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《溴化锂吸收式冷水机组能效限定值及能效等级》（GB29540）</w:t>
            </w:r>
          </w:p>
        </w:tc>
      </w:tr>
      <w:tr w14:paraId="66C2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647301A5">
            <w:pPr>
              <w:widowControl/>
              <w:jc w:val="left"/>
              <w:rPr>
                <w:rFonts w:ascii="宋体" w:hAnsi="宋体" w:cs="宋体"/>
                <w:color w:val="auto"/>
                <w:kern w:val="0"/>
                <w:sz w:val="18"/>
                <w:szCs w:val="18"/>
                <w:highlight w:val="none"/>
              </w:rPr>
            </w:pPr>
          </w:p>
        </w:tc>
        <w:tc>
          <w:tcPr>
            <w:tcW w:w="1116" w:type="dxa"/>
            <w:vMerge w:val="continue"/>
            <w:noWrap w:val="0"/>
            <w:vAlign w:val="center"/>
          </w:tcPr>
          <w:p w14:paraId="4B5BDC86">
            <w:pPr>
              <w:widowControl/>
              <w:jc w:val="left"/>
              <w:rPr>
                <w:rFonts w:ascii="宋体" w:hAnsi="宋体" w:cs="宋体"/>
                <w:color w:val="auto"/>
                <w:kern w:val="0"/>
                <w:sz w:val="18"/>
                <w:szCs w:val="18"/>
                <w:highlight w:val="none"/>
              </w:rPr>
            </w:pPr>
          </w:p>
        </w:tc>
        <w:tc>
          <w:tcPr>
            <w:tcW w:w="1516" w:type="dxa"/>
            <w:vMerge w:val="restart"/>
            <w:noWrap w:val="0"/>
            <w:vAlign w:val="center"/>
          </w:tcPr>
          <w:p w14:paraId="6966B4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★A02052305空调机组</w:t>
            </w:r>
          </w:p>
        </w:tc>
        <w:tc>
          <w:tcPr>
            <w:tcW w:w="1612" w:type="dxa"/>
            <w:noWrap w:val="0"/>
            <w:vAlign w:val="center"/>
          </w:tcPr>
          <w:p w14:paraId="6479EDF2">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多联式空调（热泵）机组</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制冷量&gt;14000W</w:t>
            </w:r>
            <w:r>
              <w:rPr>
                <w:rFonts w:hint="eastAsia" w:ascii="宋体" w:hAnsi="宋体" w:cs="宋体"/>
                <w:color w:val="auto"/>
                <w:kern w:val="0"/>
                <w:sz w:val="18"/>
                <w:szCs w:val="18"/>
                <w:highlight w:val="none"/>
                <w:lang w:eastAsia="zh-CN"/>
              </w:rPr>
              <w:t>）</w:t>
            </w:r>
          </w:p>
        </w:tc>
        <w:tc>
          <w:tcPr>
            <w:tcW w:w="4335" w:type="dxa"/>
            <w:noWrap w:val="0"/>
            <w:vAlign w:val="center"/>
          </w:tcPr>
          <w:p w14:paraId="781424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《多联式空调（热泵）机组能效限定值及能源效率等级》（GB21454）</w:t>
            </w:r>
          </w:p>
        </w:tc>
      </w:tr>
      <w:tr w14:paraId="4901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34F0CC8F">
            <w:pPr>
              <w:widowControl/>
              <w:jc w:val="left"/>
              <w:rPr>
                <w:rFonts w:ascii="宋体" w:hAnsi="宋体" w:cs="宋体"/>
                <w:color w:val="auto"/>
                <w:kern w:val="0"/>
                <w:sz w:val="18"/>
                <w:szCs w:val="18"/>
                <w:highlight w:val="none"/>
              </w:rPr>
            </w:pPr>
          </w:p>
        </w:tc>
        <w:tc>
          <w:tcPr>
            <w:tcW w:w="1116" w:type="dxa"/>
            <w:vMerge w:val="continue"/>
            <w:noWrap w:val="0"/>
            <w:vAlign w:val="center"/>
          </w:tcPr>
          <w:p w14:paraId="3D2E4E68">
            <w:pPr>
              <w:widowControl/>
              <w:jc w:val="left"/>
              <w:rPr>
                <w:rFonts w:ascii="宋体" w:hAnsi="宋体" w:cs="宋体"/>
                <w:color w:val="auto"/>
                <w:kern w:val="0"/>
                <w:sz w:val="18"/>
                <w:szCs w:val="18"/>
                <w:highlight w:val="none"/>
              </w:rPr>
            </w:pPr>
          </w:p>
        </w:tc>
        <w:tc>
          <w:tcPr>
            <w:tcW w:w="1516" w:type="dxa"/>
            <w:vMerge w:val="continue"/>
            <w:noWrap w:val="0"/>
            <w:vAlign w:val="center"/>
          </w:tcPr>
          <w:p w14:paraId="3330146E">
            <w:pPr>
              <w:widowControl/>
              <w:jc w:val="left"/>
              <w:rPr>
                <w:rFonts w:ascii="宋体" w:hAnsi="宋体" w:cs="宋体"/>
                <w:color w:val="auto"/>
                <w:kern w:val="0"/>
                <w:sz w:val="18"/>
                <w:szCs w:val="18"/>
                <w:highlight w:val="none"/>
              </w:rPr>
            </w:pPr>
          </w:p>
        </w:tc>
        <w:tc>
          <w:tcPr>
            <w:tcW w:w="1612" w:type="dxa"/>
            <w:noWrap w:val="0"/>
            <w:vAlign w:val="center"/>
          </w:tcPr>
          <w:p w14:paraId="73D8BA79">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单元式空气调节机</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制冷量&gt;14000W</w:t>
            </w:r>
            <w:r>
              <w:rPr>
                <w:rFonts w:hint="eastAsia" w:ascii="宋体" w:hAnsi="宋体" w:cs="宋体"/>
                <w:color w:val="auto"/>
                <w:kern w:val="0"/>
                <w:sz w:val="18"/>
                <w:szCs w:val="18"/>
                <w:highlight w:val="none"/>
                <w:lang w:eastAsia="zh-CN"/>
              </w:rPr>
              <w:t>）</w:t>
            </w:r>
          </w:p>
        </w:tc>
        <w:tc>
          <w:tcPr>
            <w:tcW w:w="4335" w:type="dxa"/>
            <w:noWrap w:val="0"/>
            <w:vAlign w:val="center"/>
          </w:tcPr>
          <w:p w14:paraId="0A7644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《单元式空气调节机能效限定值及能效等级》（GB19576）《风管送风式空调机组能效限定值及能效等级》（GB37479）</w:t>
            </w:r>
          </w:p>
        </w:tc>
      </w:tr>
      <w:tr w14:paraId="2CFC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3AD74010">
            <w:pPr>
              <w:widowControl/>
              <w:jc w:val="left"/>
              <w:rPr>
                <w:rFonts w:ascii="宋体" w:hAnsi="宋体" w:cs="宋体"/>
                <w:color w:val="auto"/>
                <w:kern w:val="0"/>
                <w:sz w:val="18"/>
                <w:szCs w:val="18"/>
                <w:highlight w:val="none"/>
              </w:rPr>
            </w:pPr>
          </w:p>
        </w:tc>
        <w:tc>
          <w:tcPr>
            <w:tcW w:w="1116" w:type="dxa"/>
            <w:vMerge w:val="continue"/>
            <w:noWrap w:val="0"/>
            <w:vAlign w:val="center"/>
          </w:tcPr>
          <w:p w14:paraId="4A0B693E">
            <w:pPr>
              <w:widowControl/>
              <w:jc w:val="left"/>
              <w:rPr>
                <w:rFonts w:ascii="宋体" w:hAnsi="宋体" w:cs="宋体"/>
                <w:color w:val="auto"/>
                <w:kern w:val="0"/>
                <w:sz w:val="18"/>
                <w:szCs w:val="18"/>
                <w:highlight w:val="none"/>
              </w:rPr>
            </w:pPr>
          </w:p>
        </w:tc>
        <w:tc>
          <w:tcPr>
            <w:tcW w:w="1516" w:type="dxa"/>
            <w:noWrap w:val="0"/>
            <w:vAlign w:val="center"/>
          </w:tcPr>
          <w:p w14:paraId="753376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★A02052309专用制冷、空调设备</w:t>
            </w:r>
          </w:p>
        </w:tc>
        <w:tc>
          <w:tcPr>
            <w:tcW w:w="1612" w:type="dxa"/>
            <w:noWrap w:val="0"/>
            <w:vAlign w:val="center"/>
          </w:tcPr>
          <w:p w14:paraId="4F8192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机房空调</w:t>
            </w:r>
          </w:p>
        </w:tc>
        <w:tc>
          <w:tcPr>
            <w:tcW w:w="4335" w:type="dxa"/>
            <w:noWrap w:val="0"/>
            <w:vAlign w:val="center"/>
          </w:tcPr>
          <w:p w14:paraId="40507C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《单元式空气调节机能效限定值及能效等级》（GB19576）</w:t>
            </w:r>
          </w:p>
        </w:tc>
      </w:tr>
      <w:tr w14:paraId="2198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5E409A2A">
            <w:pPr>
              <w:widowControl/>
              <w:jc w:val="left"/>
              <w:rPr>
                <w:rFonts w:ascii="宋体" w:hAnsi="宋体" w:cs="宋体"/>
                <w:color w:val="auto"/>
                <w:kern w:val="0"/>
                <w:sz w:val="18"/>
                <w:szCs w:val="18"/>
                <w:highlight w:val="none"/>
              </w:rPr>
            </w:pPr>
          </w:p>
        </w:tc>
        <w:tc>
          <w:tcPr>
            <w:tcW w:w="1116" w:type="dxa"/>
            <w:vMerge w:val="continue"/>
            <w:noWrap w:val="0"/>
            <w:vAlign w:val="center"/>
          </w:tcPr>
          <w:p w14:paraId="401B9888">
            <w:pPr>
              <w:widowControl/>
              <w:jc w:val="left"/>
              <w:rPr>
                <w:rFonts w:ascii="宋体" w:hAnsi="宋体" w:cs="宋体"/>
                <w:color w:val="auto"/>
                <w:kern w:val="0"/>
                <w:sz w:val="18"/>
                <w:szCs w:val="18"/>
                <w:highlight w:val="none"/>
              </w:rPr>
            </w:pPr>
          </w:p>
        </w:tc>
        <w:tc>
          <w:tcPr>
            <w:tcW w:w="1516" w:type="dxa"/>
            <w:noWrap w:val="0"/>
            <w:vAlign w:val="center"/>
          </w:tcPr>
          <w:p w14:paraId="50AA83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A02052399其他制冷空调设备</w:t>
            </w:r>
          </w:p>
        </w:tc>
        <w:tc>
          <w:tcPr>
            <w:tcW w:w="1612" w:type="dxa"/>
            <w:noWrap w:val="0"/>
            <w:vAlign w:val="center"/>
          </w:tcPr>
          <w:p w14:paraId="45F2F4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冷却塔</w:t>
            </w:r>
          </w:p>
        </w:tc>
        <w:tc>
          <w:tcPr>
            <w:tcW w:w="4335" w:type="dxa"/>
            <w:noWrap w:val="0"/>
            <w:vAlign w:val="center"/>
          </w:tcPr>
          <w:p w14:paraId="78FAC6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《机械通风冷却塔第1部分：中小型开式冷却塔》（GB/T7190.1）；《机械通风冷却塔第2部分：大型开式冷却塔》（GB/T7190.2）</w:t>
            </w:r>
          </w:p>
        </w:tc>
      </w:tr>
      <w:tr w14:paraId="5547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158AED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116" w:type="dxa"/>
            <w:noWrap w:val="0"/>
            <w:vAlign w:val="center"/>
          </w:tcPr>
          <w:p w14:paraId="7DB588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A020601电机</w:t>
            </w:r>
          </w:p>
        </w:tc>
        <w:tc>
          <w:tcPr>
            <w:tcW w:w="1516" w:type="dxa"/>
            <w:noWrap w:val="0"/>
            <w:vAlign w:val="center"/>
          </w:tcPr>
          <w:p w14:paraId="7E6BAF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noWrap w:val="0"/>
            <w:vAlign w:val="center"/>
          </w:tcPr>
          <w:p w14:paraId="6E317A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7F5EB7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《中小型三相异步电动机能效限定值及能效等级》（GB18613）</w:t>
            </w:r>
          </w:p>
        </w:tc>
      </w:tr>
      <w:tr w14:paraId="0194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5F1380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116" w:type="dxa"/>
            <w:noWrap w:val="0"/>
            <w:vAlign w:val="center"/>
          </w:tcPr>
          <w:p w14:paraId="3C12E2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A020602变压器</w:t>
            </w:r>
          </w:p>
        </w:tc>
        <w:tc>
          <w:tcPr>
            <w:tcW w:w="1516" w:type="dxa"/>
            <w:noWrap w:val="0"/>
            <w:vAlign w:val="center"/>
          </w:tcPr>
          <w:p w14:paraId="07FC78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配电变压器</w:t>
            </w:r>
          </w:p>
        </w:tc>
        <w:tc>
          <w:tcPr>
            <w:tcW w:w="1612" w:type="dxa"/>
            <w:noWrap w:val="0"/>
            <w:vAlign w:val="center"/>
          </w:tcPr>
          <w:p w14:paraId="0BAC04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577560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《三相配电变压器能效限定值及能效等级》（GB20052）</w:t>
            </w:r>
          </w:p>
        </w:tc>
      </w:tr>
      <w:tr w14:paraId="35A6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676808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116" w:type="dxa"/>
            <w:noWrap w:val="0"/>
            <w:vAlign w:val="center"/>
          </w:tcPr>
          <w:p w14:paraId="05589B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★A020609镇流器</w:t>
            </w:r>
          </w:p>
        </w:tc>
        <w:tc>
          <w:tcPr>
            <w:tcW w:w="1516" w:type="dxa"/>
            <w:noWrap w:val="0"/>
            <w:vAlign w:val="center"/>
          </w:tcPr>
          <w:p w14:paraId="478996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管型荧光灯镇流器</w:t>
            </w:r>
          </w:p>
        </w:tc>
        <w:tc>
          <w:tcPr>
            <w:tcW w:w="1612" w:type="dxa"/>
            <w:noWrap w:val="0"/>
            <w:vAlign w:val="center"/>
          </w:tcPr>
          <w:p w14:paraId="19DD5D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1E6EC4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《管形荧光灯镇流器能效限定值及能效等级》（GB17896）</w:t>
            </w:r>
          </w:p>
        </w:tc>
      </w:tr>
      <w:tr w14:paraId="748F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noWrap w:val="0"/>
            <w:vAlign w:val="center"/>
          </w:tcPr>
          <w:p w14:paraId="12C57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116" w:type="dxa"/>
            <w:vMerge w:val="restart"/>
            <w:noWrap w:val="0"/>
            <w:vAlign w:val="center"/>
          </w:tcPr>
          <w:p w14:paraId="7635DF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A020618生活用电器</w:t>
            </w:r>
          </w:p>
        </w:tc>
        <w:tc>
          <w:tcPr>
            <w:tcW w:w="1516" w:type="dxa"/>
            <w:noWrap w:val="0"/>
            <w:vAlign w:val="center"/>
          </w:tcPr>
          <w:p w14:paraId="5AD800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A0206180101电冰箱</w:t>
            </w:r>
          </w:p>
        </w:tc>
        <w:tc>
          <w:tcPr>
            <w:tcW w:w="1612" w:type="dxa"/>
            <w:noWrap w:val="0"/>
            <w:vAlign w:val="center"/>
          </w:tcPr>
          <w:p w14:paraId="17C7FC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5A3074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《家用电冰箱耗电量限定值及能效等级》（GB 12021.2）</w:t>
            </w:r>
          </w:p>
        </w:tc>
      </w:tr>
      <w:tr w14:paraId="65CC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0" w:type="dxa"/>
            <w:vMerge w:val="continue"/>
            <w:noWrap w:val="0"/>
            <w:vAlign w:val="center"/>
          </w:tcPr>
          <w:p w14:paraId="3C9463DC">
            <w:pPr>
              <w:widowControl/>
              <w:jc w:val="left"/>
              <w:rPr>
                <w:rFonts w:ascii="宋体" w:hAnsi="宋体" w:cs="宋体"/>
                <w:color w:val="auto"/>
                <w:kern w:val="0"/>
                <w:sz w:val="18"/>
                <w:szCs w:val="18"/>
                <w:highlight w:val="none"/>
              </w:rPr>
            </w:pPr>
          </w:p>
        </w:tc>
        <w:tc>
          <w:tcPr>
            <w:tcW w:w="1116" w:type="dxa"/>
            <w:vMerge w:val="continue"/>
            <w:noWrap w:val="0"/>
            <w:vAlign w:val="center"/>
          </w:tcPr>
          <w:p w14:paraId="4ADE915E">
            <w:pPr>
              <w:widowControl/>
              <w:jc w:val="left"/>
              <w:rPr>
                <w:rFonts w:ascii="宋体" w:hAnsi="宋体" w:cs="宋体"/>
                <w:color w:val="auto"/>
                <w:kern w:val="0"/>
                <w:sz w:val="18"/>
                <w:szCs w:val="18"/>
                <w:highlight w:val="none"/>
              </w:rPr>
            </w:pPr>
          </w:p>
        </w:tc>
        <w:tc>
          <w:tcPr>
            <w:tcW w:w="1516" w:type="dxa"/>
            <w:vMerge w:val="restart"/>
            <w:noWrap w:val="0"/>
            <w:vAlign w:val="center"/>
          </w:tcPr>
          <w:p w14:paraId="55F550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★A0206180203空调机</w:t>
            </w:r>
          </w:p>
        </w:tc>
        <w:tc>
          <w:tcPr>
            <w:tcW w:w="1612" w:type="dxa"/>
            <w:noWrap w:val="0"/>
            <w:vAlign w:val="center"/>
          </w:tcPr>
          <w:p w14:paraId="57104D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房间空气调节器</w:t>
            </w:r>
          </w:p>
        </w:tc>
        <w:tc>
          <w:tcPr>
            <w:tcW w:w="4335" w:type="dxa"/>
            <w:noWrap w:val="0"/>
            <w:vAlign w:val="center"/>
          </w:tcPr>
          <w:p w14:paraId="19F1D9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《转速可控型房间空气调节器能效限定值及能效等级》（GB21455-2013），待2019年修订发布后，按《房间空气调节器能效限定值及能效等级》</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GB21455-2019</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实施。</w:t>
            </w:r>
          </w:p>
        </w:tc>
      </w:tr>
      <w:tr w14:paraId="1196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08866EA2">
            <w:pPr>
              <w:widowControl/>
              <w:jc w:val="left"/>
              <w:rPr>
                <w:rFonts w:ascii="宋体" w:hAnsi="宋体" w:cs="宋体"/>
                <w:color w:val="auto"/>
                <w:kern w:val="0"/>
                <w:sz w:val="18"/>
                <w:szCs w:val="18"/>
                <w:highlight w:val="none"/>
              </w:rPr>
            </w:pPr>
          </w:p>
        </w:tc>
        <w:tc>
          <w:tcPr>
            <w:tcW w:w="1116" w:type="dxa"/>
            <w:vMerge w:val="continue"/>
            <w:noWrap w:val="0"/>
            <w:vAlign w:val="center"/>
          </w:tcPr>
          <w:p w14:paraId="5969064E">
            <w:pPr>
              <w:widowControl/>
              <w:jc w:val="left"/>
              <w:rPr>
                <w:rFonts w:ascii="宋体" w:hAnsi="宋体" w:cs="宋体"/>
                <w:color w:val="auto"/>
                <w:kern w:val="0"/>
                <w:sz w:val="18"/>
                <w:szCs w:val="18"/>
                <w:highlight w:val="none"/>
              </w:rPr>
            </w:pPr>
          </w:p>
        </w:tc>
        <w:tc>
          <w:tcPr>
            <w:tcW w:w="1516" w:type="dxa"/>
            <w:vMerge w:val="continue"/>
            <w:noWrap w:val="0"/>
            <w:vAlign w:val="center"/>
          </w:tcPr>
          <w:p w14:paraId="7B909A71">
            <w:pPr>
              <w:widowControl/>
              <w:jc w:val="left"/>
              <w:rPr>
                <w:rFonts w:ascii="宋体" w:hAnsi="宋体" w:cs="宋体"/>
                <w:color w:val="auto"/>
                <w:kern w:val="0"/>
                <w:sz w:val="18"/>
                <w:szCs w:val="18"/>
                <w:highlight w:val="none"/>
              </w:rPr>
            </w:pPr>
          </w:p>
        </w:tc>
        <w:tc>
          <w:tcPr>
            <w:tcW w:w="1612" w:type="dxa"/>
            <w:noWrap w:val="0"/>
            <w:vAlign w:val="center"/>
          </w:tcPr>
          <w:p w14:paraId="61D7CF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多联式空调（热泵）机组（制冷量≤ 14000W）</w:t>
            </w:r>
          </w:p>
        </w:tc>
        <w:tc>
          <w:tcPr>
            <w:tcW w:w="4335" w:type="dxa"/>
            <w:noWrap w:val="0"/>
            <w:vAlign w:val="center"/>
          </w:tcPr>
          <w:p w14:paraId="3AA3DA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《多联式空调（热泵）机组能效限定值及能源效率等级》（GB21454）</w:t>
            </w:r>
          </w:p>
        </w:tc>
      </w:tr>
      <w:tr w14:paraId="476A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12FEE3F2">
            <w:pPr>
              <w:widowControl/>
              <w:jc w:val="left"/>
              <w:rPr>
                <w:rFonts w:ascii="宋体" w:hAnsi="宋体" w:cs="宋体"/>
                <w:color w:val="auto"/>
                <w:kern w:val="0"/>
                <w:sz w:val="18"/>
                <w:szCs w:val="18"/>
                <w:highlight w:val="none"/>
              </w:rPr>
            </w:pPr>
          </w:p>
        </w:tc>
        <w:tc>
          <w:tcPr>
            <w:tcW w:w="1116" w:type="dxa"/>
            <w:vMerge w:val="continue"/>
            <w:noWrap w:val="0"/>
            <w:vAlign w:val="center"/>
          </w:tcPr>
          <w:p w14:paraId="4EA416D2">
            <w:pPr>
              <w:widowControl/>
              <w:jc w:val="left"/>
              <w:rPr>
                <w:rFonts w:ascii="宋体" w:hAnsi="宋体" w:cs="宋体"/>
                <w:color w:val="auto"/>
                <w:kern w:val="0"/>
                <w:sz w:val="18"/>
                <w:szCs w:val="18"/>
                <w:highlight w:val="none"/>
              </w:rPr>
            </w:pPr>
          </w:p>
        </w:tc>
        <w:tc>
          <w:tcPr>
            <w:tcW w:w="1516" w:type="dxa"/>
            <w:vMerge w:val="continue"/>
            <w:noWrap w:val="0"/>
            <w:vAlign w:val="center"/>
          </w:tcPr>
          <w:p w14:paraId="7CA86A19">
            <w:pPr>
              <w:widowControl/>
              <w:jc w:val="left"/>
              <w:rPr>
                <w:rFonts w:ascii="宋体" w:hAnsi="宋体" w:cs="宋体"/>
                <w:color w:val="auto"/>
                <w:kern w:val="0"/>
                <w:sz w:val="18"/>
                <w:szCs w:val="18"/>
                <w:highlight w:val="none"/>
              </w:rPr>
            </w:pPr>
          </w:p>
        </w:tc>
        <w:tc>
          <w:tcPr>
            <w:tcW w:w="1612" w:type="dxa"/>
            <w:noWrap w:val="0"/>
            <w:vAlign w:val="center"/>
          </w:tcPr>
          <w:p w14:paraId="5373EF42">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单元式空气调节机</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制冷量≤14000W</w:t>
            </w:r>
            <w:r>
              <w:rPr>
                <w:rFonts w:hint="eastAsia" w:ascii="宋体" w:hAnsi="宋体" w:cs="宋体"/>
                <w:color w:val="auto"/>
                <w:kern w:val="0"/>
                <w:sz w:val="18"/>
                <w:szCs w:val="18"/>
                <w:highlight w:val="none"/>
                <w:lang w:eastAsia="zh-CN"/>
              </w:rPr>
              <w:t>）</w:t>
            </w:r>
          </w:p>
        </w:tc>
        <w:tc>
          <w:tcPr>
            <w:tcW w:w="4335" w:type="dxa"/>
            <w:noWrap w:val="0"/>
            <w:vAlign w:val="center"/>
          </w:tcPr>
          <w:p w14:paraId="5FF279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《单元式空气调节机能效限定值及能源效率等级》（GB19576）《风管送风式空调机组能效限定值及能效等级》（GB37479）</w:t>
            </w:r>
          </w:p>
        </w:tc>
      </w:tr>
      <w:tr w14:paraId="78F2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7D66E2F6">
            <w:pPr>
              <w:widowControl/>
              <w:jc w:val="left"/>
              <w:rPr>
                <w:rFonts w:ascii="宋体" w:hAnsi="宋体" w:cs="宋体"/>
                <w:color w:val="auto"/>
                <w:kern w:val="0"/>
                <w:sz w:val="18"/>
                <w:szCs w:val="18"/>
                <w:highlight w:val="none"/>
              </w:rPr>
            </w:pPr>
          </w:p>
        </w:tc>
        <w:tc>
          <w:tcPr>
            <w:tcW w:w="1116" w:type="dxa"/>
            <w:vMerge w:val="continue"/>
            <w:noWrap w:val="0"/>
            <w:vAlign w:val="center"/>
          </w:tcPr>
          <w:p w14:paraId="040C33E8">
            <w:pPr>
              <w:widowControl/>
              <w:jc w:val="left"/>
              <w:rPr>
                <w:rFonts w:ascii="宋体" w:hAnsi="宋体" w:cs="宋体"/>
                <w:color w:val="auto"/>
                <w:kern w:val="0"/>
                <w:sz w:val="18"/>
                <w:szCs w:val="18"/>
                <w:highlight w:val="none"/>
              </w:rPr>
            </w:pPr>
          </w:p>
        </w:tc>
        <w:tc>
          <w:tcPr>
            <w:tcW w:w="1516" w:type="dxa"/>
            <w:noWrap w:val="0"/>
            <w:vAlign w:val="center"/>
          </w:tcPr>
          <w:p w14:paraId="0C389C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A0206180301洗衣机</w:t>
            </w:r>
          </w:p>
        </w:tc>
        <w:tc>
          <w:tcPr>
            <w:tcW w:w="1612" w:type="dxa"/>
            <w:noWrap w:val="0"/>
            <w:vAlign w:val="center"/>
          </w:tcPr>
          <w:p w14:paraId="1E94AA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79111B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《电动洗衣机能效水效限定值及等级》（GB12021.4）</w:t>
            </w:r>
          </w:p>
        </w:tc>
      </w:tr>
      <w:tr w14:paraId="6F57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26C40EB8">
            <w:pPr>
              <w:widowControl/>
              <w:jc w:val="left"/>
              <w:rPr>
                <w:rFonts w:ascii="宋体" w:hAnsi="宋体" w:cs="宋体"/>
                <w:color w:val="auto"/>
                <w:kern w:val="0"/>
                <w:sz w:val="18"/>
                <w:szCs w:val="18"/>
                <w:highlight w:val="none"/>
              </w:rPr>
            </w:pPr>
          </w:p>
        </w:tc>
        <w:tc>
          <w:tcPr>
            <w:tcW w:w="1116" w:type="dxa"/>
            <w:vMerge w:val="continue"/>
            <w:noWrap w:val="0"/>
            <w:vAlign w:val="center"/>
          </w:tcPr>
          <w:p w14:paraId="629B79A7">
            <w:pPr>
              <w:widowControl/>
              <w:jc w:val="left"/>
              <w:rPr>
                <w:rFonts w:ascii="宋体" w:hAnsi="宋体" w:cs="宋体"/>
                <w:color w:val="auto"/>
                <w:kern w:val="0"/>
                <w:sz w:val="18"/>
                <w:szCs w:val="18"/>
                <w:highlight w:val="none"/>
              </w:rPr>
            </w:pPr>
          </w:p>
        </w:tc>
        <w:tc>
          <w:tcPr>
            <w:tcW w:w="1516" w:type="dxa"/>
            <w:vMerge w:val="restart"/>
            <w:noWrap w:val="0"/>
            <w:vAlign w:val="center"/>
          </w:tcPr>
          <w:p w14:paraId="3675E8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A02061808热水器</w:t>
            </w:r>
          </w:p>
        </w:tc>
        <w:tc>
          <w:tcPr>
            <w:tcW w:w="1612" w:type="dxa"/>
            <w:noWrap w:val="0"/>
            <w:vAlign w:val="center"/>
          </w:tcPr>
          <w:p w14:paraId="00CC6A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★电热水器</w:t>
            </w:r>
          </w:p>
        </w:tc>
        <w:tc>
          <w:tcPr>
            <w:tcW w:w="4335" w:type="dxa"/>
            <w:noWrap w:val="0"/>
            <w:vAlign w:val="center"/>
          </w:tcPr>
          <w:p w14:paraId="6E8B7D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《储水式电热水器能效限定值及能效等级》（GB21519）</w:t>
            </w:r>
          </w:p>
        </w:tc>
      </w:tr>
      <w:tr w14:paraId="3080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21026324">
            <w:pPr>
              <w:widowControl/>
              <w:jc w:val="left"/>
              <w:rPr>
                <w:rFonts w:ascii="宋体" w:hAnsi="宋体" w:cs="宋体"/>
                <w:color w:val="auto"/>
                <w:kern w:val="0"/>
                <w:sz w:val="18"/>
                <w:szCs w:val="18"/>
                <w:highlight w:val="none"/>
              </w:rPr>
            </w:pPr>
          </w:p>
        </w:tc>
        <w:tc>
          <w:tcPr>
            <w:tcW w:w="1116" w:type="dxa"/>
            <w:vMerge w:val="continue"/>
            <w:noWrap w:val="0"/>
            <w:vAlign w:val="center"/>
          </w:tcPr>
          <w:p w14:paraId="41B14527">
            <w:pPr>
              <w:widowControl/>
              <w:jc w:val="left"/>
              <w:rPr>
                <w:rFonts w:ascii="宋体" w:hAnsi="宋体" w:cs="宋体"/>
                <w:color w:val="auto"/>
                <w:kern w:val="0"/>
                <w:sz w:val="18"/>
                <w:szCs w:val="18"/>
                <w:highlight w:val="none"/>
              </w:rPr>
            </w:pPr>
          </w:p>
        </w:tc>
        <w:tc>
          <w:tcPr>
            <w:tcW w:w="1516" w:type="dxa"/>
            <w:vMerge w:val="continue"/>
            <w:noWrap w:val="0"/>
            <w:vAlign w:val="center"/>
          </w:tcPr>
          <w:p w14:paraId="6DC804C0">
            <w:pPr>
              <w:widowControl/>
              <w:jc w:val="left"/>
              <w:rPr>
                <w:rFonts w:ascii="宋体" w:hAnsi="宋体" w:cs="宋体"/>
                <w:color w:val="auto"/>
                <w:kern w:val="0"/>
                <w:sz w:val="18"/>
                <w:szCs w:val="18"/>
                <w:highlight w:val="none"/>
              </w:rPr>
            </w:pPr>
          </w:p>
        </w:tc>
        <w:tc>
          <w:tcPr>
            <w:tcW w:w="1612" w:type="dxa"/>
            <w:noWrap w:val="0"/>
            <w:vAlign w:val="center"/>
          </w:tcPr>
          <w:p w14:paraId="3CE5C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燃气热水器</w:t>
            </w:r>
          </w:p>
        </w:tc>
        <w:tc>
          <w:tcPr>
            <w:tcW w:w="4335" w:type="dxa"/>
            <w:noWrap w:val="0"/>
            <w:vAlign w:val="center"/>
          </w:tcPr>
          <w:p w14:paraId="405EDF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《家用燃气快速热水器和燃气采暖热水炉能效限定值及能效等级》（GB20665）</w:t>
            </w:r>
          </w:p>
        </w:tc>
      </w:tr>
      <w:tr w14:paraId="4E77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45F1C9F8">
            <w:pPr>
              <w:widowControl/>
              <w:jc w:val="left"/>
              <w:rPr>
                <w:rFonts w:ascii="宋体" w:hAnsi="宋体" w:cs="宋体"/>
                <w:color w:val="auto"/>
                <w:kern w:val="0"/>
                <w:sz w:val="18"/>
                <w:szCs w:val="18"/>
                <w:highlight w:val="none"/>
              </w:rPr>
            </w:pPr>
          </w:p>
        </w:tc>
        <w:tc>
          <w:tcPr>
            <w:tcW w:w="1116" w:type="dxa"/>
            <w:vMerge w:val="continue"/>
            <w:noWrap w:val="0"/>
            <w:vAlign w:val="center"/>
          </w:tcPr>
          <w:p w14:paraId="204B762B">
            <w:pPr>
              <w:widowControl/>
              <w:jc w:val="left"/>
              <w:rPr>
                <w:rFonts w:ascii="宋体" w:hAnsi="宋体" w:cs="宋体"/>
                <w:color w:val="auto"/>
                <w:kern w:val="0"/>
                <w:sz w:val="18"/>
                <w:szCs w:val="18"/>
                <w:highlight w:val="none"/>
              </w:rPr>
            </w:pPr>
          </w:p>
        </w:tc>
        <w:tc>
          <w:tcPr>
            <w:tcW w:w="1516" w:type="dxa"/>
            <w:vMerge w:val="continue"/>
            <w:noWrap w:val="0"/>
            <w:vAlign w:val="center"/>
          </w:tcPr>
          <w:p w14:paraId="6274D39F">
            <w:pPr>
              <w:widowControl/>
              <w:jc w:val="left"/>
              <w:rPr>
                <w:rFonts w:ascii="宋体" w:hAnsi="宋体" w:cs="宋体"/>
                <w:color w:val="auto"/>
                <w:kern w:val="0"/>
                <w:sz w:val="18"/>
                <w:szCs w:val="18"/>
                <w:highlight w:val="none"/>
              </w:rPr>
            </w:pPr>
          </w:p>
        </w:tc>
        <w:tc>
          <w:tcPr>
            <w:tcW w:w="1612" w:type="dxa"/>
            <w:noWrap w:val="0"/>
            <w:vAlign w:val="center"/>
          </w:tcPr>
          <w:p w14:paraId="2A9963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热泵热水器</w:t>
            </w:r>
          </w:p>
        </w:tc>
        <w:tc>
          <w:tcPr>
            <w:tcW w:w="4335" w:type="dxa"/>
            <w:noWrap w:val="0"/>
            <w:vAlign w:val="center"/>
          </w:tcPr>
          <w:p w14:paraId="3D229A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《热泵热水机（器）能效限定值及能效等级》（GB29541）</w:t>
            </w:r>
          </w:p>
        </w:tc>
      </w:tr>
      <w:tr w14:paraId="4CD0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283E5BFB">
            <w:pPr>
              <w:widowControl/>
              <w:jc w:val="left"/>
              <w:rPr>
                <w:rFonts w:ascii="宋体" w:hAnsi="宋体" w:cs="宋体"/>
                <w:color w:val="auto"/>
                <w:kern w:val="0"/>
                <w:sz w:val="18"/>
                <w:szCs w:val="18"/>
                <w:highlight w:val="none"/>
              </w:rPr>
            </w:pPr>
          </w:p>
        </w:tc>
        <w:tc>
          <w:tcPr>
            <w:tcW w:w="1116" w:type="dxa"/>
            <w:vMerge w:val="continue"/>
            <w:noWrap w:val="0"/>
            <w:vAlign w:val="center"/>
          </w:tcPr>
          <w:p w14:paraId="6138B72C">
            <w:pPr>
              <w:widowControl/>
              <w:jc w:val="left"/>
              <w:rPr>
                <w:rFonts w:ascii="宋体" w:hAnsi="宋体" w:cs="宋体"/>
                <w:color w:val="auto"/>
                <w:kern w:val="0"/>
                <w:sz w:val="18"/>
                <w:szCs w:val="18"/>
                <w:highlight w:val="none"/>
              </w:rPr>
            </w:pPr>
          </w:p>
        </w:tc>
        <w:tc>
          <w:tcPr>
            <w:tcW w:w="1516" w:type="dxa"/>
            <w:vMerge w:val="continue"/>
            <w:noWrap w:val="0"/>
            <w:vAlign w:val="center"/>
          </w:tcPr>
          <w:p w14:paraId="1B23F0AA">
            <w:pPr>
              <w:widowControl/>
              <w:jc w:val="left"/>
              <w:rPr>
                <w:rFonts w:ascii="宋体" w:hAnsi="宋体" w:cs="宋体"/>
                <w:color w:val="auto"/>
                <w:kern w:val="0"/>
                <w:sz w:val="18"/>
                <w:szCs w:val="18"/>
                <w:highlight w:val="none"/>
              </w:rPr>
            </w:pPr>
          </w:p>
        </w:tc>
        <w:tc>
          <w:tcPr>
            <w:tcW w:w="1612" w:type="dxa"/>
            <w:noWrap w:val="0"/>
            <w:vAlign w:val="center"/>
          </w:tcPr>
          <w:p w14:paraId="3DD909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太阳能热水系统</w:t>
            </w:r>
          </w:p>
        </w:tc>
        <w:tc>
          <w:tcPr>
            <w:tcW w:w="4335" w:type="dxa"/>
            <w:noWrap w:val="0"/>
            <w:vAlign w:val="center"/>
          </w:tcPr>
          <w:p w14:paraId="0379FB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《家用太阳能热水系统能效限定值及能效等级》（GB26969）</w:t>
            </w:r>
          </w:p>
        </w:tc>
      </w:tr>
      <w:tr w14:paraId="453D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restart"/>
            <w:noWrap w:val="0"/>
            <w:vAlign w:val="center"/>
          </w:tcPr>
          <w:p w14:paraId="64EFF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116" w:type="dxa"/>
            <w:vMerge w:val="restart"/>
            <w:noWrap w:val="0"/>
            <w:vAlign w:val="center"/>
          </w:tcPr>
          <w:p w14:paraId="7F062E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A020619照明设备</w:t>
            </w:r>
          </w:p>
        </w:tc>
        <w:tc>
          <w:tcPr>
            <w:tcW w:w="1516" w:type="dxa"/>
            <w:noWrap w:val="0"/>
            <w:vAlign w:val="center"/>
          </w:tcPr>
          <w:p w14:paraId="77C70F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★普通照明用双端荧光灯</w:t>
            </w:r>
          </w:p>
        </w:tc>
        <w:tc>
          <w:tcPr>
            <w:tcW w:w="1612" w:type="dxa"/>
            <w:noWrap w:val="0"/>
            <w:vAlign w:val="center"/>
          </w:tcPr>
          <w:p w14:paraId="03F80F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6FDA8D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《普通照明用双端荧光灯能效限定值及能效等级》（GB19043）</w:t>
            </w:r>
          </w:p>
        </w:tc>
      </w:tr>
      <w:tr w14:paraId="4838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0FC6D831">
            <w:pPr>
              <w:widowControl/>
              <w:jc w:val="left"/>
              <w:rPr>
                <w:rFonts w:ascii="宋体" w:hAnsi="宋体" w:cs="宋体"/>
                <w:color w:val="auto"/>
                <w:kern w:val="0"/>
                <w:sz w:val="18"/>
                <w:szCs w:val="18"/>
                <w:highlight w:val="none"/>
              </w:rPr>
            </w:pPr>
          </w:p>
        </w:tc>
        <w:tc>
          <w:tcPr>
            <w:tcW w:w="1116" w:type="dxa"/>
            <w:vMerge w:val="continue"/>
            <w:noWrap w:val="0"/>
            <w:vAlign w:val="center"/>
          </w:tcPr>
          <w:p w14:paraId="45379780">
            <w:pPr>
              <w:widowControl/>
              <w:jc w:val="left"/>
              <w:rPr>
                <w:rFonts w:ascii="宋体" w:hAnsi="宋体" w:cs="宋体"/>
                <w:color w:val="auto"/>
                <w:kern w:val="0"/>
                <w:sz w:val="18"/>
                <w:szCs w:val="18"/>
                <w:highlight w:val="none"/>
              </w:rPr>
            </w:pPr>
          </w:p>
        </w:tc>
        <w:tc>
          <w:tcPr>
            <w:tcW w:w="1516" w:type="dxa"/>
            <w:noWrap w:val="0"/>
            <w:vAlign w:val="center"/>
          </w:tcPr>
          <w:p w14:paraId="659AFC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LED道路/隧道照明产品</w:t>
            </w:r>
          </w:p>
        </w:tc>
        <w:tc>
          <w:tcPr>
            <w:tcW w:w="1612" w:type="dxa"/>
            <w:noWrap w:val="0"/>
            <w:vAlign w:val="center"/>
          </w:tcPr>
          <w:p w14:paraId="5FE6C8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42CE19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《道路和隧道照明用LED灯具能效限定值及能效等级》（GB37478）</w:t>
            </w:r>
          </w:p>
        </w:tc>
      </w:tr>
      <w:tr w14:paraId="40B6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6EEED743">
            <w:pPr>
              <w:widowControl/>
              <w:jc w:val="left"/>
              <w:rPr>
                <w:rFonts w:ascii="宋体" w:hAnsi="宋体" w:cs="宋体"/>
                <w:color w:val="auto"/>
                <w:kern w:val="0"/>
                <w:sz w:val="18"/>
                <w:szCs w:val="18"/>
                <w:highlight w:val="none"/>
              </w:rPr>
            </w:pPr>
          </w:p>
        </w:tc>
        <w:tc>
          <w:tcPr>
            <w:tcW w:w="1116" w:type="dxa"/>
            <w:vMerge w:val="continue"/>
            <w:noWrap w:val="0"/>
            <w:vAlign w:val="center"/>
          </w:tcPr>
          <w:p w14:paraId="2A116499">
            <w:pPr>
              <w:widowControl/>
              <w:jc w:val="left"/>
              <w:rPr>
                <w:rFonts w:ascii="宋体" w:hAnsi="宋体" w:cs="宋体"/>
                <w:color w:val="auto"/>
                <w:kern w:val="0"/>
                <w:sz w:val="18"/>
                <w:szCs w:val="18"/>
                <w:highlight w:val="none"/>
              </w:rPr>
            </w:pPr>
          </w:p>
        </w:tc>
        <w:tc>
          <w:tcPr>
            <w:tcW w:w="1516" w:type="dxa"/>
            <w:noWrap w:val="0"/>
            <w:vAlign w:val="center"/>
          </w:tcPr>
          <w:p w14:paraId="53313E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LED筒灯</w:t>
            </w:r>
          </w:p>
        </w:tc>
        <w:tc>
          <w:tcPr>
            <w:tcW w:w="1612" w:type="dxa"/>
            <w:noWrap w:val="0"/>
            <w:vAlign w:val="center"/>
          </w:tcPr>
          <w:p w14:paraId="12F0E3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00BFF5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《室内照明用LED产品能效限定值及能效等级》（GB30255）</w:t>
            </w:r>
          </w:p>
        </w:tc>
      </w:tr>
      <w:tr w14:paraId="1BAE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vMerge w:val="continue"/>
            <w:noWrap w:val="0"/>
            <w:vAlign w:val="center"/>
          </w:tcPr>
          <w:p w14:paraId="6AD3761E">
            <w:pPr>
              <w:widowControl/>
              <w:jc w:val="left"/>
              <w:rPr>
                <w:rFonts w:ascii="宋体" w:hAnsi="宋体" w:cs="宋体"/>
                <w:color w:val="auto"/>
                <w:kern w:val="0"/>
                <w:sz w:val="18"/>
                <w:szCs w:val="18"/>
                <w:highlight w:val="none"/>
              </w:rPr>
            </w:pPr>
          </w:p>
        </w:tc>
        <w:tc>
          <w:tcPr>
            <w:tcW w:w="1116" w:type="dxa"/>
            <w:vMerge w:val="continue"/>
            <w:noWrap w:val="0"/>
            <w:vAlign w:val="center"/>
          </w:tcPr>
          <w:p w14:paraId="578F4FFB">
            <w:pPr>
              <w:widowControl/>
              <w:jc w:val="left"/>
              <w:rPr>
                <w:rFonts w:ascii="宋体" w:hAnsi="宋体" w:cs="宋体"/>
                <w:color w:val="auto"/>
                <w:kern w:val="0"/>
                <w:sz w:val="18"/>
                <w:szCs w:val="18"/>
                <w:highlight w:val="none"/>
              </w:rPr>
            </w:pPr>
          </w:p>
        </w:tc>
        <w:tc>
          <w:tcPr>
            <w:tcW w:w="1516" w:type="dxa"/>
            <w:noWrap w:val="0"/>
            <w:vAlign w:val="center"/>
          </w:tcPr>
          <w:p w14:paraId="2D7D74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普通照明用非定向自镇流LED灯</w:t>
            </w:r>
          </w:p>
        </w:tc>
        <w:tc>
          <w:tcPr>
            <w:tcW w:w="1612" w:type="dxa"/>
            <w:noWrap w:val="0"/>
            <w:vAlign w:val="center"/>
          </w:tcPr>
          <w:p w14:paraId="201679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6FA381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《室内照明用LED产品能效限定值及能效等级》（GB30255）</w:t>
            </w:r>
          </w:p>
        </w:tc>
      </w:tr>
      <w:tr w14:paraId="10ED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0" w:type="dxa"/>
            <w:noWrap w:val="0"/>
            <w:vAlign w:val="center"/>
          </w:tcPr>
          <w:p w14:paraId="40B97F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116" w:type="dxa"/>
            <w:noWrap w:val="0"/>
            <w:vAlign w:val="center"/>
          </w:tcPr>
          <w:p w14:paraId="6528D6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★A020910电视设备</w:t>
            </w:r>
          </w:p>
        </w:tc>
        <w:tc>
          <w:tcPr>
            <w:tcW w:w="1516" w:type="dxa"/>
            <w:noWrap w:val="0"/>
            <w:vAlign w:val="center"/>
          </w:tcPr>
          <w:p w14:paraId="138801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A02091001普通电视设备（电视机）</w:t>
            </w:r>
          </w:p>
        </w:tc>
        <w:tc>
          <w:tcPr>
            <w:tcW w:w="1612" w:type="dxa"/>
            <w:noWrap w:val="0"/>
            <w:vAlign w:val="center"/>
          </w:tcPr>
          <w:p w14:paraId="2CB239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67DBFC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《平板电视能效限定值及能效等级》（GB24850）</w:t>
            </w:r>
          </w:p>
        </w:tc>
      </w:tr>
      <w:tr w14:paraId="59ED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0" w:type="dxa"/>
            <w:noWrap w:val="0"/>
            <w:vAlign w:val="center"/>
          </w:tcPr>
          <w:p w14:paraId="7DD86A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116" w:type="dxa"/>
            <w:noWrap w:val="0"/>
            <w:vAlign w:val="center"/>
          </w:tcPr>
          <w:p w14:paraId="698743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★A020911视频设备</w:t>
            </w:r>
          </w:p>
        </w:tc>
        <w:tc>
          <w:tcPr>
            <w:tcW w:w="1516" w:type="dxa"/>
            <w:noWrap w:val="0"/>
            <w:vAlign w:val="center"/>
          </w:tcPr>
          <w:p w14:paraId="15902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A02091107视频监控设备</w:t>
            </w:r>
          </w:p>
        </w:tc>
        <w:tc>
          <w:tcPr>
            <w:tcW w:w="1612" w:type="dxa"/>
            <w:noWrap w:val="0"/>
            <w:vAlign w:val="center"/>
          </w:tcPr>
          <w:p w14:paraId="08AE58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监视器</w:t>
            </w:r>
          </w:p>
        </w:tc>
        <w:tc>
          <w:tcPr>
            <w:tcW w:w="4335" w:type="dxa"/>
            <w:noWrap w:val="0"/>
            <w:vAlign w:val="center"/>
          </w:tcPr>
          <w:p w14:paraId="32B376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以射频信号为主要信号输入的监视器应符合《平板电视能效限定值及能效等级》（GB24850），以数字信号为主要信号输入的监视器应符合《计算机显示器能效限定值及能效等级》（GB21520）</w:t>
            </w:r>
          </w:p>
        </w:tc>
      </w:tr>
      <w:tr w14:paraId="28A0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0A6BD0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116" w:type="dxa"/>
            <w:noWrap w:val="0"/>
            <w:vAlign w:val="center"/>
          </w:tcPr>
          <w:p w14:paraId="76072C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A031210饮食炊事机械</w:t>
            </w:r>
          </w:p>
        </w:tc>
        <w:tc>
          <w:tcPr>
            <w:tcW w:w="1516" w:type="dxa"/>
            <w:noWrap w:val="0"/>
            <w:vAlign w:val="center"/>
          </w:tcPr>
          <w:p w14:paraId="5EFCE6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商用燃气灶具</w:t>
            </w:r>
          </w:p>
        </w:tc>
        <w:tc>
          <w:tcPr>
            <w:tcW w:w="1612" w:type="dxa"/>
            <w:noWrap w:val="0"/>
            <w:vAlign w:val="center"/>
          </w:tcPr>
          <w:p w14:paraId="669BE3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3D16F7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《商用燃气灶具能效限定值及能效等级》（GB30531）</w:t>
            </w:r>
          </w:p>
        </w:tc>
      </w:tr>
      <w:tr w14:paraId="6FD8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Merge w:val="restart"/>
            <w:noWrap w:val="0"/>
            <w:vAlign w:val="center"/>
          </w:tcPr>
          <w:p w14:paraId="6F2E5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116" w:type="dxa"/>
            <w:vMerge w:val="restart"/>
            <w:noWrap w:val="0"/>
            <w:vAlign w:val="center"/>
          </w:tcPr>
          <w:p w14:paraId="43BEE1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★A060805便器</w:t>
            </w:r>
          </w:p>
        </w:tc>
        <w:tc>
          <w:tcPr>
            <w:tcW w:w="1516" w:type="dxa"/>
            <w:noWrap w:val="0"/>
            <w:vAlign w:val="center"/>
          </w:tcPr>
          <w:p w14:paraId="1D8E37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坐便器</w:t>
            </w:r>
          </w:p>
        </w:tc>
        <w:tc>
          <w:tcPr>
            <w:tcW w:w="1612" w:type="dxa"/>
            <w:noWrap w:val="0"/>
            <w:vAlign w:val="center"/>
          </w:tcPr>
          <w:p w14:paraId="66FFB5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0E02F0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《坐便器水效限定值及水效等级》（GB25502）</w:t>
            </w:r>
          </w:p>
        </w:tc>
      </w:tr>
      <w:tr w14:paraId="1B6C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50546A8E">
            <w:pPr>
              <w:widowControl/>
              <w:jc w:val="left"/>
              <w:rPr>
                <w:rFonts w:ascii="宋体" w:hAnsi="宋体" w:cs="宋体"/>
                <w:color w:val="auto"/>
                <w:kern w:val="0"/>
                <w:sz w:val="18"/>
                <w:szCs w:val="18"/>
                <w:highlight w:val="none"/>
              </w:rPr>
            </w:pPr>
          </w:p>
        </w:tc>
        <w:tc>
          <w:tcPr>
            <w:tcW w:w="1116" w:type="dxa"/>
            <w:vMerge w:val="continue"/>
            <w:noWrap w:val="0"/>
            <w:vAlign w:val="center"/>
          </w:tcPr>
          <w:p w14:paraId="6812D9B8">
            <w:pPr>
              <w:widowControl/>
              <w:jc w:val="left"/>
              <w:rPr>
                <w:rFonts w:ascii="宋体" w:hAnsi="宋体" w:cs="宋体"/>
                <w:color w:val="auto"/>
                <w:kern w:val="0"/>
                <w:sz w:val="18"/>
                <w:szCs w:val="18"/>
                <w:highlight w:val="none"/>
              </w:rPr>
            </w:pPr>
          </w:p>
        </w:tc>
        <w:tc>
          <w:tcPr>
            <w:tcW w:w="1516" w:type="dxa"/>
            <w:noWrap w:val="0"/>
            <w:vAlign w:val="center"/>
          </w:tcPr>
          <w:p w14:paraId="2EF9A2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蹲便器</w:t>
            </w:r>
          </w:p>
        </w:tc>
        <w:tc>
          <w:tcPr>
            <w:tcW w:w="1612" w:type="dxa"/>
            <w:noWrap w:val="0"/>
            <w:vAlign w:val="center"/>
          </w:tcPr>
          <w:p w14:paraId="00BF6D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104002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《蹲便器用水效率限定值及用水效率等级》（GB30717）</w:t>
            </w:r>
          </w:p>
        </w:tc>
      </w:tr>
      <w:tr w14:paraId="6562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vMerge w:val="continue"/>
            <w:noWrap w:val="0"/>
            <w:vAlign w:val="center"/>
          </w:tcPr>
          <w:p w14:paraId="5E56F5C0">
            <w:pPr>
              <w:widowControl/>
              <w:jc w:val="left"/>
              <w:rPr>
                <w:rFonts w:ascii="宋体" w:hAnsi="宋体" w:cs="宋体"/>
                <w:color w:val="auto"/>
                <w:kern w:val="0"/>
                <w:sz w:val="18"/>
                <w:szCs w:val="18"/>
                <w:highlight w:val="none"/>
              </w:rPr>
            </w:pPr>
          </w:p>
        </w:tc>
        <w:tc>
          <w:tcPr>
            <w:tcW w:w="1116" w:type="dxa"/>
            <w:vMerge w:val="continue"/>
            <w:noWrap w:val="0"/>
            <w:vAlign w:val="center"/>
          </w:tcPr>
          <w:p w14:paraId="62B57981">
            <w:pPr>
              <w:widowControl/>
              <w:jc w:val="left"/>
              <w:rPr>
                <w:rFonts w:ascii="宋体" w:hAnsi="宋体" w:cs="宋体"/>
                <w:color w:val="auto"/>
                <w:kern w:val="0"/>
                <w:sz w:val="18"/>
                <w:szCs w:val="18"/>
                <w:highlight w:val="none"/>
              </w:rPr>
            </w:pPr>
          </w:p>
        </w:tc>
        <w:tc>
          <w:tcPr>
            <w:tcW w:w="1516" w:type="dxa"/>
            <w:noWrap w:val="0"/>
            <w:vAlign w:val="center"/>
          </w:tcPr>
          <w:p w14:paraId="5F2088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小便器</w:t>
            </w:r>
          </w:p>
        </w:tc>
        <w:tc>
          <w:tcPr>
            <w:tcW w:w="1612" w:type="dxa"/>
            <w:noWrap w:val="0"/>
            <w:vAlign w:val="center"/>
          </w:tcPr>
          <w:p w14:paraId="18B24E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7C928E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《小便器用水效率限定值及用水效率等级》（GB28377）</w:t>
            </w:r>
          </w:p>
        </w:tc>
      </w:tr>
      <w:tr w14:paraId="188C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1D6A41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116" w:type="dxa"/>
            <w:noWrap w:val="0"/>
            <w:vAlign w:val="center"/>
          </w:tcPr>
          <w:p w14:paraId="30AAD7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★A060806水嘴</w:t>
            </w:r>
          </w:p>
        </w:tc>
        <w:tc>
          <w:tcPr>
            <w:tcW w:w="1516" w:type="dxa"/>
            <w:noWrap w:val="0"/>
            <w:vAlign w:val="center"/>
          </w:tcPr>
          <w:p w14:paraId="74A6A4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noWrap w:val="0"/>
            <w:vAlign w:val="center"/>
          </w:tcPr>
          <w:p w14:paraId="2D3609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110C9C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《水嘴用水效率限定值及用水效率等级》（GB 25501）</w:t>
            </w:r>
          </w:p>
        </w:tc>
      </w:tr>
      <w:tr w14:paraId="24C5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7DA7D8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116" w:type="dxa"/>
            <w:noWrap w:val="0"/>
            <w:vAlign w:val="center"/>
          </w:tcPr>
          <w:p w14:paraId="6FFB7C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A060807便器冲洗阀</w:t>
            </w:r>
          </w:p>
        </w:tc>
        <w:tc>
          <w:tcPr>
            <w:tcW w:w="1516" w:type="dxa"/>
            <w:noWrap w:val="0"/>
            <w:vAlign w:val="center"/>
          </w:tcPr>
          <w:p w14:paraId="46CC7C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noWrap w:val="0"/>
            <w:vAlign w:val="center"/>
          </w:tcPr>
          <w:p w14:paraId="64D5F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7DBB6A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《便器冲洗阀用水效率限定值及用水效率等级》（GB28379）</w:t>
            </w:r>
          </w:p>
        </w:tc>
      </w:tr>
      <w:tr w14:paraId="52C3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0" w:type="dxa"/>
            <w:noWrap w:val="0"/>
            <w:vAlign w:val="center"/>
          </w:tcPr>
          <w:p w14:paraId="0D48B2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116" w:type="dxa"/>
            <w:noWrap w:val="0"/>
            <w:vAlign w:val="center"/>
          </w:tcPr>
          <w:p w14:paraId="7A74E5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A060810淋浴器</w:t>
            </w:r>
          </w:p>
        </w:tc>
        <w:tc>
          <w:tcPr>
            <w:tcW w:w="1516" w:type="dxa"/>
            <w:noWrap w:val="0"/>
            <w:vAlign w:val="center"/>
          </w:tcPr>
          <w:p w14:paraId="2A5D2B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12" w:type="dxa"/>
            <w:noWrap w:val="0"/>
            <w:vAlign w:val="center"/>
          </w:tcPr>
          <w:p w14:paraId="4B3122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35" w:type="dxa"/>
            <w:noWrap w:val="0"/>
            <w:vAlign w:val="center"/>
          </w:tcPr>
          <w:p w14:paraId="6841E2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《淋浴器用水效率限定值及用水效率等级》（GB28378）</w:t>
            </w:r>
          </w:p>
        </w:tc>
      </w:tr>
    </w:tbl>
    <w:p w14:paraId="3AFD9236">
      <w:pPr>
        <w:rPr>
          <w:rFonts w:ascii="宋体" w:hAnsi="宋体" w:cs="宋体"/>
          <w:color w:val="auto"/>
          <w:kern w:val="21"/>
          <w:sz w:val="20"/>
          <w:szCs w:val="20"/>
          <w:highlight w:val="none"/>
        </w:rPr>
      </w:pPr>
    </w:p>
    <w:p w14:paraId="5E48B671">
      <w:pPr>
        <w:pStyle w:val="2"/>
        <w:spacing w:after="0" w:line="360" w:lineRule="auto"/>
        <w:rPr>
          <w:rFonts w:ascii="宋体" w:hAnsi="宋体" w:cs="宋体"/>
          <w:color w:val="auto"/>
          <w:kern w:val="21"/>
          <w:sz w:val="24"/>
          <w:highlight w:val="none"/>
        </w:rPr>
      </w:pPr>
      <w:r>
        <w:rPr>
          <w:rFonts w:hint="eastAsia" w:ascii="宋体" w:hAnsi="宋体" w:cs="宋体"/>
          <w:color w:val="auto"/>
          <w:kern w:val="21"/>
          <w:sz w:val="24"/>
          <w:highlight w:val="none"/>
        </w:rPr>
        <w:t>注：1.节能产品认证应依据相关国家标准的最新版本，依据国家标准中二级能效（水效）指标。</w:t>
      </w:r>
    </w:p>
    <w:p w14:paraId="6C91BEAF">
      <w:pPr>
        <w:pStyle w:val="18"/>
        <w:spacing w:line="360" w:lineRule="auto"/>
        <w:jc w:val="left"/>
        <w:rPr>
          <w:rFonts w:hAnsi="宋体" w:cs="宋体"/>
          <w:color w:val="auto"/>
          <w:kern w:val="21"/>
          <w:sz w:val="32"/>
          <w:szCs w:val="32"/>
          <w:highlight w:val="none"/>
        </w:rPr>
      </w:pPr>
      <w:r>
        <w:rPr>
          <w:rFonts w:hint="eastAsia" w:hAnsi="宋体" w:cs="宋体"/>
          <w:color w:val="auto"/>
          <w:kern w:val="21"/>
          <w:sz w:val="24"/>
          <w:szCs w:val="24"/>
          <w:highlight w:val="none"/>
        </w:rPr>
        <w:t xml:space="preserve">    2.以“★”标注的为政府强制采购产品。</w:t>
      </w:r>
      <w:r>
        <w:rPr>
          <w:rFonts w:hint="eastAsia" w:hAnsi="宋体" w:cs="宋体"/>
          <w:color w:val="auto"/>
          <w:kern w:val="21"/>
          <w:highlight w:val="none"/>
        </w:rPr>
        <w:br w:type="page"/>
      </w:r>
      <w:r>
        <w:rPr>
          <w:rFonts w:hint="eastAsia" w:hAnsi="宋体" w:cs="宋体"/>
          <w:b/>
          <w:bCs/>
          <w:color w:val="auto"/>
          <w:kern w:val="21"/>
          <w:sz w:val="32"/>
          <w:szCs w:val="32"/>
          <w:highlight w:val="none"/>
        </w:rPr>
        <w:t>附件2：</w:t>
      </w:r>
    </w:p>
    <w:p w14:paraId="243EF684">
      <w:pPr>
        <w:spacing w:line="528" w:lineRule="exact"/>
        <w:jc w:val="center"/>
        <w:rPr>
          <w:rFonts w:ascii="宋体" w:hAnsi="宋体" w:cs="宋体"/>
          <w:b/>
          <w:bCs/>
          <w:color w:val="auto"/>
          <w:kern w:val="21"/>
          <w:sz w:val="40"/>
          <w:szCs w:val="40"/>
          <w:highlight w:val="none"/>
        </w:rPr>
      </w:pPr>
      <w:r>
        <w:rPr>
          <w:rFonts w:hint="eastAsia" w:ascii="宋体" w:hAnsi="宋体" w:cs="宋体"/>
          <w:b/>
          <w:bCs/>
          <w:color w:val="auto"/>
          <w:kern w:val="21"/>
          <w:sz w:val="40"/>
          <w:szCs w:val="40"/>
          <w:highlight w:val="none"/>
        </w:rPr>
        <w:t>中小微企业划型标准</w:t>
      </w:r>
    </w:p>
    <w:tbl>
      <w:tblPr>
        <w:tblStyle w:val="31"/>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14B025A8">
        <w:tblPrEx>
          <w:tblCellMar>
            <w:top w:w="0" w:type="dxa"/>
            <w:left w:w="108" w:type="dxa"/>
            <w:bottom w:w="0" w:type="dxa"/>
            <w:right w:w="108" w:type="dxa"/>
          </w:tblCellMar>
        </w:tblPrEx>
        <w:trPr>
          <w:trHeight w:val="340"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428F42">
            <w:pPr>
              <w:widowControl/>
              <w:jc w:val="left"/>
              <w:rPr>
                <w:rFonts w:ascii="宋体" w:hAnsi="宋体" w:cs="宋体"/>
                <w:b/>
                <w:color w:val="auto"/>
                <w:kern w:val="21"/>
                <w:sz w:val="24"/>
                <w:highlight w:val="none"/>
              </w:rPr>
            </w:pPr>
            <w:r>
              <w:rPr>
                <w:rFonts w:hint="eastAsia" w:ascii="宋体" w:hAnsi="宋体" w:cs="宋体"/>
                <w:b/>
                <w:color w:val="auto"/>
                <w:kern w:val="21"/>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B4E38C7">
            <w:pPr>
              <w:widowControl/>
              <w:jc w:val="left"/>
              <w:rPr>
                <w:rFonts w:ascii="宋体" w:hAnsi="宋体" w:cs="宋体"/>
                <w:b/>
                <w:color w:val="auto"/>
                <w:kern w:val="21"/>
                <w:sz w:val="24"/>
                <w:highlight w:val="none"/>
              </w:rPr>
            </w:pPr>
            <w:r>
              <w:rPr>
                <w:rFonts w:hint="eastAsia" w:ascii="宋体" w:hAnsi="宋体" w:cs="宋体"/>
                <w:b/>
                <w:color w:val="auto"/>
                <w:kern w:val="21"/>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C923412">
            <w:pPr>
              <w:widowControl/>
              <w:jc w:val="left"/>
              <w:rPr>
                <w:rFonts w:ascii="宋体" w:hAnsi="宋体" w:cs="宋体"/>
                <w:b/>
                <w:color w:val="auto"/>
                <w:kern w:val="21"/>
                <w:sz w:val="24"/>
                <w:highlight w:val="none"/>
              </w:rPr>
            </w:pPr>
            <w:r>
              <w:rPr>
                <w:rFonts w:hint="eastAsia" w:ascii="宋体" w:hAnsi="宋体" w:cs="宋体"/>
                <w:b/>
                <w:color w:val="auto"/>
                <w:kern w:val="21"/>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3E1603F0">
            <w:pPr>
              <w:widowControl/>
              <w:jc w:val="left"/>
              <w:rPr>
                <w:rFonts w:ascii="宋体" w:hAnsi="宋体" w:cs="宋体"/>
                <w:b/>
                <w:color w:val="auto"/>
                <w:kern w:val="21"/>
                <w:sz w:val="24"/>
                <w:highlight w:val="none"/>
              </w:rPr>
            </w:pPr>
            <w:r>
              <w:rPr>
                <w:rFonts w:hint="eastAsia" w:ascii="宋体" w:hAnsi="宋体" w:cs="宋体"/>
                <w:b/>
                <w:color w:val="auto"/>
                <w:kern w:val="21"/>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4B41ED3D">
            <w:pPr>
              <w:widowControl/>
              <w:jc w:val="left"/>
              <w:rPr>
                <w:rFonts w:ascii="宋体" w:hAnsi="宋体" w:cs="宋体"/>
                <w:b/>
                <w:color w:val="auto"/>
                <w:kern w:val="21"/>
                <w:sz w:val="24"/>
                <w:highlight w:val="none"/>
              </w:rPr>
            </w:pPr>
            <w:r>
              <w:rPr>
                <w:rFonts w:hint="eastAsia" w:ascii="宋体" w:hAnsi="宋体" w:cs="宋体"/>
                <w:b/>
                <w:color w:val="auto"/>
                <w:kern w:val="21"/>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85A023D">
            <w:pPr>
              <w:widowControl/>
              <w:jc w:val="left"/>
              <w:rPr>
                <w:rFonts w:ascii="宋体" w:hAnsi="宋体" w:cs="宋体"/>
                <w:b/>
                <w:color w:val="auto"/>
                <w:kern w:val="21"/>
                <w:sz w:val="24"/>
                <w:highlight w:val="none"/>
              </w:rPr>
            </w:pPr>
            <w:r>
              <w:rPr>
                <w:rFonts w:hint="eastAsia" w:ascii="宋体" w:hAnsi="宋体" w:cs="宋体"/>
                <w:b/>
                <w:color w:val="auto"/>
                <w:kern w:val="21"/>
                <w:sz w:val="24"/>
                <w:highlight w:val="none"/>
              </w:rPr>
              <w:t>微型</w:t>
            </w:r>
          </w:p>
        </w:tc>
      </w:tr>
      <w:tr w14:paraId="69E9BCF2">
        <w:tblPrEx>
          <w:tblCellMar>
            <w:top w:w="0" w:type="dxa"/>
            <w:left w:w="108" w:type="dxa"/>
            <w:bottom w:w="0" w:type="dxa"/>
            <w:right w:w="108" w:type="dxa"/>
          </w:tblCellMar>
        </w:tblPrEx>
        <w:trPr>
          <w:trHeight w:val="340" w:hRule="atLeast"/>
          <w:jc w:val="center"/>
        </w:trPr>
        <w:tc>
          <w:tcPr>
            <w:tcW w:w="1985" w:type="dxa"/>
            <w:tcBorders>
              <w:top w:val="nil"/>
              <w:left w:val="single" w:color="auto" w:sz="4" w:space="0"/>
              <w:bottom w:val="single" w:color="auto" w:sz="4" w:space="0"/>
              <w:right w:val="single" w:color="auto" w:sz="4" w:space="0"/>
            </w:tcBorders>
            <w:noWrap w:val="0"/>
            <w:vAlign w:val="bottom"/>
          </w:tcPr>
          <w:p w14:paraId="1FEE809D">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26D601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B0646E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9641D64">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75DA5D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358E28E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Y＜50</w:t>
            </w:r>
          </w:p>
        </w:tc>
      </w:tr>
      <w:tr w14:paraId="54C0A3C5">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2372666">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03CE998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BF439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3A2AC5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7FD444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271BF4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6E405479">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7C81A8E">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3169758E">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3795A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90843D">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09A05D3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74322D0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Y＜300</w:t>
            </w:r>
          </w:p>
        </w:tc>
      </w:tr>
      <w:tr w14:paraId="75A75777">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53B65CB">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04763D3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974395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0B333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D3320B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3133F6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Y＜300</w:t>
            </w:r>
          </w:p>
        </w:tc>
      </w:tr>
      <w:tr w14:paraId="505D743A">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20092C9">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50A8047E">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575B2F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5149CF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0DBCEB7D">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034758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Z＜300</w:t>
            </w:r>
          </w:p>
        </w:tc>
      </w:tr>
      <w:tr w14:paraId="73F01FC4">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1E65B8E">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9FB131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1DD3392">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59D31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60B6898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34AF9C1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X＜5</w:t>
            </w:r>
          </w:p>
        </w:tc>
      </w:tr>
      <w:tr w14:paraId="5E302189">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F05A76">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003D7DB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39DA2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4A25C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5CEF248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430F75C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Y＜1000</w:t>
            </w:r>
          </w:p>
        </w:tc>
      </w:tr>
      <w:tr w14:paraId="4633FFF8">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CD37952">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B83EBB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C7148D">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849BDC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3C2A456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8837F7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179E66B4">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C5F4FDA">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4A1C039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89112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B57432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A4AF64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541F8846">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78A961E8">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17DB579">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BD40F1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A6922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3DB31E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8D4A49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86FF6F4">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63D0DF69">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5C883C8">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3D4394F4">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39BB4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586D53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6EED5AF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6EE47B1E">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Y＜200</w:t>
            </w:r>
          </w:p>
        </w:tc>
      </w:tr>
      <w:tr w14:paraId="1656860C">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2A654C">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7C0A1EF6">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606D36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DF69F2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BDCDD1E">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06098C1C">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4D03DD4F">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A741E79">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7546FEB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2808E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49E4E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984CCC4">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273363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35A076F0">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EB0AEF0">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17AEDAF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052FF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86DA35E">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A20CCF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9A8FDA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X＜20</w:t>
            </w:r>
          </w:p>
        </w:tc>
      </w:tr>
      <w:tr w14:paraId="5EF6B878">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4AD8024">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257AA74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D0983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0E0C44">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6FB84A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813AF3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4111FC0D">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018873">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343FD3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F0243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307F8E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3A65C4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0091E9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34ADC024">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9DF1BC2">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5BF0E1A2">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2E7397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9C855E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5FA367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816F33C">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31BD1FD1">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0730D47">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1BC89B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24C979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6129C6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AB46D9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44AC59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5AAFF503">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8158F38">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3DB49E8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811F3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FDC3A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76AE0BD">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393C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37C5B583">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5512B29">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4BC419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5F4182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9F7982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03191E42">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2B97DF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1CBE32AB">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77AA013">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684F896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5D78A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F8AF7E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75E018D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980CDF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76D970F1">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03C143F">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485FBD8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D50712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50FF1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1F6E46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5AD74F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21B468E4">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0061BAA">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F33FE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2B1656">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8EBD9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751001A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6A7A796">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Y＜50</w:t>
            </w:r>
          </w:p>
        </w:tc>
      </w:tr>
      <w:tr w14:paraId="3F6C80E2">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41732A1">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0994C122">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304CD4">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4E12B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2C73C12">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86BEEB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X＜100</w:t>
            </w:r>
          </w:p>
        </w:tc>
      </w:tr>
      <w:tr w14:paraId="482B666D">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0512272">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6ABD3D59">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A8CCAFD">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7F63B2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536D626E">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F5AC97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Y＜2000</w:t>
            </w:r>
          </w:p>
        </w:tc>
      </w:tr>
      <w:tr w14:paraId="0109FBF3">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D12E56A">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417D170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97B87C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C8E472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DD1A61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B3ACBD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X＜100</w:t>
            </w:r>
          </w:p>
        </w:tc>
      </w:tr>
      <w:tr w14:paraId="670F65DC">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CC90D92">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0E12DE8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53AD35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39D5A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6F577AA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E2778B0">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Y＜500</w:t>
            </w:r>
          </w:p>
        </w:tc>
      </w:tr>
      <w:tr w14:paraId="2BC703D3">
        <w:tblPrEx>
          <w:tblCellMar>
            <w:top w:w="0" w:type="dxa"/>
            <w:left w:w="108" w:type="dxa"/>
            <w:bottom w:w="0" w:type="dxa"/>
            <w:right w:w="108" w:type="dxa"/>
          </w:tblCellMar>
        </w:tblPrEx>
        <w:trPr>
          <w:trHeight w:val="340"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BE10490">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16F42DBC">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4E2EB12">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FD261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C788A2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1D0FE8C">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r w14:paraId="36A79BC3">
        <w:tblPrEx>
          <w:tblCellMar>
            <w:top w:w="0" w:type="dxa"/>
            <w:left w:w="108" w:type="dxa"/>
            <w:bottom w:w="0" w:type="dxa"/>
            <w:right w:w="108" w:type="dxa"/>
          </w:tblCellMar>
        </w:tblPrEx>
        <w:trPr>
          <w:trHeight w:val="340"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D419BD6">
            <w:pPr>
              <w:widowControl/>
              <w:jc w:val="left"/>
              <w:rPr>
                <w:rFonts w:ascii="宋体" w:hAnsi="宋体" w:cs="宋体"/>
                <w:b/>
                <w:bCs/>
                <w:color w:val="auto"/>
                <w:kern w:val="21"/>
                <w:sz w:val="18"/>
                <w:szCs w:val="18"/>
                <w:highlight w:val="none"/>
              </w:rPr>
            </w:pPr>
          </w:p>
        </w:tc>
        <w:tc>
          <w:tcPr>
            <w:tcW w:w="1984" w:type="dxa"/>
            <w:tcBorders>
              <w:top w:val="nil"/>
              <w:left w:val="nil"/>
              <w:bottom w:val="single" w:color="auto" w:sz="4" w:space="0"/>
              <w:right w:val="single" w:color="auto" w:sz="4" w:space="0"/>
            </w:tcBorders>
            <w:noWrap w:val="0"/>
            <w:vAlign w:val="center"/>
          </w:tcPr>
          <w:p w14:paraId="083542FC">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3D0DB78">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019BE3">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D020AAB">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8EF4C01">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Y＜100</w:t>
            </w:r>
          </w:p>
        </w:tc>
      </w:tr>
      <w:tr w14:paraId="0CE80190">
        <w:tblPrEx>
          <w:tblCellMar>
            <w:top w:w="0" w:type="dxa"/>
            <w:left w:w="108" w:type="dxa"/>
            <w:bottom w:w="0" w:type="dxa"/>
            <w:right w:w="108" w:type="dxa"/>
          </w:tblCellMar>
        </w:tblPrEx>
        <w:trPr>
          <w:trHeight w:val="340" w:hRule="atLeast"/>
          <w:jc w:val="center"/>
        </w:trPr>
        <w:tc>
          <w:tcPr>
            <w:tcW w:w="1985" w:type="dxa"/>
            <w:tcBorders>
              <w:top w:val="nil"/>
              <w:left w:val="single" w:color="auto" w:sz="4" w:space="0"/>
              <w:bottom w:val="single" w:color="auto" w:sz="4" w:space="0"/>
              <w:right w:val="single" w:color="auto" w:sz="4" w:space="0"/>
            </w:tcBorders>
            <w:noWrap w:val="0"/>
            <w:vAlign w:val="bottom"/>
          </w:tcPr>
          <w:p w14:paraId="16FDEFAF">
            <w:pPr>
              <w:widowControl/>
              <w:jc w:val="center"/>
              <w:rPr>
                <w:rFonts w:ascii="宋体" w:hAnsi="宋体" w:cs="宋体"/>
                <w:b/>
                <w:bCs/>
                <w:color w:val="auto"/>
                <w:kern w:val="21"/>
                <w:sz w:val="18"/>
                <w:szCs w:val="18"/>
                <w:highlight w:val="none"/>
              </w:rPr>
            </w:pPr>
            <w:r>
              <w:rPr>
                <w:rFonts w:hint="eastAsia" w:ascii="宋体" w:hAnsi="宋体" w:cs="宋体"/>
                <w:b/>
                <w:bCs/>
                <w:color w:val="auto"/>
                <w:kern w:val="21"/>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780C7F17">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28E2B5D">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A5A0BF">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73B1D7A">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43B63C5">
            <w:pPr>
              <w:widowControl/>
              <w:jc w:val="left"/>
              <w:rPr>
                <w:rFonts w:ascii="宋体" w:hAnsi="宋体" w:cs="宋体"/>
                <w:color w:val="auto"/>
                <w:kern w:val="21"/>
                <w:sz w:val="18"/>
                <w:szCs w:val="18"/>
                <w:highlight w:val="none"/>
              </w:rPr>
            </w:pPr>
            <w:r>
              <w:rPr>
                <w:rFonts w:hint="eastAsia" w:ascii="宋体" w:hAnsi="宋体" w:cs="宋体"/>
                <w:color w:val="auto"/>
                <w:kern w:val="21"/>
                <w:sz w:val="18"/>
                <w:szCs w:val="18"/>
                <w:highlight w:val="none"/>
              </w:rPr>
              <w:t>X＜10</w:t>
            </w:r>
          </w:p>
        </w:tc>
      </w:tr>
    </w:tbl>
    <w:p w14:paraId="4A3B1A3E">
      <w:pPr>
        <w:spacing w:line="360" w:lineRule="auto"/>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60143E3">
      <w:pPr>
        <w:pStyle w:val="18"/>
        <w:spacing w:line="360" w:lineRule="auto"/>
        <w:jc w:val="center"/>
        <w:outlineLvl w:val="0"/>
        <w:rPr>
          <w:rFonts w:hAnsi="宋体" w:cs="宋体"/>
          <w:color w:val="auto"/>
          <w:kern w:val="21"/>
          <w:highlight w:val="none"/>
        </w:rPr>
        <w:sectPr>
          <w:footerReference r:id="rId9" w:type="default"/>
          <w:pgSz w:w="11911" w:h="16838"/>
          <w:pgMar w:top="1440" w:right="1440" w:bottom="1440" w:left="1440" w:header="720" w:footer="720" w:gutter="0"/>
          <w:pgNumType w:start="1"/>
          <w:cols w:space="720" w:num="1"/>
          <w:docGrid w:linePitch="331" w:charSpace="0"/>
        </w:sectPr>
      </w:pPr>
    </w:p>
    <w:p w14:paraId="6C279835">
      <w:pPr>
        <w:pStyle w:val="3"/>
        <w:spacing w:before="0" w:after="0" w:line="360" w:lineRule="auto"/>
        <w:jc w:val="center"/>
        <w:rPr>
          <w:rFonts w:ascii="宋体" w:hAnsi="宋体" w:cs="宋体"/>
          <w:color w:val="auto"/>
          <w:kern w:val="21"/>
          <w:highlight w:val="none"/>
        </w:rPr>
      </w:pPr>
      <w:bookmarkStart w:id="32" w:name="_Toc16233"/>
      <w:bookmarkStart w:id="33" w:name="_Toc24485"/>
      <w:r>
        <w:rPr>
          <w:rFonts w:hint="eastAsia" w:ascii="宋体" w:hAnsi="宋体" w:cs="宋体"/>
          <w:bCs w:val="0"/>
          <w:color w:val="auto"/>
          <w:kern w:val="21"/>
          <w:sz w:val="32"/>
          <w:szCs w:val="32"/>
          <w:highlight w:val="none"/>
        </w:rPr>
        <w:t>第三章 供应商须知</w:t>
      </w:r>
      <w:bookmarkEnd w:id="32"/>
      <w:bookmarkEnd w:id="33"/>
    </w:p>
    <w:p w14:paraId="2DED8758">
      <w:pPr>
        <w:pStyle w:val="4"/>
        <w:spacing w:before="0" w:after="0" w:line="360" w:lineRule="auto"/>
        <w:jc w:val="center"/>
        <w:rPr>
          <w:rFonts w:ascii="宋体" w:hAnsi="宋体" w:cs="宋体"/>
          <w:bCs w:val="0"/>
          <w:color w:val="auto"/>
          <w:kern w:val="21"/>
          <w:highlight w:val="none"/>
        </w:rPr>
      </w:pPr>
      <w:bookmarkStart w:id="34" w:name="_Toc23404"/>
      <w:bookmarkStart w:id="35" w:name="_Toc26015"/>
      <w:r>
        <w:rPr>
          <w:rFonts w:hint="eastAsia" w:ascii="宋体" w:hAnsi="宋体" w:cs="宋体"/>
          <w:bCs w:val="0"/>
          <w:color w:val="auto"/>
          <w:kern w:val="21"/>
          <w:highlight w:val="none"/>
        </w:rPr>
        <w:t>第一节 供应商须知前附表</w:t>
      </w:r>
      <w:bookmarkEnd w:id="34"/>
      <w:bookmarkEnd w:id="35"/>
    </w:p>
    <w:p w14:paraId="00A9E058">
      <w:pPr>
        <w:spacing w:line="400" w:lineRule="exact"/>
        <w:jc w:val="center"/>
        <w:rPr>
          <w:rFonts w:ascii="宋体" w:hAnsi="宋体" w:cs="宋体"/>
          <w:b/>
          <w:color w:val="auto"/>
          <w:kern w:val="21"/>
          <w:sz w:val="32"/>
          <w:szCs w:val="32"/>
          <w:highlight w:val="none"/>
        </w:rPr>
      </w:pPr>
    </w:p>
    <w:tbl>
      <w:tblPr>
        <w:tblStyle w:val="31"/>
        <w:tblW w:w="10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2786"/>
        <w:gridCol w:w="6853"/>
      </w:tblGrid>
      <w:tr w14:paraId="75C86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867" w:type="dxa"/>
            <w:noWrap w:val="0"/>
            <w:vAlign w:val="center"/>
          </w:tcPr>
          <w:p w14:paraId="6D8B2AF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条款号</w:t>
            </w:r>
          </w:p>
        </w:tc>
        <w:tc>
          <w:tcPr>
            <w:tcW w:w="2786" w:type="dxa"/>
            <w:noWrap w:val="0"/>
            <w:vAlign w:val="center"/>
          </w:tcPr>
          <w:p w14:paraId="70BBBF4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条款内容</w:t>
            </w:r>
          </w:p>
        </w:tc>
        <w:tc>
          <w:tcPr>
            <w:tcW w:w="6853" w:type="dxa"/>
            <w:noWrap w:val="0"/>
            <w:vAlign w:val="center"/>
          </w:tcPr>
          <w:p w14:paraId="235EB58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具体要求</w:t>
            </w:r>
          </w:p>
        </w:tc>
      </w:tr>
      <w:tr w14:paraId="53244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top"/>
          </w:tcPr>
          <w:p w14:paraId="7E43E1FA">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3.1</w:t>
            </w:r>
          </w:p>
        </w:tc>
        <w:tc>
          <w:tcPr>
            <w:tcW w:w="2786" w:type="dxa"/>
            <w:noWrap w:val="0"/>
            <w:vAlign w:val="center"/>
          </w:tcPr>
          <w:p w14:paraId="3FA43491">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供应商资格条件</w:t>
            </w:r>
          </w:p>
        </w:tc>
        <w:tc>
          <w:tcPr>
            <w:tcW w:w="6853" w:type="dxa"/>
            <w:noWrap w:val="0"/>
            <w:vAlign w:val="center"/>
          </w:tcPr>
          <w:p w14:paraId="2D8B591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color w:val="auto"/>
                <w:kern w:val="21"/>
                <w:szCs w:val="21"/>
                <w:highlight w:val="none"/>
              </w:rPr>
            </w:pPr>
            <w:r>
              <w:rPr>
                <w:rFonts w:hint="eastAsia" w:ascii="宋体" w:hAnsi="宋体" w:cs="宋体"/>
                <w:color w:val="auto"/>
                <w:kern w:val="21"/>
                <w:szCs w:val="21"/>
                <w:highlight w:val="none"/>
              </w:rPr>
              <w:t>供应商资格条件要求详见公告</w:t>
            </w:r>
          </w:p>
        </w:tc>
      </w:tr>
      <w:tr w14:paraId="5EE63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52DA42C3">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5.1</w:t>
            </w:r>
          </w:p>
        </w:tc>
        <w:tc>
          <w:tcPr>
            <w:tcW w:w="2786" w:type="dxa"/>
            <w:noWrap w:val="0"/>
            <w:vAlign w:val="center"/>
          </w:tcPr>
          <w:p w14:paraId="7D437EA0">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是否接受联合体竞标</w:t>
            </w:r>
          </w:p>
        </w:tc>
        <w:tc>
          <w:tcPr>
            <w:tcW w:w="6853" w:type="dxa"/>
            <w:noWrap w:val="0"/>
            <w:vAlign w:val="center"/>
          </w:tcPr>
          <w:p w14:paraId="202F2F3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□是/☑否。</w:t>
            </w:r>
          </w:p>
        </w:tc>
      </w:tr>
      <w:tr w14:paraId="4DD2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8FB56E8">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5.2</w:t>
            </w:r>
          </w:p>
        </w:tc>
        <w:tc>
          <w:tcPr>
            <w:tcW w:w="2786" w:type="dxa"/>
            <w:noWrap w:val="0"/>
            <w:vAlign w:val="center"/>
          </w:tcPr>
          <w:p w14:paraId="0D7D7668">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联合体竞标要求</w:t>
            </w:r>
          </w:p>
        </w:tc>
        <w:tc>
          <w:tcPr>
            <w:tcW w:w="6853" w:type="dxa"/>
            <w:noWrap w:val="0"/>
            <w:vAlign w:val="center"/>
          </w:tcPr>
          <w:p w14:paraId="32020B7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无</w:t>
            </w:r>
          </w:p>
        </w:tc>
      </w:tr>
      <w:tr w14:paraId="3278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FEB79C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6.1</w:t>
            </w:r>
          </w:p>
        </w:tc>
        <w:tc>
          <w:tcPr>
            <w:tcW w:w="2786" w:type="dxa"/>
            <w:noWrap w:val="0"/>
            <w:vAlign w:val="center"/>
          </w:tcPr>
          <w:p w14:paraId="607640EE">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是否允许分包</w:t>
            </w:r>
          </w:p>
        </w:tc>
        <w:tc>
          <w:tcPr>
            <w:tcW w:w="6853" w:type="dxa"/>
            <w:noWrap w:val="0"/>
            <w:vAlign w:val="center"/>
          </w:tcPr>
          <w:p w14:paraId="75C7F66B">
            <w:pPr>
              <w:pStyle w:val="14"/>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☑不允许分包</w:t>
            </w:r>
          </w:p>
          <w:p w14:paraId="5FABBEEF">
            <w:pPr>
              <w:pStyle w:val="14"/>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□允许分包</w:t>
            </w:r>
          </w:p>
          <w:p w14:paraId="31B83E87">
            <w:pPr>
              <w:pStyle w:val="14"/>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u w:val="single"/>
              </w:rPr>
            </w:pPr>
            <w:r>
              <w:rPr>
                <w:rFonts w:hint="eastAsia" w:ascii="宋体" w:hAnsi="宋体" w:cs="宋体"/>
                <w:color w:val="auto"/>
                <w:kern w:val="21"/>
                <w:szCs w:val="21"/>
                <w:highlight w:val="none"/>
              </w:rPr>
              <w:t>分包内容：</w:t>
            </w:r>
          </w:p>
          <w:p w14:paraId="60BA9BA9">
            <w:pPr>
              <w:pStyle w:val="14"/>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分包金额或者比例：</w:t>
            </w:r>
          </w:p>
        </w:tc>
      </w:tr>
      <w:tr w14:paraId="1647E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5C7A00DE">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12.1.1</w:t>
            </w:r>
          </w:p>
        </w:tc>
        <w:tc>
          <w:tcPr>
            <w:tcW w:w="2786" w:type="dxa"/>
            <w:noWrap w:val="0"/>
            <w:vAlign w:val="center"/>
          </w:tcPr>
          <w:p w14:paraId="60DC3250">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资格证明文件组成</w:t>
            </w:r>
          </w:p>
          <w:p w14:paraId="67538178">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6853" w:type="dxa"/>
            <w:noWrap w:val="0"/>
            <w:vAlign w:val="center"/>
          </w:tcPr>
          <w:p w14:paraId="3F82F24C">
            <w:pPr>
              <w:pStyle w:val="14"/>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62A6D8ED">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供应商依法缴纳税收的相关材料（响应文件递交截止之日前12个月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0FF1019A">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供应商依法缴纳社会保障资金的相关材料[响应文件递交截止之日前12个月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47D7FBFB">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4.供应商财务状况报告</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提供上一年度的审计报告</w:t>
            </w:r>
            <w:r>
              <w:rPr>
                <w:rFonts w:hint="eastAsia" w:ascii="宋体" w:hAnsi="宋体" w:cs="宋体"/>
                <w:color w:val="auto"/>
                <w:kern w:val="21"/>
                <w:szCs w:val="21"/>
                <w:highlight w:val="none"/>
                <w:lang w:val="en-US" w:eastAsia="zh-CN"/>
              </w:rPr>
              <w:t>或</w:t>
            </w:r>
            <w:r>
              <w:rPr>
                <w:rFonts w:hint="eastAsia" w:ascii="宋体" w:hAnsi="宋体" w:cs="宋体"/>
                <w:color w:val="auto"/>
                <w:kern w:val="21"/>
                <w:szCs w:val="21"/>
                <w:highlight w:val="none"/>
              </w:rPr>
              <w:t>响应文件递交截止之日前12个月内任意一个月的财务</w:t>
            </w:r>
            <w:r>
              <w:rPr>
                <w:rFonts w:hint="eastAsia" w:ascii="宋体" w:hAnsi="宋体" w:cs="宋体"/>
                <w:color w:val="auto"/>
                <w:kern w:val="21"/>
                <w:szCs w:val="21"/>
                <w:highlight w:val="none"/>
                <w:lang w:val="en-US" w:eastAsia="zh-CN"/>
              </w:rPr>
              <w:t>报表</w:t>
            </w:r>
            <w:r>
              <w:rPr>
                <w:rFonts w:hint="eastAsia" w:ascii="宋体" w:hAnsi="宋体" w:cs="宋体"/>
                <w:color w:val="auto"/>
                <w:kern w:val="21"/>
                <w:szCs w:val="21"/>
                <w:highlight w:val="none"/>
              </w:rPr>
              <w:t>复印件</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6AA80A26">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5.供应商直接控股、管理关系信息表（格式后附）；（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2BA9F454">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cs="宋体"/>
                <w:color w:val="auto"/>
                <w:kern w:val="21"/>
                <w:szCs w:val="21"/>
                <w:highlight w:val="none"/>
              </w:rPr>
            </w:pPr>
            <w:r>
              <w:rPr>
                <w:rFonts w:hint="eastAsia" w:ascii="宋体" w:hAnsi="宋体" w:cs="宋体"/>
                <w:color w:val="auto"/>
                <w:kern w:val="21"/>
                <w:szCs w:val="21"/>
                <w:highlight w:val="none"/>
              </w:rPr>
              <w:t>6.资格声明函（格式后附）；</w:t>
            </w:r>
            <w:r>
              <w:rPr>
                <w:rFonts w:hint="eastAsia" w:ascii="宋体" w:hAnsi="宋体" w:cs="宋体"/>
                <w:b/>
                <w:bCs/>
                <w:color w:val="auto"/>
                <w:kern w:val="21"/>
                <w:szCs w:val="21"/>
                <w:highlight w:val="none"/>
              </w:rPr>
              <w:t>（必须提供，否则作无效响应处理）</w:t>
            </w:r>
          </w:p>
          <w:p w14:paraId="63CBAC26">
            <w:pPr>
              <w:keepNext w:val="0"/>
              <w:keepLines w:val="0"/>
              <w:pageBreakBefore w:val="0"/>
              <w:widowControl w:val="0"/>
              <w:kinsoku/>
              <w:overflowPunct/>
              <w:topLinePunct w:val="0"/>
              <w:autoSpaceDE/>
              <w:autoSpaceDN/>
              <w:bidi w:val="0"/>
              <w:adjustRightInd/>
              <w:snapToGrid/>
              <w:spacing w:line="360" w:lineRule="auto"/>
              <w:jc w:val="left"/>
              <w:textAlignment w:val="auto"/>
              <w:rPr>
                <w:rFonts w:hint="default" w:ascii="宋体" w:hAnsi="宋体" w:cs="宋体"/>
                <w:color w:val="auto"/>
                <w:kern w:val="21"/>
                <w:szCs w:val="21"/>
                <w:highlight w:val="none"/>
                <w:lang w:val="en-US" w:eastAsia="zh-CN"/>
              </w:rPr>
            </w:pPr>
            <w:r>
              <w:rPr>
                <w:rFonts w:hint="eastAsia" w:ascii="宋体" w:hAnsi="宋体" w:cs="宋体"/>
                <w:color w:val="auto"/>
                <w:kern w:val="21"/>
                <w:szCs w:val="21"/>
                <w:highlight w:val="none"/>
                <w:lang w:val="en-US" w:eastAsia="zh-CN"/>
              </w:rPr>
              <w:t>7.本项目允许分公司参与竞标，如分公司参与的，须提供具有法人资格的总公司出具的授权书；已由总公司授权的，总公司取得的相关证明材料对分公司有效</w:t>
            </w:r>
            <w:r>
              <w:rPr>
                <w:rFonts w:hint="eastAsia" w:ascii="宋体" w:hAnsi="宋体" w:cs="宋体"/>
                <w:color w:val="auto"/>
                <w:kern w:val="21"/>
                <w:szCs w:val="21"/>
                <w:highlight w:val="none"/>
              </w:rPr>
              <w:t>；</w:t>
            </w:r>
            <w:r>
              <w:rPr>
                <w:rFonts w:hint="eastAsia" w:ascii="宋体" w:hAnsi="宋体" w:cs="宋体"/>
                <w:b/>
                <w:bCs/>
                <w:color w:val="auto"/>
                <w:kern w:val="21"/>
                <w:szCs w:val="21"/>
                <w:highlight w:val="none"/>
              </w:rPr>
              <w:t>（</w:t>
            </w:r>
            <w:r>
              <w:rPr>
                <w:rFonts w:hint="eastAsia" w:ascii="宋体" w:hAnsi="宋体" w:cs="宋体"/>
                <w:b/>
                <w:bCs/>
                <w:color w:val="auto"/>
                <w:kern w:val="21"/>
                <w:szCs w:val="21"/>
                <w:highlight w:val="none"/>
                <w:lang w:val="en-US" w:eastAsia="zh-CN"/>
              </w:rPr>
              <w:t>分公司参与竞标时</w:t>
            </w:r>
            <w:r>
              <w:rPr>
                <w:rFonts w:hint="eastAsia" w:ascii="宋体" w:hAnsi="宋体" w:cs="宋体"/>
                <w:b/>
                <w:bCs/>
                <w:color w:val="auto"/>
                <w:kern w:val="21"/>
                <w:szCs w:val="21"/>
                <w:highlight w:val="none"/>
              </w:rPr>
              <w:t>必须提供，否则作无效响应处理）</w:t>
            </w:r>
          </w:p>
          <w:p w14:paraId="5F8DD68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cs="宋体"/>
                <w:color w:val="auto"/>
                <w:kern w:val="21"/>
                <w:szCs w:val="21"/>
                <w:highlight w:val="none"/>
              </w:rPr>
            </w:pPr>
            <w:r>
              <w:rPr>
                <w:rFonts w:hint="eastAsia" w:ascii="宋体" w:hAnsi="宋体" w:cs="宋体"/>
                <w:color w:val="auto"/>
                <w:kern w:val="21"/>
                <w:szCs w:val="21"/>
                <w:highlight w:val="none"/>
                <w:lang w:val="en-US" w:eastAsia="zh-CN"/>
              </w:rPr>
              <w:t>8</w:t>
            </w:r>
            <w:r>
              <w:rPr>
                <w:rFonts w:hint="eastAsia" w:ascii="宋体" w:hAnsi="宋体" w:cs="宋体"/>
                <w:color w:val="auto"/>
                <w:kern w:val="21"/>
                <w:szCs w:val="21"/>
                <w:highlight w:val="none"/>
              </w:rPr>
              <w:t>.除磋商文件规定必须提供以外，供应商认为需要提供的其他证明材料。</w:t>
            </w:r>
          </w:p>
          <w:p w14:paraId="37691A1E">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注：1.以上标明“必须提供”的材料属于复印件的，必须加盖供应商电子公章，否则响应文件按无效响应处理。</w:t>
            </w:r>
          </w:p>
          <w:p w14:paraId="3343577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default" w:eastAsia="宋体"/>
                <w:lang w:val="en-US" w:eastAsia="zh-CN"/>
              </w:rPr>
            </w:pPr>
            <w:r>
              <w:rPr>
                <w:rFonts w:hint="eastAsia" w:ascii="宋体" w:hAnsi="宋体" w:cs="宋体"/>
                <w:b/>
                <w:color w:val="auto"/>
                <w:kern w:val="21"/>
                <w:szCs w:val="21"/>
                <w:highlight w:val="none"/>
              </w:rPr>
              <w:t>2.联合体竞标时，第1-5项资格证明文件联合体各方均必须分别提供，联合体各方分别盖章，否则响应文件按无效响应处理。</w:t>
            </w:r>
          </w:p>
        </w:tc>
      </w:tr>
      <w:tr w14:paraId="0581D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noWrap w:val="0"/>
            <w:vAlign w:val="center"/>
          </w:tcPr>
          <w:p w14:paraId="321668C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12.1.2</w:t>
            </w:r>
          </w:p>
        </w:tc>
        <w:tc>
          <w:tcPr>
            <w:tcW w:w="2786" w:type="dxa"/>
            <w:noWrap w:val="0"/>
            <w:vAlign w:val="center"/>
          </w:tcPr>
          <w:p w14:paraId="1B6789A8">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bCs/>
                <w:color w:val="auto"/>
                <w:kern w:val="21"/>
                <w:szCs w:val="21"/>
                <w:highlight w:val="none"/>
              </w:rPr>
            </w:pPr>
            <w:r>
              <w:rPr>
                <w:rFonts w:hint="eastAsia" w:ascii="宋体" w:hAnsi="宋体" w:cs="宋体"/>
                <w:b/>
                <w:bCs/>
                <w:color w:val="auto"/>
                <w:kern w:val="21"/>
                <w:szCs w:val="21"/>
                <w:highlight w:val="none"/>
              </w:rPr>
              <w:t>商务文件组成</w:t>
            </w:r>
          </w:p>
        </w:tc>
        <w:tc>
          <w:tcPr>
            <w:tcW w:w="6853" w:type="dxa"/>
            <w:noWrap w:val="0"/>
            <w:vAlign w:val="center"/>
          </w:tcPr>
          <w:p w14:paraId="02F4FE18">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1.无串通竞标行为的承诺函（格式后附）；（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233A50E4">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2.法定代表人身份证明书及法定代表人有效身份证正反面复印件（格式后附）；（</w:t>
            </w:r>
            <w:r>
              <w:rPr>
                <w:rFonts w:hint="eastAsia" w:ascii="宋体" w:hAnsi="宋体" w:cs="宋体"/>
                <w:b/>
                <w:bCs/>
                <w:color w:val="auto"/>
                <w:kern w:val="21"/>
                <w:szCs w:val="21"/>
                <w:highlight w:val="none"/>
              </w:rPr>
              <w:t>除自然人竞标外</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72505B38">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color w:val="auto"/>
                <w:kern w:val="21"/>
                <w:szCs w:val="21"/>
                <w:highlight w:val="none"/>
              </w:rPr>
            </w:pPr>
            <w:r>
              <w:rPr>
                <w:rFonts w:hint="eastAsia" w:ascii="宋体" w:hAnsi="宋体" w:cs="宋体"/>
                <w:color w:val="auto"/>
                <w:kern w:val="21"/>
                <w:szCs w:val="21"/>
                <w:highlight w:val="none"/>
              </w:rPr>
              <w:t>3.法定代表人授权委托书及委托代理人有效身份证正反面复印件（格式后附）；（</w:t>
            </w:r>
            <w:r>
              <w:rPr>
                <w:rFonts w:hint="eastAsia" w:ascii="宋体" w:hAnsi="宋体" w:cs="宋体"/>
                <w:b/>
                <w:color w:val="auto"/>
                <w:kern w:val="21"/>
                <w:szCs w:val="21"/>
                <w:highlight w:val="none"/>
              </w:rPr>
              <w:t>委托时必须提供，否则作无效响应处理</w:t>
            </w:r>
            <w:r>
              <w:rPr>
                <w:rFonts w:hint="eastAsia" w:ascii="宋体" w:hAnsi="宋体" w:cs="宋体"/>
                <w:color w:val="auto"/>
                <w:kern w:val="21"/>
                <w:szCs w:val="21"/>
                <w:highlight w:val="none"/>
              </w:rPr>
              <w:t>）</w:t>
            </w:r>
          </w:p>
          <w:p w14:paraId="3EE1E4DD">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4.商务条款偏离表（格式后附）；（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0B5DC12D">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5.磋商保证金的相关证明复印件；（</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10FF029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6.竞标人情况介绍（格式自拟）；</w:t>
            </w:r>
          </w:p>
          <w:p w14:paraId="15CC84AD">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7.供应商认为需要提供的其他有关资料。</w:t>
            </w:r>
          </w:p>
          <w:p w14:paraId="08EB30A6">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注： 1.法定代表人授权委托书必须由法定代表人及委托代理人签字，并加盖供应商电子公章，否则响应文件按无效响应处理。</w:t>
            </w:r>
          </w:p>
          <w:p w14:paraId="0BA9A323">
            <w:pPr>
              <w:keepNext w:val="0"/>
              <w:keepLines w:val="0"/>
              <w:pageBreakBefore w:val="0"/>
              <w:widowControl w:val="0"/>
              <w:kinsoku/>
              <w:overflowPunct/>
              <w:topLinePunct w:val="0"/>
              <w:autoSpaceDE/>
              <w:autoSpaceDN/>
              <w:bidi w:val="0"/>
              <w:adjustRightInd/>
              <w:snapToGrid/>
              <w:spacing w:line="360" w:lineRule="auto"/>
              <w:ind w:firstLine="413" w:firstLineChars="196"/>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2.以上标明“必须提供”的材料属于复印件的扫描件的，必须加盖供应商电子公章，否则响应文件按无效响应处理。</w:t>
            </w:r>
          </w:p>
        </w:tc>
      </w:tr>
      <w:tr w14:paraId="6B3F7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noWrap w:val="0"/>
            <w:vAlign w:val="center"/>
          </w:tcPr>
          <w:p w14:paraId="68519728">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2786" w:type="dxa"/>
            <w:noWrap w:val="0"/>
            <w:vAlign w:val="center"/>
          </w:tcPr>
          <w:p w14:paraId="6F0C87F2">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b/>
                <w:bCs/>
                <w:color w:val="auto"/>
                <w:kern w:val="21"/>
                <w:szCs w:val="21"/>
                <w:highlight w:val="none"/>
              </w:rPr>
            </w:pPr>
            <w:r>
              <w:rPr>
                <w:rFonts w:hint="eastAsia" w:ascii="宋体" w:hAnsi="宋体" w:cs="宋体"/>
                <w:b/>
                <w:bCs/>
                <w:color w:val="auto"/>
                <w:kern w:val="21"/>
                <w:szCs w:val="21"/>
                <w:highlight w:val="none"/>
              </w:rPr>
              <w:t>技术文件组成</w:t>
            </w:r>
          </w:p>
        </w:tc>
        <w:tc>
          <w:tcPr>
            <w:tcW w:w="6853" w:type="dxa"/>
            <w:noWrap w:val="0"/>
            <w:vAlign w:val="center"/>
          </w:tcPr>
          <w:p w14:paraId="0940C1AE">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1.服务需求偏离表（格式后附）；（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76058E43">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2.技术服务方案；（</w:t>
            </w:r>
            <w:r>
              <w:rPr>
                <w:rFonts w:hint="eastAsia" w:ascii="宋体" w:hAnsi="宋体" w:cs="宋体"/>
                <w:b/>
                <w:color w:val="auto"/>
                <w:kern w:val="21"/>
                <w:szCs w:val="21"/>
                <w:highlight w:val="none"/>
              </w:rPr>
              <w:t>如有请提供</w:t>
            </w:r>
            <w:r>
              <w:rPr>
                <w:rFonts w:hint="eastAsia" w:ascii="宋体" w:hAnsi="宋体" w:cs="宋体"/>
                <w:color w:val="auto"/>
                <w:kern w:val="21"/>
                <w:szCs w:val="21"/>
                <w:highlight w:val="none"/>
              </w:rPr>
              <w:t>）</w:t>
            </w:r>
          </w:p>
          <w:p w14:paraId="06D7007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bCs/>
                <w:color w:val="auto"/>
                <w:kern w:val="21"/>
                <w:szCs w:val="21"/>
                <w:highlight w:val="none"/>
              </w:rPr>
            </w:pPr>
            <w:r>
              <w:rPr>
                <w:rFonts w:hint="eastAsia" w:ascii="宋体" w:hAnsi="宋体" w:cs="宋体"/>
                <w:color w:val="auto"/>
                <w:kern w:val="21"/>
                <w:szCs w:val="21"/>
                <w:highlight w:val="none"/>
              </w:rPr>
              <w:t>3.</w:t>
            </w:r>
            <w:r>
              <w:rPr>
                <w:rFonts w:hint="eastAsia" w:ascii="宋体" w:hAnsi="宋体" w:cs="宋体"/>
                <w:color w:val="auto"/>
                <w:kern w:val="21"/>
                <w:szCs w:val="21"/>
                <w:highlight w:val="none"/>
                <w:lang w:val="en-US" w:eastAsia="zh-CN"/>
              </w:rPr>
              <w:t>售后</w:t>
            </w:r>
            <w:r>
              <w:rPr>
                <w:rFonts w:hint="eastAsia" w:ascii="宋体" w:hAnsi="宋体" w:cs="宋体"/>
                <w:color w:val="auto"/>
                <w:kern w:val="21"/>
                <w:szCs w:val="21"/>
                <w:highlight w:val="none"/>
              </w:rPr>
              <w:t>服务方案；</w:t>
            </w:r>
            <w:r>
              <w:rPr>
                <w:rFonts w:hint="eastAsia" w:ascii="宋体" w:hAnsi="宋体" w:cs="宋体"/>
                <w:b/>
                <w:bCs/>
                <w:color w:val="auto"/>
                <w:kern w:val="21"/>
                <w:szCs w:val="21"/>
                <w:highlight w:val="none"/>
              </w:rPr>
              <w:t>（必须提供，否则作无效响应处理）</w:t>
            </w:r>
          </w:p>
          <w:p w14:paraId="303FBB4E">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4.项目实施人员一览表；（</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409E27F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5.对应采购需求的服务需求、商务条款提供的其他文件资料；</w:t>
            </w:r>
          </w:p>
          <w:p w14:paraId="10C4C75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6.供应商认为需要提供的其他有关资料。</w:t>
            </w:r>
          </w:p>
          <w:p w14:paraId="60166A89">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注：以上标明“必须提供”的材料属于复印件的扫描件的，必须加盖供应商电子公章，否则响应文件按无效响应处理。</w:t>
            </w:r>
          </w:p>
        </w:tc>
      </w:tr>
      <w:tr w14:paraId="11D8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F60AB1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12.1.3</w:t>
            </w:r>
          </w:p>
        </w:tc>
        <w:tc>
          <w:tcPr>
            <w:tcW w:w="2786" w:type="dxa"/>
            <w:noWrap w:val="0"/>
            <w:vAlign w:val="center"/>
          </w:tcPr>
          <w:p w14:paraId="3E6A5B67">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b/>
                <w:bCs/>
                <w:color w:val="auto"/>
                <w:kern w:val="21"/>
                <w:szCs w:val="21"/>
                <w:highlight w:val="none"/>
              </w:rPr>
              <w:t>报价文件组成</w:t>
            </w:r>
          </w:p>
        </w:tc>
        <w:tc>
          <w:tcPr>
            <w:tcW w:w="6853" w:type="dxa"/>
            <w:noWrap w:val="0"/>
            <w:vAlign w:val="center"/>
          </w:tcPr>
          <w:p w14:paraId="0EA30076">
            <w:pPr>
              <w:keepNext w:val="0"/>
              <w:keepLines w:val="0"/>
              <w:pageBreakBefore w:val="0"/>
              <w:widowControl w:val="0"/>
              <w:tabs>
                <w:tab w:val="left" w:pos="459"/>
              </w:tabs>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1.响应函（格式后附）；</w:t>
            </w:r>
            <w:r>
              <w:rPr>
                <w:rFonts w:hint="eastAsia" w:ascii="宋体" w:hAnsi="宋体" w:cs="宋体"/>
                <w:b/>
                <w:color w:val="auto"/>
                <w:kern w:val="21"/>
                <w:szCs w:val="21"/>
                <w:highlight w:val="none"/>
              </w:rPr>
              <w:t>（必须提供，否则作无效响应处理）</w:t>
            </w:r>
          </w:p>
          <w:p w14:paraId="2A286072">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2.响应报价表（格式后附）；（</w:t>
            </w:r>
            <w:r>
              <w:rPr>
                <w:rFonts w:hint="eastAsia" w:ascii="宋体" w:hAnsi="宋体" w:cs="宋体"/>
                <w:b/>
                <w:color w:val="auto"/>
                <w:kern w:val="21"/>
                <w:szCs w:val="21"/>
                <w:highlight w:val="none"/>
              </w:rPr>
              <w:t>必须提供，否则作无效响应处理</w:t>
            </w:r>
            <w:r>
              <w:rPr>
                <w:rFonts w:hint="eastAsia" w:ascii="宋体" w:hAnsi="宋体" w:cs="宋体"/>
                <w:color w:val="auto"/>
                <w:kern w:val="21"/>
                <w:szCs w:val="21"/>
                <w:highlight w:val="none"/>
              </w:rPr>
              <w:t>）</w:t>
            </w:r>
          </w:p>
          <w:p w14:paraId="4239C63B">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3.中小企业声明函（格式后附）。</w:t>
            </w:r>
          </w:p>
        </w:tc>
      </w:tr>
      <w:tr w14:paraId="2D9D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7159C93">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12.2</w:t>
            </w:r>
          </w:p>
        </w:tc>
        <w:tc>
          <w:tcPr>
            <w:tcW w:w="2786" w:type="dxa"/>
            <w:noWrap w:val="0"/>
            <w:vAlign w:val="center"/>
          </w:tcPr>
          <w:p w14:paraId="52372990">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响应文件电子版要求</w:t>
            </w:r>
          </w:p>
        </w:tc>
        <w:tc>
          <w:tcPr>
            <w:tcW w:w="6853" w:type="dxa"/>
            <w:noWrap w:val="0"/>
            <w:vAlign w:val="center"/>
          </w:tcPr>
          <w:p w14:paraId="09BD63AC">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kern w:val="21"/>
                <w:szCs w:val="21"/>
                <w:highlight w:val="none"/>
              </w:rPr>
              <w:t>否则作无效响应处理</w:t>
            </w:r>
            <w:r>
              <w:rPr>
                <w:rFonts w:hint="eastAsia" w:ascii="宋体" w:hAnsi="宋体" w:cs="宋体"/>
                <w:color w:val="auto"/>
                <w:kern w:val="21"/>
                <w:szCs w:val="21"/>
                <w:highlight w:val="none"/>
              </w:rPr>
              <w:t>。</w:t>
            </w:r>
          </w:p>
          <w:p w14:paraId="2206A38C">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2.响应文件电子版密封方式：电子响应文件通过平台有效CA加密后在“广西政府采购云平台”投送。</w:t>
            </w:r>
          </w:p>
          <w:p w14:paraId="2BF52110">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▲未传输递交电子响应文件的，竞标无效。</w:t>
            </w:r>
          </w:p>
        </w:tc>
      </w:tr>
      <w:tr w14:paraId="3718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A3B25C0">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15.2</w:t>
            </w:r>
          </w:p>
        </w:tc>
        <w:tc>
          <w:tcPr>
            <w:tcW w:w="2786" w:type="dxa"/>
            <w:noWrap w:val="0"/>
            <w:vAlign w:val="center"/>
          </w:tcPr>
          <w:p w14:paraId="5FEF5ADA">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响应报价要求</w:t>
            </w:r>
          </w:p>
        </w:tc>
        <w:tc>
          <w:tcPr>
            <w:tcW w:w="6853" w:type="dxa"/>
            <w:noWrap w:val="0"/>
            <w:vAlign w:val="center"/>
          </w:tcPr>
          <w:p w14:paraId="33B8D08F">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kern w:val="21"/>
                <w:szCs w:val="21"/>
                <w:highlight w:val="none"/>
              </w:rPr>
              <w:t>（采购需求另有约定的，从其约定）</w:t>
            </w:r>
          </w:p>
        </w:tc>
      </w:tr>
      <w:tr w14:paraId="24AFB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DB3EC7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16.2</w:t>
            </w:r>
          </w:p>
        </w:tc>
        <w:tc>
          <w:tcPr>
            <w:tcW w:w="2786" w:type="dxa"/>
            <w:noWrap w:val="0"/>
            <w:vAlign w:val="center"/>
          </w:tcPr>
          <w:p w14:paraId="5C7FB5A1">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竞标有效期</w:t>
            </w:r>
          </w:p>
        </w:tc>
        <w:tc>
          <w:tcPr>
            <w:tcW w:w="6853" w:type="dxa"/>
            <w:noWrap w:val="0"/>
            <w:vAlign w:val="center"/>
          </w:tcPr>
          <w:p w14:paraId="5C95D5E4">
            <w:pPr>
              <w:pStyle w:val="13"/>
              <w:keepNext w:val="0"/>
              <w:keepLines w:val="0"/>
              <w:pageBreakBefore w:val="0"/>
              <w:widowControl w:val="0"/>
              <w:tabs>
                <w:tab w:val="clear" w:pos="454"/>
              </w:tabs>
              <w:kinsoku/>
              <w:overflowPunct/>
              <w:topLinePunct w:val="0"/>
              <w:autoSpaceDE/>
              <w:autoSpaceDN/>
              <w:bidi w:val="0"/>
              <w:adjustRightInd/>
              <w:snapToGrid/>
              <w:spacing w:after="0" w:afterLines="0" w:line="360" w:lineRule="auto"/>
              <w:ind w:left="283" w:hanging="283" w:hangingChars="135"/>
              <w:textAlignment w:val="auto"/>
              <w:rPr>
                <w:rFonts w:ascii="宋体" w:hAnsi="宋体" w:cs="宋体"/>
                <w:color w:val="auto"/>
                <w:kern w:val="21"/>
                <w:sz w:val="21"/>
                <w:szCs w:val="21"/>
                <w:highlight w:val="none"/>
              </w:rPr>
            </w:pPr>
            <w:r>
              <w:rPr>
                <w:rFonts w:hint="eastAsia" w:ascii="宋体" w:hAnsi="宋体" w:cs="宋体"/>
                <w:color w:val="auto"/>
                <w:kern w:val="21"/>
                <w:sz w:val="21"/>
                <w:szCs w:val="21"/>
                <w:highlight w:val="none"/>
              </w:rPr>
              <w:t>自首次响应文件提交截止之日起</w:t>
            </w:r>
            <w:r>
              <w:rPr>
                <w:rFonts w:hint="eastAsia" w:ascii="宋体" w:hAnsi="宋体" w:cs="宋体"/>
                <w:color w:val="auto"/>
                <w:kern w:val="21"/>
                <w:sz w:val="21"/>
                <w:szCs w:val="21"/>
                <w:highlight w:val="none"/>
                <w:u w:val="single"/>
              </w:rPr>
              <w:t xml:space="preserve"> 90 </w:t>
            </w:r>
            <w:r>
              <w:rPr>
                <w:rFonts w:hint="eastAsia" w:ascii="宋体" w:hAnsi="宋体" w:cs="宋体"/>
                <w:color w:val="auto"/>
                <w:kern w:val="21"/>
                <w:sz w:val="21"/>
                <w:szCs w:val="21"/>
                <w:highlight w:val="none"/>
              </w:rPr>
              <w:t>日。</w:t>
            </w:r>
          </w:p>
        </w:tc>
      </w:tr>
      <w:tr w14:paraId="208D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6F5FD52">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17.1</w:t>
            </w:r>
          </w:p>
        </w:tc>
        <w:tc>
          <w:tcPr>
            <w:tcW w:w="2786" w:type="dxa"/>
            <w:noWrap w:val="0"/>
            <w:vAlign w:val="center"/>
          </w:tcPr>
          <w:p w14:paraId="4E81AF1A">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磋商保证金</w:t>
            </w:r>
          </w:p>
        </w:tc>
        <w:tc>
          <w:tcPr>
            <w:tcW w:w="6853" w:type="dxa"/>
            <w:noWrap w:val="0"/>
            <w:vAlign w:val="center"/>
          </w:tcPr>
          <w:p w14:paraId="1FD262FE">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磋商保证金金额：详见磋商公告；</w:t>
            </w:r>
          </w:p>
          <w:p w14:paraId="77495D5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磋商保证金缴纳方式：详见磋商公告；</w:t>
            </w:r>
          </w:p>
          <w:p w14:paraId="439B4A4B">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磋商保证金指定账户：详见磋商公告；</w:t>
            </w:r>
          </w:p>
          <w:p w14:paraId="2B7864F9">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bCs/>
                <w:color w:val="auto"/>
                <w:kern w:val="21"/>
                <w:szCs w:val="21"/>
                <w:highlight w:val="none"/>
              </w:rPr>
            </w:pPr>
            <w:r>
              <w:rPr>
                <w:rFonts w:hint="eastAsia" w:ascii="宋体" w:hAnsi="宋体" w:cs="宋体"/>
                <w:b/>
                <w:bCs/>
                <w:color w:val="auto"/>
                <w:kern w:val="21"/>
                <w:szCs w:val="21"/>
                <w:highlight w:val="none"/>
              </w:rPr>
              <w:t>一、磋商保证金缴纳相关要求：</w:t>
            </w:r>
          </w:p>
          <w:p w14:paraId="3213186F">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1.磋商保证金采用</w:t>
            </w:r>
            <w:r>
              <w:rPr>
                <w:rFonts w:hint="eastAsia" w:ascii="宋体" w:hAnsi="宋体" w:cs="宋体"/>
                <w:bCs/>
                <w:color w:val="auto"/>
                <w:kern w:val="21"/>
                <w:szCs w:val="21"/>
                <w:highlight w:val="none"/>
                <w:lang w:bidi="ar"/>
              </w:rPr>
              <w:t>银行转账、电汇、网上支付</w:t>
            </w:r>
            <w:r>
              <w:rPr>
                <w:rFonts w:hint="eastAsia" w:ascii="宋体" w:hAnsi="宋体" w:cs="宋体"/>
                <w:color w:val="auto"/>
                <w:kern w:val="21"/>
                <w:szCs w:val="21"/>
                <w:highlight w:val="none"/>
              </w:rPr>
              <w:t>方式提交的，在响应文件提交截止时间前交至采购代理机构指定账户并且到账，竞标人应将转账汇款凭证的复印件作为磋商保证金提交证明，放置于响应文件中，否则响应文件作无效处理。</w:t>
            </w:r>
          </w:p>
          <w:p w14:paraId="0882E09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磋商保证金采用支票、汇票或本票提交的，竞标人应将支票、汇票或本票的复印件作为磋商保证金提交凭证，放置于响应文件中，否则响应文件作无效处理。竞标人应当在递交响应文件的同时递交单独密封的支票、汇票或本票原件（原件单独放入一个密封袋中，并在封口处加盖竞标人公章或委托代理人签字，以示密封，在封套上标记“项目名称（项目编号）磋商保证金”字样），否则响应文件作无效处理。</w:t>
            </w:r>
          </w:p>
          <w:p w14:paraId="31B3F9EE">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3.磋商保证金采用</w:t>
            </w:r>
            <w:r>
              <w:rPr>
                <w:rFonts w:hint="eastAsia" w:ascii="宋体" w:hAnsi="宋体" w:cs="宋体"/>
                <w:bCs/>
                <w:color w:val="auto"/>
                <w:kern w:val="21"/>
                <w:szCs w:val="21"/>
                <w:highlight w:val="none"/>
                <w:lang w:bidi="ar"/>
              </w:rPr>
              <w:t>金融机构、担保机构、保险机构</w:t>
            </w:r>
            <w:r>
              <w:rPr>
                <w:rFonts w:hint="eastAsia" w:ascii="宋体" w:hAnsi="宋体" w:cs="宋体"/>
                <w:color w:val="auto"/>
                <w:kern w:val="21"/>
                <w:szCs w:val="21"/>
                <w:highlight w:val="none"/>
              </w:rPr>
              <w:t>出具的保函、保险单方式提交的，竞标人应将保函、保险单的复印件作为磋商保证金提交凭证，放置于响应文件中，否则响应文件作无效处理。竞标人应当在递交响应文件的同时递交单独密封的保函、保险单原件（原件单独放入一个密封袋中，并在封口处加盖竞标人公章或委托代理人签字，以示密封，在封套上标记“项目名称（项目编号）磋商保证金”字样），否则响应文件作无效处理。</w:t>
            </w:r>
          </w:p>
          <w:p w14:paraId="27C5533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4.竞标人为联合体的，可以由联合体中的一方或者多方共同缴纳磋商保证金，其缴纳的保证金对联合体各方均具有约束力。</w:t>
            </w:r>
          </w:p>
          <w:p w14:paraId="50FC94EE">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备注：</w:t>
            </w:r>
          </w:p>
          <w:p w14:paraId="06683D18">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1.响应文件提交截止时间后提交的，或未足额缴纳的，或保函、保险单额度不足的，视为无效磋商保证金。</w:t>
            </w:r>
          </w:p>
          <w:p w14:paraId="3C16784F">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2.竞标人采用现钞方式或从个人账户（自然人竞标除外）转出的磋商保证金，视为无效磋商保证金。</w:t>
            </w:r>
          </w:p>
          <w:p w14:paraId="49F14D40">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3.支票、汇票或本票出现无效或者背书情形的，视为无效磋商保证金。</w:t>
            </w:r>
          </w:p>
          <w:p w14:paraId="3792F813">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4.支票、汇票、本票、保函、保险单有效期低于竞标有效期的，视为无效磋商保证金。</w:t>
            </w:r>
          </w:p>
          <w:p w14:paraId="43C55E9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5.磋商保证金采用</w:t>
            </w:r>
            <w:r>
              <w:rPr>
                <w:rFonts w:hint="eastAsia" w:ascii="宋体" w:hAnsi="宋体" w:cs="宋体"/>
                <w:bCs/>
                <w:color w:val="auto"/>
                <w:kern w:val="21"/>
                <w:szCs w:val="21"/>
                <w:highlight w:val="none"/>
                <w:lang w:bidi="ar"/>
              </w:rPr>
              <w:t>金融机构、担保机构、保险机构</w:t>
            </w:r>
            <w:r>
              <w:rPr>
                <w:rFonts w:hint="eastAsia" w:ascii="宋体" w:hAnsi="宋体" w:cs="宋体"/>
                <w:color w:val="auto"/>
                <w:kern w:val="21"/>
                <w:szCs w:val="21"/>
                <w:highlight w:val="none"/>
              </w:rPr>
              <w:t>出具的保函为有条件保函的，视为无效磋商保证金。</w:t>
            </w:r>
          </w:p>
          <w:p w14:paraId="44546247">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bCs/>
                <w:color w:val="auto"/>
                <w:kern w:val="21"/>
                <w:szCs w:val="21"/>
                <w:highlight w:val="none"/>
              </w:rPr>
            </w:pPr>
            <w:r>
              <w:rPr>
                <w:rFonts w:hint="eastAsia" w:ascii="宋体" w:hAnsi="宋体" w:cs="宋体"/>
                <w:b/>
                <w:bCs/>
                <w:color w:val="auto"/>
                <w:kern w:val="21"/>
                <w:szCs w:val="21"/>
                <w:highlight w:val="none"/>
              </w:rPr>
              <w:t>二、磋商保证金退还：</w:t>
            </w:r>
          </w:p>
          <w:p w14:paraId="2EBC6493">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1.未成交供应商的磋商保证金自成交通知书发出之日起5个工作日内退还，退还方式如下：</w:t>
            </w:r>
          </w:p>
          <w:p w14:paraId="041E000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（1）采用银行转账方式的，以转账方式退回到供应商银行账户。</w:t>
            </w:r>
          </w:p>
          <w:p w14:paraId="4ECB31F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（2）采用支票、汇票或本票方式的，以转账方式退回到供应商银行账户或由供应商代表持相关授权证明材料至磋商保证金收取单位办理支票、汇票或本票原件退还手续。</w:t>
            </w:r>
          </w:p>
          <w:p w14:paraId="0975ABAF">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（3）采用金融机构、担保机构、保险机构出具的保函、保险单方式的，由供应商代表持相关授权证明材料至磋商保证金收取单位办理保函、保险单原件退还手续。</w:t>
            </w:r>
          </w:p>
          <w:p w14:paraId="48D9C5A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2.成交供应商的磋商保证金自合同签订并送达采购代理机构存档后5个工作日内退还，退还方式同未成交供应商。</w:t>
            </w:r>
          </w:p>
        </w:tc>
      </w:tr>
      <w:tr w14:paraId="69AF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noWrap w:val="0"/>
            <w:vAlign w:val="center"/>
          </w:tcPr>
          <w:p w14:paraId="2343FE8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20.1</w:t>
            </w:r>
          </w:p>
        </w:tc>
        <w:tc>
          <w:tcPr>
            <w:tcW w:w="2786" w:type="dxa"/>
            <w:noWrap w:val="0"/>
            <w:vAlign w:val="center"/>
          </w:tcPr>
          <w:p w14:paraId="732D02BF">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首次响应文件提交起止时间</w:t>
            </w:r>
          </w:p>
        </w:tc>
        <w:tc>
          <w:tcPr>
            <w:tcW w:w="6853" w:type="dxa"/>
            <w:noWrap w:val="0"/>
            <w:vAlign w:val="center"/>
          </w:tcPr>
          <w:p w14:paraId="0A9FBEAE">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u w:val="single"/>
              </w:rPr>
            </w:pPr>
            <w:r>
              <w:rPr>
                <w:rFonts w:hint="eastAsia" w:ascii="宋体" w:hAnsi="宋体" w:cs="宋体"/>
                <w:color w:val="auto"/>
                <w:kern w:val="21"/>
                <w:szCs w:val="21"/>
                <w:highlight w:val="none"/>
              </w:rPr>
              <w:t>详见竞争性磋商公告。</w:t>
            </w:r>
          </w:p>
        </w:tc>
      </w:tr>
      <w:tr w14:paraId="10581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noWrap w:val="0"/>
            <w:vAlign w:val="center"/>
          </w:tcPr>
          <w:p w14:paraId="2F7DEC91">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2786" w:type="dxa"/>
            <w:noWrap w:val="0"/>
            <w:vAlign w:val="center"/>
          </w:tcPr>
          <w:p w14:paraId="2AC9E4B1">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首次响应文件提交地点</w:t>
            </w:r>
          </w:p>
        </w:tc>
        <w:tc>
          <w:tcPr>
            <w:tcW w:w="6853" w:type="dxa"/>
            <w:noWrap w:val="0"/>
            <w:vAlign w:val="center"/>
          </w:tcPr>
          <w:p w14:paraId="43F0CB7F">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u w:val="single"/>
              </w:rPr>
            </w:pPr>
            <w:r>
              <w:rPr>
                <w:rFonts w:hint="eastAsia" w:ascii="宋体" w:hAnsi="宋体" w:cs="宋体"/>
                <w:color w:val="auto"/>
                <w:kern w:val="21"/>
                <w:szCs w:val="21"/>
                <w:highlight w:val="none"/>
              </w:rPr>
              <w:t>详见竞争性磋商公告。</w:t>
            </w:r>
          </w:p>
        </w:tc>
      </w:tr>
      <w:tr w14:paraId="38856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13E572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21</w:t>
            </w:r>
          </w:p>
        </w:tc>
        <w:tc>
          <w:tcPr>
            <w:tcW w:w="2786" w:type="dxa"/>
            <w:noWrap w:val="0"/>
            <w:vAlign w:val="center"/>
          </w:tcPr>
          <w:p w14:paraId="2189F9B7">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首次响应文件的撤回</w:t>
            </w:r>
          </w:p>
        </w:tc>
        <w:tc>
          <w:tcPr>
            <w:tcW w:w="6853" w:type="dxa"/>
            <w:noWrap w:val="0"/>
            <w:vAlign w:val="center"/>
          </w:tcPr>
          <w:p w14:paraId="6AF73551">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详见竞争性磋商公告。</w:t>
            </w:r>
          </w:p>
        </w:tc>
      </w:tr>
      <w:tr w14:paraId="3AC9D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noWrap w:val="0"/>
            <w:vAlign w:val="center"/>
          </w:tcPr>
          <w:p w14:paraId="1FFF6624">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26.2</w:t>
            </w:r>
          </w:p>
        </w:tc>
        <w:tc>
          <w:tcPr>
            <w:tcW w:w="2786" w:type="dxa"/>
            <w:noWrap w:val="0"/>
            <w:vAlign w:val="center"/>
          </w:tcPr>
          <w:p w14:paraId="3BD4FC16">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磋商的顺序</w:t>
            </w:r>
          </w:p>
          <w:p w14:paraId="6DE68D7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6853" w:type="dxa"/>
            <w:noWrap w:val="0"/>
            <w:vAlign w:val="center"/>
          </w:tcPr>
          <w:p w14:paraId="576B460B">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□按照提交首次响应文件的顺序，通知磋商时，若某供应商无法通知到时，该供应商排序到最后磋商，按照签到的顺序由其下一位供应商先参与磋商。</w:t>
            </w:r>
          </w:p>
          <w:p w14:paraId="22B0E4CA">
            <w:pPr>
              <w:pStyle w:val="14"/>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☑随机排序</w:t>
            </w:r>
          </w:p>
        </w:tc>
      </w:tr>
      <w:tr w14:paraId="3A1F3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noWrap w:val="0"/>
            <w:vAlign w:val="center"/>
          </w:tcPr>
          <w:p w14:paraId="4DC1001F">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2786" w:type="dxa"/>
            <w:noWrap w:val="0"/>
            <w:vAlign w:val="center"/>
          </w:tcPr>
          <w:p w14:paraId="7E369CA7">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评审得分相同时成交原则</w:t>
            </w:r>
          </w:p>
        </w:tc>
        <w:tc>
          <w:tcPr>
            <w:tcW w:w="6853" w:type="dxa"/>
            <w:noWrap w:val="0"/>
            <w:vAlign w:val="center"/>
          </w:tcPr>
          <w:p w14:paraId="2F290AE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评审得分相同时，按照最后磋商报价由低到高顺序依次推荐；评审得分相同且最后磋商报价相同的，按以下原则确定成交候选人的顺序。</w:t>
            </w:r>
          </w:p>
          <w:p w14:paraId="620DE44D">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☑依次按带“▲”的实质性要求正偏离项数多的优先、均无正偏离或者正偏离项数一致时负偏离项数少的优先、质量保证期长优先、交货期短优先、故障响应时间短优先的顺序排列。</w:t>
            </w:r>
          </w:p>
          <w:p w14:paraId="075CAB7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□由磋商小组推荐代表随机抽取。</w:t>
            </w:r>
          </w:p>
        </w:tc>
      </w:tr>
      <w:tr w14:paraId="7A89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6F43DD0D">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szCs w:val="21"/>
                <w:highlight w:val="none"/>
              </w:rPr>
              <w:t>26.3</w:t>
            </w:r>
          </w:p>
        </w:tc>
        <w:tc>
          <w:tcPr>
            <w:tcW w:w="2786" w:type="dxa"/>
            <w:noWrap w:val="0"/>
            <w:vAlign w:val="center"/>
          </w:tcPr>
          <w:p w14:paraId="2F803E30">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商务/技术要求允许负偏离的条款数</w:t>
            </w:r>
          </w:p>
        </w:tc>
        <w:tc>
          <w:tcPr>
            <w:tcW w:w="6853" w:type="dxa"/>
            <w:noWrap w:val="0"/>
            <w:vAlign w:val="center"/>
          </w:tcPr>
          <w:p w14:paraId="532E0E09">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b/>
                <w:bCs/>
                <w:color w:val="auto"/>
                <w:szCs w:val="21"/>
                <w:highlight w:val="none"/>
                <w:u w:val="single"/>
              </w:rPr>
              <w:t>0</w:t>
            </w:r>
            <w:r>
              <w:rPr>
                <w:rFonts w:hint="eastAsia" w:ascii="宋体" w:hAnsi="宋体" w:cs="宋体"/>
                <w:color w:val="auto"/>
                <w:szCs w:val="21"/>
                <w:highlight w:val="none"/>
              </w:rPr>
              <w:t>项。</w:t>
            </w:r>
          </w:p>
          <w:p w14:paraId="5803175A">
            <w:pPr>
              <w:keepNext w:val="0"/>
              <w:keepLines w:val="0"/>
              <w:pageBreakBefore w:val="0"/>
              <w:widowControl w:val="0"/>
              <w:kinsoku/>
              <w:overflowPunct/>
              <w:topLinePunct w:val="0"/>
              <w:autoSpaceDE/>
              <w:autoSpaceDN/>
              <w:bidi w:val="0"/>
              <w:adjustRightInd/>
              <w:snapToGrid/>
              <w:spacing w:line="360" w:lineRule="auto"/>
              <w:jc w:val="left"/>
              <w:textAlignment w:val="auto"/>
              <w:rPr>
                <w:rFonts w:ascii="宋体" w:hAnsi="宋体" w:cs="宋体"/>
                <w:color w:val="auto"/>
                <w:kern w:val="21"/>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b/>
                <w:bCs/>
                <w:color w:val="auto"/>
                <w:szCs w:val="21"/>
                <w:highlight w:val="none"/>
                <w:u w:val="single"/>
              </w:rPr>
              <w:t>0</w:t>
            </w:r>
            <w:r>
              <w:rPr>
                <w:rFonts w:hint="eastAsia" w:ascii="宋体" w:hAnsi="宋体" w:cs="宋体"/>
                <w:color w:val="auto"/>
                <w:szCs w:val="21"/>
                <w:highlight w:val="none"/>
              </w:rPr>
              <w:t>项。</w:t>
            </w:r>
          </w:p>
        </w:tc>
      </w:tr>
      <w:tr w14:paraId="0CD4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74B0030">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28</w:t>
            </w:r>
          </w:p>
        </w:tc>
        <w:tc>
          <w:tcPr>
            <w:tcW w:w="2786" w:type="dxa"/>
            <w:noWrap w:val="0"/>
            <w:vAlign w:val="center"/>
          </w:tcPr>
          <w:p w14:paraId="2352A3B1">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履约保证金</w:t>
            </w:r>
          </w:p>
        </w:tc>
        <w:tc>
          <w:tcPr>
            <w:tcW w:w="6853" w:type="dxa"/>
            <w:noWrap w:val="0"/>
            <w:vAlign w:val="center"/>
          </w:tcPr>
          <w:p w14:paraId="05C4CF74">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本项目不收取履约保证金。</w:t>
            </w:r>
          </w:p>
        </w:tc>
      </w:tr>
      <w:tr w14:paraId="547B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85BBF3">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29.6</w:t>
            </w:r>
          </w:p>
        </w:tc>
        <w:tc>
          <w:tcPr>
            <w:tcW w:w="2786" w:type="dxa"/>
            <w:noWrap w:val="0"/>
            <w:vAlign w:val="center"/>
          </w:tcPr>
          <w:p w14:paraId="4BA05E43">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签订合同携带的材料</w:t>
            </w:r>
          </w:p>
        </w:tc>
        <w:tc>
          <w:tcPr>
            <w:tcW w:w="6853" w:type="dxa"/>
            <w:noWrap w:val="0"/>
            <w:vAlign w:val="center"/>
          </w:tcPr>
          <w:p w14:paraId="47E1438B">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lang w:val="en-US" w:eastAsia="zh-CN"/>
              </w:rPr>
              <w:t>如</w:t>
            </w:r>
            <w:r>
              <w:rPr>
                <w:rFonts w:hint="eastAsia" w:ascii="宋体" w:hAnsi="宋体" w:cs="宋体"/>
                <w:color w:val="auto"/>
                <w:kern w:val="21"/>
                <w:szCs w:val="21"/>
                <w:highlight w:val="none"/>
              </w:rPr>
              <w:t>签订电子合同的，使用的有效CA证书加盖单位电子公章</w:t>
            </w:r>
            <w:r>
              <w:rPr>
                <w:rFonts w:hint="eastAsia" w:ascii="宋体" w:hAnsi="宋体" w:cs="宋体"/>
                <w:color w:val="auto"/>
                <w:kern w:val="21"/>
                <w:szCs w:val="21"/>
                <w:highlight w:val="none"/>
                <w:lang w:eastAsia="zh-CN"/>
              </w:rPr>
              <w:t>。</w:t>
            </w:r>
          </w:p>
        </w:tc>
      </w:tr>
      <w:tr w14:paraId="5D17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restart"/>
            <w:noWrap w:val="0"/>
            <w:vAlign w:val="center"/>
          </w:tcPr>
          <w:p w14:paraId="28F404FB">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31.2</w:t>
            </w:r>
          </w:p>
        </w:tc>
        <w:tc>
          <w:tcPr>
            <w:tcW w:w="2786" w:type="dxa"/>
            <w:noWrap w:val="0"/>
            <w:vAlign w:val="center"/>
          </w:tcPr>
          <w:p w14:paraId="158EFBC5">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接收质疑函方式</w:t>
            </w:r>
          </w:p>
        </w:tc>
        <w:tc>
          <w:tcPr>
            <w:tcW w:w="6853" w:type="dxa"/>
            <w:noWrap w:val="0"/>
            <w:vAlign w:val="center"/>
          </w:tcPr>
          <w:p w14:paraId="256C35A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以书面形式</w:t>
            </w:r>
          </w:p>
        </w:tc>
      </w:tr>
      <w:tr w14:paraId="29F2C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noWrap w:val="0"/>
            <w:vAlign w:val="center"/>
          </w:tcPr>
          <w:p w14:paraId="29B45F64">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2786" w:type="dxa"/>
            <w:noWrap w:val="0"/>
            <w:vAlign w:val="center"/>
          </w:tcPr>
          <w:p w14:paraId="4C22F5AC">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质疑联系部门及联系方式</w:t>
            </w:r>
          </w:p>
        </w:tc>
        <w:tc>
          <w:tcPr>
            <w:tcW w:w="6853" w:type="dxa"/>
            <w:noWrap w:val="0"/>
            <w:vAlign w:val="center"/>
          </w:tcPr>
          <w:p w14:paraId="2F475107">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Cs/>
                <w:color w:val="auto"/>
                <w:kern w:val="21"/>
                <w:szCs w:val="21"/>
                <w:highlight w:val="none"/>
              </w:rPr>
            </w:pPr>
            <w:r>
              <w:rPr>
                <w:rFonts w:hint="eastAsia" w:ascii="宋体" w:hAnsi="宋体" w:cs="宋体"/>
                <w:bCs/>
                <w:color w:val="auto"/>
                <w:kern w:val="21"/>
                <w:szCs w:val="21"/>
                <w:highlight w:val="none"/>
              </w:rPr>
              <w:t>广西壮族自治区通信产业服务有限公司</w:t>
            </w:r>
          </w:p>
          <w:p w14:paraId="491EB50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Cs/>
                <w:color w:val="auto"/>
                <w:kern w:val="21"/>
                <w:szCs w:val="21"/>
                <w:highlight w:val="none"/>
              </w:rPr>
            </w:pPr>
            <w:r>
              <w:rPr>
                <w:rFonts w:hint="eastAsia" w:ascii="宋体" w:hAnsi="宋体" w:cs="宋体"/>
                <w:bCs/>
                <w:color w:val="auto"/>
                <w:kern w:val="21"/>
                <w:szCs w:val="21"/>
                <w:highlight w:val="none"/>
              </w:rPr>
              <w:t>通讯地址：南宁市青秀区金湖路52-1号东方曼哈顿大厦20楼2003B</w:t>
            </w:r>
          </w:p>
          <w:p w14:paraId="53C9636C">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bCs/>
                <w:color w:val="auto"/>
                <w:kern w:val="21"/>
                <w:szCs w:val="21"/>
                <w:highlight w:val="none"/>
              </w:rPr>
              <w:t>联系电话：13878854248、18178633229</w:t>
            </w:r>
          </w:p>
        </w:tc>
      </w:tr>
      <w:tr w14:paraId="71F4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vMerge w:val="continue"/>
            <w:noWrap w:val="0"/>
            <w:vAlign w:val="center"/>
          </w:tcPr>
          <w:p w14:paraId="7DCA7418">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p>
        </w:tc>
        <w:tc>
          <w:tcPr>
            <w:tcW w:w="2786" w:type="dxa"/>
            <w:noWrap w:val="0"/>
            <w:vAlign w:val="center"/>
          </w:tcPr>
          <w:p w14:paraId="6876CC8E">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现场提交质疑办理业务时间</w:t>
            </w:r>
          </w:p>
        </w:tc>
        <w:tc>
          <w:tcPr>
            <w:tcW w:w="6853" w:type="dxa"/>
            <w:noWrap w:val="0"/>
            <w:vAlign w:val="center"/>
          </w:tcPr>
          <w:p w14:paraId="1BE9309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质疑期内每个工作日</w:t>
            </w:r>
            <w:r>
              <w:rPr>
                <w:rFonts w:hint="eastAsia" w:ascii="宋体" w:hAnsi="宋体" w:cs="宋体"/>
                <w:color w:val="auto"/>
                <w:kern w:val="21"/>
                <w:szCs w:val="21"/>
                <w:highlight w:val="none"/>
                <w:u w:val="single"/>
              </w:rPr>
              <w:t xml:space="preserve">9 </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rPr>
              <w:t>00</w:t>
            </w:r>
            <w:r>
              <w:rPr>
                <w:rFonts w:hint="eastAsia" w:ascii="宋体" w:hAnsi="宋体" w:cs="宋体"/>
                <w:color w:val="auto"/>
                <w:kern w:val="21"/>
                <w:szCs w:val="21"/>
                <w:highlight w:val="none"/>
              </w:rPr>
              <w:t>分到</w:t>
            </w:r>
            <w:r>
              <w:rPr>
                <w:rFonts w:hint="eastAsia" w:ascii="宋体" w:hAnsi="宋体" w:cs="宋体"/>
                <w:color w:val="auto"/>
                <w:kern w:val="21"/>
                <w:szCs w:val="21"/>
                <w:highlight w:val="none"/>
                <w:u w:val="single"/>
              </w:rPr>
              <w:t>12</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rPr>
              <w:t>00</w:t>
            </w:r>
            <w:r>
              <w:rPr>
                <w:rFonts w:hint="eastAsia" w:ascii="宋体" w:hAnsi="宋体" w:cs="宋体"/>
                <w:color w:val="auto"/>
                <w:kern w:val="21"/>
                <w:szCs w:val="21"/>
                <w:highlight w:val="none"/>
              </w:rPr>
              <w:t>分，</w:t>
            </w:r>
            <w:r>
              <w:rPr>
                <w:rFonts w:hint="eastAsia" w:ascii="宋体" w:hAnsi="宋体" w:cs="宋体"/>
                <w:color w:val="auto"/>
                <w:kern w:val="21"/>
                <w:szCs w:val="21"/>
                <w:highlight w:val="none"/>
                <w:u w:val="single"/>
              </w:rPr>
              <w:t>14</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rPr>
              <w:t>30</w:t>
            </w:r>
            <w:r>
              <w:rPr>
                <w:rFonts w:hint="eastAsia" w:ascii="宋体" w:hAnsi="宋体" w:cs="宋体"/>
                <w:color w:val="auto"/>
                <w:kern w:val="21"/>
                <w:szCs w:val="21"/>
                <w:highlight w:val="none"/>
              </w:rPr>
              <w:t>分到</w:t>
            </w:r>
            <w:r>
              <w:rPr>
                <w:rFonts w:hint="eastAsia" w:ascii="宋体" w:hAnsi="宋体" w:cs="宋体"/>
                <w:color w:val="auto"/>
                <w:kern w:val="21"/>
                <w:szCs w:val="21"/>
                <w:highlight w:val="none"/>
                <w:u w:val="single"/>
              </w:rPr>
              <w:t xml:space="preserve">17 </w:t>
            </w:r>
            <w:r>
              <w:rPr>
                <w:rFonts w:hint="eastAsia" w:ascii="宋体" w:hAnsi="宋体" w:cs="宋体"/>
                <w:color w:val="auto"/>
                <w:kern w:val="21"/>
                <w:szCs w:val="21"/>
                <w:highlight w:val="none"/>
              </w:rPr>
              <w:t>时</w:t>
            </w:r>
            <w:r>
              <w:rPr>
                <w:rFonts w:hint="eastAsia" w:ascii="宋体" w:hAnsi="宋体" w:cs="宋体"/>
                <w:color w:val="auto"/>
                <w:kern w:val="21"/>
                <w:szCs w:val="21"/>
                <w:highlight w:val="none"/>
                <w:u w:val="single"/>
              </w:rPr>
              <w:t>30</w:t>
            </w:r>
            <w:r>
              <w:rPr>
                <w:rFonts w:hint="eastAsia" w:ascii="宋体" w:hAnsi="宋体" w:cs="宋体"/>
                <w:color w:val="auto"/>
                <w:kern w:val="21"/>
                <w:szCs w:val="21"/>
                <w:highlight w:val="none"/>
              </w:rPr>
              <w:t>分</w:t>
            </w:r>
          </w:p>
        </w:tc>
      </w:tr>
      <w:tr w14:paraId="70C3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75A3267">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31.6</w:t>
            </w:r>
          </w:p>
        </w:tc>
        <w:tc>
          <w:tcPr>
            <w:tcW w:w="2786" w:type="dxa"/>
            <w:noWrap w:val="0"/>
            <w:vAlign w:val="center"/>
          </w:tcPr>
          <w:p w14:paraId="2A11A25C">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投诉受理方式</w:t>
            </w:r>
          </w:p>
        </w:tc>
        <w:tc>
          <w:tcPr>
            <w:tcW w:w="6853" w:type="dxa"/>
            <w:noWrap w:val="0"/>
            <w:vAlign w:val="center"/>
          </w:tcPr>
          <w:p w14:paraId="2307B12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1.受理方式：纸质方式受理，投诉书正、副本（经过质疑的事项才可投诉）。</w:t>
            </w:r>
          </w:p>
          <w:p w14:paraId="7C938CF8">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2.邮寄信息：</w:t>
            </w:r>
          </w:p>
          <w:p w14:paraId="0843ADA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名称：广西壮族自治区财政厅政府采购监督管理处</w:t>
            </w:r>
          </w:p>
          <w:p w14:paraId="6F7C6AD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地址：南宁市青秀区桃源路69号广西财政大厦</w:t>
            </w:r>
          </w:p>
          <w:p w14:paraId="719BF09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联系电话：0771-5331544</w:t>
            </w:r>
          </w:p>
        </w:tc>
      </w:tr>
      <w:tr w14:paraId="77C87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D91F83F">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33</w:t>
            </w:r>
          </w:p>
        </w:tc>
        <w:tc>
          <w:tcPr>
            <w:tcW w:w="2786" w:type="dxa"/>
            <w:noWrap w:val="0"/>
            <w:vAlign w:val="center"/>
          </w:tcPr>
          <w:p w14:paraId="77B048DC">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采购代理费</w:t>
            </w:r>
          </w:p>
        </w:tc>
        <w:tc>
          <w:tcPr>
            <w:tcW w:w="6853" w:type="dxa"/>
            <w:noWrap w:val="0"/>
            <w:vAlign w:val="center"/>
          </w:tcPr>
          <w:p w14:paraId="68FAF6C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1.是否收取采购代理服务费：</w:t>
            </w:r>
          </w:p>
          <w:p w14:paraId="61C8AFCD">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☑是    □ 否</w:t>
            </w:r>
          </w:p>
          <w:p w14:paraId="0EE780B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2.采购代理服务费支付方式：</w:t>
            </w:r>
          </w:p>
          <w:p w14:paraId="3BAA681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☑本项目代理服务费由</w:t>
            </w:r>
            <w:r>
              <w:rPr>
                <w:rFonts w:hint="eastAsia" w:ascii="宋体" w:hAnsi="宋体" w:cs="宋体"/>
                <w:color w:val="auto"/>
                <w:kern w:val="21"/>
                <w:szCs w:val="21"/>
                <w:highlight w:val="none"/>
                <w:u w:val="single"/>
              </w:rPr>
              <w:t>成交供应商</w:t>
            </w:r>
            <w:r>
              <w:rPr>
                <w:rFonts w:hint="eastAsia" w:ascii="宋体" w:hAnsi="宋体" w:cs="宋体"/>
                <w:color w:val="auto"/>
                <w:kern w:val="21"/>
                <w:szCs w:val="21"/>
                <w:highlight w:val="none"/>
              </w:rPr>
              <w:t>领取成交通知书前，一次性向采购代理机构支付。</w:t>
            </w:r>
          </w:p>
          <w:p w14:paraId="3FCB3A9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□采购人支付。</w:t>
            </w:r>
          </w:p>
          <w:p w14:paraId="1AB34A01">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3.以成交金额为计费额，按服务采购采用差额定率累进法计算出收费基准价格，采购代理收费以收费基准价格计算收取。</w:t>
            </w:r>
          </w:p>
          <w:p w14:paraId="6A29268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b/>
                <w:color w:val="auto"/>
                <w:kern w:val="21"/>
                <w:szCs w:val="21"/>
                <w:highlight w:val="none"/>
              </w:rPr>
            </w:pPr>
            <w:r>
              <w:rPr>
                <w:rFonts w:hint="eastAsia" w:ascii="宋体" w:hAnsi="宋体" w:cs="宋体"/>
                <w:b/>
                <w:color w:val="auto"/>
                <w:kern w:val="21"/>
                <w:szCs w:val="21"/>
                <w:highlight w:val="none"/>
              </w:rPr>
              <w:t>4.采购代理服务费收取标准：</w:t>
            </w:r>
          </w:p>
          <w:p w14:paraId="4F34C290">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（1）采购代理机构按（桂价费〔2011〕55号）收费标准，按差额定率累进法计取采购代理服务费。签订合同前，成交供应商须向采购代理机构一次付清采购代理服务费。</w:t>
            </w:r>
          </w:p>
          <w:p w14:paraId="3AC8B58B">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（2）代理服务收费标准</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1459"/>
              <w:gridCol w:w="1270"/>
              <w:gridCol w:w="1250"/>
            </w:tblGrid>
            <w:tr w14:paraId="7DA4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F39F085">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费率</w:t>
                  </w:r>
                </w:p>
                <w:p w14:paraId="1A0E81A8">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p>
                <w:p w14:paraId="3FDB8220">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成交金额</w:t>
                  </w:r>
                </w:p>
              </w:tc>
              <w:tc>
                <w:tcPr>
                  <w:tcW w:w="1101" w:type="pct"/>
                  <w:tcBorders>
                    <w:top w:val="single" w:color="auto" w:sz="4" w:space="0"/>
                    <w:left w:val="single" w:color="auto" w:sz="4" w:space="0"/>
                    <w:bottom w:val="single" w:color="auto" w:sz="4" w:space="0"/>
                    <w:right w:val="single" w:color="auto" w:sz="4" w:space="0"/>
                  </w:tcBorders>
                  <w:noWrap w:val="0"/>
                  <w:vAlign w:val="center"/>
                </w:tcPr>
                <w:p w14:paraId="4787C680">
                  <w:pPr>
                    <w:keepNext w:val="0"/>
                    <w:keepLines w:val="0"/>
                    <w:pageBreakBefore w:val="0"/>
                    <w:widowControl w:val="0"/>
                    <w:kinsoku/>
                    <w:overflowPunct/>
                    <w:topLinePunct w:val="0"/>
                    <w:autoSpaceDE/>
                    <w:autoSpaceDN/>
                    <w:bidi w:val="0"/>
                    <w:adjustRightInd/>
                    <w:snapToGrid/>
                    <w:spacing w:line="360" w:lineRule="auto"/>
                    <w:ind w:firstLine="105" w:firstLineChars="50"/>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货物</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014B0674">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服务</w:t>
                  </w:r>
                </w:p>
              </w:tc>
              <w:tc>
                <w:tcPr>
                  <w:tcW w:w="943" w:type="pct"/>
                  <w:tcBorders>
                    <w:top w:val="single" w:color="auto" w:sz="4" w:space="0"/>
                    <w:left w:val="single" w:color="auto" w:sz="4" w:space="0"/>
                    <w:bottom w:val="single" w:color="auto" w:sz="4" w:space="0"/>
                    <w:right w:val="single" w:color="auto" w:sz="4" w:space="0"/>
                  </w:tcBorders>
                  <w:noWrap w:val="0"/>
                  <w:vAlign w:val="center"/>
                </w:tcPr>
                <w:p w14:paraId="73C86A5C">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工程</w:t>
                  </w:r>
                </w:p>
              </w:tc>
            </w:tr>
            <w:tr w14:paraId="55E3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1F8055D9">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100万元以下</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4254D59">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1.5%                </w:t>
                  </w:r>
                </w:p>
              </w:tc>
              <w:tc>
                <w:tcPr>
                  <w:tcW w:w="958" w:type="pct"/>
                  <w:tcBorders>
                    <w:top w:val="single" w:color="auto" w:sz="4" w:space="0"/>
                    <w:left w:val="single" w:color="auto" w:sz="4" w:space="0"/>
                    <w:bottom w:val="single" w:color="auto" w:sz="4" w:space="0"/>
                    <w:right w:val="single" w:color="auto" w:sz="4" w:space="0"/>
                  </w:tcBorders>
                  <w:noWrap w:val="0"/>
                  <w:vAlign w:val="top"/>
                </w:tcPr>
                <w:p w14:paraId="212FC0AA">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1.5%</w:t>
                  </w:r>
                </w:p>
              </w:tc>
              <w:tc>
                <w:tcPr>
                  <w:tcW w:w="943" w:type="pct"/>
                  <w:tcBorders>
                    <w:top w:val="single" w:color="auto" w:sz="4" w:space="0"/>
                    <w:left w:val="single" w:color="auto" w:sz="4" w:space="0"/>
                    <w:bottom w:val="single" w:color="auto" w:sz="4" w:space="0"/>
                    <w:right w:val="single" w:color="auto" w:sz="4" w:space="0"/>
                  </w:tcBorders>
                  <w:noWrap w:val="0"/>
                  <w:vAlign w:val="top"/>
                </w:tcPr>
                <w:p w14:paraId="0892953C">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1.0% </w:t>
                  </w:r>
                </w:p>
              </w:tc>
            </w:tr>
            <w:tr w14:paraId="142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0C8FCB30">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100～500万元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31062F28">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1.1%                 </w:t>
                  </w:r>
                </w:p>
              </w:tc>
              <w:tc>
                <w:tcPr>
                  <w:tcW w:w="958" w:type="pct"/>
                  <w:tcBorders>
                    <w:top w:val="single" w:color="auto" w:sz="4" w:space="0"/>
                    <w:left w:val="single" w:color="auto" w:sz="4" w:space="0"/>
                    <w:bottom w:val="single" w:color="auto" w:sz="4" w:space="0"/>
                    <w:right w:val="single" w:color="auto" w:sz="4" w:space="0"/>
                  </w:tcBorders>
                  <w:noWrap w:val="0"/>
                  <w:vAlign w:val="top"/>
                </w:tcPr>
                <w:p w14:paraId="22827D94">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0.8%</w:t>
                  </w:r>
                </w:p>
              </w:tc>
              <w:tc>
                <w:tcPr>
                  <w:tcW w:w="943" w:type="pct"/>
                  <w:tcBorders>
                    <w:top w:val="single" w:color="auto" w:sz="4" w:space="0"/>
                    <w:left w:val="single" w:color="auto" w:sz="4" w:space="0"/>
                    <w:bottom w:val="single" w:color="auto" w:sz="4" w:space="0"/>
                    <w:right w:val="single" w:color="auto" w:sz="4" w:space="0"/>
                  </w:tcBorders>
                  <w:noWrap w:val="0"/>
                  <w:vAlign w:val="top"/>
                </w:tcPr>
                <w:p w14:paraId="6D757DFC">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0.7% </w:t>
                  </w:r>
                </w:p>
              </w:tc>
            </w:tr>
            <w:tr w14:paraId="7F19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23690C50">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500～1000万元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50783EE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0.8%                </w:t>
                  </w:r>
                </w:p>
              </w:tc>
              <w:tc>
                <w:tcPr>
                  <w:tcW w:w="958" w:type="pct"/>
                  <w:tcBorders>
                    <w:top w:val="single" w:color="auto" w:sz="4" w:space="0"/>
                    <w:left w:val="single" w:color="auto" w:sz="4" w:space="0"/>
                    <w:bottom w:val="single" w:color="auto" w:sz="4" w:space="0"/>
                    <w:right w:val="single" w:color="auto" w:sz="4" w:space="0"/>
                  </w:tcBorders>
                  <w:noWrap w:val="0"/>
                  <w:vAlign w:val="top"/>
                </w:tcPr>
                <w:p w14:paraId="1DD997DC">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0.45%</w:t>
                  </w:r>
                </w:p>
              </w:tc>
              <w:tc>
                <w:tcPr>
                  <w:tcW w:w="943" w:type="pct"/>
                  <w:tcBorders>
                    <w:top w:val="single" w:color="auto" w:sz="4" w:space="0"/>
                    <w:left w:val="single" w:color="auto" w:sz="4" w:space="0"/>
                    <w:bottom w:val="single" w:color="auto" w:sz="4" w:space="0"/>
                    <w:right w:val="single" w:color="auto" w:sz="4" w:space="0"/>
                  </w:tcBorders>
                  <w:noWrap w:val="0"/>
                  <w:vAlign w:val="top"/>
                </w:tcPr>
                <w:p w14:paraId="260F8631">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0.55%</w:t>
                  </w:r>
                </w:p>
              </w:tc>
            </w:tr>
            <w:tr w14:paraId="0FF3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703E9459">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1000～5000万元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46C7DA20">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0.5%                </w:t>
                  </w:r>
                </w:p>
              </w:tc>
              <w:tc>
                <w:tcPr>
                  <w:tcW w:w="958" w:type="pct"/>
                  <w:tcBorders>
                    <w:top w:val="single" w:color="auto" w:sz="4" w:space="0"/>
                    <w:left w:val="single" w:color="auto" w:sz="4" w:space="0"/>
                    <w:bottom w:val="single" w:color="auto" w:sz="4" w:space="0"/>
                    <w:right w:val="single" w:color="auto" w:sz="4" w:space="0"/>
                  </w:tcBorders>
                  <w:noWrap w:val="0"/>
                  <w:vAlign w:val="top"/>
                </w:tcPr>
                <w:p w14:paraId="46BD9985">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0.25%</w:t>
                  </w:r>
                </w:p>
              </w:tc>
              <w:tc>
                <w:tcPr>
                  <w:tcW w:w="943" w:type="pct"/>
                  <w:tcBorders>
                    <w:top w:val="single" w:color="auto" w:sz="4" w:space="0"/>
                    <w:left w:val="single" w:color="auto" w:sz="4" w:space="0"/>
                    <w:bottom w:val="single" w:color="auto" w:sz="4" w:space="0"/>
                    <w:right w:val="single" w:color="auto" w:sz="4" w:space="0"/>
                  </w:tcBorders>
                  <w:noWrap w:val="0"/>
                  <w:vAlign w:val="top"/>
                </w:tcPr>
                <w:p w14:paraId="38C99B5D">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0.35% </w:t>
                  </w:r>
                </w:p>
              </w:tc>
            </w:tr>
            <w:tr w14:paraId="0347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1CD485D9">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5000万元～1亿元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48B0CE1D">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0.25%                 </w:t>
                  </w:r>
                </w:p>
              </w:tc>
              <w:tc>
                <w:tcPr>
                  <w:tcW w:w="958" w:type="pct"/>
                  <w:tcBorders>
                    <w:top w:val="single" w:color="auto" w:sz="4" w:space="0"/>
                    <w:left w:val="single" w:color="auto" w:sz="4" w:space="0"/>
                    <w:bottom w:val="single" w:color="auto" w:sz="4" w:space="0"/>
                    <w:right w:val="single" w:color="auto" w:sz="4" w:space="0"/>
                  </w:tcBorders>
                  <w:noWrap w:val="0"/>
                  <w:vAlign w:val="top"/>
                </w:tcPr>
                <w:p w14:paraId="78619C81">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0.1%</w:t>
                  </w:r>
                </w:p>
              </w:tc>
              <w:tc>
                <w:tcPr>
                  <w:tcW w:w="943" w:type="pct"/>
                  <w:tcBorders>
                    <w:top w:val="single" w:color="auto" w:sz="4" w:space="0"/>
                    <w:left w:val="single" w:color="auto" w:sz="4" w:space="0"/>
                    <w:bottom w:val="single" w:color="auto" w:sz="4" w:space="0"/>
                    <w:right w:val="single" w:color="auto" w:sz="4" w:space="0"/>
                  </w:tcBorders>
                  <w:noWrap w:val="0"/>
                  <w:vAlign w:val="top"/>
                </w:tcPr>
                <w:p w14:paraId="2C73162E">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0.2%</w:t>
                  </w:r>
                </w:p>
              </w:tc>
            </w:tr>
            <w:tr w14:paraId="7FB3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4154C720">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1～5亿元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86FBF2B">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0.05%</w:t>
                  </w:r>
                </w:p>
              </w:tc>
              <w:tc>
                <w:tcPr>
                  <w:tcW w:w="958" w:type="pct"/>
                  <w:tcBorders>
                    <w:top w:val="single" w:color="auto" w:sz="4" w:space="0"/>
                    <w:left w:val="single" w:color="auto" w:sz="4" w:space="0"/>
                    <w:bottom w:val="single" w:color="auto" w:sz="4" w:space="0"/>
                    <w:right w:val="single" w:color="auto" w:sz="4" w:space="0"/>
                  </w:tcBorders>
                  <w:noWrap w:val="0"/>
                  <w:vAlign w:val="top"/>
                </w:tcPr>
                <w:p w14:paraId="6819AECE">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0.05%</w:t>
                  </w:r>
                </w:p>
              </w:tc>
              <w:tc>
                <w:tcPr>
                  <w:tcW w:w="943" w:type="pct"/>
                  <w:tcBorders>
                    <w:top w:val="single" w:color="auto" w:sz="4" w:space="0"/>
                    <w:left w:val="single" w:color="auto" w:sz="4" w:space="0"/>
                    <w:bottom w:val="single" w:color="auto" w:sz="4" w:space="0"/>
                    <w:right w:val="single" w:color="auto" w:sz="4" w:space="0"/>
                  </w:tcBorders>
                  <w:noWrap w:val="0"/>
                  <w:vAlign w:val="top"/>
                </w:tcPr>
                <w:p w14:paraId="6DC0C93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0.05%</w:t>
                  </w:r>
                </w:p>
              </w:tc>
            </w:tr>
            <w:tr w14:paraId="224A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4554DA82">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5～10亿元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562E74FB">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0.035%</w:t>
                  </w:r>
                </w:p>
              </w:tc>
              <w:tc>
                <w:tcPr>
                  <w:tcW w:w="958" w:type="pct"/>
                  <w:tcBorders>
                    <w:top w:val="single" w:color="auto" w:sz="4" w:space="0"/>
                    <w:left w:val="single" w:color="auto" w:sz="4" w:space="0"/>
                    <w:bottom w:val="single" w:color="auto" w:sz="4" w:space="0"/>
                    <w:right w:val="single" w:color="auto" w:sz="4" w:space="0"/>
                  </w:tcBorders>
                  <w:noWrap w:val="0"/>
                  <w:vAlign w:val="top"/>
                </w:tcPr>
                <w:p w14:paraId="3A28CE03">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0.035%</w:t>
                  </w:r>
                </w:p>
              </w:tc>
              <w:tc>
                <w:tcPr>
                  <w:tcW w:w="943" w:type="pct"/>
                  <w:tcBorders>
                    <w:top w:val="single" w:color="auto" w:sz="4" w:space="0"/>
                    <w:left w:val="single" w:color="auto" w:sz="4" w:space="0"/>
                    <w:bottom w:val="single" w:color="auto" w:sz="4" w:space="0"/>
                    <w:right w:val="single" w:color="auto" w:sz="4" w:space="0"/>
                  </w:tcBorders>
                  <w:noWrap w:val="0"/>
                  <w:vAlign w:val="top"/>
                </w:tcPr>
                <w:p w14:paraId="79F78CE8">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0.035%</w:t>
                  </w:r>
                </w:p>
              </w:tc>
            </w:tr>
            <w:tr w14:paraId="6732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25B30367">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10～50亿元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06D8E297">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0.008%</w:t>
                  </w:r>
                </w:p>
              </w:tc>
              <w:tc>
                <w:tcPr>
                  <w:tcW w:w="958" w:type="pct"/>
                  <w:tcBorders>
                    <w:top w:val="single" w:color="auto" w:sz="4" w:space="0"/>
                    <w:left w:val="single" w:color="auto" w:sz="4" w:space="0"/>
                    <w:bottom w:val="single" w:color="auto" w:sz="4" w:space="0"/>
                    <w:right w:val="single" w:color="auto" w:sz="4" w:space="0"/>
                  </w:tcBorders>
                  <w:noWrap w:val="0"/>
                  <w:vAlign w:val="top"/>
                </w:tcPr>
                <w:p w14:paraId="5C72FDA0">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0.008%</w:t>
                  </w:r>
                </w:p>
              </w:tc>
              <w:tc>
                <w:tcPr>
                  <w:tcW w:w="943" w:type="pct"/>
                  <w:tcBorders>
                    <w:top w:val="single" w:color="auto" w:sz="4" w:space="0"/>
                    <w:left w:val="single" w:color="auto" w:sz="4" w:space="0"/>
                    <w:bottom w:val="single" w:color="auto" w:sz="4" w:space="0"/>
                    <w:right w:val="single" w:color="auto" w:sz="4" w:space="0"/>
                  </w:tcBorders>
                  <w:noWrap w:val="0"/>
                  <w:vAlign w:val="top"/>
                </w:tcPr>
                <w:p w14:paraId="1CE7FA22">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0.008%</w:t>
                  </w:r>
                </w:p>
              </w:tc>
            </w:tr>
            <w:tr w14:paraId="5C9A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7833E3A4">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50～100亿元</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B36642C">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0.006%</w:t>
                  </w:r>
                </w:p>
              </w:tc>
              <w:tc>
                <w:tcPr>
                  <w:tcW w:w="958" w:type="pct"/>
                  <w:tcBorders>
                    <w:top w:val="single" w:color="auto" w:sz="4" w:space="0"/>
                    <w:left w:val="single" w:color="auto" w:sz="4" w:space="0"/>
                    <w:bottom w:val="single" w:color="auto" w:sz="4" w:space="0"/>
                    <w:right w:val="single" w:color="auto" w:sz="4" w:space="0"/>
                  </w:tcBorders>
                  <w:noWrap w:val="0"/>
                  <w:vAlign w:val="top"/>
                </w:tcPr>
                <w:p w14:paraId="4F0A90E5">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0.006%</w:t>
                  </w:r>
                </w:p>
              </w:tc>
              <w:tc>
                <w:tcPr>
                  <w:tcW w:w="943" w:type="pct"/>
                  <w:tcBorders>
                    <w:top w:val="single" w:color="auto" w:sz="4" w:space="0"/>
                    <w:left w:val="single" w:color="auto" w:sz="4" w:space="0"/>
                    <w:bottom w:val="single" w:color="auto" w:sz="4" w:space="0"/>
                    <w:right w:val="single" w:color="auto" w:sz="4" w:space="0"/>
                  </w:tcBorders>
                  <w:noWrap w:val="0"/>
                  <w:vAlign w:val="top"/>
                </w:tcPr>
                <w:p w14:paraId="5BD27407">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0.006%</w:t>
                  </w:r>
                </w:p>
              </w:tc>
            </w:tr>
            <w:tr w14:paraId="72E9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96" w:type="pct"/>
                  <w:tcBorders>
                    <w:top w:val="single" w:color="auto" w:sz="4" w:space="0"/>
                    <w:left w:val="single" w:color="auto" w:sz="4" w:space="0"/>
                    <w:bottom w:val="single" w:color="auto" w:sz="4" w:space="0"/>
                    <w:right w:val="single" w:color="auto" w:sz="4" w:space="0"/>
                  </w:tcBorders>
                  <w:noWrap w:val="0"/>
                  <w:vAlign w:val="top"/>
                </w:tcPr>
                <w:p w14:paraId="6BDA7492">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100亿以上</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8C54AD2">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 xml:space="preserve"> 0.004%</w:t>
                  </w:r>
                </w:p>
              </w:tc>
              <w:tc>
                <w:tcPr>
                  <w:tcW w:w="958" w:type="pct"/>
                  <w:tcBorders>
                    <w:top w:val="single" w:color="auto" w:sz="4" w:space="0"/>
                    <w:left w:val="single" w:color="auto" w:sz="4" w:space="0"/>
                    <w:bottom w:val="single" w:color="auto" w:sz="4" w:space="0"/>
                    <w:right w:val="single" w:color="auto" w:sz="4" w:space="0"/>
                  </w:tcBorders>
                  <w:noWrap w:val="0"/>
                  <w:vAlign w:val="top"/>
                </w:tcPr>
                <w:p w14:paraId="1049C636">
                  <w:pPr>
                    <w:keepNext w:val="0"/>
                    <w:keepLines w:val="0"/>
                    <w:pageBreakBefore w:val="0"/>
                    <w:widowControl w:val="0"/>
                    <w:kinsoku/>
                    <w:overflowPunct/>
                    <w:topLinePunct w:val="0"/>
                    <w:autoSpaceDE/>
                    <w:autoSpaceDN/>
                    <w:bidi w:val="0"/>
                    <w:adjustRightInd/>
                    <w:snapToGrid/>
                    <w:spacing w:line="360" w:lineRule="auto"/>
                    <w:ind w:firstLine="210" w:firstLineChars="10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0.004%</w:t>
                  </w:r>
                </w:p>
              </w:tc>
              <w:tc>
                <w:tcPr>
                  <w:tcW w:w="943" w:type="pct"/>
                  <w:tcBorders>
                    <w:top w:val="single" w:color="auto" w:sz="4" w:space="0"/>
                    <w:left w:val="single" w:color="auto" w:sz="4" w:space="0"/>
                    <w:bottom w:val="single" w:color="auto" w:sz="4" w:space="0"/>
                    <w:right w:val="single" w:color="auto" w:sz="4" w:space="0"/>
                  </w:tcBorders>
                  <w:noWrap w:val="0"/>
                  <w:vAlign w:val="top"/>
                </w:tcPr>
                <w:p w14:paraId="5D8A10F8">
                  <w:pPr>
                    <w:keepNext w:val="0"/>
                    <w:keepLines w:val="0"/>
                    <w:pageBreakBefore w:val="0"/>
                    <w:widowControl w:val="0"/>
                    <w:kinsoku/>
                    <w:overflowPunct/>
                    <w:topLinePunct w:val="0"/>
                    <w:autoSpaceDE/>
                    <w:autoSpaceDN/>
                    <w:bidi w:val="0"/>
                    <w:adjustRightInd/>
                    <w:snapToGrid/>
                    <w:spacing w:line="360" w:lineRule="auto"/>
                    <w:ind w:firstLine="105" w:firstLineChars="50"/>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0.004%</w:t>
                  </w:r>
                </w:p>
              </w:tc>
            </w:tr>
          </w:tbl>
          <w:p w14:paraId="581F3836">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5.采购代理服务费收取银行账户</w:t>
            </w:r>
          </w:p>
          <w:p w14:paraId="27FCF4CF">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开户名称：广西壮族自治区通信产业服务有限公司招标中心</w:t>
            </w:r>
          </w:p>
          <w:p w14:paraId="09A084CD">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开户行：建行南宁苏州路支行</w:t>
            </w:r>
          </w:p>
          <w:p w14:paraId="13D12FDF">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账号：4500 1604 4660 5070 1096</w:t>
            </w:r>
          </w:p>
          <w:p w14:paraId="38D53E6F">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联行号：105611044521</w:t>
            </w:r>
          </w:p>
        </w:tc>
      </w:tr>
      <w:tr w14:paraId="6657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2EDBAB6">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34.1</w:t>
            </w:r>
          </w:p>
        </w:tc>
        <w:tc>
          <w:tcPr>
            <w:tcW w:w="2786" w:type="dxa"/>
            <w:noWrap w:val="0"/>
            <w:vAlign w:val="center"/>
          </w:tcPr>
          <w:p w14:paraId="793915D7">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解释</w:t>
            </w:r>
          </w:p>
        </w:tc>
        <w:tc>
          <w:tcPr>
            <w:tcW w:w="6853" w:type="dxa"/>
            <w:noWrap w:val="0"/>
            <w:vAlign w:val="center"/>
          </w:tcPr>
          <w:p w14:paraId="1DC0DB80">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b/>
                <w:color w:val="auto"/>
                <w:kern w:val="21"/>
                <w:sz w:val="21"/>
                <w:highlight w:val="none"/>
              </w:rPr>
            </w:pPr>
            <w:r>
              <w:rPr>
                <w:rFonts w:hint="eastAsia" w:hAnsi="宋体" w:cs="宋体"/>
                <w:color w:val="auto"/>
                <w:kern w:val="21"/>
                <w:sz w:val="21"/>
                <w:highlight w:val="none"/>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kern w:val="21"/>
                <w:sz w:val="21"/>
                <w:highlight w:val="none"/>
              </w:rPr>
              <w:t>由采购人或者采购代理机构负责解释。</w:t>
            </w:r>
          </w:p>
          <w:p w14:paraId="6239F1E1">
            <w:pPr>
              <w:keepNext w:val="0"/>
              <w:keepLines w:val="0"/>
              <w:pageBreakBefore w:val="0"/>
              <w:widowControl w:val="0"/>
              <w:tabs>
                <w:tab w:val="left" w:pos="1080"/>
              </w:tabs>
              <w:kinsoku/>
              <w:overflowPunct/>
              <w:topLinePunct w:val="0"/>
              <w:autoSpaceDE/>
              <w:autoSpaceDN/>
              <w:bidi w:val="0"/>
              <w:adjustRightInd/>
              <w:snapToGrid/>
              <w:spacing w:line="360" w:lineRule="auto"/>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EA8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81F48F9">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34.2</w:t>
            </w:r>
          </w:p>
        </w:tc>
        <w:tc>
          <w:tcPr>
            <w:tcW w:w="2786" w:type="dxa"/>
            <w:noWrap w:val="0"/>
            <w:vAlign w:val="center"/>
          </w:tcPr>
          <w:p w14:paraId="59BA0164">
            <w:pPr>
              <w:keepNext w:val="0"/>
              <w:keepLines w:val="0"/>
              <w:pageBreakBefore w:val="0"/>
              <w:widowControl w:val="0"/>
              <w:kinsoku/>
              <w:overflowPunct/>
              <w:topLinePunct w:val="0"/>
              <w:autoSpaceDE/>
              <w:autoSpaceDN/>
              <w:bidi w:val="0"/>
              <w:adjustRightInd/>
              <w:snapToGrid/>
              <w:spacing w:line="360" w:lineRule="auto"/>
              <w:jc w:val="center"/>
              <w:textAlignment w:val="auto"/>
              <w:rPr>
                <w:rFonts w:ascii="宋体" w:hAnsi="宋体" w:cs="宋体"/>
                <w:color w:val="auto"/>
                <w:kern w:val="21"/>
                <w:szCs w:val="21"/>
                <w:highlight w:val="none"/>
              </w:rPr>
            </w:pPr>
            <w:r>
              <w:rPr>
                <w:rFonts w:hint="eastAsia" w:ascii="宋体" w:hAnsi="宋体" w:cs="宋体"/>
                <w:color w:val="auto"/>
                <w:kern w:val="21"/>
                <w:szCs w:val="21"/>
                <w:highlight w:val="none"/>
              </w:rPr>
              <w:t>其他</w:t>
            </w:r>
          </w:p>
        </w:tc>
        <w:tc>
          <w:tcPr>
            <w:tcW w:w="6853" w:type="dxa"/>
            <w:noWrap w:val="0"/>
            <w:vAlign w:val="center"/>
          </w:tcPr>
          <w:p w14:paraId="4717E0ED">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1.本磋商文件中描述供应商的“公章”是指供应商通过指定电子化政府采购平台办理数字证书（CA认证）获得的以法定主体为名称制作的电子印章。</w:t>
            </w:r>
          </w:p>
          <w:p w14:paraId="680FD86F">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2.本磋商文件中描述供应商的“签字”是指供应商通过指定电子化政府采购平台办理数字证书（CA认证）获得的以供应商法定代表人或者委托代理人姓名制作的电子印章或手写签字。</w:t>
            </w:r>
          </w:p>
          <w:p w14:paraId="27A87CBD">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63A5422">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4.自然人竞标的，磋商文件规定盖公章处由自然人摁手指指印。</w:t>
            </w:r>
          </w:p>
          <w:p w14:paraId="7FEEE69D">
            <w:pPr>
              <w:pStyle w:val="18"/>
              <w:keepNext w:val="0"/>
              <w:keepLines w:val="0"/>
              <w:pageBreakBefore w:val="0"/>
              <w:widowControl w:val="0"/>
              <w:kinsoku/>
              <w:overflowPunct/>
              <w:topLinePunct w:val="0"/>
              <w:autoSpaceDE/>
              <w:autoSpaceDN/>
              <w:bidi w:val="0"/>
              <w:adjustRightInd/>
              <w:snapToGrid/>
              <w:spacing w:line="360" w:lineRule="auto"/>
              <w:textAlignment w:val="auto"/>
              <w:rPr>
                <w:rFonts w:hAnsi="宋体" w:cs="宋体"/>
                <w:color w:val="auto"/>
                <w:kern w:val="21"/>
                <w:sz w:val="21"/>
                <w:highlight w:val="none"/>
              </w:rPr>
            </w:pPr>
            <w:r>
              <w:rPr>
                <w:rFonts w:hint="eastAsia" w:hAnsi="宋体" w:cs="宋体"/>
                <w:color w:val="auto"/>
                <w:kern w:val="21"/>
                <w:sz w:val="21"/>
                <w:highlight w:val="none"/>
              </w:rPr>
              <w:t>5.本磋商文件所称的“以上”“以下”“以内”“届满”，包括本数；所称的“不满”“超过”“以外”，不包括本数。</w:t>
            </w:r>
          </w:p>
        </w:tc>
      </w:tr>
    </w:tbl>
    <w:p w14:paraId="63C54302">
      <w:pPr>
        <w:pStyle w:val="4"/>
        <w:spacing w:line="420" w:lineRule="exact"/>
        <w:jc w:val="center"/>
        <w:rPr>
          <w:rFonts w:ascii="宋体" w:hAnsi="宋体" w:cs="宋体"/>
          <w:b w:val="0"/>
          <w:color w:val="auto"/>
          <w:kern w:val="21"/>
          <w:highlight w:val="none"/>
        </w:rPr>
      </w:pPr>
      <w:r>
        <w:rPr>
          <w:rFonts w:hint="eastAsia" w:ascii="宋体" w:hAnsi="宋体" w:cs="宋体"/>
          <w:b w:val="0"/>
          <w:color w:val="auto"/>
          <w:kern w:val="21"/>
          <w:highlight w:val="none"/>
        </w:rPr>
        <w:br w:type="page"/>
      </w:r>
      <w:bookmarkStart w:id="36" w:name="_Toc10889"/>
      <w:bookmarkStart w:id="37" w:name="_Toc21056"/>
      <w:r>
        <w:rPr>
          <w:rFonts w:hint="eastAsia" w:ascii="宋体" w:hAnsi="宋体" w:cs="宋体"/>
          <w:bCs w:val="0"/>
          <w:color w:val="auto"/>
          <w:kern w:val="21"/>
          <w:sz w:val="24"/>
          <w:szCs w:val="24"/>
          <w:highlight w:val="none"/>
        </w:rPr>
        <w:t>第二节 供应商须知正文</w:t>
      </w:r>
      <w:bookmarkEnd w:id="36"/>
      <w:bookmarkEnd w:id="37"/>
    </w:p>
    <w:p w14:paraId="545A6702">
      <w:pPr>
        <w:pStyle w:val="5"/>
        <w:spacing w:before="0" w:after="0" w:line="360" w:lineRule="auto"/>
        <w:ind w:firstLine="482" w:firstLineChars="200"/>
        <w:rPr>
          <w:rFonts w:ascii="宋体" w:hAnsi="宋体" w:cs="宋体"/>
          <w:bCs w:val="0"/>
          <w:color w:val="auto"/>
          <w:kern w:val="21"/>
          <w:sz w:val="24"/>
          <w:szCs w:val="24"/>
          <w:highlight w:val="none"/>
        </w:rPr>
      </w:pPr>
      <w:bookmarkStart w:id="38" w:name="_Toc28059"/>
      <w:bookmarkStart w:id="39" w:name="_Toc22837"/>
      <w:r>
        <w:rPr>
          <w:rFonts w:hint="eastAsia" w:ascii="宋体" w:hAnsi="宋体" w:cs="宋体"/>
          <w:bCs w:val="0"/>
          <w:color w:val="auto"/>
          <w:kern w:val="21"/>
          <w:sz w:val="24"/>
          <w:szCs w:val="24"/>
          <w:highlight w:val="none"/>
        </w:rPr>
        <w:t>一、总则</w:t>
      </w:r>
      <w:bookmarkEnd w:id="38"/>
      <w:bookmarkEnd w:id="39"/>
    </w:p>
    <w:p w14:paraId="51D68C84">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1.适用范围</w:t>
      </w:r>
    </w:p>
    <w:p w14:paraId="04D2074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DF181B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1.2本竞争性磋商文件（以下简称磋商文件）适用于本项目的所有采购程序和环节（法律、法规另有规定的，从其规定）。</w:t>
      </w:r>
    </w:p>
    <w:p w14:paraId="0585193A">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2.定义</w:t>
      </w:r>
    </w:p>
    <w:p w14:paraId="3F4CD58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2.1“采购人”是指依法进行政府采购的国家机关、事业单位、团体组织。</w:t>
      </w:r>
    </w:p>
    <w:p w14:paraId="38179937">
      <w:pPr>
        <w:spacing w:line="360" w:lineRule="auto"/>
        <w:ind w:firstLine="480" w:firstLineChars="200"/>
        <w:rPr>
          <w:rFonts w:ascii="宋体" w:hAnsi="宋体" w:cs="宋体"/>
          <w:color w:val="auto"/>
          <w:kern w:val="21"/>
          <w:sz w:val="24"/>
          <w:highlight w:val="none"/>
          <w:u w:val="single"/>
        </w:rPr>
      </w:pPr>
      <w:r>
        <w:rPr>
          <w:rFonts w:hint="eastAsia" w:ascii="宋体" w:hAnsi="宋体" w:cs="宋体"/>
          <w:color w:val="auto"/>
          <w:kern w:val="21"/>
          <w:sz w:val="24"/>
          <w:highlight w:val="none"/>
        </w:rPr>
        <w:t>2.2“采购代理机构”是指政府采购集中采购机构和集中采购机构以外的采购代理机构。</w:t>
      </w:r>
    </w:p>
    <w:p w14:paraId="48EBE81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2.3“供应商”是指向采购人提供货物、工程或者服务的法人、其他组织或者自然人。</w:t>
      </w:r>
    </w:p>
    <w:p w14:paraId="18ED6FF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2.4“服务”是指除货物和工程以外的其他政府采购对象。</w:t>
      </w:r>
    </w:p>
    <w:p w14:paraId="25E84AD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2.5“竞标”是指供应商按照本项目竞争性磋商公告或者邀请函规定的方式获取磋商文件、提交响应文件并希望获得标的的行为。</w:t>
      </w:r>
    </w:p>
    <w:p w14:paraId="78E9410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2.6“响应文件”是指：供应商根据本磋商文件要求，编制包含资格证明、报价商务技术等所有内容的文件。</w:t>
      </w:r>
    </w:p>
    <w:p w14:paraId="4373EA7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2.7“实质性要求”是指磋商文件中已经指明不满足则响应文件按无效响应处理的条款，或者不能负偏离的条款，或者采购需求中带“▲”的条款。</w:t>
      </w:r>
    </w:p>
    <w:p w14:paraId="6B266C3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2.8“正偏离”，是指响应文件对磋商文件“采购需求”中有关条款作出的响应优于条款要求并有利于采购人的情形。</w:t>
      </w:r>
    </w:p>
    <w:p w14:paraId="12C814C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2.9“负偏离”，是指响应文件对磋商文件“采购需求”中有关条款作出的响应不满足条款要求，导致采购人要求不能得到满足的情形。</w:t>
      </w:r>
    </w:p>
    <w:p w14:paraId="518E1C6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2.10“允许负偏离的条款”是指采购需求中的不属于“实质性要求”的条款。</w:t>
      </w:r>
    </w:p>
    <w:p w14:paraId="32DF740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2.11“书面形式”是指合同书、信件和数据电文（包括电报、电传、传真、电子数据交换和电子邮件）等可以有形地表现所载内容的形式。</w:t>
      </w:r>
    </w:p>
    <w:p w14:paraId="5F8EFFF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2.12“首次报价”是指供应商提交的首次响应文件中的报价。</w:t>
      </w:r>
    </w:p>
    <w:p w14:paraId="6514652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2.13“评审报价”是指供应商提交的最后报价并经修正（如有）和政策功能价格扣除（如有）后的价格。</w:t>
      </w:r>
    </w:p>
    <w:p w14:paraId="1F9463DA">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3.供应商的资格条件</w:t>
      </w:r>
    </w:p>
    <w:p w14:paraId="6E1A8C2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供应商的资格条件详见“供应商须知前附表”。</w:t>
      </w:r>
    </w:p>
    <w:p w14:paraId="4FE9E531">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4.磋商费用</w:t>
      </w:r>
    </w:p>
    <w:p w14:paraId="2E600D6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供应商应承担参与本次采购活动有关的所有费用，包括但不限于勘查现场、编制和提交响应文件、参加磋商与应答、签订合同等，不论竞标结果如何，均应自行承担。</w:t>
      </w:r>
    </w:p>
    <w:p w14:paraId="3EBE8916">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5.联合体竞标</w:t>
      </w:r>
    </w:p>
    <w:p w14:paraId="5596305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5.1本项目是否接受联合体竞标，详见“供应商须知前附表”。</w:t>
      </w:r>
    </w:p>
    <w:p w14:paraId="0374457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5.2如接受联合体竞标，联合体竞标要求详见“供应商须知前附表”。</w:t>
      </w:r>
    </w:p>
    <w:p w14:paraId="7013507F">
      <w:pPr>
        <w:spacing w:line="360" w:lineRule="auto"/>
        <w:ind w:firstLine="480" w:firstLineChars="200"/>
        <w:rPr>
          <w:rFonts w:ascii="宋体" w:hAnsi="宋体" w:cs="宋体"/>
          <w:bCs/>
          <w:color w:val="auto"/>
          <w:kern w:val="21"/>
          <w:sz w:val="24"/>
          <w:highlight w:val="none"/>
        </w:rPr>
      </w:pPr>
      <w:r>
        <w:rPr>
          <w:rFonts w:hint="eastAsia" w:ascii="宋体" w:hAnsi="宋体" w:cs="宋体"/>
          <w:color w:val="auto"/>
          <w:kern w:val="21"/>
          <w:sz w:val="24"/>
          <w:highlight w:val="none"/>
        </w:rPr>
        <w:t>5.3根据《政府采购促进中小企业发展管理办法》（财库[2020]46号）第九条及《关于进一步加大政府采购支持中小企业力度的通知》（财库〔2022〕19号）第二条规定</w:t>
      </w:r>
      <w:r>
        <w:rPr>
          <w:rFonts w:hint="eastAsia" w:ascii="宋体" w:hAnsi="宋体" w:cs="宋体"/>
          <w:bCs/>
          <w:color w:val="auto"/>
          <w:kern w:val="21"/>
          <w:sz w:val="24"/>
          <w:highlight w:val="none"/>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C002B33">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 xml:space="preserve">6.转包与分包             </w:t>
      </w:r>
    </w:p>
    <w:p w14:paraId="395B2BB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6.1本项目是否允许分包详见“供应商须知前附表”，本项目不允许违法分包。</w:t>
      </w:r>
    </w:p>
    <w:p w14:paraId="5FB6949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6.2根据《政府采购促进中小企业发展管理办法》（财库[2020]46号）第九条及《关于进一步加大政府采购支持中小企业力度的通知》（财库〔2022〕19号）第二条规定</w:t>
      </w:r>
      <w:r>
        <w:rPr>
          <w:rFonts w:hint="eastAsia" w:ascii="宋体" w:hAnsi="宋体" w:cs="宋体"/>
          <w:bCs/>
          <w:color w:val="auto"/>
          <w:kern w:val="21"/>
          <w:sz w:val="24"/>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5B7AACF">
      <w:pPr>
        <w:spacing w:line="360" w:lineRule="auto"/>
        <w:ind w:firstLine="482" w:firstLineChars="200"/>
        <w:rPr>
          <w:rFonts w:ascii="宋体" w:hAnsi="宋体" w:cs="宋体"/>
          <w:b/>
          <w:bCs/>
          <w:color w:val="auto"/>
          <w:kern w:val="21"/>
          <w:sz w:val="24"/>
          <w:highlight w:val="none"/>
        </w:rPr>
      </w:pPr>
      <w:bookmarkStart w:id="40" w:name="_Toc254970673"/>
      <w:bookmarkStart w:id="41" w:name="_Toc254970532"/>
      <w:r>
        <w:rPr>
          <w:rFonts w:hint="eastAsia" w:ascii="宋体" w:hAnsi="宋体" w:cs="宋体"/>
          <w:b/>
          <w:bCs/>
          <w:color w:val="auto"/>
          <w:kern w:val="21"/>
          <w:sz w:val="24"/>
          <w:highlight w:val="none"/>
        </w:rPr>
        <w:t>7.特别说明</w:t>
      </w:r>
      <w:bookmarkEnd w:id="40"/>
      <w:bookmarkEnd w:id="41"/>
    </w:p>
    <w:p w14:paraId="592E1FC7">
      <w:pPr>
        <w:spacing w:line="360" w:lineRule="auto"/>
        <w:ind w:firstLine="480" w:firstLineChars="200"/>
        <w:rPr>
          <w:rFonts w:ascii="宋体" w:hAnsi="宋体" w:cs="宋体"/>
          <w:color w:val="auto"/>
          <w:kern w:val="21"/>
          <w:sz w:val="24"/>
          <w:highlight w:val="none"/>
        </w:rPr>
      </w:pPr>
      <w:bookmarkStart w:id="42" w:name="_8.1提供相同品牌产品且通过资格审查、符合性审查的不同投标人参加同一合"/>
      <w:bookmarkEnd w:id="42"/>
      <w:r>
        <w:rPr>
          <w:rFonts w:hint="eastAsia" w:ascii="宋体" w:hAnsi="宋体" w:cs="宋体"/>
          <w:color w:val="auto"/>
          <w:kern w:val="21"/>
          <w:sz w:val="24"/>
          <w:highlight w:val="none"/>
        </w:rPr>
        <w:t>7.1</w:t>
      </w:r>
      <w:bookmarkStart w:id="43" w:name="_Hlk65832145"/>
      <w:r>
        <w:rPr>
          <w:rFonts w:hint="eastAsia" w:ascii="宋体" w:hAnsi="宋体" w:cs="宋体"/>
          <w:color w:val="auto"/>
          <w:kern w:val="21"/>
          <w:sz w:val="24"/>
          <w:highlight w:val="none"/>
        </w:rPr>
        <w:t>如果本磋商文件要求提供供应商或制造商的资格、信誉、荣誉、业绩与企业认证等材料的，资格、信誉、荣誉、业绩与企业认证等必须为供应商或者制造商所拥有或自身获得。</w:t>
      </w:r>
    </w:p>
    <w:bookmarkEnd w:id="43"/>
    <w:p w14:paraId="49B1496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7.2供应商应仔细阅读磋商文件的所有内容，按照磋商文件的要求提交响应文件，并对所提供的全部资料的真实性承担法律责任。</w:t>
      </w:r>
    </w:p>
    <w:p w14:paraId="572925B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7.3供应商在竞标活动中提供任何虚假材料</w:t>
      </w:r>
      <w:r>
        <w:rPr>
          <w:rFonts w:hint="eastAsia" w:ascii="宋体" w:hAnsi="宋体" w:cs="宋体"/>
          <w:color w:val="auto"/>
          <w:kern w:val="21"/>
          <w:sz w:val="24"/>
          <w:highlight w:val="none"/>
          <w:lang w:eastAsia="zh-CN"/>
        </w:rPr>
        <w:t>，</w:t>
      </w:r>
      <w:r>
        <w:rPr>
          <w:rFonts w:hint="eastAsia" w:ascii="宋体" w:hAnsi="宋体" w:cs="宋体"/>
          <w:color w:val="auto"/>
          <w:kern w:val="21"/>
          <w:sz w:val="24"/>
          <w:highlight w:val="none"/>
        </w:rPr>
        <w:t>其响应文件作无效处理，并报监管部门查处；签订合同后发现的，成交供应商须依照《中华人民共和国消费者权益保护法》规定赔偿采购人，且民事赔偿并不免除违法供应商的行政与刑事责任。</w:t>
      </w:r>
    </w:p>
    <w:p w14:paraId="5AD4286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7.4在政府采购活动中，采购人员及相关人员与供应商有下列利害关系之一的，应当回避：</w:t>
      </w:r>
    </w:p>
    <w:p w14:paraId="2FAE811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（1）参加采购活动前3年内与供应商存在劳动关系；</w:t>
      </w:r>
    </w:p>
    <w:p w14:paraId="6381AB0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（2）参加采购活动前3年内担任供应商的董事、监事；</w:t>
      </w:r>
    </w:p>
    <w:p w14:paraId="3374E6C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（3）参加采购活动前3年内是供应商的控股股东或者实际控制人；</w:t>
      </w:r>
    </w:p>
    <w:p w14:paraId="7F0A5C8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（4）与供应商的法定代表人或者负责人有夫妻、直系血亲、三代以内旁系血亲或者近姻亲关系；</w:t>
      </w:r>
    </w:p>
    <w:p w14:paraId="3973873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（5）与供应商有其他可能影响政府采购活动公平、公正进行的关系。</w:t>
      </w:r>
    </w:p>
    <w:p w14:paraId="2D9326D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F2819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7.5有下列情形之一的视为供应商相互串通竞标，响应文件将被视为无效：</w:t>
      </w:r>
    </w:p>
    <w:p w14:paraId="032766E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（1）不同供应商的响应文件由同一单位或者个人编制；或者不同供应商报名的IP地址一致的；或者编制响应文件硬件设备CPU编号、硬盘编号、网卡地址一致的情况。</w:t>
      </w:r>
    </w:p>
    <w:p w14:paraId="398F52B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（2）不同供应商委托同一单位或者个人办理竞标事宜；</w:t>
      </w:r>
    </w:p>
    <w:p w14:paraId="0487031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（3）不同的供应商的响应文件载明的项目管理员为同一个人；</w:t>
      </w:r>
    </w:p>
    <w:p w14:paraId="4F405C0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（4）不同供应商的响应文件异常一致或者报价呈规律性差异；</w:t>
      </w:r>
    </w:p>
    <w:p w14:paraId="5425B61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（5）不同供应商的响应文件相互混装；</w:t>
      </w:r>
    </w:p>
    <w:p w14:paraId="44F72CFC">
      <w:pPr>
        <w:tabs>
          <w:tab w:val="left" w:pos="6931"/>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（6）不同供应商的磋商保证金从同一单位或者个人账户转出。</w:t>
      </w:r>
      <w:r>
        <w:rPr>
          <w:rFonts w:hint="eastAsia" w:ascii="宋体" w:hAnsi="宋体" w:cs="宋体"/>
          <w:color w:val="auto"/>
          <w:kern w:val="21"/>
          <w:sz w:val="24"/>
          <w:highlight w:val="none"/>
        </w:rPr>
        <w:tab/>
      </w:r>
    </w:p>
    <w:p w14:paraId="03E0395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7.6供应商有下列情形之一的，属于恶意串通行为，将报同级监督管理部门：</w:t>
      </w:r>
    </w:p>
    <w:p w14:paraId="2DCB3C7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（1）供应商直接或者间接从采购人或者采购代理机构处获得其他供应商的相关信息并修改其响应文件；</w:t>
      </w:r>
    </w:p>
    <w:p w14:paraId="31110EC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（2）供应商按照采购人或者采购代理机构的授意撤换、修改响应文件；</w:t>
      </w:r>
    </w:p>
    <w:p w14:paraId="4C8842C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（3）供应商之间协商报价、技术方案等响应文件或者响应文件的实质性内容；</w:t>
      </w:r>
    </w:p>
    <w:p w14:paraId="62CDFEF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（4）属于同一集团、协会、商会等组织成员的供应商按照该组织要求协同参加政府采购活动；</w:t>
      </w:r>
    </w:p>
    <w:p w14:paraId="2E0E218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（5）供应商之间事先约定一致抬高或者压低报价，或者在政府采购活动中事先约定轮流以高价位或者低价位成交，或者事先约定由某一特定供应商成交，然后再参加竞标；</w:t>
      </w:r>
    </w:p>
    <w:p w14:paraId="5711582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（6）供应商之间商定部分供应商放弃参加政府采购活动或者放弃成交；</w:t>
      </w:r>
    </w:p>
    <w:p w14:paraId="69EDF91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（7）供应商与采购人或者采购代理机构之间、供应商相互之间，为谋求特定供应商成交或者排斥其他供应商的其他串通行为。</w:t>
      </w:r>
    </w:p>
    <w:p w14:paraId="621AF3A4">
      <w:pPr>
        <w:pStyle w:val="5"/>
        <w:spacing w:before="0" w:after="0" w:line="360" w:lineRule="auto"/>
        <w:ind w:firstLine="482" w:firstLineChars="200"/>
        <w:rPr>
          <w:rFonts w:ascii="宋体" w:hAnsi="宋体" w:cs="宋体"/>
          <w:color w:val="auto"/>
          <w:kern w:val="21"/>
          <w:sz w:val="24"/>
          <w:szCs w:val="24"/>
          <w:highlight w:val="none"/>
        </w:rPr>
      </w:pPr>
      <w:bookmarkStart w:id="44" w:name="_Toc254970675"/>
      <w:bookmarkStart w:id="45" w:name="_Toc15027"/>
      <w:bookmarkStart w:id="46" w:name="_Toc3880"/>
      <w:bookmarkStart w:id="47" w:name="_Toc254970534"/>
      <w:r>
        <w:rPr>
          <w:rFonts w:hint="eastAsia" w:ascii="宋体" w:hAnsi="宋体" w:cs="宋体"/>
          <w:color w:val="auto"/>
          <w:kern w:val="21"/>
          <w:sz w:val="24"/>
          <w:szCs w:val="24"/>
          <w:highlight w:val="none"/>
        </w:rPr>
        <w:t>二、磋商文件</w:t>
      </w:r>
      <w:bookmarkEnd w:id="44"/>
      <w:bookmarkEnd w:id="45"/>
      <w:bookmarkEnd w:id="46"/>
      <w:bookmarkEnd w:id="47"/>
    </w:p>
    <w:p w14:paraId="4719BF36">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8.磋商文件的构成</w:t>
      </w:r>
    </w:p>
    <w:p w14:paraId="2BDF9447">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第一章 竞争性磋商公告；</w:t>
      </w:r>
    </w:p>
    <w:p w14:paraId="780CC40A">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第二章 采购需求；</w:t>
      </w:r>
    </w:p>
    <w:p w14:paraId="0AAA66A5">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 xml:space="preserve">第三章 供应商须知； </w:t>
      </w:r>
    </w:p>
    <w:p w14:paraId="69E3B90D">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第四章 评审程序、评审方法和评审标准；</w:t>
      </w:r>
    </w:p>
    <w:p w14:paraId="19EC6825">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第五章 响应文件格式；</w:t>
      </w:r>
    </w:p>
    <w:p w14:paraId="4B1FA76E">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第六章 合同文本；</w:t>
      </w:r>
    </w:p>
    <w:p w14:paraId="3A9B753A">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第七章 质疑、投诉材料格式。</w:t>
      </w:r>
    </w:p>
    <w:p w14:paraId="3BA3EC12">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9.供应商的询问</w:t>
      </w:r>
    </w:p>
    <w:p w14:paraId="0F0AC4B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72092D04">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10.磋商文件的澄清和修改</w:t>
      </w:r>
    </w:p>
    <w:p w14:paraId="0F832F7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0B43762">
      <w:pPr>
        <w:spacing w:line="360" w:lineRule="auto"/>
        <w:ind w:firstLine="482" w:firstLineChars="200"/>
        <w:rPr>
          <w:rFonts w:ascii="宋体" w:hAnsi="宋体" w:cs="宋体"/>
          <w:b/>
          <w:color w:val="auto"/>
          <w:kern w:val="21"/>
          <w:sz w:val="24"/>
          <w:highlight w:val="none"/>
        </w:rPr>
      </w:pPr>
      <w:r>
        <w:rPr>
          <w:rFonts w:hint="eastAsia" w:ascii="宋体" w:hAnsi="宋体" w:cs="宋体"/>
          <w:b/>
          <w:color w:val="auto"/>
          <w:kern w:val="21"/>
          <w:sz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200D42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至少5日前，以书面形式（目前为网上公告和系统短信等形式）通知所有获取磋商文件的供应商，不足5日的，应当顺延提交首次响应文件截止之日。</w:t>
      </w:r>
    </w:p>
    <w:p w14:paraId="48490E2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10.4</w:t>
      </w:r>
      <w:r>
        <w:rPr>
          <w:rFonts w:hint="eastAsia" w:ascii="宋体" w:hAnsi="宋体" w:cs="宋体"/>
          <w:color w:val="auto"/>
          <w:kern w:val="21"/>
          <w:sz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3C3ECE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10.5采购人和采购代理机构可以视采购具体情况，变更提交首次响应文件截止时间和竞谈时间，将变更时间将在“采购文件公告”中规定的政府采购信息发布媒体上发布更正公告。</w:t>
      </w:r>
    </w:p>
    <w:p w14:paraId="1B2C630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w:t>
      </w:r>
      <w:r>
        <w:rPr>
          <w:rFonts w:hint="eastAsia" w:ascii="宋体" w:hAnsi="宋体" w:cs="宋体"/>
          <w:b/>
          <w:color w:val="auto"/>
          <w:kern w:val="21"/>
          <w:sz w:val="24"/>
          <w:highlight w:val="none"/>
        </w:rPr>
        <w:t>响应文件未按磋商文件的澄清、修改的内容编制，又不符合实质性要求的，其响应文件作无效处理。</w:t>
      </w:r>
    </w:p>
    <w:p w14:paraId="7A0DB379">
      <w:pPr>
        <w:pStyle w:val="5"/>
        <w:spacing w:before="0" w:after="0" w:line="360" w:lineRule="auto"/>
        <w:ind w:firstLine="482" w:firstLineChars="200"/>
        <w:rPr>
          <w:rFonts w:ascii="宋体" w:hAnsi="宋体" w:cs="宋体"/>
          <w:color w:val="auto"/>
          <w:kern w:val="21"/>
          <w:sz w:val="24"/>
          <w:szCs w:val="24"/>
          <w:highlight w:val="none"/>
        </w:rPr>
      </w:pPr>
      <w:bookmarkStart w:id="48" w:name="_Toc14557"/>
      <w:bookmarkStart w:id="49" w:name="_Toc23011"/>
      <w:r>
        <w:rPr>
          <w:rFonts w:hint="eastAsia" w:ascii="宋体" w:hAnsi="宋体" w:cs="宋体"/>
          <w:color w:val="auto"/>
          <w:kern w:val="21"/>
          <w:sz w:val="24"/>
          <w:szCs w:val="24"/>
          <w:highlight w:val="none"/>
        </w:rPr>
        <w:t>三、响应文件的编制</w:t>
      </w:r>
      <w:bookmarkEnd w:id="48"/>
      <w:bookmarkEnd w:id="49"/>
    </w:p>
    <w:p w14:paraId="363B1DFA">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11.响应文件的编制原则</w:t>
      </w:r>
    </w:p>
    <w:p w14:paraId="40D3C39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供应商必须按照磋商文件的要求编制响应文件，并对其提交的响应文件的真实性、合法性承担法律责任。响应文件必须对磋商文件作出实质性响应。</w:t>
      </w:r>
    </w:p>
    <w:p w14:paraId="4A93F778">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12.响应文件的组成</w:t>
      </w:r>
    </w:p>
    <w:p w14:paraId="62761E5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12.1响应文件由资格证明文件、报价文件、商务和技术文件三部分组成。</w:t>
      </w:r>
    </w:p>
    <w:p w14:paraId="122F9F2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12.1.1资格证明文件：详见须知前附表</w:t>
      </w:r>
    </w:p>
    <w:p w14:paraId="7561672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12.1.2商务技术文件：详见须知前附表</w:t>
      </w:r>
    </w:p>
    <w:p w14:paraId="55B18D6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12.1.3报价文件：详见须知前附表</w:t>
      </w:r>
    </w:p>
    <w:p w14:paraId="028978E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12.2响应文件电子版要求：详见须知前附表</w:t>
      </w:r>
    </w:p>
    <w:p w14:paraId="2485E9E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12.3响应文件编制基本要求：详见须知前附表</w:t>
      </w:r>
    </w:p>
    <w:p w14:paraId="1B90EB24">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13.计量单位</w:t>
      </w:r>
    </w:p>
    <w:p w14:paraId="4A0528D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磋商文件已有明确规定的，使用磋商文件规定的计量单位；磋商文件没有规定的，应采用中华人民共和国法定计量单位，货币种类为人民币，否则视同未响应。</w:t>
      </w:r>
    </w:p>
    <w:p w14:paraId="61BD4FBD">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14.竞标的风险</w:t>
      </w:r>
    </w:p>
    <w:p w14:paraId="3DECA1A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供应商没有按照磋商文件要求提供全部资料，或者供应商没有对磋商文件在各方面作出实质性响应可能导致其响应无效，是供应商应当考虑的风险。</w:t>
      </w:r>
    </w:p>
    <w:p w14:paraId="1F77E539">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15.响应报价要求和构成</w:t>
      </w:r>
    </w:p>
    <w:p w14:paraId="49B3ADA0">
      <w:pPr>
        <w:tabs>
          <w:tab w:val="left" w:pos="2492"/>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15.1响应报价应按“第五章 响应文件格式”中“响应报价表”格式填写。</w:t>
      </w:r>
    </w:p>
    <w:p w14:paraId="35547E12">
      <w:pPr>
        <w:tabs>
          <w:tab w:val="left" w:pos="2492"/>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15.2响应报价的价格构成见“供应商须知前附表”。</w:t>
      </w:r>
    </w:p>
    <w:p w14:paraId="2D3FABC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15.3响应报价要求</w:t>
      </w:r>
    </w:p>
    <w:p w14:paraId="6EF218F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15.3.1供应商的响应报价应符合以下要求，否则响应文件按无效响应处理：</w:t>
      </w:r>
    </w:p>
    <w:p w14:paraId="659C17B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（1）供应商必须就“采购需求”中所竞标的全部内容分别作完整唯一总价报价，不得存在漏项报价；</w:t>
      </w:r>
    </w:p>
    <w:p w14:paraId="2B7747A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（2）供应商必须就所竞标的单项内容</w:t>
      </w:r>
      <w:r>
        <w:rPr>
          <w:rFonts w:hint="eastAsia" w:ascii="宋体" w:hAnsi="宋体" w:cs="宋体"/>
          <w:color w:val="auto"/>
          <w:kern w:val="21"/>
          <w:sz w:val="24"/>
          <w:highlight w:val="none"/>
          <w:lang w:eastAsia="zh-CN"/>
        </w:rPr>
        <w:t>做</w:t>
      </w:r>
      <w:r>
        <w:rPr>
          <w:rFonts w:hint="eastAsia" w:ascii="宋体" w:hAnsi="宋体" w:cs="宋体"/>
          <w:color w:val="auto"/>
          <w:kern w:val="21"/>
          <w:sz w:val="24"/>
          <w:highlight w:val="none"/>
        </w:rPr>
        <w:t>唯一报价。</w:t>
      </w:r>
    </w:p>
    <w:p w14:paraId="6BFE0A4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15.3.2响应报价（包含首次报价、最后报价）超过规定的采购预算金额或者最高限价的，其响应文件将作无效处理。</w:t>
      </w:r>
    </w:p>
    <w:p w14:paraId="72E61E4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15.3.3</w:t>
      </w:r>
      <w:bookmarkStart w:id="50" w:name="_Hlk42592874"/>
      <w:r>
        <w:rPr>
          <w:rFonts w:hint="eastAsia" w:ascii="宋体" w:hAnsi="宋体" w:cs="宋体"/>
          <w:color w:val="auto"/>
          <w:kern w:val="21"/>
          <w:sz w:val="24"/>
          <w:highlight w:val="none"/>
        </w:rPr>
        <w:t>响应报价（包含首次报价、最后报价）超过采购预算金额或者最高限价的，其响应文件将作无效处理。</w:t>
      </w:r>
    </w:p>
    <w:bookmarkEnd w:id="50"/>
    <w:p w14:paraId="52B57838">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16.竞标有效期</w:t>
      </w:r>
    </w:p>
    <w:p w14:paraId="1553C3B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16.1竞标有效期是指为保证采购人有足够的时间在提交响应文件后完成评审、确定成交供应商、合同签订等工作而要求供应商提交的响应文件在一定时间内保持有效的期限。</w:t>
      </w:r>
    </w:p>
    <w:p w14:paraId="183EF84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16.2 竞标有效期应由供应商按“供应商须知前附表”规定的期限作出响应。</w:t>
      </w:r>
    </w:p>
    <w:p w14:paraId="1829F15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16.3供应商的响应文件在竞标有效期内均保持有效。</w:t>
      </w:r>
    </w:p>
    <w:p w14:paraId="75047759">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17.磋商保证金</w:t>
      </w:r>
    </w:p>
    <w:p w14:paraId="1953F90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17.1竞标人须按须知前附表的规定提交磋商保证金。否则，其响应文件将被拒绝。</w:t>
      </w:r>
    </w:p>
    <w:p w14:paraId="7043CDB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17.2磋商保证金按须知前附表的规定退还竞标人。</w:t>
      </w:r>
    </w:p>
    <w:p w14:paraId="26ECA5C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17.3磋商供应商有下列情形之一的，保证金将不予退还：</w:t>
      </w:r>
    </w:p>
    <w:p w14:paraId="085769B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1）磋商供应商在提交竞争性磋商响应文件截止时间后撤回竞争性磋商响应文件的；</w:t>
      </w:r>
    </w:p>
    <w:p w14:paraId="7A345977">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2）磋商供应商在竞争性磋商响应文件中提供虚假材料的；</w:t>
      </w:r>
    </w:p>
    <w:p w14:paraId="07AB042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3）除因不可抗力或竞争性磋商文件认可的情形以外，成交供应商不与采购人签订合同的；</w:t>
      </w:r>
    </w:p>
    <w:p w14:paraId="66A4489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4）磋商供应商与采购人、其他供应商或者采购代理机构恶意串通的。</w:t>
      </w:r>
    </w:p>
    <w:p w14:paraId="5FC1621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5）法律法规规定的其他情形。</w:t>
      </w:r>
    </w:p>
    <w:p w14:paraId="423EA2E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注：磋商供应商已经被推荐为第一成交候选人后撤回竞争性磋商响应文件或拒绝签订政府采购合同的，其保证金将不予退还，并上缴国库，给采购人造成损失的，还应当赔偿损失，并作为不良行为记录在案。</w:t>
      </w:r>
    </w:p>
    <w:p w14:paraId="73E8254C">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18.响应文件编制的要求</w:t>
      </w:r>
    </w:p>
    <w:p w14:paraId="44EF123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2634C64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18.2响应文件应按资格证明、报价分别编制，商务技术文件合并编制，本磋商只接受电子版响应文件，要求见本章“12.2响应文件电子版要求”。</w:t>
      </w:r>
    </w:p>
    <w:p w14:paraId="1033D6B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18.</w:t>
      </w:r>
      <w:bookmarkStart w:id="51" w:name="_Hlk65832699"/>
      <w:r>
        <w:rPr>
          <w:rFonts w:hint="eastAsia" w:ascii="宋体" w:hAnsi="宋体" w:cs="宋体"/>
          <w:color w:val="auto"/>
          <w:kern w:val="21"/>
          <w:sz w:val="24"/>
          <w:highlight w:val="none"/>
        </w:rPr>
        <w:t>3响应文件须由供应商在</w:t>
      </w:r>
      <w:r>
        <w:rPr>
          <w:rFonts w:hint="eastAsia" w:ascii="宋体" w:hAnsi="宋体" w:cs="宋体"/>
          <w:color w:val="auto"/>
          <w:kern w:val="21"/>
          <w:sz w:val="24"/>
          <w:highlight w:val="none"/>
          <w:lang w:val="zh-CN"/>
        </w:rPr>
        <w:t>“</w:t>
      </w:r>
      <w:r>
        <w:rPr>
          <w:rFonts w:hint="eastAsia" w:ascii="宋体" w:hAnsi="宋体" w:cs="宋体"/>
          <w:color w:val="auto"/>
          <w:kern w:val="21"/>
          <w:sz w:val="24"/>
          <w:highlight w:val="none"/>
        </w:rPr>
        <w:t>第五章 响应文件格式</w:t>
      </w:r>
      <w:r>
        <w:rPr>
          <w:rFonts w:hint="eastAsia" w:ascii="宋体" w:hAnsi="宋体" w:cs="宋体"/>
          <w:color w:val="auto"/>
          <w:kern w:val="21"/>
          <w:sz w:val="24"/>
          <w:highlight w:val="none"/>
          <w:lang w:val="zh-CN"/>
        </w:rPr>
        <w:t>”</w:t>
      </w:r>
      <w:r>
        <w:rPr>
          <w:rFonts w:hint="eastAsia" w:ascii="宋体" w:hAnsi="宋体" w:cs="宋体"/>
          <w:color w:val="auto"/>
          <w:kern w:val="21"/>
          <w:sz w:val="24"/>
          <w:highlight w:val="none"/>
        </w:rPr>
        <w:t>规定位置进行签署、盖章</w:t>
      </w:r>
      <w:bookmarkEnd w:id="51"/>
      <w:r>
        <w:rPr>
          <w:rFonts w:hint="eastAsia" w:ascii="宋体" w:hAnsi="宋体" w:cs="宋体"/>
          <w:color w:val="auto"/>
          <w:kern w:val="21"/>
          <w:sz w:val="24"/>
          <w:highlight w:val="none"/>
        </w:rPr>
        <w:t>，否则其响应文件按无效响应处理。骑缝盖公章不视为在规定位置盖章。</w:t>
      </w:r>
    </w:p>
    <w:p w14:paraId="0CF39DB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18.4响应文件中标注的供应商名称应与营业执照（事业单位法人证书、执业许可证、自然人身份证）及电子公章一致，否则其响应文件按无效响应处理。</w:t>
      </w:r>
    </w:p>
    <w:p w14:paraId="388A7BD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18.5响应文件应避免涂改、行间插字或者删除，否则其响应文件按无效响应处理。</w:t>
      </w:r>
    </w:p>
    <w:p w14:paraId="5B044F28">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19.响应文件的密封和标记</w:t>
      </w:r>
    </w:p>
    <w:p w14:paraId="5B2BD453">
      <w:pPr>
        <w:spacing w:line="360" w:lineRule="auto"/>
        <w:ind w:firstLine="480" w:firstLineChars="20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4B823CA">
      <w:pPr>
        <w:spacing w:line="360" w:lineRule="auto"/>
        <w:ind w:firstLine="480" w:firstLineChars="20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19.2使用“政采云电子交易客户端”需要提前申领CA数字证书，申领流程见该项目采购公告。</w:t>
      </w:r>
    </w:p>
    <w:p w14:paraId="79E634DA">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5967769F">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20.响应文件的提交</w:t>
      </w:r>
    </w:p>
    <w:p w14:paraId="7F22C42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20.1供应商必须在“供应商须知前附表”规定的时间和地点提交响应文件。</w:t>
      </w:r>
    </w:p>
    <w:p w14:paraId="5C63699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20.2 在响应文件提交截止时间以后，不能补充、修改响应文件。</w:t>
      </w:r>
    </w:p>
    <w:p w14:paraId="1990460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20.3 在提交“最后报价”后，供应商不能退出磋商。</w:t>
      </w:r>
    </w:p>
    <w:p w14:paraId="69A97CB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B1C99C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20.5 采购机构不可视情况延长提交响应文件的截止时间。</w:t>
      </w:r>
    </w:p>
    <w:p w14:paraId="793FA775">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21.首次响应文件的补充、修改与撤回</w:t>
      </w:r>
    </w:p>
    <w:p w14:paraId="58F6C3D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详见“供应商须知前附表”。</w:t>
      </w:r>
    </w:p>
    <w:p w14:paraId="5E699891">
      <w:pPr>
        <w:spacing w:line="360" w:lineRule="auto"/>
        <w:ind w:firstLine="482" w:firstLineChars="200"/>
        <w:rPr>
          <w:rFonts w:ascii="宋体" w:hAnsi="宋体" w:cs="宋体"/>
          <w:b/>
          <w:bCs/>
          <w:color w:val="auto"/>
          <w:kern w:val="21"/>
          <w:sz w:val="24"/>
          <w:highlight w:val="none"/>
        </w:rPr>
      </w:pPr>
      <w:bookmarkStart w:id="52" w:name="_Hlk45702405"/>
      <w:r>
        <w:rPr>
          <w:rFonts w:hint="eastAsia" w:ascii="宋体" w:hAnsi="宋体" w:cs="宋体"/>
          <w:b/>
          <w:bCs/>
          <w:color w:val="auto"/>
          <w:kern w:val="21"/>
          <w:sz w:val="24"/>
          <w:highlight w:val="none"/>
        </w:rPr>
        <w:t>22. 首次响应文件的退回</w:t>
      </w:r>
    </w:p>
    <w:p w14:paraId="0213197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5059B5EE">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23. 截止时间后的撤回</w:t>
      </w:r>
    </w:p>
    <w:p w14:paraId="1C89067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供应商在首次响应文件提交截止时间后可向采购人、采购代理机构书面申请撤回响应文件。</w:t>
      </w:r>
      <w:bookmarkEnd w:id="52"/>
    </w:p>
    <w:p w14:paraId="51F08334">
      <w:pPr>
        <w:pStyle w:val="5"/>
        <w:spacing w:before="0" w:after="0" w:line="360" w:lineRule="auto"/>
        <w:ind w:firstLine="482" w:firstLineChars="200"/>
        <w:rPr>
          <w:rFonts w:ascii="宋体" w:hAnsi="宋体" w:cs="宋体"/>
          <w:color w:val="auto"/>
          <w:kern w:val="21"/>
          <w:sz w:val="24"/>
          <w:szCs w:val="24"/>
          <w:highlight w:val="none"/>
        </w:rPr>
      </w:pPr>
      <w:bookmarkStart w:id="53" w:name="_Toc32029"/>
      <w:bookmarkStart w:id="54" w:name="_Toc25792"/>
      <w:r>
        <w:rPr>
          <w:rFonts w:hint="eastAsia" w:ascii="宋体" w:hAnsi="宋体" w:cs="宋体"/>
          <w:color w:val="auto"/>
          <w:kern w:val="21"/>
          <w:sz w:val="24"/>
          <w:szCs w:val="24"/>
          <w:highlight w:val="none"/>
        </w:rPr>
        <w:t>四、评审及磋商</w:t>
      </w:r>
      <w:bookmarkEnd w:id="53"/>
      <w:bookmarkEnd w:id="54"/>
    </w:p>
    <w:p w14:paraId="008BCB66">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24.磋商小组成立</w:t>
      </w:r>
    </w:p>
    <w:p w14:paraId="2686FA2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59A330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9E53A47">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25.首次响应文件的开启</w:t>
      </w:r>
    </w:p>
    <w:p w14:paraId="3A0FBC6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25.1首次响应文件由磋商小组或者采购代理机构在“供应商须知前附表”规定的时间开启。</w:t>
      </w:r>
    </w:p>
    <w:p w14:paraId="3D698BA3">
      <w:pPr>
        <w:pStyle w:val="18"/>
        <w:spacing w:line="360" w:lineRule="auto"/>
        <w:ind w:firstLine="480" w:firstLineChars="200"/>
        <w:rPr>
          <w:rFonts w:hAnsi="宋体" w:cs="宋体"/>
          <w:bCs/>
          <w:color w:val="auto"/>
          <w:kern w:val="21"/>
          <w:sz w:val="24"/>
          <w:szCs w:val="24"/>
          <w:highlight w:val="none"/>
        </w:rPr>
      </w:pPr>
      <w:r>
        <w:rPr>
          <w:rFonts w:hint="eastAsia" w:hAnsi="宋体" w:cs="宋体"/>
          <w:color w:val="auto"/>
          <w:kern w:val="21"/>
          <w:sz w:val="24"/>
          <w:szCs w:val="24"/>
          <w:highlight w:val="none"/>
        </w:rPr>
        <w:t xml:space="preserve">25.2 </w:t>
      </w:r>
      <w:r>
        <w:rPr>
          <w:rFonts w:hint="eastAsia" w:hAnsi="宋体" w:cs="宋体"/>
          <w:bCs/>
          <w:color w:val="auto"/>
          <w:kern w:val="21"/>
          <w:sz w:val="24"/>
          <w:szCs w:val="24"/>
          <w:highlight w:val="none"/>
        </w:rPr>
        <w:t>响应文件解密</w:t>
      </w:r>
    </w:p>
    <w:p w14:paraId="48FD25F4">
      <w:pPr>
        <w:pStyle w:val="18"/>
        <w:spacing w:line="360" w:lineRule="auto"/>
        <w:ind w:firstLine="480" w:firstLineChars="200"/>
        <w:rPr>
          <w:rFonts w:hAnsi="宋体" w:cs="宋体"/>
          <w:color w:val="auto"/>
          <w:kern w:val="21"/>
          <w:sz w:val="24"/>
          <w:szCs w:val="24"/>
          <w:highlight w:val="none"/>
        </w:rPr>
      </w:pPr>
      <w:r>
        <w:rPr>
          <w:rFonts w:hint="eastAsia" w:hAnsi="宋体" w:cs="宋体"/>
          <w:bCs/>
          <w:color w:val="auto"/>
          <w:kern w:val="21"/>
          <w:sz w:val="24"/>
          <w:szCs w:val="24"/>
          <w:highlight w:val="none"/>
        </w:rPr>
        <w:t>采购代理机构将在“供应商须知前附表”规定的时</w:t>
      </w:r>
      <w:r>
        <w:rPr>
          <w:rFonts w:hint="eastAsia" w:hAnsi="宋体" w:cs="宋体"/>
          <w:color w:val="auto"/>
          <w:kern w:val="21"/>
          <w:sz w:val="24"/>
          <w:szCs w:val="24"/>
          <w:highlight w:val="none"/>
        </w:rPr>
        <w:t>间通过电子交易平台组织响应文件开启，采购机构依托电子交易平台发起开始解密指令，供应商的法定代表人或其委托代理人</w:t>
      </w:r>
      <w:r>
        <w:rPr>
          <w:rFonts w:hint="eastAsia" w:hAnsi="宋体" w:cs="宋体"/>
          <w:b/>
          <w:color w:val="auto"/>
          <w:kern w:val="21"/>
          <w:sz w:val="24"/>
          <w:szCs w:val="24"/>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kern w:val="21"/>
          <w:sz w:val="24"/>
          <w:szCs w:val="24"/>
          <w:highlight w:val="none"/>
        </w:rPr>
        <w:t>。未在规定时间内解密的，</w:t>
      </w:r>
      <w:r>
        <w:rPr>
          <w:rFonts w:hint="eastAsia" w:hAnsi="宋体" w:cs="宋体"/>
          <w:b/>
          <w:color w:val="auto"/>
          <w:kern w:val="21"/>
          <w:sz w:val="24"/>
          <w:szCs w:val="24"/>
          <w:highlight w:val="none"/>
        </w:rPr>
        <w:t>视为响应文件无效。</w:t>
      </w:r>
      <w:r>
        <w:rPr>
          <w:rFonts w:hint="eastAsia" w:hAnsi="宋体" w:cs="宋体"/>
          <w:color w:val="auto"/>
          <w:kern w:val="21"/>
          <w:sz w:val="24"/>
          <w:szCs w:val="24"/>
          <w:highlight w:val="none"/>
        </w:rPr>
        <w:t>（解密</w:t>
      </w:r>
      <w:r>
        <w:rPr>
          <w:rFonts w:hint="eastAsia" w:hAnsi="宋体" w:cs="宋体"/>
          <w:bCs/>
          <w:color w:val="auto"/>
          <w:kern w:val="21"/>
          <w:sz w:val="24"/>
          <w:szCs w:val="24"/>
          <w:highlight w:val="none"/>
        </w:rPr>
        <w:t>异常情况处理：详见本章</w:t>
      </w:r>
      <w:r>
        <w:rPr>
          <w:rFonts w:hint="eastAsia" w:hAnsi="宋体" w:cs="宋体"/>
          <w:color w:val="auto"/>
          <w:kern w:val="21"/>
          <w:sz w:val="24"/>
          <w:szCs w:val="24"/>
          <w:highlight w:val="none"/>
        </w:rPr>
        <w:t>26.4 电子交易活动的中止。）</w:t>
      </w:r>
    </w:p>
    <w:p w14:paraId="04F43DDB">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如</w:t>
      </w:r>
      <w:r>
        <w:rPr>
          <w:rFonts w:hint="eastAsia" w:hAnsi="宋体" w:cs="宋体"/>
          <w:bCs/>
          <w:color w:val="auto"/>
          <w:kern w:val="21"/>
          <w:sz w:val="24"/>
          <w:szCs w:val="24"/>
          <w:highlight w:val="none"/>
        </w:rPr>
        <w:t>供应商成功解密响应文件，但未在“广西政府采购云平台”电子开标大厅参加磋商的，视同认可磋商过程和结果，</w:t>
      </w:r>
      <w:r>
        <w:rPr>
          <w:rFonts w:hint="eastAsia" w:hAnsi="宋体" w:cs="宋体"/>
          <w:color w:val="auto"/>
          <w:kern w:val="21"/>
          <w:sz w:val="24"/>
          <w:szCs w:val="24"/>
          <w:highlight w:val="none"/>
        </w:rPr>
        <w:t>由此产生的后果由供应商自行负责。 参与磋商的供应商不足3家的，不得磋商。</w:t>
      </w:r>
    </w:p>
    <w:p w14:paraId="40B4227E">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26.评审程序、评审方法和评审标准</w:t>
      </w:r>
    </w:p>
    <w:p w14:paraId="1F9739B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26.1磋商小组按照“第四章 评审程序、评审方法和评审标准”规定的方法、评审因素、标准和程序对响应文件进行评审。</w:t>
      </w:r>
    </w:p>
    <w:p w14:paraId="6752F2A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26.2磋商顺序详见“供应商须知前附表”。</w:t>
      </w:r>
    </w:p>
    <w:p w14:paraId="32E96D8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26.3商务/技术要求允许负偏离的条款数详见“供应商须知前附表”。</w:t>
      </w:r>
    </w:p>
    <w:p w14:paraId="2B566E9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26.4电子交易活动的中止。采购过程中出现以下情形，导致电子交易平台无法正常运行，或者无法保证电子交易的公平、公正和安全时，采购机构可中止电子交易活动：</w:t>
      </w:r>
    </w:p>
    <w:p w14:paraId="03F8FC8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 xml:space="preserve">（1）电子交易平台发生故障而无法登录访问的； </w:t>
      </w:r>
    </w:p>
    <w:p w14:paraId="4B73E4D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（2）电子交易平台应用或数据库出现错误，不能进行正常操作的；</w:t>
      </w:r>
    </w:p>
    <w:p w14:paraId="3C21CED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（3）电子交易平台发现严重安全漏洞，有潜在泄密危险的；</w:t>
      </w:r>
    </w:p>
    <w:p w14:paraId="7FF9E30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 xml:space="preserve">（4）病毒发作导致不能进行正常操作的； </w:t>
      </w:r>
    </w:p>
    <w:p w14:paraId="618323D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（4）其他无法保证电子交易的公平、公正和安全的情况。</w:t>
      </w:r>
    </w:p>
    <w:p w14:paraId="5C244DC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kern w:val="21"/>
          <w:sz w:val="24"/>
          <w:highlight w:val="none"/>
          <w:lang w:eastAsia="zh-CN"/>
        </w:rPr>
        <w:t>做出</w:t>
      </w:r>
      <w:r>
        <w:rPr>
          <w:rFonts w:hint="eastAsia" w:ascii="宋体" w:hAnsi="宋体" w:cs="宋体"/>
          <w:color w:val="auto"/>
          <w:kern w:val="21"/>
          <w:sz w:val="24"/>
          <w:highlight w:val="none"/>
        </w:rPr>
        <w:t>妥善保密处理，并报财政部门备案。</w:t>
      </w:r>
    </w:p>
    <w:p w14:paraId="43352511">
      <w:pPr>
        <w:pStyle w:val="5"/>
        <w:spacing w:before="0" w:after="0" w:line="360" w:lineRule="auto"/>
        <w:ind w:firstLine="482" w:firstLineChars="200"/>
        <w:rPr>
          <w:rFonts w:ascii="宋体" w:hAnsi="宋体" w:cs="宋体"/>
          <w:color w:val="auto"/>
          <w:kern w:val="21"/>
          <w:sz w:val="24"/>
          <w:szCs w:val="24"/>
          <w:highlight w:val="none"/>
        </w:rPr>
      </w:pPr>
      <w:bookmarkStart w:id="55" w:name="_Toc5249"/>
      <w:bookmarkStart w:id="56" w:name="_Toc767"/>
      <w:r>
        <w:rPr>
          <w:rFonts w:hint="eastAsia" w:ascii="宋体" w:hAnsi="宋体" w:cs="宋体"/>
          <w:color w:val="auto"/>
          <w:kern w:val="21"/>
          <w:sz w:val="24"/>
          <w:szCs w:val="24"/>
          <w:highlight w:val="none"/>
        </w:rPr>
        <w:t>五、成交及合同</w:t>
      </w:r>
      <w:bookmarkEnd w:id="55"/>
      <w:bookmarkEnd w:id="56"/>
    </w:p>
    <w:p w14:paraId="3D89B670">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27.确定成交供应商及结果公告</w:t>
      </w:r>
    </w:p>
    <w:p w14:paraId="51B5634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27.1确定成交供应商。由采购人直接委托评审专家确定，评审报告提出的排序第一的供应商为成交供应商。</w:t>
      </w:r>
    </w:p>
    <w:p w14:paraId="10418BE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27.2成交通知及成交结果公告。成交供应商确定后2个工作日内，在省级以上财政部门指定的媒体上公告成交结果，同时向成交供应商发出成交通知书，成交通知书规定签订合同的时间不得超过25日。</w:t>
      </w:r>
    </w:p>
    <w:p w14:paraId="62534AD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35CA71D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075AFB5">
      <w:pPr>
        <w:spacing w:line="360" w:lineRule="auto"/>
        <w:ind w:firstLine="480" w:firstLineChars="200"/>
        <w:rPr>
          <w:rFonts w:ascii="宋体" w:hAnsi="宋体" w:cs="宋体"/>
          <w:color w:val="auto"/>
          <w:kern w:val="21"/>
          <w:sz w:val="24"/>
          <w:highlight w:val="none"/>
        </w:rPr>
      </w:pPr>
      <w:r>
        <w:rPr>
          <w:rFonts w:hint="eastAsia" w:ascii="宋体" w:hAnsi="宋体" w:cs="宋体"/>
          <w:bCs/>
          <w:color w:val="auto"/>
          <w:kern w:val="21"/>
          <w:sz w:val="24"/>
          <w:highlight w:val="none"/>
        </w:rPr>
        <w:t>27.5</w:t>
      </w:r>
      <w:r>
        <w:rPr>
          <w:rFonts w:hint="eastAsia" w:ascii="宋体" w:hAnsi="宋体" w:cs="宋体"/>
          <w:color w:val="auto"/>
          <w:kern w:val="21"/>
          <w:sz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D4693E6">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28.履约保证金</w:t>
      </w:r>
    </w:p>
    <w:p w14:paraId="4B5DF298">
      <w:pPr>
        <w:spacing w:line="360" w:lineRule="auto"/>
        <w:ind w:firstLine="480" w:firstLineChars="200"/>
        <w:rPr>
          <w:rFonts w:ascii="宋体" w:hAnsi="宋体" w:cs="宋体"/>
          <w:b/>
          <w:bCs/>
          <w:color w:val="auto"/>
          <w:kern w:val="21"/>
          <w:sz w:val="24"/>
          <w:highlight w:val="none"/>
        </w:rPr>
      </w:pPr>
      <w:r>
        <w:rPr>
          <w:rFonts w:hint="eastAsia" w:ascii="宋体" w:hAnsi="宋体" w:cs="宋体"/>
          <w:color w:val="auto"/>
          <w:kern w:val="21"/>
          <w:sz w:val="24"/>
          <w:highlight w:val="none"/>
        </w:rPr>
        <w:t>详见“供应商须知前附表”</w:t>
      </w:r>
    </w:p>
    <w:p w14:paraId="38B4CCE4">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29.签订合同</w:t>
      </w:r>
    </w:p>
    <w:p w14:paraId="0534D9D8">
      <w:pPr>
        <w:pStyle w:val="81"/>
        <w:adjustRightInd/>
        <w:spacing w:before="0"/>
        <w:ind w:firstLine="480"/>
        <w:rPr>
          <w:rFonts w:ascii="宋体" w:hAnsi="宋体" w:cs="宋体"/>
          <w:color w:val="auto"/>
          <w:kern w:val="21"/>
          <w:szCs w:val="24"/>
          <w:highlight w:val="none"/>
          <w:lang w:val="zh-CN"/>
        </w:rPr>
      </w:pPr>
      <w:r>
        <w:rPr>
          <w:rFonts w:hint="eastAsia" w:ascii="宋体" w:hAnsi="宋体" w:cs="宋体"/>
          <w:color w:val="auto"/>
          <w:kern w:val="21"/>
          <w:szCs w:val="24"/>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kern w:val="21"/>
          <w:szCs w:val="24"/>
          <w:highlight w:val="none"/>
          <w:lang w:val="zh-CN"/>
        </w:rPr>
        <w:t>如成交供应商为联合体的，由联合体成员各方法定代表人或其授权代表与采购人代表签订合同。</w:t>
      </w:r>
    </w:p>
    <w:p w14:paraId="461E402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DBB661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F3F1F9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29.4成交供应商拒绝签订政府采购合同的，其保证金将不予退还，并上缴国库，给采购人造成损失的，还应当赔偿损失，并作为不良行为记录在案。</w:t>
      </w:r>
    </w:p>
    <w:p w14:paraId="5202B64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29.5如签订合同并生效后，供应商无故拒绝或延期，除按照合同条款处理外，列入不良行为记录，并给予通报。</w:t>
      </w:r>
    </w:p>
    <w:p w14:paraId="15C358E8">
      <w:pPr>
        <w:pStyle w:val="81"/>
        <w:adjustRightInd/>
        <w:spacing w:before="0"/>
        <w:ind w:firstLine="480"/>
        <w:rPr>
          <w:rFonts w:ascii="宋体" w:hAnsi="宋体" w:cs="宋体"/>
          <w:color w:val="auto"/>
          <w:kern w:val="21"/>
          <w:szCs w:val="24"/>
          <w:highlight w:val="none"/>
        </w:rPr>
      </w:pPr>
      <w:r>
        <w:rPr>
          <w:rFonts w:hint="eastAsia" w:ascii="宋体" w:hAnsi="宋体" w:cs="宋体"/>
          <w:color w:val="auto"/>
          <w:kern w:val="21"/>
          <w:szCs w:val="24"/>
          <w:highlight w:val="none"/>
        </w:rPr>
        <w:t>29.6采购合同由采购人与成交供应商根据磋商文件、响应文件等内容通过政府采购电子交易平台在线签订，自动备案，在线签订须携带的材料见“ 供应商须知前附表”。</w:t>
      </w:r>
    </w:p>
    <w:p w14:paraId="13ED2273">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30.政府采购合同公告</w:t>
      </w:r>
    </w:p>
    <w:p w14:paraId="5185B01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C8943A6">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31. 询问、质疑和投诉</w:t>
      </w:r>
    </w:p>
    <w:p w14:paraId="090250B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31.1供应商对政府采购活动事项有疑问的，可以向采购人、采购代理机构提出询问，采购人或者采购代理机构应当在3个工作日内对供应商依法提出的询问作出答复。</w:t>
      </w:r>
    </w:p>
    <w:p w14:paraId="62D4498B">
      <w:pPr>
        <w:spacing w:line="360" w:lineRule="auto"/>
        <w:ind w:firstLine="480" w:firstLineChars="200"/>
        <w:rPr>
          <w:rFonts w:ascii="宋体" w:hAnsi="宋体" w:cs="宋体"/>
          <w:b/>
          <w:color w:val="auto"/>
          <w:kern w:val="21"/>
          <w:sz w:val="24"/>
          <w:highlight w:val="none"/>
        </w:rPr>
      </w:pPr>
      <w:r>
        <w:rPr>
          <w:rFonts w:hint="eastAsia" w:ascii="宋体" w:hAnsi="宋体" w:cs="宋体"/>
          <w:color w:val="auto"/>
          <w:kern w:val="21"/>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kern w:val="21"/>
          <w:sz w:val="24"/>
          <w:highlight w:val="none"/>
          <w:shd w:val="clear" w:color="auto" w:fill="FFFFFF"/>
        </w:rPr>
        <w:t>接收质疑函的方式、联系部门、联系电话和通讯地址等信息详见</w:t>
      </w:r>
      <w:r>
        <w:rPr>
          <w:rFonts w:hint="eastAsia" w:ascii="宋体" w:hAnsi="宋体" w:cs="宋体"/>
          <w:color w:val="auto"/>
          <w:kern w:val="21"/>
          <w:sz w:val="24"/>
          <w:highlight w:val="none"/>
        </w:rPr>
        <w:t>“供应商须知前附表”。</w:t>
      </w:r>
      <w:r>
        <w:rPr>
          <w:rFonts w:hint="eastAsia" w:ascii="宋体" w:hAnsi="宋体" w:cs="宋体"/>
          <w:b/>
          <w:color w:val="auto"/>
          <w:kern w:val="21"/>
          <w:sz w:val="24"/>
          <w:highlight w:val="none"/>
        </w:rPr>
        <w:t xml:space="preserve">具体质疑起算时间及处理方式如下： </w:t>
      </w:r>
    </w:p>
    <w:p w14:paraId="56AD34CB">
      <w:pPr>
        <w:spacing w:line="360" w:lineRule="auto"/>
        <w:ind w:firstLine="480" w:firstLineChars="200"/>
        <w:rPr>
          <w:rFonts w:ascii="宋体" w:hAnsi="宋体" w:cs="宋体"/>
          <w:bCs/>
          <w:color w:val="auto"/>
          <w:kern w:val="21"/>
          <w:sz w:val="24"/>
          <w:highlight w:val="none"/>
        </w:rPr>
      </w:pPr>
      <w:r>
        <w:rPr>
          <w:rFonts w:hint="eastAsia" w:ascii="宋体" w:hAnsi="宋体" w:cs="宋体"/>
          <w:bCs/>
          <w:color w:val="auto"/>
          <w:kern w:val="21"/>
          <w:sz w:val="24"/>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kern w:val="21"/>
          <w:sz w:val="24"/>
          <w:highlight w:val="none"/>
        </w:rPr>
        <w:t>委托代理协议无特殊约定的，</w:t>
      </w:r>
      <w:r>
        <w:rPr>
          <w:rFonts w:hint="eastAsia" w:ascii="宋体" w:hAnsi="宋体" w:cs="宋体"/>
          <w:bCs/>
          <w:color w:val="auto"/>
          <w:kern w:val="21"/>
          <w:sz w:val="24"/>
          <w:highlight w:val="none"/>
        </w:rPr>
        <w:t>对竞争性磋商文件中采购需求（含资格要求、采购预算和评分办法）的质疑由采购人受理并负责答复；对竞争性磋商文件中的采购执行程序的质疑由采购代理机构受理并负责答复。</w:t>
      </w:r>
    </w:p>
    <w:p w14:paraId="3676BADE">
      <w:pPr>
        <w:spacing w:line="360" w:lineRule="auto"/>
        <w:ind w:firstLine="480" w:firstLineChars="200"/>
        <w:rPr>
          <w:rFonts w:ascii="宋体" w:hAnsi="宋体" w:cs="宋体"/>
          <w:bCs/>
          <w:color w:val="auto"/>
          <w:kern w:val="21"/>
          <w:sz w:val="24"/>
          <w:highlight w:val="none"/>
        </w:rPr>
      </w:pPr>
      <w:r>
        <w:rPr>
          <w:rFonts w:hint="eastAsia" w:ascii="宋体" w:hAnsi="宋体" w:cs="宋体"/>
          <w:bCs/>
          <w:color w:val="auto"/>
          <w:kern w:val="21"/>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168FB2F">
      <w:pPr>
        <w:spacing w:line="360" w:lineRule="auto"/>
        <w:ind w:firstLine="480" w:firstLineChars="200"/>
        <w:rPr>
          <w:rFonts w:ascii="宋体" w:hAnsi="宋体" w:cs="宋体"/>
          <w:bCs/>
          <w:color w:val="auto"/>
          <w:kern w:val="21"/>
          <w:sz w:val="24"/>
          <w:highlight w:val="none"/>
        </w:rPr>
      </w:pPr>
      <w:r>
        <w:rPr>
          <w:rFonts w:hint="eastAsia" w:ascii="宋体" w:hAnsi="宋体" w:cs="宋体"/>
          <w:bCs/>
          <w:color w:val="auto"/>
          <w:kern w:val="21"/>
          <w:sz w:val="24"/>
          <w:highlight w:val="none"/>
        </w:rPr>
        <w:t>（3）供应商认为成交结果使自己的权益受到损害的，应当在成交结果公告期限届满之日起7个工作日内提出质疑，由采购人受理并负责答复。</w:t>
      </w:r>
    </w:p>
    <w:p w14:paraId="65284DC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D426B2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kern w:val="21"/>
          <w:sz w:val="24"/>
          <w:highlight w:val="none"/>
        </w:rPr>
        <w:t>（质疑函格式后附）</w:t>
      </w:r>
      <w:r>
        <w:rPr>
          <w:rFonts w:hint="eastAsia" w:ascii="宋体" w:hAnsi="宋体" w:cs="宋体"/>
          <w:color w:val="auto"/>
          <w:kern w:val="21"/>
          <w:sz w:val="24"/>
          <w:highlight w:val="none"/>
        </w:rPr>
        <w:t>：</w:t>
      </w:r>
    </w:p>
    <w:p w14:paraId="7900B7F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（1）供应商的姓名或者名称、地址、邮编、联系人及联系电话；</w:t>
      </w:r>
    </w:p>
    <w:p w14:paraId="6DFADA8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（2）质疑项目的名称、编号；</w:t>
      </w:r>
    </w:p>
    <w:p w14:paraId="572F10C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（3）具体、明确的质疑事项和与质疑事项相关的请求；</w:t>
      </w:r>
    </w:p>
    <w:p w14:paraId="1AE2AB9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（4）事实依据；</w:t>
      </w:r>
    </w:p>
    <w:p w14:paraId="0B7D9BB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（5）必要的法律依据；</w:t>
      </w:r>
    </w:p>
    <w:p w14:paraId="318FE59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（6）提出质疑的日期。</w:t>
      </w:r>
    </w:p>
    <w:p w14:paraId="5351934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供应商为自然人的，应当由本人签字；供应商为法人或者其他组织的，应当由法定代表人、主要负责人，或者其委托代理人签字或者盖章，并加盖公章。</w:t>
      </w:r>
    </w:p>
    <w:p w14:paraId="24AE86E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40BD8F0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（一）对采购文件提出的质疑，依法通过澄清或者修改可以继续开展采购活动的，澄清或者修改采购文件后继续开展采购活动；否则应当修改采购文件后重新开展采购活动。</w:t>
      </w:r>
    </w:p>
    <w:p w14:paraId="701751D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15FD985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质疑答复导致成交结果改变的，采购人或者采购代理机构应当将有关情况书面报告本级财政部门。</w:t>
      </w:r>
    </w:p>
    <w:p w14:paraId="0FCC38F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14:paraId="68D0208F">
      <w:pPr>
        <w:pStyle w:val="5"/>
        <w:spacing w:before="0" w:after="0" w:line="360" w:lineRule="auto"/>
        <w:ind w:firstLine="482" w:firstLineChars="200"/>
        <w:rPr>
          <w:rFonts w:ascii="宋体" w:hAnsi="宋体" w:cs="宋体"/>
          <w:color w:val="auto"/>
          <w:kern w:val="21"/>
          <w:sz w:val="24"/>
          <w:szCs w:val="24"/>
          <w:highlight w:val="none"/>
        </w:rPr>
      </w:pPr>
      <w:bookmarkStart w:id="58" w:name="_Toc11194"/>
      <w:bookmarkStart w:id="59" w:name="_Toc208"/>
      <w:r>
        <w:rPr>
          <w:rFonts w:hint="eastAsia" w:ascii="宋体" w:hAnsi="宋体" w:cs="宋体"/>
          <w:color w:val="auto"/>
          <w:kern w:val="21"/>
          <w:sz w:val="24"/>
          <w:szCs w:val="24"/>
          <w:highlight w:val="none"/>
        </w:rPr>
        <w:t>六、验收</w:t>
      </w:r>
      <w:bookmarkEnd w:id="57"/>
      <w:bookmarkEnd w:id="58"/>
      <w:bookmarkEnd w:id="59"/>
    </w:p>
    <w:p w14:paraId="2C30CFD7">
      <w:pPr>
        <w:tabs>
          <w:tab w:val="left" w:pos="0"/>
        </w:tabs>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32.验收</w:t>
      </w:r>
    </w:p>
    <w:p w14:paraId="1612EE96">
      <w:pPr>
        <w:tabs>
          <w:tab w:val="left" w:pos="0"/>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99CC56">
      <w:pPr>
        <w:tabs>
          <w:tab w:val="left" w:pos="0"/>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32.2采购人可以邀请参加本项目的其他供应商或者第三方机构参与验收。参与验收的供应商或者第三方机构的意见作为验收书的参考资料一并存档。</w:t>
      </w:r>
    </w:p>
    <w:p w14:paraId="180176A2">
      <w:pPr>
        <w:tabs>
          <w:tab w:val="left" w:pos="0"/>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8C05E4">
      <w:pPr>
        <w:tabs>
          <w:tab w:val="left" w:pos="0"/>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941AE5">
      <w:pPr>
        <w:pStyle w:val="5"/>
        <w:spacing w:before="0" w:after="0" w:line="360" w:lineRule="auto"/>
        <w:ind w:firstLine="482" w:firstLineChars="200"/>
        <w:rPr>
          <w:rFonts w:ascii="宋体" w:hAnsi="宋体" w:cs="宋体"/>
          <w:color w:val="auto"/>
          <w:kern w:val="21"/>
          <w:sz w:val="24"/>
          <w:szCs w:val="24"/>
          <w:highlight w:val="none"/>
        </w:rPr>
      </w:pPr>
      <w:bookmarkStart w:id="60" w:name="_Toc17250"/>
      <w:bookmarkStart w:id="61" w:name="_Toc11157"/>
      <w:r>
        <w:rPr>
          <w:rFonts w:hint="eastAsia" w:ascii="宋体" w:hAnsi="宋体" w:cs="宋体"/>
          <w:color w:val="auto"/>
          <w:kern w:val="21"/>
          <w:sz w:val="24"/>
          <w:szCs w:val="24"/>
          <w:highlight w:val="none"/>
        </w:rPr>
        <w:t>七、其他事项</w:t>
      </w:r>
      <w:bookmarkEnd w:id="60"/>
      <w:bookmarkEnd w:id="61"/>
    </w:p>
    <w:p w14:paraId="238F818A">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33.代理服务费</w:t>
      </w:r>
    </w:p>
    <w:p w14:paraId="42E4444C">
      <w:pPr>
        <w:tabs>
          <w:tab w:val="left" w:pos="2835"/>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代理服务收费标准及缴费账户详见“供应商须知前附表”，供应商为联合体的，可以由联合体中的一方或者多方共同缴纳代理服务费。</w:t>
      </w:r>
    </w:p>
    <w:p w14:paraId="2615A050">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34.需要补充的其他内容</w:t>
      </w:r>
    </w:p>
    <w:p w14:paraId="403AA275">
      <w:pPr>
        <w:pStyle w:val="18"/>
        <w:spacing w:line="360" w:lineRule="auto"/>
        <w:ind w:firstLine="480" w:firstLineChars="200"/>
        <w:textAlignment w:val="center"/>
        <w:rPr>
          <w:rFonts w:hAnsi="宋体" w:cs="宋体"/>
          <w:color w:val="auto"/>
          <w:kern w:val="21"/>
          <w:sz w:val="24"/>
          <w:szCs w:val="24"/>
          <w:highlight w:val="none"/>
        </w:rPr>
      </w:pPr>
      <w:r>
        <w:rPr>
          <w:rFonts w:hint="eastAsia" w:hAnsi="宋体" w:cs="宋体"/>
          <w:color w:val="auto"/>
          <w:kern w:val="21"/>
          <w:sz w:val="24"/>
          <w:szCs w:val="24"/>
          <w:highlight w:val="none"/>
        </w:rPr>
        <w:t>34.1本磋商文件解释规则详见“供应商须知前附表”。</w:t>
      </w:r>
    </w:p>
    <w:p w14:paraId="0E76099B">
      <w:pPr>
        <w:pStyle w:val="18"/>
        <w:spacing w:line="360" w:lineRule="auto"/>
        <w:ind w:firstLine="480" w:firstLineChars="200"/>
        <w:textAlignment w:val="center"/>
        <w:rPr>
          <w:rFonts w:hAnsi="宋体" w:cs="宋体"/>
          <w:color w:val="auto"/>
          <w:kern w:val="21"/>
          <w:sz w:val="24"/>
          <w:szCs w:val="24"/>
          <w:highlight w:val="none"/>
        </w:rPr>
      </w:pPr>
      <w:r>
        <w:rPr>
          <w:rFonts w:hint="eastAsia" w:hAnsi="宋体" w:cs="宋体"/>
          <w:color w:val="auto"/>
          <w:kern w:val="21"/>
          <w:sz w:val="24"/>
          <w:szCs w:val="24"/>
          <w:highlight w:val="none"/>
        </w:rPr>
        <w:t>34.2 其他事项详见“供应商须知前附表”。</w:t>
      </w:r>
    </w:p>
    <w:p w14:paraId="7E896370">
      <w:pPr>
        <w:pStyle w:val="18"/>
        <w:spacing w:line="360" w:lineRule="auto"/>
        <w:ind w:firstLine="480" w:firstLineChars="200"/>
        <w:textAlignment w:val="center"/>
        <w:rPr>
          <w:rFonts w:hAnsi="宋体" w:cs="宋体"/>
          <w:color w:val="auto"/>
          <w:kern w:val="21"/>
          <w:sz w:val="24"/>
          <w:szCs w:val="24"/>
          <w:highlight w:val="none"/>
        </w:rPr>
      </w:pPr>
      <w:r>
        <w:rPr>
          <w:rFonts w:hint="eastAsia" w:hAnsi="宋体" w:cs="宋体"/>
          <w:color w:val="auto"/>
          <w:kern w:val="21"/>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05070E3">
      <w:pPr>
        <w:pStyle w:val="18"/>
        <w:spacing w:line="360" w:lineRule="auto"/>
        <w:ind w:firstLine="480" w:firstLineChars="200"/>
        <w:textAlignment w:val="center"/>
        <w:rPr>
          <w:rFonts w:hAnsi="宋体" w:cs="宋体"/>
          <w:color w:val="auto"/>
          <w:kern w:val="21"/>
          <w:sz w:val="24"/>
          <w:szCs w:val="24"/>
          <w:highlight w:val="none"/>
        </w:rPr>
      </w:pPr>
      <w:r>
        <w:rPr>
          <w:rFonts w:hint="eastAsia" w:hAnsi="宋体" w:cs="宋体"/>
          <w:color w:val="auto"/>
          <w:kern w:val="21"/>
          <w:sz w:val="24"/>
          <w:szCs w:val="24"/>
          <w:highlight w:val="none"/>
        </w:rPr>
        <w:t>以联合体形式参加政府采购活动，联合体各方均为中小企业的，联合体视同中小企业。其中，联合体各方均为小微企业的，联合体视同小微企业。</w:t>
      </w:r>
    </w:p>
    <w:p w14:paraId="48868FFE">
      <w:pPr>
        <w:pStyle w:val="18"/>
        <w:spacing w:line="360" w:lineRule="auto"/>
        <w:ind w:firstLine="480" w:firstLineChars="200"/>
        <w:textAlignment w:val="center"/>
        <w:rPr>
          <w:rFonts w:hAnsi="宋体" w:cs="宋体"/>
          <w:color w:val="auto"/>
          <w:kern w:val="21"/>
          <w:sz w:val="21"/>
          <w:highlight w:val="none"/>
        </w:rPr>
      </w:pPr>
      <w:r>
        <w:rPr>
          <w:rFonts w:hint="eastAsia" w:hAnsi="宋体" w:cs="宋体"/>
          <w:color w:val="auto"/>
          <w:kern w:val="21"/>
          <w:sz w:val="24"/>
          <w:szCs w:val="24"/>
          <w:highlight w:val="none"/>
        </w:rPr>
        <w:t>依据本文件规定享受扶持政策获得政府采购合同的，小微企业不得将合同分包给大中型企业，中型企业不得将合同分包给大型企业。</w:t>
      </w:r>
    </w:p>
    <w:p w14:paraId="0FEFAD9D">
      <w:pPr>
        <w:pStyle w:val="18"/>
        <w:spacing w:line="360" w:lineRule="auto"/>
        <w:textAlignment w:val="center"/>
        <w:rPr>
          <w:rFonts w:hAnsi="宋体" w:cs="宋体"/>
          <w:color w:val="auto"/>
          <w:kern w:val="21"/>
          <w:highlight w:val="none"/>
        </w:rPr>
      </w:pPr>
    </w:p>
    <w:p w14:paraId="2A71CBFA">
      <w:pPr>
        <w:pStyle w:val="3"/>
        <w:spacing w:before="0" w:after="0" w:line="360" w:lineRule="auto"/>
        <w:jc w:val="center"/>
        <w:rPr>
          <w:rFonts w:ascii="宋体" w:hAnsi="宋体" w:cs="宋体"/>
          <w:color w:val="auto"/>
          <w:kern w:val="21"/>
          <w:sz w:val="32"/>
          <w:szCs w:val="32"/>
          <w:highlight w:val="none"/>
        </w:rPr>
      </w:pPr>
      <w:r>
        <w:rPr>
          <w:rFonts w:hint="eastAsia" w:ascii="宋体" w:hAnsi="宋体" w:cs="宋体"/>
          <w:color w:val="auto"/>
          <w:kern w:val="21"/>
          <w:sz w:val="32"/>
          <w:szCs w:val="32"/>
          <w:highlight w:val="none"/>
        </w:rPr>
        <w:br w:type="page"/>
      </w:r>
      <w:bookmarkStart w:id="62" w:name="_Toc18526"/>
      <w:bookmarkStart w:id="63" w:name="_Toc28814"/>
      <w:r>
        <w:rPr>
          <w:rFonts w:hint="eastAsia" w:ascii="宋体" w:hAnsi="宋体" w:cs="宋体"/>
          <w:color w:val="auto"/>
          <w:kern w:val="21"/>
          <w:sz w:val="32"/>
          <w:szCs w:val="32"/>
          <w:highlight w:val="none"/>
        </w:rPr>
        <w:t>第四章 评审程序、评审方法和评审标准</w:t>
      </w:r>
      <w:bookmarkEnd w:id="62"/>
      <w:bookmarkEnd w:id="63"/>
    </w:p>
    <w:p w14:paraId="1E94CD81">
      <w:pPr>
        <w:pStyle w:val="4"/>
        <w:spacing w:line="360" w:lineRule="auto"/>
        <w:jc w:val="center"/>
        <w:rPr>
          <w:rFonts w:ascii="宋体" w:hAnsi="宋体" w:cs="宋体"/>
          <w:bCs w:val="0"/>
          <w:color w:val="auto"/>
          <w:kern w:val="21"/>
          <w:highlight w:val="none"/>
        </w:rPr>
      </w:pPr>
      <w:bookmarkStart w:id="64" w:name="_Toc27075"/>
      <w:bookmarkStart w:id="65" w:name="_Toc31735"/>
      <w:r>
        <w:rPr>
          <w:rFonts w:hint="eastAsia" w:ascii="宋体" w:hAnsi="宋体" w:cs="宋体"/>
          <w:bCs w:val="0"/>
          <w:color w:val="auto"/>
          <w:kern w:val="21"/>
          <w:highlight w:val="none"/>
        </w:rPr>
        <w:t>第一节 评审程序和评审方法</w:t>
      </w:r>
      <w:bookmarkEnd w:id="64"/>
      <w:bookmarkEnd w:id="65"/>
    </w:p>
    <w:p w14:paraId="76A13F89">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1.确认磋商文件</w:t>
      </w:r>
    </w:p>
    <w:p w14:paraId="06F3737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由磋商小组确认磋商文件。</w:t>
      </w:r>
    </w:p>
    <w:p w14:paraId="0108A17D">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2.资格审查</w:t>
      </w:r>
    </w:p>
    <w:p w14:paraId="19E9A0A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2.1响应文件开启后，磋商小组依法对供应商的资格证明文件进行审查。</w:t>
      </w:r>
    </w:p>
    <w:p w14:paraId="49BF14E7">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注：采购人代表或者采购代理机构在资格审查结束前，对供应商进行信用查询。</w:t>
      </w:r>
    </w:p>
    <w:p w14:paraId="4234965D">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（1）查询渠道：“广西政府采购云平台”“信用中国”网站（</w:t>
      </w: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"http://www.creditchina.gov.cn" </w:instrText>
      </w:r>
      <w:r>
        <w:rPr>
          <w:rFonts w:hint="eastAsia" w:ascii="宋体" w:hAnsi="宋体" w:cs="宋体"/>
          <w:color w:val="auto"/>
          <w:kern w:val="21"/>
          <w:sz w:val="24"/>
          <w:highlight w:val="none"/>
        </w:rPr>
        <w:fldChar w:fldCharType="separate"/>
      </w:r>
      <w:r>
        <w:rPr>
          <w:rStyle w:val="38"/>
          <w:rFonts w:hint="eastAsia" w:ascii="宋体" w:hAnsi="宋体" w:cs="宋体"/>
          <w:color w:val="auto"/>
          <w:kern w:val="21"/>
          <w:sz w:val="24"/>
          <w:highlight w:val="none"/>
        </w:rPr>
        <w:t>www.creditchina.gov.cn</w:t>
      </w:r>
      <w:r>
        <w:rPr>
          <w:rFonts w:hint="eastAsia" w:ascii="宋体" w:hAnsi="宋体" w:cs="宋体"/>
          <w:color w:val="auto"/>
          <w:kern w:val="21"/>
          <w:sz w:val="24"/>
          <w:highlight w:val="none"/>
        </w:rPr>
        <w:fldChar w:fldCharType="end"/>
      </w:r>
      <w:r>
        <w:rPr>
          <w:rFonts w:hint="eastAsia" w:ascii="宋体" w:hAnsi="宋体" w:cs="宋体"/>
          <w:color w:val="auto"/>
          <w:kern w:val="21"/>
          <w:sz w:val="24"/>
          <w:highlight w:val="none"/>
        </w:rPr>
        <w:t>）、中国政府采购网（</w:t>
      </w:r>
      <w:r>
        <w:rPr>
          <w:rFonts w:hint="eastAsia" w:ascii="宋体" w:hAnsi="宋体" w:cs="宋体"/>
          <w:color w:val="auto"/>
          <w:kern w:val="21"/>
          <w:sz w:val="24"/>
          <w:highlight w:val="none"/>
        </w:rPr>
        <w:fldChar w:fldCharType="begin"/>
      </w:r>
      <w:r>
        <w:rPr>
          <w:rFonts w:hint="eastAsia" w:ascii="宋体" w:hAnsi="宋体" w:cs="宋体"/>
          <w:color w:val="auto"/>
          <w:kern w:val="21"/>
          <w:sz w:val="24"/>
          <w:highlight w:val="none"/>
        </w:rPr>
        <w:instrText xml:space="preserve"> HYPERLINK "http://www.ccgp.gov.cn" </w:instrText>
      </w:r>
      <w:r>
        <w:rPr>
          <w:rFonts w:hint="eastAsia" w:ascii="宋体" w:hAnsi="宋体" w:cs="宋体"/>
          <w:color w:val="auto"/>
          <w:kern w:val="21"/>
          <w:sz w:val="24"/>
          <w:highlight w:val="none"/>
        </w:rPr>
        <w:fldChar w:fldCharType="separate"/>
      </w:r>
      <w:r>
        <w:rPr>
          <w:rStyle w:val="38"/>
          <w:rFonts w:hint="eastAsia" w:ascii="宋体" w:hAnsi="宋体" w:cs="宋体"/>
          <w:color w:val="auto"/>
          <w:kern w:val="21"/>
          <w:sz w:val="24"/>
          <w:highlight w:val="none"/>
        </w:rPr>
        <w:t>www.ccgp.gov.cn</w:t>
      </w:r>
      <w:r>
        <w:rPr>
          <w:rFonts w:hint="eastAsia" w:ascii="宋体" w:hAnsi="宋体" w:cs="宋体"/>
          <w:color w:val="auto"/>
          <w:kern w:val="21"/>
          <w:sz w:val="24"/>
          <w:highlight w:val="none"/>
        </w:rPr>
        <w:fldChar w:fldCharType="end"/>
      </w:r>
      <w:r>
        <w:rPr>
          <w:rFonts w:hint="eastAsia" w:ascii="宋体" w:hAnsi="宋体" w:cs="宋体"/>
          <w:color w:val="auto"/>
          <w:kern w:val="21"/>
          <w:sz w:val="24"/>
          <w:highlight w:val="none"/>
        </w:rPr>
        <w:t>）链接入口。</w:t>
      </w:r>
    </w:p>
    <w:p w14:paraId="7285092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（2）信用查询截止时点：资格审查结束前。</w:t>
      </w:r>
    </w:p>
    <w:p w14:paraId="1760E53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查询记录和证据留存方式：在查询网站中直接打印查询记录，截图另存为电子文档作为评审资料保存。</w:t>
      </w:r>
    </w:p>
    <w:p w14:paraId="70CF291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F0371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2.2资格审查标准为本磋商文件中载明对供应商资格要求的条件。资格审查采用合格制，凡符合磋商文件规定的供应商资格要求的响应文件均通过资格审查。</w:t>
      </w:r>
    </w:p>
    <w:p w14:paraId="38CAACA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2.3供应商有下列情形之一的，资格审查不通过，其响应文件按无效响应处理：</w:t>
      </w:r>
    </w:p>
    <w:p w14:paraId="5299E3B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（1）不具备磋商文件中规定的资格要求的；</w:t>
      </w:r>
    </w:p>
    <w:p w14:paraId="74AAD05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（2）响应文件未提供任一项“供应商须知前附表”资格证明文件规定的“必须提供”的文件资料的；</w:t>
      </w:r>
    </w:p>
    <w:p w14:paraId="4EC285F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（3）响应文件提供的资格证明文件出现任一项不符合“供应商须知前附表”资格证明文件规定的“必须提供”的文件资料要求或者无效的。</w:t>
      </w:r>
    </w:p>
    <w:p w14:paraId="0BCA7095">
      <w:pPr>
        <w:spacing w:line="360" w:lineRule="auto"/>
        <w:ind w:firstLine="480" w:firstLineChars="200"/>
        <w:rPr>
          <w:rFonts w:ascii="宋体" w:hAnsi="宋体" w:cs="宋体"/>
          <w:color w:val="auto"/>
          <w:kern w:val="21"/>
          <w:sz w:val="24"/>
          <w:highlight w:val="none"/>
        </w:rPr>
      </w:pPr>
      <w:bookmarkStart w:id="66" w:name="_Hlk68601553"/>
      <w:r>
        <w:rPr>
          <w:rFonts w:hint="eastAsia" w:ascii="宋体" w:hAnsi="宋体" w:cs="宋体"/>
          <w:color w:val="auto"/>
          <w:kern w:val="21"/>
          <w:sz w:val="24"/>
          <w:highlight w:val="none"/>
        </w:rPr>
        <w:t>（4）同一合同项下的不同供应商，单位负责人为同一人或者存在直接控股、管理关系的；为本项目提供过整体设计、规范编制或者项目管理、监理、检测等服务的。</w:t>
      </w:r>
      <w:bookmarkEnd w:id="66"/>
    </w:p>
    <w:p w14:paraId="69F25A8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2.4通过资格审查的合格供应商不足3家的，不得进入符合性审查环节，采购人或者采购代理机构应当重新开展采购活动。</w:t>
      </w:r>
    </w:p>
    <w:p w14:paraId="0D4B6AEC">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3.符合性审查</w:t>
      </w:r>
    </w:p>
    <w:p w14:paraId="7DDF195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3.1由磋商小组对通过资格审查的合格供应商的响应文件的响应报价、商务、技术等实质性要求进行符合性审查，以确定其是否满足磋商文件的实质性要求。</w:t>
      </w:r>
    </w:p>
    <w:p w14:paraId="773AE4E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F48B9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088EFDC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 xml:space="preserve">3.4首次响应文件报价出现前后不一致的，按照下列规定修正： </w:t>
      </w:r>
    </w:p>
    <w:p w14:paraId="3826674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（1）响应文件中报价表内容与响应文件中相应内容不一致的，以报价表为准；</w:t>
      </w:r>
    </w:p>
    <w:p w14:paraId="4A8F963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（2）大写金额和小写金额不一致的，以大写金额为准；</w:t>
      </w:r>
    </w:p>
    <w:p w14:paraId="0BBC129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（3）单价金额小数点或者百分比有明显错位的，以报价表的总价为准，并修改单价；</w:t>
      </w:r>
    </w:p>
    <w:p w14:paraId="03CCAC7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（4）总价金额与按单价汇总金额不一致的，以单价金额计算结果为准。</w:t>
      </w:r>
    </w:p>
    <w:p w14:paraId="366CA6F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同时出现两种以上不一致的，按照以上（1）-（4）规定的顺序逐条进行修正。修正后的报价经供应商确认后产生约束力，供应商不确认的，其响应文件按无效响应处理。</w:t>
      </w:r>
    </w:p>
    <w:p w14:paraId="3AA9A73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3.5商务技术、报价评审</w:t>
      </w:r>
    </w:p>
    <w:p w14:paraId="590907F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在评审时，如发现下列情形之一的，将被视为响应文件无效处理：</w:t>
      </w:r>
    </w:p>
    <w:p w14:paraId="35C5C92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（1）商务技术评审</w:t>
      </w:r>
    </w:p>
    <w:p w14:paraId="6767D9E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1）响应文件未按磋商文件要求签署、盖章；</w:t>
      </w:r>
    </w:p>
    <w:p w14:paraId="20FF1C8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 xml:space="preserve">2）委托代理人未能出具有效身份证明或者出具的身份证明与授权委托书中的信息不符； </w:t>
      </w:r>
    </w:p>
    <w:p w14:paraId="16DE323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D69E6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4）商务条款中标“▲”的条款发生负偏离的或者允许负偏离的条款数超过“供应商须知前附表”规定项数的或者标明实质性的要求发生负偏离；</w:t>
      </w:r>
    </w:p>
    <w:p w14:paraId="38E6956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5）未对竞标有效期作出响应或者响应文件承诺的竞标有效期不满足磋商文件要求；</w:t>
      </w:r>
    </w:p>
    <w:p w14:paraId="7619DCA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6）响应文件的实质性内容未使用中文表述、使用计量单位不符合磋商文件要求；</w:t>
      </w:r>
    </w:p>
    <w:p w14:paraId="2E0B564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7）响应文件中的文件资料因填写不齐全或者内容虚假或者出现其他情形而导致被磋商小组认定无效；</w:t>
      </w:r>
    </w:p>
    <w:p w14:paraId="36D37C4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8）响应文件含有采购人不能接受的附加条件；</w:t>
      </w:r>
    </w:p>
    <w:p w14:paraId="2B4F94D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9）属于“供应商须知正文”第7.5条情形；</w:t>
      </w:r>
    </w:p>
    <w:p w14:paraId="70D05197">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10）技术需求允许负偏离的条款数超过“供应商须知前附表”规定项数；</w:t>
      </w:r>
    </w:p>
    <w:p w14:paraId="7B67BA3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11）虚假竞标，或者出现其他情形而导致被磋商小组认定无效；</w:t>
      </w:r>
    </w:p>
    <w:p w14:paraId="3891415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12）竞标技术方案不明确，磋商文件未允许但响应文件中存在一个或者一个以上备选（替代）竞标方案；</w:t>
      </w:r>
    </w:p>
    <w:p w14:paraId="7C7DEA9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13）响应文件标注的项目名称或者项目编号与竞争性磋商文件标注的项目名称或者项目编号不一致的；</w:t>
      </w:r>
    </w:p>
    <w:p w14:paraId="4EB52FE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14）未响应磋商文件实质性要求；</w:t>
      </w:r>
    </w:p>
    <w:p w14:paraId="3C300FC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15）法律、法规和磋商文件规定的其他无效情形。</w:t>
      </w:r>
    </w:p>
    <w:p w14:paraId="225AB0C7">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（2）报价评审</w:t>
      </w:r>
    </w:p>
    <w:p w14:paraId="055F91B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 响应文件未提供“供应商须知前附表” 报价文件中规定的“响应报价表”；</w:t>
      </w:r>
    </w:p>
    <w:p w14:paraId="6B224F2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2）未采用人民币报价或者未按照磋商文件标明的币种报价；</w:t>
      </w:r>
    </w:p>
    <w:p w14:paraId="59398D7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FDDD3A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14:paraId="0FE2BE3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14:paraId="42B5EAC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6）响应文件响应的标的数量及单位与竞争性磋商采购文件要求实质性不一致的。</w:t>
      </w:r>
    </w:p>
    <w:p w14:paraId="1A043EF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45E2FA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6C1FB89">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4.磋商程序</w:t>
      </w:r>
    </w:p>
    <w:p w14:paraId="2956BC8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450E8F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7418F5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4.3对磋商文件作出的实质性变动是磋商文件的有效组成部分，由磋商小组及时以电子澄清函形式同时通知所有参加磋商的供应商。</w:t>
      </w:r>
    </w:p>
    <w:p w14:paraId="14751A2C">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D2CC49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4.5磋商中，磋商的任何一方不得透露与磋商有关的其他供应商的技术资料、价格和其他信息。</w:t>
      </w:r>
    </w:p>
    <w:p w14:paraId="73B2645A">
      <w:pPr>
        <w:widowControl/>
        <w:tabs>
          <w:tab w:val="left" w:pos="540"/>
        </w:tabs>
        <w:spacing w:line="360" w:lineRule="auto"/>
        <w:ind w:firstLine="480" w:firstLineChars="200"/>
        <w:jc w:val="left"/>
        <w:rPr>
          <w:rFonts w:ascii="宋体" w:hAnsi="宋体" w:cs="宋体"/>
          <w:b/>
          <w:color w:val="auto"/>
          <w:kern w:val="21"/>
          <w:sz w:val="24"/>
          <w:highlight w:val="none"/>
        </w:rPr>
      </w:pPr>
      <w:r>
        <w:rPr>
          <w:rFonts w:hint="eastAsia" w:ascii="宋体" w:hAnsi="宋体" w:cs="宋体"/>
          <w:color w:val="auto"/>
          <w:kern w:val="21"/>
          <w:sz w:val="24"/>
          <w:highlight w:val="none"/>
        </w:rPr>
        <w:t>4.6磋商小组应对磋商过程和重要磋商内容进行记录，作为评</w:t>
      </w:r>
      <w:r>
        <w:rPr>
          <w:rFonts w:hint="eastAsia" w:ascii="宋体" w:hAnsi="宋体" w:cs="宋体"/>
          <w:color w:val="auto"/>
          <w:kern w:val="21"/>
          <w:sz w:val="24"/>
          <w:highlight w:val="none"/>
          <w:lang w:val="en-US" w:eastAsia="zh-CN"/>
        </w:rPr>
        <w:t>审</w:t>
      </w:r>
      <w:r>
        <w:rPr>
          <w:rFonts w:hint="eastAsia" w:ascii="宋体" w:hAnsi="宋体" w:cs="宋体"/>
          <w:color w:val="auto"/>
          <w:kern w:val="21"/>
          <w:sz w:val="24"/>
          <w:highlight w:val="none"/>
        </w:rPr>
        <w:t>报告一部分，磋商小组在记录上签字确认。</w:t>
      </w:r>
      <w:r>
        <w:rPr>
          <w:rFonts w:hint="eastAsia" w:ascii="宋体" w:hAnsi="宋体" w:cs="宋体"/>
          <w:b/>
          <w:color w:val="auto"/>
          <w:kern w:val="21"/>
          <w:sz w:val="24"/>
          <w:highlight w:val="none"/>
        </w:rPr>
        <w:t>主要内容包括：</w:t>
      </w:r>
    </w:p>
    <w:p w14:paraId="028EEC8B">
      <w:pPr>
        <w:pStyle w:val="81"/>
        <w:adjustRightInd/>
        <w:spacing w:before="0"/>
        <w:ind w:firstLine="480"/>
        <w:rPr>
          <w:rFonts w:ascii="宋体" w:hAnsi="宋体" w:cs="宋体"/>
          <w:color w:val="auto"/>
          <w:kern w:val="21"/>
          <w:szCs w:val="24"/>
          <w:highlight w:val="none"/>
        </w:rPr>
      </w:pPr>
      <w:r>
        <w:rPr>
          <w:rFonts w:hint="eastAsia" w:ascii="宋体" w:hAnsi="宋体" w:cs="宋体"/>
          <w:color w:val="auto"/>
          <w:kern w:val="21"/>
          <w:szCs w:val="24"/>
          <w:highlight w:val="none"/>
        </w:rPr>
        <w:t>（1）按照相关规定进行公示的，公示情况说明；</w:t>
      </w:r>
    </w:p>
    <w:p w14:paraId="24A09C5B">
      <w:pPr>
        <w:pStyle w:val="81"/>
        <w:adjustRightInd/>
        <w:spacing w:before="0"/>
        <w:ind w:firstLine="480"/>
        <w:rPr>
          <w:rFonts w:ascii="宋体" w:hAnsi="宋体" w:cs="宋体"/>
          <w:color w:val="auto"/>
          <w:kern w:val="21"/>
          <w:szCs w:val="24"/>
          <w:highlight w:val="none"/>
        </w:rPr>
      </w:pPr>
      <w:r>
        <w:rPr>
          <w:rFonts w:hint="eastAsia" w:ascii="宋体" w:hAnsi="宋体" w:cs="宋体"/>
          <w:color w:val="auto"/>
          <w:kern w:val="21"/>
          <w:szCs w:val="24"/>
          <w:highlight w:val="none"/>
        </w:rPr>
        <w:t>（2）磋商日期和地点，磋商人员名单；</w:t>
      </w:r>
    </w:p>
    <w:p w14:paraId="1BACBC86">
      <w:pPr>
        <w:pStyle w:val="81"/>
        <w:adjustRightInd/>
        <w:spacing w:before="0"/>
        <w:ind w:firstLine="480"/>
        <w:rPr>
          <w:rFonts w:ascii="宋体" w:hAnsi="宋体" w:cs="宋体"/>
          <w:color w:val="auto"/>
          <w:kern w:val="21"/>
          <w:szCs w:val="24"/>
          <w:highlight w:val="none"/>
        </w:rPr>
      </w:pPr>
      <w:r>
        <w:rPr>
          <w:rFonts w:hint="eastAsia" w:ascii="宋体" w:hAnsi="宋体" w:cs="宋体"/>
          <w:color w:val="auto"/>
          <w:kern w:val="21"/>
          <w:szCs w:val="24"/>
          <w:highlight w:val="none"/>
        </w:rPr>
        <w:t>（3）合同主要条款及价格商定情况。</w:t>
      </w:r>
    </w:p>
    <w:p w14:paraId="295D7A34">
      <w:pPr>
        <w:widowControl/>
        <w:tabs>
          <w:tab w:val="left" w:pos="540"/>
        </w:tabs>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4.7磋商过程中重新提交的响应文件，供应商可以在开启前补充、修改。</w:t>
      </w:r>
    </w:p>
    <w:p w14:paraId="5488FF23">
      <w:pPr>
        <w:tabs>
          <w:tab w:val="left" w:pos="2835"/>
        </w:tabs>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4.8对磋商过程提交的响应文件进行有效性、完整性和响应程度审查，通过审查的合格供应商不足3家的，采购人或者采购代理机构应当重新开展采购活动。</w:t>
      </w:r>
    </w:p>
    <w:p w14:paraId="2C4961F9">
      <w:pPr>
        <w:spacing w:line="360" w:lineRule="auto"/>
        <w:ind w:firstLine="482" w:firstLineChars="200"/>
        <w:rPr>
          <w:rFonts w:ascii="宋体" w:hAnsi="宋体" w:cs="宋体"/>
          <w:color w:val="auto"/>
          <w:kern w:val="21"/>
          <w:sz w:val="24"/>
          <w:highlight w:val="none"/>
        </w:rPr>
      </w:pPr>
      <w:r>
        <w:rPr>
          <w:rFonts w:hint="eastAsia" w:ascii="宋体" w:hAnsi="宋体" w:cs="宋体"/>
          <w:b/>
          <w:bCs/>
          <w:color w:val="auto"/>
          <w:kern w:val="21"/>
          <w:sz w:val="24"/>
          <w:highlight w:val="none"/>
        </w:rPr>
        <w:t>5.最后报价</w:t>
      </w:r>
    </w:p>
    <w:p w14:paraId="31CF6427">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9888AB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远程不见面开标大厅响应最后报价。</w:t>
      </w:r>
    </w:p>
    <w:p w14:paraId="49134C7B">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37ADB5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5.4已经提交响应文件的供应商，在提交最后报价之前，可以根据磋商情况退出磋商，退出磋商的供应商的响应文件按无效响应处理。</w:t>
      </w:r>
    </w:p>
    <w:p w14:paraId="5887B23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5.5供应商未在规定时间内提交最后报价的，视同退出磋商。</w:t>
      </w:r>
    </w:p>
    <w:p w14:paraId="027F492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5.6磋商小组收齐某一分标最后报价后统一开启，磋商小组对最后报价进行有效性、完整性和响应程度的审查。</w:t>
      </w:r>
    </w:p>
    <w:p w14:paraId="56DC10B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 xml:space="preserve">5.7最终响应文件的报价出现前后不一致的，按照本章第3.4条的规定修正。 </w:t>
      </w:r>
    </w:p>
    <w:p w14:paraId="6F921AEE">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5.8修正后的最终报价出现下列情形的，按无效响应处理：</w:t>
      </w:r>
    </w:p>
    <w:p w14:paraId="3915895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（1）供应商不确认的（全流程电子化评标采取在线确认）；</w:t>
      </w:r>
    </w:p>
    <w:p w14:paraId="033CE89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（2）经供应商确认修正后的响应报价（包含首次报价、最后报价）超过所竞标分标规定的采购预算金额或者最高限价的（如本项目公布了最高限价）；</w:t>
      </w:r>
    </w:p>
    <w:p w14:paraId="181BD35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（3）经供应商确认修正后的响应报价（包含首次报价、最后报价）超过采购预算金额或者最高限价的（如本项目公布了最高限价）。</w:t>
      </w:r>
    </w:p>
    <w:p w14:paraId="5DCB0DE7">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5.9经供应商确认修正后的最后报价作为评审及签订合同的依据。</w:t>
      </w:r>
    </w:p>
    <w:p w14:paraId="58AE12A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5.10供应商出现最后报价按无效响应处理或者响应文件按无效处理时，磋商小组应当告知有关供应商。</w:t>
      </w:r>
    </w:p>
    <w:p w14:paraId="3142F00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5.11最后报价结束后，磋商小组不得再与供应商进行任何形式的商谈。</w:t>
      </w:r>
    </w:p>
    <w:p w14:paraId="432CD0D1">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6.比较与评价</w:t>
      </w:r>
    </w:p>
    <w:p w14:paraId="7B1F4C6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6.1评审方法：综合评分法。</w:t>
      </w:r>
    </w:p>
    <w:p w14:paraId="2363872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6.2经磋商确定最终采购需求和提交最后报价的供应商后，由磋商小组采用综合评分法对提交最后报价的供应商的响应文件和最后报价进行综合评分。</w:t>
      </w:r>
    </w:p>
    <w:p w14:paraId="058F8970">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6.3评审时，磋商小组各成员应当独立对每个有效响应的文件进行评价、打分，然后汇总每个供应商每项评分因素的得分。</w:t>
      </w:r>
    </w:p>
    <w:p w14:paraId="401380F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4EF207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（2）磋商小组按照磋商文件中规定的评审标准计算各供应商的报价得分。项目评审过程中，不得去掉最后报价中的最高报价和最低报价。</w:t>
      </w:r>
    </w:p>
    <w:p w14:paraId="3B572FB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（3）各供应商的得分为磋商小组所有成员的有效评分的算术平均数。</w:t>
      </w:r>
    </w:p>
    <w:p w14:paraId="0C55F7F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6.4评审价为供应商的最后报价进行政策性扣除后的价格，评审价只是作为评审时使用。最终成交供应商的成交金额等于最后报价（如有修正，以确认修正后的最后报价为准）。</w:t>
      </w:r>
    </w:p>
    <w:p w14:paraId="46A5A7EF">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6.5由磋商小组根据综合评分情况，按照评审得分由高到低顺序推荐3名以上成交候选供应商，并编写评审报告。符合本章第3.7条情形的，可以推荐2家成交候选供应商。评审得分相同的，按照最后报价由低到高的顺序推荐。评审得分且最后报价相同的，按照技术指标优劣顺序推荐。</w:t>
      </w:r>
    </w:p>
    <w:p w14:paraId="32B9C7B8">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851A7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6.7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D7FEADB">
      <w:pPr>
        <w:spacing w:line="360" w:lineRule="auto"/>
        <w:ind w:firstLine="482" w:firstLineChars="200"/>
        <w:rPr>
          <w:rFonts w:ascii="宋体" w:hAnsi="宋体" w:cs="宋体"/>
          <w:b/>
          <w:bCs/>
          <w:color w:val="auto"/>
          <w:kern w:val="21"/>
          <w:sz w:val="24"/>
          <w:highlight w:val="none"/>
        </w:rPr>
      </w:pPr>
      <w:r>
        <w:rPr>
          <w:rFonts w:hint="eastAsia" w:ascii="宋体" w:hAnsi="宋体" w:cs="宋体"/>
          <w:b/>
          <w:bCs/>
          <w:color w:val="auto"/>
          <w:kern w:val="21"/>
          <w:sz w:val="24"/>
          <w:highlight w:val="none"/>
        </w:rPr>
        <w:t>7.评审标准</w:t>
      </w:r>
    </w:p>
    <w:p w14:paraId="5194D01C">
      <w:pPr>
        <w:spacing w:line="360" w:lineRule="auto"/>
        <w:ind w:firstLine="480" w:firstLineChars="200"/>
        <w:rPr>
          <w:rFonts w:ascii="宋体" w:hAnsi="宋体" w:cs="宋体"/>
          <w:bCs/>
          <w:color w:val="auto"/>
          <w:kern w:val="21"/>
          <w:sz w:val="24"/>
          <w:highlight w:val="none"/>
        </w:rPr>
      </w:pPr>
      <w:r>
        <w:rPr>
          <w:rFonts w:hint="eastAsia" w:ascii="宋体" w:hAnsi="宋体" w:cs="宋体"/>
          <w:color w:val="auto"/>
          <w:kern w:val="21"/>
          <w:sz w:val="24"/>
          <w:highlight w:val="none"/>
        </w:rPr>
        <w:t>7.</w:t>
      </w:r>
      <w:r>
        <w:rPr>
          <w:rFonts w:hint="eastAsia" w:ascii="宋体" w:hAnsi="宋体" w:cs="宋体"/>
          <w:bCs/>
          <w:color w:val="auto"/>
          <w:kern w:val="21"/>
          <w:sz w:val="24"/>
          <w:highlight w:val="none"/>
        </w:rPr>
        <w:t>1评审依据：磋商小组将以磋商响应文件为评审依据，对供应商的报价、技术、商务等方面内容按百分制打分。（计分方法按四舍五入取至百分位）</w:t>
      </w:r>
    </w:p>
    <w:tbl>
      <w:tblPr>
        <w:tblStyle w:val="31"/>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62"/>
        <w:gridCol w:w="6255"/>
        <w:gridCol w:w="1071"/>
      </w:tblGrid>
      <w:tr w14:paraId="5A4D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3" w:type="pct"/>
            <w:noWrap w:val="0"/>
            <w:vAlign w:val="center"/>
          </w:tcPr>
          <w:p w14:paraId="4DF0002E">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序号</w:t>
            </w:r>
          </w:p>
        </w:tc>
        <w:tc>
          <w:tcPr>
            <w:tcW w:w="587" w:type="pct"/>
            <w:noWrap w:val="0"/>
            <w:vAlign w:val="center"/>
          </w:tcPr>
          <w:p w14:paraId="684AE9AF">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评分类型</w:t>
            </w:r>
          </w:p>
        </w:tc>
        <w:tc>
          <w:tcPr>
            <w:tcW w:w="3458" w:type="pct"/>
            <w:noWrap w:val="0"/>
            <w:vAlign w:val="center"/>
          </w:tcPr>
          <w:p w14:paraId="7B988418">
            <w:pPr>
              <w:pStyle w:val="1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评分标准</w:t>
            </w:r>
          </w:p>
        </w:tc>
        <w:tc>
          <w:tcPr>
            <w:tcW w:w="590" w:type="pct"/>
            <w:noWrap w:val="0"/>
            <w:vAlign w:val="center"/>
          </w:tcPr>
          <w:p w14:paraId="6889A380">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分值</w:t>
            </w:r>
          </w:p>
        </w:tc>
      </w:tr>
      <w:tr w14:paraId="7483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3" w:type="pct"/>
            <w:noWrap w:val="0"/>
            <w:vAlign w:val="center"/>
          </w:tcPr>
          <w:p w14:paraId="7D020926">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1</w:t>
            </w:r>
          </w:p>
        </w:tc>
        <w:tc>
          <w:tcPr>
            <w:tcW w:w="587" w:type="pct"/>
            <w:noWrap w:val="0"/>
            <w:vAlign w:val="center"/>
          </w:tcPr>
          <w:p w14:paraId="6886AFE0">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价格分</w:t>
            </w:r>
          </w:p>
        </w:tc>
        <w:tc>
          <w:tcPr>
            <w:tcW w:w="3458" w:type="pct"/>
            <w:noWrap w:val="0"/>
            <w:vAlign w:val="center"/>
          </w:tcPr>
          <w:p w14:paraId="7BC6CEA9">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（1）评审报价为磋商供应商的磋商报价进行政策性扣除后的价格，评审报价</w:t>
            </w:r>
            <w:r>
              <w:rPr>
                <w:rFonts w:hint="eastAsia" w:ascii="宋体" w:hAnsi="宋体" w:eastAsia="宋体" w:cs="宋体"/>
                <w:bCs/>
                <w:color w:val="auto"/>
                <w:kern w:val="21"/>
                <w:sz w:val="24"/>
                <w:szCs w:val="24"/>
                <w:highlight w:val="none"/>
                <w:lang w:eastAsia="zh-CN"/>
              </w:rPr>
              <w:t>只</w:t>
            </w:r>
            <w:r>
              <w:rPr>
                <w:rFonts w:hint="eastAsia" w:ascii="宋体" w:hAnsi="宋体" w:eastAsia="宋体" w:cs="宋体"/>
                <w:bCs/>
                <w:color w:val="auto"/>
                <w:kern w:val="21"/>
                <w:sz w:val="24"/>
                <w:szCs w:val="24"/>
                <w:highlight w:val="none"/>
              </w:rPr>
              <w:t>作为评审时使用。最终成交供应商的成交金额等于最后磋商报价。</w:t>
            </w:r>
          </w:p>
          <w:p w14:paraId="530753BE">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（2）按照《政府采购促进中小企业发展管理办法》（财库〔2020〕46号）的规定，磋商供应商在其响应文件中提供《中小企业声明函》，且其服务为小型和微型企业承接的，对其最后报价给予10%的扣除。</w:t>
            </w:r>
          </w:p>
          <w:p w14:paraId="6BA228BD">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C4C2B20">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9AA798F">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（5）政策性扣除计算方法。</w:t>
            </w:r>
          </w:p>
          <w:p w14:paraId="118CB7EB">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在服务采购项目中，服务由小微企业承接；对符合上述要求的磋商供应商的磋商报价给予10%的扣除，扣除后的价格为评审报价，即评审报价=磋商报价×（1-10%）。除上述情况外，评审报价=磋商总报价。</w:t>
            </w:r>
          </w:p>
          <w:p w14:paraId="0D32990B">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（6）满足采购文件要求且评审报价最低的评审报价为评审基准价，其价格分为满分。</w:t>
            </w:r>
          </w:p>
          <w:p w14:paraId="660E4FE9">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（7）价格分计算公式：</w:t>
            </w:r>
          </w:p>
          <w:p w14:paraId="77C26E15">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价格分=（评审基准价/评审报价）×</w:t>
            </w:r>
            <w:r>
              <w:rPr>
                <w:rFonts w:hint="eastAsia" w:ascii="宋体" w:hAnsi="宋体" w:eastAsia="宋体" w:cs="宋体"/>
                <w:bCs/>
                <w:color w:val="auto"/>
                <w:kern w:val="21"/>
                <w:sz w:val="24"/>
                <w:szCs w:val="24"/>
                <w:highlight w:val="none"/>
                <w:lang w:val="en-US" w:eastAsia="zh-CN"/>
              </w:rPr>
              <w:t>3</w:t>
            </w:r>
            <w:r>
              <w:rPr>
                <w:rFonts w:hint="eastAsia" w:ascii="宋体" w:hAnsi="宋体" w:eastAsia="宋体" w:cs="宋体"/>
                <w:bCs/>
                <w:color w:val="auto"/>
                <w:kern w:val="21"/>
                <w:sz w:val="24"/>
                <w:szCs w:val="24"/>
                <w:highlight w:val="none"/>
              </w:rPr>
              <w:t>0分</w:t>
            </w:r>
          </w:p>
        </w:tc>
        <w:tc>
          <w:tcPr>
            <w:tcW w:w="590" w:type="pct"/>
            <w:noWrap w:val="0"/>
            <w:vAlign w:val="center"/>
          </w:tcPr>
          <w:p w14:paraId="7EF9987F">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lang w:val="en-US" w:eastAsia="zh-CN"/>
              </w:rPr>
              <w:t>3</w:t>
            </w:r>
            <w:r>
              <w:rPr>
                <w:rFonts w:hint="eastAsia" w:ascii="宋体" w:hAnsi="宋体" w:eastAsia="宋体" w:cs="宋体"/>
                <w:bCs/>
                <w:color w:val="auto"/>
                <w:kern w:val="21"/>
                <w:sz w:val="24"/>
                <w:szCs w:val="24"/>
                <w:highlight w:val="none"/>
              </w:rPr>
              <w:t>0分</w:t>
            </w:r>
          </w:p>
        </w:tc>
      </w:tr>
      <w:tr w14:paraId="30AB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3" w:type="pct"/>
            <w:noWrap w:val="0"/>
            <w:vAlign w:val="center"/>
          </w:tcPr>
          <w:p w14:paraId="44BB492E">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2</w:t>
            </w:r>
          </w:p>
        </w:tc>
        <w:tc>
          <w:tcPr>
            <w:tcW w:w="587" w:type="pct"/>
            <w:noWrap w:val="0"/>
            <w:vAlign w:val="center"/>
          </w:tcPr>
          <w:p w14:paraId="66E95BFD">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技术分</w:t>
            </w:r>
          </w:p>
        </w:tc>
        <w:tc>
          <w:tcPr>
            <w:tcW w:w="3458" w:type="pct"/>
            <w:noWrap w:val="0"/>
            <w:vAlign w:val="center"/>
          </w:tcPr>
          <w:p w14:paraId="34E1DFCC">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一、服务方案（满分</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p w14:paraId="754E122E">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不提供或不满足一档要求的不得分。</w:t>
            </w:r>
          </w:p>
          <w:p w14:paraId="20C92BE9">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一档（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分）：供应商对项目总体服务需求理解一般，所提供的方案内容简单，内容逻辑性、条理性和针对性一般</w:t>
            </w:r>
            <w:r>
              <w:rPr>
                <w:rFonts w:hint="eastAsia" w:ascii="宋体" w:hAnsi="宋体" w:eastAsia="宋体" w:cs="宋体"/>
                <w:bCs/>
                <w:color w:val="auto"/>
                <w:sz w:val="24"/>
                <w:szCs w:val="24"/>
                <w:highlight w:val="none"/>
                <w:lang w:eastAsia="zh-CN"/>
              </w:rPr>
              <w:t>。</w:t>
            </w:r>
          </w:p>
          <w:p w14:paraId="1E2F4D45">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二档（</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在满足一档的基础上，供应商能够理解本项目的特点，所提供的方案内容基本齐全、可行，基本满足本项目的需求，对项目背景理解、目标理解、对项目重点、难点工作认知有一定的认识，对赛事系统有简单的介绍，项目方案设计较合理</w:t>
            </w:r>
            <w:r>
              <w:rPr>
                <w:rFonts w:hint="eastAsia" w:ascii="宋体" w:hAnsi="宋体" w:eastAsia="宋体" w:cs="宋体"/>
                <w:bCs/>
                <w:color w:val="auto"/>
                <w:sz w:val="24"/>
                <w:szCs w:val="24"/>
                <w:highlight w:val="none"/>
                <w:lang w:eastAsia="zh-CN"/>
              </w:rPr>
              <w:t>。</w:t>
            </w:r>
          </w:p>
          <w:p w14:paraId="32154F8E">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在满足二档的基础上，供应商能够较充分的考虑项目需求，所提供的方案内容完整，较好满足本项目的采购需求，对项目背景理解、目标理解、对项目重点、难点工作认知到位，对赛事系统有完整的介绍及展示，有赛事组织、赛事宣传、培训辅导、活动策划服务文案、赛后服务方案等项目所需的策划方案，项目方案设计较科学合理，项目策划理念具备可行性。</w:t>
            </w:r>
          </w:p>
          <w:p w14:paraId="1ADB14EA">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四档（</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在满足三档的基础上，供应商能够充分的考虑项目需求，所提供的方案内容详尽、条理清晰、严谨合理，完全符合本项目的采购需求，对项目背景理解、目标理解、对项目重点、难点工作认知到位，对赛事系统有详细的介绍及图文展示，有赛事组织、赛事宣传、培训辅导、活动策划服务文案（含大赛过程中领导讲话稿、评委发言稿、参赛代表发言稿、新闻通稿、领导接受采访问答稿、宣传视频脚本、活动创意画面设计稿）、赛后服务方案等项目所需的完整服务方案，项目方案设计科学合理，项目策划理念具备可行性，提供的方案具有科学性和创新性。</w:t>
            </w:r>
          </w:p>
          <w:p w14:paraId="1EF995D4">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二、实施方案分（满分</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分）</w:t>
            </w:r>
          </w:p>
          <w:p w14:paraId="2AC7FBCF">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不提供或不满足一档要求的不得分。</w:t>
            </w:r>
          </w:p>
          <w:p w14:paraId="36DC4CFA">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一档（</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分）：供应商仅能提供框架性的项目组织实施方案，不能保障本次大赛的顺利实施；供应商针对本项目提供实施人员10（含）-15（不含）人。</w:t>
            </w:r>
          </w:p>
          <w:p w14:paraId="00729EFB">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二档（</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分）：在满足一档的基础上，供应商项目组织架构比较健全、人员分工明确，可较好完成项目实施。基本保障本次大赛的顺利实施；供应商针对本项目提供实施人员15（含）-20（不含）人。</w:t>
            </w:r>
          </w:p>
          <w:p w14:paraId="5A6B43AA">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三档（</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在满足二档的基础上，供应商项目组织架构健全、人员分工明确，提供项目组织实施方案具体，有实施目标、项目质量保证措施方面的描述，能较好地完成项目实施。供应商针对本项目提供实施人员20（含）-25（不含）人，拟投入项目经理同时具有信息系统项目管理师证</w:t>
            </w:r>
            <w:r>
              <w:rPr>
                <w:rFonts w:hint="eastAsia" w:ascii="宋体" w:hAnsi="宋体" w:cs="宋体"/>
                <w:b w:val="0"/>
                <w:bCs w:val="0"/>
                <w:color w:val="auto"/>
                <w:sz w:val="24"/>
                <w:szCs w:val="24"/>
                <w:highlight w:val="none"/>
                <w:lang w:val="en-US" w:eastAsia="zh-CN"/>
              </w:rPr>
              <w:t>书</w:t>
            </w:r>
            <w:r>
              <w:rPr>
                <w:rFonts w:hint="eastAsia" w:ascii="宋体" w:hAnsi="宋体" w:eastAsia="宋体" w:cs="宋体"/>
                <w:b w:val="0"/>
                <w:bCs w:val="0"/>
                <w:color w:val="auto"/>
                <w:sz w:val="24"/>
                <w:szCs w:val="24"/>
                <w:highlight w:val="none"/>
              </w:rPr>
              <w:t>和中级及以上工程师（计算机类或电子信息技术类）职称证书的。</w:t>
            </w:r>
          </w:p>
          <w:p w14:paraId="179707E9">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四档（</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分）：在满足三档的基础上，供应商项目组织架构健全、人员分工明确，提供项目组织实施方案具体，有实施目标、实施计划、各阶段工作安排、项目质量保证措施等方面的详细描述，能很好地完成项目实施。供应商针对本项目提供实施人员25（含）人以上，拟投入项目经理同时具有信息系统项目管理师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信息安全高级工程师证书</w:t>
            </w:r>
            <w:r>
              <w:rPr>
                <w:rFonts w:hint="eastAsia" w:ascii="宋体" w:hAnsi="宋体" w:eastAsia="宋体" w:cs="宋体"/>
                <w:b w:val="0"/>
                <w:bCs w:val="0"/>
                <w:color w:val="auto"/>
                <w:sz w:val="24"/>
                <w:szCs w:val="24"/>
                <w:highlight w:val="none"/>
              </w:rPr>
              <w:t>和中级及以上工程师（计算机类或电子信息技术类）职称证书的。</w:t>
            </w:r>
          </w:p>
          <w:p w14:paraId="2634B516">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注：须提供服务团队人员明细表、相关资质证书及响应文件递交截止时间前半年内任意1个月供应商为其依法缴纳的有效社保证明或劳动合同复印件等证明材料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如社保由其他单位代缴的，还须提供相关人事管理</w:t>
            </w:r>
            <w:r>
              <w:rPr>
                <w:rFonts w:hint="eastAsia" w:ascii="宋体" w:hAnsi="宋体" w:eastAsia="宋体" w:cs="宋体"/>
                <w:b w:val="0"/>
                <w:bCs w:val="0"/>
                <w:color w:val="auto"/>
                <w:sz w:val="24"/>
                <w:szCs w:val="24"/>
                <w:highlight w:val="none"/>
                <w:lang w:val="en-US" w:eastAsia="zh-CN"/>
              </w:rPr>
              <w:t>证明</w:t>
            </w:r>
            <w:r>
              <w:rPr>
                <w:rFonts w:hint="eastAsia" w:ascii="宋体" w:hAnsi="宋体" w:eastAsia="宋体" w:cs="宋体"/>
                <w:b w:val="0"/>
                <w:bCs w:val="0"/>
                <w:color w:val="auto"/>
                <w:sz w:val="24"/>
                <w:szCs w:val="24"/>
                <w:highlight w:val="none"/>
              </w:rPr>
              <w:t>材料。以上材料须加盖供应商公章。</w:t>
            </w:r>
          </w:p>
          <w:p w14:paraId="12081BE4">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三、应急预案分（满分</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分）</w:t>
            </w:r>
          </w:p>
          <w:p w14:paraId="1B8293F9">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
                <w:color w:val="auto"/>
                <w:kern w:val="21"/>
                <w:sz w:val="24"/>
                <w:szCs w:val="24"/>
                <w:highlight w:val="none"/>
              </w:rPr>
              <w:t>不提供或不满足一档要求不得分。</w:t>
            </w:r>
          </w:p>
          <w:p w14:paraId="6E28569C">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lang w:eastAsia="zh-CN"/>
              </w:rPr>
            </w:pPr>
            <w:r>
              <w:rPr>
                <w:rFonts w:hint="eastAsia" w:ascii="宋体" w:hAnsi="宋体" w:eastAsia="宋体" w:cs="宋体"/>
                <w:bCs/>
                <w:color w:val="auto"/>
                <w:kern w:val="21"/>
                <w:sz w:val="24"/>
                <w:szCs w:val="24"/>
                <w:highlight w:val="none"/>
              </w:rPr>
              <w:t>一档（</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分）：供应商针对本项目赛事系统和赛事全过程服务的应急预案存在明显不足，无法有效识别和应对潜在风险，并缺乏应急处理措施。缺乏全面的风险评估机制，未提供应急预案的关键措施</w:t>
            </w:r>
            <w:r>
              <w:rPr>
                <w:rFonts w:hint="eastAsia" w:ascii="宋体" w:hAnsi="宋体" w:eastAsia="宋体" w:cs="宋体"/>
                <w:bCs/>
                <w:color w:val="auto"/>
                <w:kern w:val="21"/>
                <w:sz w:val="24"/>
                <w:szCs w:val="24"/>
                <w:highlight w:val="none"/>
                <w:lang w:eastAsia="zh-CN"/>
              </w:rPr>
              <w:t>。</w:t>
            </w:r>
          </w:p>
          <w:p w14:paraId="4A2496A3">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lang w:eastAsia="zh-CN"/>
              </w:rPr>
            </w:pPr>
            <w:r>
              <w:rPr>
                <w:rFonts w:hint="eastAsia" w:ascii="宋体" w:hAnsi="宋体" w:eastAsia="宋体" w:cs="宋体"/>
                <w:bCs/>
                <w:color w:val="auto"/>
                <w:kern w:val="21"/>
                <w:sz w:val="24"/>
                <w:szCs w:val="24"/>
                <w:highlight w:val="none"/>
              </w:rPr>
              <w:t>二档（</w:t>
            </w:r>
            <w:r>
              <w:rPr>
                <w:rFonts w:hint="eastAsia" w:ascii="宋体" w:hAnsi="宋体" w:eastAsia="宋体" w:cs="宋体"/>
                <w:bCs/>
                <w:color w:val="auto"/>
                <w:kern w:val="21"/>
                <w:sz w:val="24"/>
                <w:szCs w:val="24"/>
                <w:highlight w:val="none"/>
                <w:lang w:val="en-US" w:eastAsia="zh-CN"/>
              </w:rPr>
              <w:t>8</w:t>
            </w:r>
            <w:r>
              <w:rPr>
                <w:rFonts w:hint="eastAsia" w:ascii="宋体" w:hAnsi="宋体" w:eastAsia="宋体" w:cs="宋体"/>
                <w:bCs/>
                <w:color w:val="auto"/>
                <w:kern w:val="21"/>
                <w:sz w:val="24"/>
                <w:szCs w:val="24"/>
                <w:highlight w:val="none"/>
              </w:rPr>
              <w:t>分）：在满足一档的基础上，供应商针对本项目的应急预案基本满足项目需求，能够识别部分潜在风险，并提供基本的应急处理措施。风险评估机制较为完善，承诺发生应急事故能在6小时内到达现场并进行处理，提供大赛现场应急预案</w:t>
            </w:r>
            <w:r>
              <w:rPr>
                <w:rFonts w:hint="eastAsia" w:ascii="宋体" w:hAnsi="宋体" w:eastAsia="宋体" w:cs="宋体"/>
                <w:bCs/>
                <w:color w:val="auto"/>
                <w:kern w:val="21"/>
                <w:sz w:val="24"/>
                <w:szCs w:val="24"/>
                <w:highlight w:val="none"/>
                <w:lang w:eastAsia="zh-CN"/>
              </w:rPr>
              <w:t>。</w:t>
            </w:r>
          </w:p>
          <w:p w14:paraId="59001963">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lang w:eastAsia="zh-CN"/>
              </w:rPr>
            </w:pPr>
            <w:r>
              <w:rPr>
                <w:rFonts w:hint="eastAsia" w:ascii="宋体" w:hAnsi="宋体" w:eastAsia="宋体" w:cs="宋体"/>
                <w:bCs/>
                <w:color w:val="auto"/>
                <w:kern w:val="21"/>
                <w:sz w:val="24"/>
                <w:szCs w:val="24"/>
                <w:highlight w:val="none"/>
              </w:rPr>
              <w:t>三档（</w:t>
            </w:r>
            <w:r>
              <w:rPr>
                <w:rFonts w:hint="eastAsia" w:ascii="宋体" w:hAnsi="宋体" w:eastAsia="宋体" w:cs="宋体"/>
                <w:bCs/>
                <w:color w:val="auto"/>
                <w:kern w:val="21"/>
                <w:sz w:val="24"/>
                <w:szCs w:val="24"/>
                <w:highlight w:val="none"/>
                <w:lang w:val="en-US" w:eastAsia="zh-CN"/>
              </w:rPr>
              <w:t>12</w:t>
            </w:r>
            <w:r>
              <w:rPr>
                <w:rFonts w:hint="eastAsia" w:ascii="宋体" w:hAnsi="宋体" w:eastAsia="宋体" w:cs="宋体"/>
                <w:bCs/>
                <w:color w:val="auto"/>
                <w:kern w:val="21"/>
                <w:sz w:val="24"/>
                <w:szCs w:val="24"/>
                <w:highlight w:val="none"/>
              </w:rPr>
              <w:t>分）：在满足二档的基础上，供应商针对本项目的应急预案满足项目需求，能够识别和评估潜在风险，并提供有效的应急处理措施。基本保证项目能够及时应对紧急情况，承诺发生应急事故能在4小时内到达现场并进行处理，提供大赛现场应急预案</w:t>
            </w:r>
            <w:r>
              <w:rPr>
                <w:rFonts w:hint="eastAsia" w:ascii="宋体" w:hAnsi="宋体" w:eastAsia="宋体" w:cs="宋体"/>
                <w:bCs/>
                <w:color w:val="auto"/>
                <w:kern w:val="21"/>
                <w:sz w:val="24"/>
                <w:szCs w:val="24"/>
                <w:highlight w:val="none"/>
                <w:lang w:eastAsia="zh-CN"/>
              </w:rPr>
              <w:t>。</w:t>
            </w:r>
          </w:p>
          <w:p w14:paraId="0EFBEE77">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四档（</w:t>
            </w:r>
            <w:r>
              <w:rPr>
                <w:rFonts w:hint="eastAsia" w:ascii="宋体" w:hAnsi="宋体" w:eastAsia="宋体" w:cs="宋体"/>
                <w:bCs/>
                <w:color w:val="auto"/>
                <w:kern w:val="21"/>
                <w:sz w:val="24"/>
                <w:szCs w:val="24"/>
                <w:highlight w:val="none"/>
                <w:lang w:val="en-US" w:eastAsia="zh-CN"/>
              </w:rPr>
              <w:t>14</w:t>
            </w:r>
            <w:r>
              <w:rPr>
                <w:rFonts w:hint="eastAsia" w:ascii="宋体" w:hAnsi="宋体" w:eastAsia="宋体" w:cs="宋体"/>
                <w:bCs/>
                <w:color w:val="auto"/>
                <w:kern w:val="21"/>
                <w:sz w:val="24"/>
                <w:szCs w:val="24"/>
                <w:highlight w:val="none"/>
              </w:rPr>
              <w:t>分）：在满足三档的基础上，供应商针对本项目的应急预案完全满足项目需求。风险评估机制完善，包括风险识别、风险分析和风险管理。能够全面识别和评估潜在风险，并提供有效的应急处理措施，应急预案提供了详尽的关键要点和执行计划，确保项目能够及时应对紧急情况，承诺发生应急事故能在2小时内到达现场并进行处理，提供大赛现场应急预案和大赛现场应急保障措施。</w:t>
            </w:r>
          </w:p>
        </w:tc>
        <w:tc>
          <w:tcPr>
            <w:tcW w:w="590" w:type="pct"/>
            <w:noWrap w:val="0"/>
            <w:vAlign w:val="center"/>
          </w:tcPr>
          <w:p w14:paraId="27233300">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1"/>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14:paraId="6CC5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3" w:type="pct"/>
            <w:noWrap w:val="0"/>
            <w:vAlign w:val="center"/>
          </w:tcPr>
          <w:p w14:paraId="7FDCFB16">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3</w:t>
            </w:r>
          </w:p>
        </w:tc>
        <w:tc>
          <w:tcPr>
            <w:tcW w:w="587" w:type="pct"/>
            <w:noWrap w:val="0"/>
            <w:vAlign w:val="center"/>
          </w:tcPr>
          <w:p w14:paraId="5FA7A2F9">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商务分</w:t>
            </w:r>
          </w:p>
        </w:tc>
        <w:tc>
          <w:tcPr>
            <w:tcW w:w="3458" w:type="pct"/>
            <w:noWrap w:val="0"/>
            <w:vAlign w:val="center"/>
          </w:tcPr>
          <w:p w14:paraId="148BD6AA">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一、信誉实力（满分</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分）</w:t>
            </w:r>
          </w:p>
          <w:p w14:paraId="062F205A">
            <w:pPr>
              <w:pStyle w:val="18"/>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（1）供应商或其总公司具备培训管理体系认证证书的得</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分，满分</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w:t>
            </w:r>
          </w:p>
          <w:p w14:paraId="724D1136">
            <w:pPr>
              <w:pStyle w:val="18"/>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（2）供应商或其总公司具履约能力评价服务认证证书的得</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分，满分</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w:t>
            </w:r>
          </w:p>
          <w:p w14:paraId="323C549E">
            <w:pPr>
              <w:pStyle w:val="18"/>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（3）供应商或其总公司具备数据存储安全管理体系认证证书的得</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分，满分4分。</w:t>
            </w:r>
          </w:p>
          <w:p w14:paraId="131C6799">
            <w:pPr>
              <w:pStyle w:val="18"/>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（4）供应商或其总公司具备软件服务商交付能力证书的，一级的得</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rPr>
              <w:t>二级的得</w:t>
            </w:r>
            <w:r>
              <w:rPr>
                <w:rFonts w:hint="eastAsia" w:ascii="宋体" w:hAnsi="宋体" w:eastAsia="宋体" w:cs="宋体"/>
                <w:bCs/>
                <w:color w:val="auto"/>
                <w:kern w:val="21"/>
                <w:sz w:val="24"/>
                <w:szCs w:val="24"/>
                <w:highlight w:val="none"/>
                <w:lang w:val="en-US" w:eastAsia="zh-CN"/>
              </w:rPr>
              <w:t>2</w:t>
            </w:r>
            <w:r>
              <w:rPr>
                <w:rFonts w:hint="eastAsia" w:ascii="宋体" w:hAnsi="宋体" w:eastAsia="宋体" w:cs="宋体"/>
                <w:bCs/>
                <w:color w:val="auto"/>
                <w:kern w:val="21"/>
                <w:sz w:val="24"/>
                <w:szCs w:val="24"/>
                <w:highlight w:val="none"/>
              </w:rPr>
              <w:t>分</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rPr>
              <w:t>三级及以下的得</w:t>
            </w:r>
            <w:r>
              <w:rPr>
                <w:rFonts w:hint="eastAsia" w:ascii="宋体" w:hAnsi="宋体" w:eastAsia="宋体" w:cs="宋体"/>
                <w:bCs/>
                <w:color w:val="auto"/>
                <w:kern w:val="21"/>
                <w:sz w:val="24"/>
                <w:szCs w:val="24"/>
                <w:highlight w:val="none"/>
                <w:lang w:val="en-US" w:eastAsia="zh-CN"/>
              </w:rPr>
              <w:t>1</w:t>
            </w:r>
            <w:r>
              <w:rPr>
                <w:rFonts w:hint="eastAsia" w:ascii="宋体" w:hAnsi="宋体" w:eastAsia="宋体" w:cs="宋体"/>
                <w:bCs/>
                <w:color w:val="auto"/>
                <w:kern w:val="21"/>
                <w:sz w:val="24"/>
                <w:szCs w:val="24"/>
                <w:highlight w:val="none"/>
              </w:rPr>
              <w:t>分</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此项</w:t>
            </w:r>
            <w:r>
              <w:rPr>
                <w:rFonts w:hint="eastAsia" w:ascii="宋体" w:hAnsi="宋体" w:eastAsia="宋体" w:cs="宋体"/>
                <w:bCs/>
                <w:color w:val="auto"/>
                <w:kern w:val="21"/>
                <w:sz w:val="24"/>
                <w:szCs w:val="24"/>
                <w:highlight w:val="none"/>
              </w:rPr>
              <w:t>满分</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w:t>
            </w:r>
          </w:p>
          <w:p w14:paraId="45C3CBCD">
            <w:pPr>
              <w:pStyle w:val="18"/>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注：须提供有效期内的证书复印件并加盖供应商公章，否则不予计分。</w:t>
            </w:r>
          </w:p>
          <w:p w14:paraId="5AB9E4BD">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二、业绩（满分</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p w14:paraId="16437ED6">
            <w:pPr>
              <w:pStyle w:val="18"/>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rPr>
              <w:t>供应商自202</w:t>
            </w:r>
            <w:r>
              <w:rPr>
                <w:rFonts w:hint="eastAsia" w:ascii="宋体" w:hAnsi="宋体" w:eastAsia="宋体" w:cs="宋体"/>
                <w:bCs/>
                <w:color w:val="auto"/>
                <w:kern w:val="21"/>
                <w:sz w:val="24"/>
                <w:szCs w:val="24"/>
                <w:highlight w:val="none"/>
                <w:lang w:val="en-US" w:eastAsia="zh-CN"/>
              </w:rPr>
              <w:t>3</w:t>
            </w:r>
            <w:r>
              <w:rPr>
                <w:rFonts w:hint="eastAsia" w:ascii="宋体" w:hAnsi="宋体" w:eastAsia="宋体" w:cs="宋体"/>
                <w:bCs/>
                <w:color w:val="auto"/>
                <w:kern w:val="21"/>
                <w:sz w:val="24"/>
                <w:szCs w:val="24"/>
                <w:highlight w:val="none"/>
              </w:rPr>
              <w:t>年</w:t>
            </w:r>
            <w:r>
              <w:rPr>
                <w:rFonts w:hint="eastAsia" w:ascii="宋体" w:hAnsi="宋体" w:eastAsia="宋体" w:cs="宋体"/>
                <w:bCs/>
                <w:color w:val="auto"/>
                <w:kern w:val="21"/>
                <w:sz w:val="24"/>
                <w:szCs w:val="24"/>
                <w:highlight w:val="none"/>
                <w:lang w:val="en-US" w:eastAsia="zh-CN"/>
              </w:rPr>
              <w:t>7</w:t>
            </w:r>
            <w:r>
              <w:rPr>
                <w:rFonts w:hint="eastAsia" w:ascii="宋体" w:hAnsi="宋体" w:eastAsia="宋体" w:cs="宋体"/>
                <w:bCs/>
                <w:color w:val="auto"/>
                <w:kern w:val="21"/>
                <w:sz w:val="24"/>
                <w:szCs w:val="24"/>
                <w:highlight w:val="none"/>
              </w:rPr>
              <w:t>月以来（以合同签订时间为准）的类似合同业绩，每提供一个得</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分，最高</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分。</w:t>
            </w:r>
          </w:p>
          <w:p w14:paraId="2F6CD012">
            <w:pPr>
              <w:pStyle w:val="18"/>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1"/>
                <w:sz w:val="24"/>
                <w:szCs w:val="24"/>
                <w:highlight w:val="none"/>
              </w:rPr>
              <w:t>注：需提供合同证明材料，包括但不限于合同首页、合同金额页、签字盖章页、内容页的复印件并加盖供应商公章，以上材料缺少任意一项视为未提供。提供材料不清晰、缺项或无法辨认的视为未提供，不计分。</w:t>
            </w:r>
          </w:p>
        </w:tc>
        <w:tc>
          <w:tcPr>
            <w:tcW w:w="590" w:type="pct"/>
            <w:noWrap w:val="0"/>
            <w:vAlign w:val="center"/>
          </w:tcPr>
          <w:p w14:paraId="250F97EC">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1"/>
                <w:sz w:val="24"/>
                <w:szCs w:val="24"/>
                <w:highlight w:val="none"/>
              </w:rPr>
            </w:pPr>
            <w:r>
              <w:rPr>
                <w:rFonts w:hint="eastAsia" w:ascii="宋体" w:hAnsi="宋体" w:eastAsia="宋体" w:cs="宋体"/>
                <w:bCs/>
                <w:color w:val="auto"/>
                <w:kern w:val="21"/>
                <w:sz w:val="24"/>
                <w:szCs w:val="24"/>
                <w:highlight w:val="none"/>
                <w:lang w:val="en-US" w:eastAsia="zh-CN"/>
              </w:rPr>
              <w:t>20</w:t>
            </w:r>
            <w:r>
              <w:rPr>
                <w:rFonts w:hint="eastAsia" w:ascii="宋体" w:hAnsi="宋体" w:eastAsia="宋体" w:cs="宋体"/>
                <w:bCs/>
                <w:color w:val="auto"/>
                <w:kern w:val="21"/>
                <w:sz w:val="24"/>
                <w:szCs w:val="24"/>
                <w:highlight w:val="none"/>
              </w:rPr>
              <w:t>分</w:t>
            </w:r>
          </w:p>
        </w:tc>
      </w:tr>
      <w:tr w14:paraId="3C98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7DD20940">
            <w:pPr>
              <w:pStyle w:val="18"/>
              <w:keepNext w:val="0"/>
              <w:keepLines w:val="0"/>
              <w:pageBreakBefore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Cs/>
                <w:color w:val="auto"/>
                <w:kern w:val="21"/>
                <w:sz w:val="24"/>
                <w:szCs w:val="24"/>
                <w:highlight w:val="none"/>
              </w:rPr>
            </w:pPr>
            <w:r>
              <w:rPr>
                <w:rFonts w:hint="eastAsia" w:ascii="宋体" w:hAnsi="宋体" w:eastAsia="宋体" w:cs="宋体"/>
                <w:b/>
                <w:bCs/>
                <w:color w:val="auto"/>
                <w:kern w:val="21"/>
                <w:sz w:val="24"/>
                <w:szCs w:val="24"/>
                <w:highlight w:val="none"/>
              </w:rPr>
              <w:t>总得分=1+2+3。</w:t>
            </w:r>
          </w:p>
        </w:tc>
      </w:tr>
    </w:tbl>
    <w:p w14:paraId="5E12664B">
      <w:pPr>
        <w:spacing w:line="420" w:lineRule="exact"/>
        <w:ind w:firstLine="480" w:firstLineChars="200"/>
        <w:rPr>
          <w:rFonts w:ascii="宋体" w:hAnsi="宋体" w:cs="宋体"/>
          <w:color w:val="auto"/>
          <w:kern w:val="21"/>
          <w:sz w:val="24"/>
          <w:highlight w:val="none"/>
        </w:rPr>
      </w:pPr>
      <w:bookmarkStart w:id="67" w:name="_Toc80205935"/>
      <w:r>
        <w:rPr>
          <w:rFonts w:hint="eastAsia" w:ascii="宋体" w:hAnsi="宋体" w:cs="宋体"/>
          <w:color w:val="auto"/>
          <w:kern w:val="21"/>
          <w:sz w:val="24"/>
          <w:highlight w:val="none"/>
        </w:rPr>
        <w:t>7.2 商务技术评审因素为客观评分项的，应在评分项目或评分标准中予以标注为“客观分”。对供应商的客观评分项目，各评审专家评分应当一致。</w:t>
      </w:r>
    </w:p>
    <w:p w14:paraId="1DBE2C5B">
      <w:pPr>
        <w:spacing w:line="420" w:lineRule="exact"/>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7.3终止竞争性磋商采购活动</w:t>
      </w:r>
    </w:p>
    <w:p w14:paraId="05E21179">
      <w:pPr>
        <w:spacing w:line="420" w:lineRule="exact"/>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FF04DAF">
      <w:pPr>
        <w:pStyle w:val="4"/>
        <w:spacing w:before="0" w:after="0" w:line="360" w:lineRule="auto"/>
        <w:ind w:firstLine="643" w:firstLineChars="200"/>
        <w:jc w:val="center"/>
        <w:rPr>
          <w:rFonts w:ascii="宋体" w:hAnsi="宋体" w:cs="宋体"/>
          <w:bCs w:val="0"/>
          <w:color w:val="auto"/>
          <w:kern w:val="21"/>
          <w:highlight w:val="none"/>
        </w:rPr>
      </w:pPr>
      <w:bookmarkStart w:id="68" w:name="_Toc28989"/>
      <w:r>
        <w:rPr>
          <w:rFonts w:hint="eastAsia" w:ascii="宋体" w:hAnsi="宋体" w:cs="宋体"/>
          <w:bCs w:val="0"/>
          <w:color w:val="auto"/>
          <w:kern w:val="21"/>
          <w:highlight w:val="none"/>
        </w:rPr>
        <w:br w:type="page"/>
      </w:r>
      <w:bookmarkStart w:id="69" w:name="_Toc4847"/>
      <w:r>
        <w:rPr>
          <w:rFonts w:hint="eastAsia" w:ascii="宋体" w:hAnsi="宋体" w:cs="宋体"/>
          <w:bCs w:val="0"/>
          <w:color w:val="auto"/>
          <w:kern w:val="21"/>
          <w:highlight w:val="none"/>
        </w:rPr>
        <w:t>第二节 评</w:t>
      </w:r>
      <w:r>
        <w:rPr>
          <w:rFonts w:hint="eastAsia" w:ascii="宋体" w:hAnsi="宋体" w:cs="宋体"/>
          <w:bCs w:val="0"/>
          <w:color w:val="auto"/>
          <w:kern w:val="21"/>
          <w:highlight w:val="none"/>
          <w:lang w:val="en-US" w:eastAsia="zh-CN"/>
        </w:rPr>
        <w:t>审</w:t>
      </w:r>
      <w:r>
        <w:rPr>
          <w:rFonts w:hint="eastAsia" w:ascii="宋体" w:hAnsi="宋体" w:cs="宋体"/>
          <w:bCs w:val="0"/>
          <w:color w:val="auto"/>
          <w:kern w:val="21"/>
          <w:highlight w:val="none"/>
        </w:rPr>
        <w:t>报告</w:t>
      </w:r>
      <w:bookmarkEnd w:id="67"/>
      <w:bookmarkEnd w:id="68"/>
      <w:bookmarkEnd w:id="69"/>
    </w:p>
    <w:p w14:paraId="5CA4FC5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1.成交标准</w:t>
      </w:r>
    </w:p>
    <w:p w14:paraId="6EB14E55">
      <w:pPr>
        <w:spacing w:line="360" w:lineRule="auto"/>
        <w:ind w:firstLine="480" w:firstLineChars="200"/>
        <w:rPr>
          <w:rFonts w:ascii="宋体" w:hAnsi="宋体" w:cs="宋体"/>
          <w:color w:val="auto"/>
          <w:kern w:val="21"/>
          <w:sz w:val="24"/>
          <w:highlight w:val="none"/>
        </w:rPr>
      </w:pPr>
      <w:r>
        <w:rPr>
          <w:rFonts w:hint="eastAsia" w:ascii="宋体" w:hAnsi="宋体" w:cs="宋体"/>
          <w:bCs/>
          <w:color w:val="auto"/>
          <w:kern w:val="21"/>
          <w:sz w:val="24"/>
          <w:highlight w:val="none"/>
        </w:rPr>
        <w:t>由磋商小组根据综合评分情况，按照评审得分由高到低顺序推荐3名以上成交候选供应商，</w:t>
      </w:r>
      <w:r>
        <w:rPr>
          <w:rFonts w:hint="eastAsia" w:ascii="宋体" w:hAnsi="宋体" w:cs="宋体"/>
          <w:color w:val="auto"/>
          <w:kern w:val="21"/>
          <w:sz w:val="24"/>
          <w:highlight w:val="none"/>
        </w:rPr>
        <w:t>并在线编写电子评审报告</w:t>
      </w:r>
      <w:r>
        <w:rPr>
          <w:rFonts w:hint="eastAsia" w:ascii="宋体" w:hAnsi="宋体" w:cs="宋体"/>
          <w:bCs/>
          <w:color w:val="auto"/>
          <w:kern w:val="21"/>
          <w:sz w:val="24"/>
          <w:highlight w:val="none"/>
        </w:rPr>
        <w:t>。符合本章第一节第5.3条情形的，可以推荐2家成交候选供应商。评审得分相同的，按照最后报价（不计算价格折扣）由低到高的顺序推荐。评审得分且最后报价（不计算价格折扣）相同的，依次按带“▲”的实质性要求正偏离项数多的优先、均无正偏离或者正偏离项数一致时负偏离项数少的优先、质量保证期长优先、交货期短优先、故障响应时间短优先的顺序排列。</w:t>
      </w:r>
    </w:p>
    <w:p w14:paraId="0B381239">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2.评</w:t>
      </w:r>
      <w:r>
        <w:rPr>
          <w:rFonts w:hint="eastAsia" w:ascii="宋体" w:hAnsi="宋体" w:cs="宋体"/>
          <w:color w:val="auto"/>
          <w:kern w:val="21"/>
          <w:sz w:val="24"/>
          <w:highlight w:val="none"/>
          <w:lang w:val="en-US" w:eastAsia="zh-CN"/>
        </w:rPr>
        <w:t>审</w:t>
      </w:r>
      <w:r>
        <w:rPr>
          <w:rFonts w:hint="eastAsia" w:ascii="宋体" w:hAnsi="宋体" w:cs="宋体"/>
          <w:color w:val="auto"/>
          <w:kern w:val="21"/>
          <w:sz w:val="24"/>
          <w:highlight w:val="none"/>
        </w:rPr>
        <w:t>争议事项处理</w:t>
      </w:r>
    </w:p>
    <w:p w14:paraId="5E0F831B">
      <w:pPr>
        <w:pStyle w:val="81"/>
        <w:adjustRightInd/>
        <w:spacing w:before="0"/>
        <w:ind w:firstLine="480"/>
        <w:rPr>
          <w:rFonts w:ascii="宋体" w:hAnsi="宋体" w:cs="宋体"/>
          <w:color w:val="auto"/>
          <w:kern w:val="21"/>
          <w:szCs w:val="24"/>
          <w:highlight w:val="none"/>
        </w:rPr>
      </w:pPr>
      <w:r>
        <w:rPr>
          <w:rFonts w:hint="eastAsia" w:ascii="宋体" w:hAnsi="宋体" w:cs="宋体"/>
          <w:color w:val="auto"/>
          <w:kern w:val="21"/>
          <w:szCs w:val="24"/>
          <w:highlight w:val="none"/>
        </w:rPr>
        <w:t>磋商小组成员对需要共同认定的事项存在争议的，应当按照少数服从多数的原则作出结论。持不同意见的磋商小组成员应当在评</w:t>
      </w:r>
      <w:r>
        <w:rPr>
          <w:rFonts w:hint="eastAsia" w:ascii="宋体" w:hAnsi="宋体" w:cs="宋体"/>
          <w:color w:val="auto"/>
          <w:kern w:val="21"/>
          <w:szCs w:val="24"/>
          <w:highlight w:val="none"/>
          <w:lang w:val="en-US" w:eastAsia="zh-CN"/>
        </w:rPr>
        <w:t>审</w:t>
      </w:r>
      <w:r>
        <w:rPr>
          <w:rFonts w:hint="eastAsia" w:ascii="宋体" w:hAnsi="宋体" w:cs="宋体"/>
          <w:color w:val="auto"/>
          <w:kern w:val="21"/>
          <w:szCs w:val="24"/>
          <w:highlight w:val="none"/>
        </w:rPr>
        <w:t>报告上签署不同意见及理由，否则视为同意评</w:t>
      </w:r>
      <w:r>
        <w:rPr>
          <w:rFonts w:hint="eastAsia" w:ascii="宋体" w:hAnsi="宋体" w:cs="宋体"/>
          <w:color w:val="auto"/>
          <w:kern w:val="21"/>
          <w:szCs w:val="24"/>
          <w:highlight w:val="none"/>
          <w:lang w:val="en-US" w:eastAsia="zh-CN"/>
        </w:rPr>
        <w:t>审</w:t>
      </w:r>
      <w:r>
        <w:rPr>
          <w:rFonts w:hint="eastAsia" w:ascii="宋体" w:hAnsi="宋体" w:cs="宋体"/>
          <w:color w:val="auto"/>
          <w:kern w:val="21"/>
          <w:szCs w:val="24"/>
          <w:highlight w:val="none"/>
        </w:rPr>
        <w:t>报告。</w:t>
      </w:r>
    </w:p>
    <w:p w14:paraId="34F685AC">
      <w:pPr>
        <w:pStyle w:val="81"/>
        <w:spacing w:before="0"/>
        <w:ind w:firstLine="420"/>
        <w:rPr>
          <w:rFonts w:ascii="宋体" w:hAnsi="宋体" w:cs="宋体"/>
          <w:color w:val="auto"/>
          <w:kern w:val="21"/>
          <w:sz w:val="21"/>
          <w:szCs w:val="24"/>
          <w:highlight w:val="none"/>
        </w:rPr>
      </w:pPr>
    </w:p>
    <w:p w14:paraId="4B06209F">
      <w:pPr>
        <w:pStyle w:val="4"/>
        <w:spacing w:before="0" w:after="0" w:line="360" w:lineRule="auto"/>
        <w:ind w:firstLine="643" w:firstLineChars="200"/>
        <w:jc w:val="center"/>
        <w:rPr>
          <w:rFonts w:ascii="宋体" w:hAnsi="宋体" w:cs="宋体"/>
          <w:bCs w:val="0"/>
          <w:color w:val="auto"/>
          <w:kern w:val="21"/>
          <w:highlight w:val="none"/>
        </w:rPr>
      </w:pPr>
      <w:bookmarkStart w:id="70" w:name="_Toc2526"/>
      <w:bookmarkStart w:id="71" w:name="_Toc25024"/>
      <w:bookmarkStart w:id="72" w:name="_Toc80205936"/>
      <w:r>
        <w:rPr>
          <w:rFonts w:hint="eastAsia" w:ascii="宋体" w:hAnsi="宋体" w:cs="宋体"/>
          <w:bCs w:val="0"/>
          <w:color w:val="auto"/>
          <w:kern w:val="21"/>
          <w:highlight w:val="none"/>
        </w:rPr>
        <w:t>第三节 评审过程的保密与录像</w:t>
      </w:r>
      <w:bookmarkEnd w:id="70"/>
      <w:bookmarkEnd w:id="71"/>
      <w:bookmarkEnd w:id="72"/>
    </w:p>
    <w:p w14:paraId="6D76B2B2">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1.保密。</w:t>
      </w:r>
    </w:p>
    <w:p w14:paraId="0448C4AF">
      <w:pPr>
        <w:widowControl/>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F1E7ECD">
      <w:pPr>
        <w:widowControl/>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2.录音录像。</w:t>
      </w:r>
    </w:p>
    <w:p w14:paraId="0D97FCF6">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采购代理机构对评审工作现场及操作屏幕进行全过程录音录像，录音录像资料作为采购项目文件随其他文件一并存档。</w:t>
      </w:r>
    </w:p>
    <w:p w14:paraId="140368BF">
      <w:pPr>
        <w:keepNext/>
        <w:keepLines/>
        <w:spacing w:line="416" w:lineRule="auto"/>
        <w:jc w:val="center"/>
        <w:rPr>
          <w:rFonts w:ascii="宋体" w:hAnsi="宋体" w:cs="宋体"/>
          <w:color w:val="auto"/>
          <w:kern w:val="21"/>
          <w:highlight w:val="none"/>
        </w:rPr>
      </w:pPr>
      <w:r>
        <w:rPr>
          <w:rFonts w:hint="eastAsia" w:ascii="宋体" w:hAnsi="宋体" w:cs="宋体"/>
          <w:color w:val="auto"/>
          <w:kern w:val="21"/>
          <w:highlight w:val="none"/>
        </w:rPr>
        <w:br w:type="page"/>
      </w:r>
    </w:p>
    <w:p w14:paraId="5F6659A7">
      <w:pPr>
        <w:keepNext/>
        <w:keepLines/>
        <w:spacing w:line="416" w:lineRule="auto"/>
        <w:jc w:val="center"/>
        <w:rPr>
          <w:rFonts w:ascii="宋体" w:hAnsi="宋体" w:cs="宋体"/>
          <w:color w:val="auto"/>
          <w:kern w:val="21"/>
          <w:highlight w:val="none"/>
        </w:rPr>
      </w:pPr>
    </w:p>
    <w:p w14:paraId="544B3CE5">
      <w:pPr>
        <w:keepNext/>
        <w:keepLines/>
        <w:spacing w:line="416" w:lineRule="auto"/>
        <w:jc w:val="center"/>
        <w:rPr>
          <w:rFonts w:ascii="宋体" w:hAnsi="宋体" w:cs="宋体"/>
          <w:color w:val="auto"/>
          <w:kern w:val="21"/>
          <w:highlight w:val="none"/>
        </w:rPr>
      </w:pPr>
    </w:p>
    <w:p w14:paraId="6CE79B2B">
      <w:pPr>
        <w:keepNext/>
        <w:keepLines/>
        <w:spacing w:line="416" w:lineRule="auto"/>
        <w:jc w:val="center"/>
        <w:rPr>
          <w:rFonts w:ascii="宋体" w:hAnsi="宋体" w:cs="宋体"/>
          <w:color w:val="auto"/>
          <w:kern w:val="21"/>
          <w:highlight w:val="none"/>
        </w:rPr>
      </w:pPr>
    </w:p>
    <w:p w14:paraId="6C138504">
      <w:pPr>
        <w:keepNext/>
        <w:keepLines/>
        <w:spacing w:line="416" w:lineRule="auto"/>
        <w:jc w:val="center"/>
        <w:rPr>
          <w:rFonts w:ascii="宋体" w:hAnsi="宋体" w:cs="宋体"/>
          <w:color w:val="auto"/>
          <w:kern w:val="21"/>
          <w:highlight w:val="none"/>
        </w:rPr>
      </w:pPr>
    </w:p>
    <w:p w14:paraId="71CBEDDD">
      <w:pPr>
        <w:keepNext/>
        <w:keepLines/>
        <w:spacing w:line="416" w:lineRule="auto"/>
        <w:jc w:val="center"/>
        <w:rPr>
          <w:rFonts w:ascii="宋体" w:hAnsi="宋体" w:cs="宋体"/>
          <w:color w:val="auto"/>
          <w:kern w:val="21"/>
          <w:highlight w:val="none"/>
        </w:rPr>
      </w:pPr>
    </w:p>
    <w:p w14:paraId="7953FE63">
      <w:pPr>
        <w:pStyle w:val="3"/>
        <w:jc w:val="center"/>
        <w:rPr>
          <w:rFonts w:ascii="宋体" w:hAnsi="宋体" w:cs="宋体"/>
          <w:color w:val="auto"/>
          <w:kern w:val="21"/>
          <w:highlight w:val="none"/>
        </w:rPr>
        <w:sectPr>
          <w:footerReference r:id="rId11" w:type="first"/>
          <w:footerReference r:id="rId10" w:type="default"/>
          <w:pgSz w:w="11911" w:h="16838"/>
          <w:pgMar w:top="1440" w:right="1440" w:bottom="1440" w:left="1440" w:header="720" w:footer="720" w:gutter="0"/>
          <w:cols w:space="720" w:num="1"/>
        </w:sectPr>
      </w:pPr>
      <w:bookmarkStart w:id="73" w:name="_Toc31548"/>
      <w:bookmarkStart w:id="74" w:name="_Toc23951"/>
      <w:r>
        <w:rPr>
          <w:rFonts w:hint="eastAsia" w:ascii="宋体" w:hAnsi="宋体" w:cs="宋体"/>
          <w:color w:val="auto"/>
          <w:kern w:val="21"/>
          <w:highlight w:val="none"/>
        </w:rPr>
        <w:t>第五章 响应文件格式</w:t>
      </w:r>
      <w:bookmarkEnd w:id="73"/>
      <w:bookmarkEnd w:id="74"/>
    </w:p>
    <w:p w14:paraId="34DD7FE8">
      <w:pPr>
        <w:pStyle w:val="4"/>
        <w:jc w:val="center"/>
        <w:rPr>
          <w:rFonts w:ascii="宋体" w:hAnsi="宋体" w:cs="宋体"/>
          <w:bCs w:val="0"/>
          <w:color w:val="auto"/>
          <w:kern w:val="21"/>
          <w:highlight w:val="none"/>
        </w:rPr>
      </w:pPr>
      <w:bookmarkStart w:id="75" w:name="_Toc18318"/>
      <w:bookmarkStart w:id="76" w:name="_Toc7051"/>
      <w:bookmarkStart w:id="77" w:name="_Toc80205938"/>
      <w:r>
        <w:rPr>
          <w:rFonts w:hint="eastAsia" w:ascii="宋体" w:hAnsi="宋体" w:cs="宋体"/>
          <w:bCs w:val="0"/>
          <w:color w:val="auto"/>
          <w:kern w:val="21"/>
          <w:highlight w:val="none"/>
        </w:rPr>
        <w:t>第一节 封面格式</w:t>
      </w:r>
      <w:bookmarkEnd w:id="75"/>
      <w:bookmarkEnd w:id="76"/>
      <w:bookmarkEnd w:id="77"/>
    </w:p>
    <w:p w14:paraId="2C1ED76B">
      <w:pPr>
        <w:rPr>
          <w:rFonts w:ascii="宋体" w:hAnsi="宋体" w:cs="宋体"/>
          <w:b/>
          <w:bCs/>
          <w:color w:val="auto"/>
          <w:kern w:val="21"/>
          <w:sz w:val="32"/>
          <w:szCs w:val="32"/>
          <w:highlight w:val="none"/>
        </w:rPr>
      </w:pPr>
      <w:r>
        <w:rPr>
          <w:rFonts w:hint="eastAsia" w:ascii="宋体" w:hAnsi="宋体" w:cs="宋体"/>
          <w:b/>
          <w:color w:val="auto"/>
          <w:kern w:val="21"/>
          <w:sz w:val="32"/>
          <w:szCs w:val="32"/>
          <w:highlight w:val="none"/>
        </w:rPr>
        <w:t>（</w:t>
      </w:r>
      <w:r>
        <w:rPr>
          <w:rFonts w:hint="eastAsia" w:ascii="宋体" w:hAnsi="宋体" w:cs="宋体"/>
          <w:b/>
          <w:bCs/>
          <w:color w:val="auto"/>
          <w:kern w:val="21"/>
          <w:sz w:val="32"/>
          <w:szCs w:val="32"/>
          <w:highlight w:val="none"/>
        </w:rPr>
        <w:t>响应文件外层包装封面格式</w:t>
      </w:r>
      <w:r>
        <w:rPr>
          <w:rFonts w:hint="eastAsia" w:ascii="宋体" w:hAnsi="宋体" w:cs="宋体"/>
          <w:b/>
          <w:color w:val="auto"/>
          <w:kern w:val="21"/>
          <w:sz w:val="32"/>
          <w:szCs w:val="32"/>
          <w:highlight w:val="none"/>
        </w:rPr>
        <w:t xml:space="preserve"> ）</w:t>
      </w:r>
    </w:p>
    <w:p w14:paraId="57AAA2B4">
      <w:pPr>
        <w:snapToGrid w:val="0"/>
        <w:spacing w:before="120" w:beforeLines="50" w:after="50"/>
        <w:rPr>
          <w:rFonts w:ascii="宋体" w:hAnsi="宋体" w:cs="宋体"/>
          <w:color w:val="auto"/>
          <w:kern w:val="21"/>
          <w:sz w:val="24"/>
          <w:szCs w:val="20"/>
          <w:highlight w:val="none"/>
        </w:rPr>
      </w:pPr>
    </w:p>
    <w:p w14:paraId="2D460708">
      <w:pPr>
        <w:snapToGrid w:val="0"/>
        <w:spacing w:before="120" w:beforeLines="50" w:after="50"/>
        <w:jc w:val="center"/>
        <w:rPr>
          <w:rFonts w:ascii="宋体" w:hAnsi="宋体" w:cs="宋体"/>
          <w:bCs/>
          <w:color w:val="auto"/>
          <w:kern w:val="21"/>
          <w:sz w:val="24"/>
          <w:szCs w:val="20"/>
          <w:highlight w:val="none"/>
        </w:rPr>
      </w:pPr>
    </w:p>
    <w:p w14:paraId="247CDF63">
      <w:pPr>
        <w:snapToGrid w:val="0"/>
        <w:spacing w:before="120" w:beforeLines="50" w:after="50"/>
        <w:jc w:val="center"/>
        <w:rPr>
          <w:rFonts w:ascii="宋体" w:hAnsi="宋体" w:cs="宋体"/>
          <w:bCs/>
          <w:color w:val="auto"/>
          <w:kern w:val="21"/>
          <w:sz w:val="44"/>
          <w:szCs w:val="44"/>
          <w:highlight w:val="none"/>
        </w:rPr>
      </w:pPr>
      <w:r>
        <w:rPr>
          <w:rFonts w:hint="eastAsia" w:ascii="宋体" w:hAnsi="宋体" w:cs="宋体"/>
          <w:bCs/>
          <w:color w:val="auto"/>
          <w:kern w:val="21"/>
          <w:sz w:val="44"/>
          <w:szCs w:val="44"/>
          <w:highlight w:val="none"/>
        </w:rPr>
        <w:t>响  应  文  件</w:t>
      </w:r>
    </w:p>
    <w:p w14:paraId="5C59A64D">
      <w:pPr>
        <w:snapToGrid w:val="0"/>
        <w:spacing w:before="120" w:beforeLines="50" w:after="50"/>
        <w:rPr>
          <w:rFonts w:ascii="宋体" w:hAnsi="宋体" w:cs="宋体"/>
          <w:bCs/>
          <w:color w:val="auto"/>
          <w:kern w:val="21"/>
          <w:sz w:val="24"/>
          <w:szCs w:val="20"/>
          <w:highlight w:val="none"/>
        </w:rPr>
      </w:pPr>
    </w:p>
    <w:p w14:paraId="1FC7577A">
      <w:pPr>
        <w:snapToGrid w:val="0"/>
        <w:spacing w:before="120" w:beforeLines="50" w:after="50"/>
        <w:rPr>
          <w:rFonts w:ascii="宋体" w:hAnsi="宋体" w:cs="宋体"/>
          <w:bCs/>
          <w:color w:val="auto"/>
          <w:kern w:val="21"/>
          <w:sz w:val="24"/>
          <w:szCs w:val="20"/>
          <w:highlight w:val="none"/>
        </w:rPr>
      </w:pPr>
    </w:p>
    <w:p w14:paraId="61981863">
      <w:pPr>
        <w:snapToGrid w:val="0"/>
        <w:spacing w:before="120" w:beforeLines="50" w:after="50"/>
        <w:rPr>
          <w:rFonts w:ascii="宋体" w:hAnsi="宋体" w:cs="宋体"/>
          <w:bCs/>
          <w:color w:val="auto"/>
          <w:kern w:val="21"/>
          <w:sz w:val="32"/>
          <w:szCs w:val="32"/>
          <w:highlight w:val="none"/>
        </w:rPr>
      </w:pPr>
    </w:p>
    <w:p w14:paraId="65D5D09F">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1DA8A064">
      <w:pPr>
        <w:snapToGrid w:val="0"/>
        <w:spacing w:before="120" w:beforeLines="50" w:after="50"/>
        <w:ind w:firstLine="480" w:firstLineChars="150"/>
        <w:rPr>
          <w:rFonts w:ascii="宋体" w:hAnsi="宋体" w:cs="宋体"/>
          <w:bCs/>
          <w:color w:val="auto"/>
          <w:kern w:val="21"/>
          <w:sz w:val="32"/>
          <w:szCs w:val="32"/>
          <w:highlight w:val="none"/>
        </w:rPr>
      </w:pPr>
    </w:p>
    <w:p w14:paraId="2ADF10C5">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11E9550C">
      <w:pPr>
        <w:snapToGrid w:val="0"/>
        <w:spacing w:before="120" w:beforeLines="50" w:after="50"/>
        <w:ind w:firstLine="480" w:firstLineChars="150"/>
        <w:rPr>
          <w:rFonts w:ascii="宋体" w:hAnsi="宋体" w:cs="宋体"/>
          <w:bCs/>
          <w:color w:val="auto"/>
          <w:kern w:val="21"/>
          <w:sz w:val="32"/>
          <w:szCs w:val="32"/>
          <w:highlight w:val="none"/>
        </w:rPr>
      </w:pPr>
    </w:p>
    <w:p w14:paraId="3654E0FF">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2D7FA137">
      <w:pPr>
        <w:snapToGrid w:val="0"/>
        <w:spacing w:before="120" w:beforeLines="50" w:after="50"/>
        <w:rPr>
          <w:rFonts w:ascii="宋体" w:hAnsi="宋体" w:cs="宋体"/>
          <w:bCs/>
          <w:color w:val="auto"/>
          <w:kern w:val="21"/>
          <w:sz w:val="32"/>
          <w:szCs w:val="32"/>
          <w:highlight w:val="none"/>
        </w:rPr>
      </w:pPr>
    </w:p>
    <w:p w14:paraId="1DFB4F4D">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1130A7DD">
      <w:pPr>
        <w:snapToGrid w:val="0"/>
        <w:spacing w:before="120" w:beforeLines="50" w:after="50"/>
        <w:rPr>
          <w:rFonts w:ascii="宋体" w:hAnsi="宋体" w:cs="宋体"/>
          <w:bCs/>
          <w:color w:val="auto"/>
          <w:kern w:val="21"/>
          <w:sz w:val="32"/>
          <w:szCs w:val="32"/>
          <w:highlight w:val="none"/>
        </w:rPr>
      </w:pPr>
    </w:p>
    <w:p w14:paraId="39C0C2D6">
      <w:pPr>
        <w:snapToGrid w:val="0"/>
        <w:spacing w:before="120" w:beforeLines="50" w:after="50"/>
        <w:ind w:firstLine="480" w:firstLineChars="150"/>
        <w:jc w:val="center"/>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首次响应文件提交截止时间前不得解密</w:t>
      </w:r>
    </w:p>
    <w:p w14:paraId="15E3F041">
      <w:pPr>
        <w:snapToGrid w:val="0"/>
        <w:spacing w:before="120" w:beforeLines="50" w:after="50"/>
        <w:ind w:firstLine="5440" w:firstLineChars="1700"/>
        <w:jc w:val="center"/>
        <w:rPr>
          <w:rFonts w:ascii="宋体" w:hAnsi="宋体" w:cs="宋体"/>
          <w:bCs/>
          <w:color w:val="auto"/>
          <w:kern w:val="21"/>
          <w:sz w:val="32"/>
          <w:szCs w:val="32"/>
          <w:highlight w:val="none"/>
        </w:rPr>
      </w:pPr>
    </w:p>
    <w:p w14:paraId="4CE2EAB8">
      <w:pPr>
        <w:snapToGrid w:val="0"/>
        <w:spacing w:before="120" w:beforeLines="50" w:after="50"/>
        <w:ind w:firstLine="645"/>
        <w:jc w:val="center"/>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年    月    日</w:t>
      </w:r>
    </w:p>
    <w:p w14:paraId="583F6A71">
      <w:pPr>
        <w:rPr>
          <w:rFonts w:ascii="宋体" w:hAnsi="宋体" w:cs="宋体"/>
          <w:color w:val="auto"/>
          <w:kern w:val="21"/>
          <w:highlight w:val="none"/>
        </w:rPr>
        <w:sectPr>
          <w:pgSz w:w="11911" w:h="16838"/>
          <w:pgMar w:top="1440" w:right="1440" w:bottom="1440" w:left="1440" w:header="720" w:footer="720" w:gutter="0"/>
          <w:cols w:space="720" w:num="1"/>
        </w:sectPr>
      </w:pPr>
    </w:p>
    <w:p w14:paraId="69937908">
      <w:pPr>
        <w:pStyle w:val="4"/>
        <w:jc w:val="center"/>
        <w:rPr>
          <w:rFonts w:ascii="宋体" w:hAnsi="宋体" w:cs="宋体"/>
          <w:bCs w:val="0"/>
          <w:color w:val="auto"/>
          <w:kern w:val="21"/>
          <w:highlight w:val="none"/>
        </w:rPr>
      </w:pPr>
      <w:bookmarkStart w:id="78" w:name="_Toc22661"/>
      <w:bookmarkStart w:id="79" w:name="_Toc16652"/>
      <w:bookmarkStart w:id="80" w:name="_Toc80205939"/>
      <w:r>
        <w:rPr>
          <w:rFonts w:hint="eastAsia" w:ascii="宋体" w:hAnsi="宋体" w:cs="宋体"/>
          <w:bCs w:val="0"/>
          <w:color w:val="auto"/>
          <w:kern w:val="21"/>
          <w:highlight w:val="none"/>
        </w:rPr>
        <w:t>第二节 资格证明文件格式</w:t>
      </w:r>
      <w:bookmarkEnd w:id="78"/>
      <w:bookmarkEnd w:id="79"/>
      <w:bookmarkEnd w:id="80"/>
    </w:p>
    <w:p w14:paraId="5B87E8EF">
      <w:pPr>
        <w:snapToGrid w:val="0"/>
        <w:spacing w:before="120" w:beforeLines="50" w:after="50"/>
        <w:rPr>
          <w:rFonts w:ascii="宋体" w:hAnsi="宋体" w:cs="宋体"/>
          <w:bCs/>
          <w:color w:val="auto"/>
          <w:kern w:val="21"/>
          <w:sz w:val="32"/>
          <w:szCs w:val="20"/>
          <w:highlight w:val="none"/>
        </w:rPr>
      </w:pPr>
      <w:r>
        <w:rPr>
          <w:rFonts w:hint="eastAsia" w:ascii="宋体" w:hAnsi="宋体" w:cs="宋体"/>
          <w:color w:val="auto"/>
          <w:kern w:val="21"/>
          <w:sz w:val="24"/>
          <w:highlight w:val="none"/>
        </w:rPr>
        <w:t xml:space="preserve">                                                    </w:t>
      </w:r>
      <w:r>
        <w:rPr>
          <w:rFonts w:hint="eastAsia" w:ascii="宋体" w:hAnsi="宋体" w:cs="宋体"/>
          <w:bCs/>
          <w:color w:val="auto"/>
          <w:kern w:val="21"/>
          <w:highlight w:val="none"/>
        </w:rPr>
        <w:t>全流程电子文件</w:t>
      </w:r>
    </w:p>
    <w:p w14:paraId="7ECF8E71">
      <w:pPr>
        <w:snapToGrid w:val="0"/>
        <w:spacing w:before="120" w:beforeLines="50" w:after="50"/>
        <w:rPr>
          <w:rFonts w:ascii="宋体" w:hAnsi="宋体" w:cs="宋体"/>
          <w:color w:val="auto"/>
          <w:kern w:val="21"/>
          <w:sz w:val="24"/>
          <w:szCs w:val="20"/>
          <w:highlight w:val="none"/>
        </w:rPr>
      </w:pPr>
    </w:p>
    <w:p w14:paraId="7D6AB36C">
      <w:pPr>
        <w:snapToGrid w:val="0"/>
        <w:spacing w:before="120" w:beforeLines="50" w:after="50"/>
        <w:rPr>
          <w:rFonts w:ascii="宋体" w:hAnsi="宋体" w:cs="宋体"/>
          <w:color w:val="auto"/>
          <w:kern w:val="21"/>
          <w:sz w:val="24"/>
          <w:szCs w:val="20"/>
          <w:highlight w:val="none"/>
        </w:rPr>
      </w:pPr>
    </w:p>
    <w:p w14:paraId="0B07C0B1">
      <w:pPr>
        <w:snapToGrid w:val="0"/>
        <w:spacing w:before="120" w:beforeLines="50" w:after="50"/>
        <w:jc w:val="center"/>
        <w:rPr>
          <w:rFonts w:ascii="宋体" w:hAnsi="宋体" w:cs="宋体"/>
          <w:bCs/>
          <w:color w:val="auto"/>
          <w:kern w:val="21"/>
          <w:sz w:val="44"/>
          <w:szCs w:val="44"/>
          <w:highlight w:val="none"/>
        </w:rPr>
      </w:pPr>
      <w:r>
        <w:rPr>
          <w:rFonts w:hint="eastAsia" w:ascii="宋体" w:hAnsi="宋体" w:cs="宋体"/>
          <w:bCs/>
          <w:color w:val="auto"/>
          <w:kern w:val="21"/>
          <w:sz w:val="44"/>
          <w:szCs w:val="44"/>
          <w:highlight w:val="none"/>
        </w:rPr>
        <w:t>资  格  证  明  文  件（封面）</w:t>
      </w:r>
    </w:p>
    <w:p w14:paraId="4111C82A">
      <w:pPr>
        <w:snapToGrid w:val="0"/>
        <w:spacing w:before="120" w:beforeLines="50" w:after="50"/>
        <w:rPr>
          <w:rFonts w:ascii="宋体" w:hAnsi="宋体" w:cs="宋体"/>
          <w:bCs/>
          <w:color w:val="auto"/>
          <w:kern w:val="21"/>
          <w:sz w:val="24"/>
          <w:szCs w:val="20"/>
          <w:highlight w:val="none"/>
        </w:rPr>
      </w:pPr>
    </w:p>
    <w:p w14:paraId="6ECCEE48">
      <w:pPr>
        <w:snapToGrid w:val="0"/>
        <w:spacing w:before="120" w:beforeLines="50" w:after="50"/>
        <w:rPr>
          <w:rFonts w:ascii="宋体" w:hAnsi="宋体" w:cs="宋体"/>
          <w:bCs/>
          <w:color w:val="auto"/>
          <w:kern w:val="21"/>
          <w:sz w:val="24"/>
          <w:szCs w:val="20"/>
          <w:highlight w:val="none"/>
        </w:rPr>
      </w:pPr>
    </w:p>
    <w:p w14:paraId="05911B78">
      <w:pPr>
        <w:snapToGrid w:val="0"/>
        <w:spacing w:before="120" w:beforeLines="50" w:after="50"/>
        <w:rPr>
          <w:rFonts w:ascii="宋体" w:hAnsi="宋体" w:cs="宋体"/>
          <w:bCs/>
          <w:color w:val="auto"/>
          <w:kern w:val="21"/>
          <w:sz w:val="24"/>
          <w:szCs w:val="20"/>
          <w:highlight w:val="none"/>
        </w:rPr>
      </w:pPr>
    </w:p>
    <w:p w14:paraId="5361B464">
      <w:pPr>
        <w:snapToGrid w:val="0"/>
        <w:spacing w:before="120" w:beforeLines="50" w:after="50"/>
        <w:rPr>
          <w:rFonts w:ascii="宋体" w:hAnsi="宋体" w:cs="宋体"/>
          <w:bCs/>
          <w:color w:val="auto"/>
          <w:kern w:val="21"/>
          <w:sz w:val="24"/>
          <w:szCs w:val="20"/>
          <w:highlight w:val="none"/>
        </w:rPr>
      </w:pPr>
    </w:p>
    <w:p w14:paraId="227C7BCD">
      <w:pPr>
        <w:snapToGrid w:val="0"/>
        <w:spacing w:before="120" w:beforeLines="50" w:after="50"/>
        <w:rPr>
          <w:rFonts w:ascii="宋体" w:hAnsi="宋体" w:cs="宋体"/>
          <w:bCs/>
          <w:color w:val="auto"/>
          <w:kern w:val="21"/>
          <w:sz w:val="24"/>
          <w:szCs w:val="20"/>
          <w:highlight w:val="none"/>
        </w:rPr>
      </w:pPr>
    </w:p>
    <w:p w14:paraId="2A3391F2">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3FEBF898">
      <w:pPr>
        <w:snapToGrid w:val="0"/>
        <w:spacing w:before="120" w:beforeLines="50" w:after="50"/>
        <w:ind w:firstLine="720" w:firstLineChars="225"/>
        <w:rPr>
          <w:rFonts w:ascii="宋体" w:hAnsi="宋体" w:cs="宋体"/>
          <w:bCs/>
          <w:color w:val="auto"/>
          <w:kern w:val="21"/>
          <w:sz w:val="32"/>
          <w:szCs w:val="32"/>
          <w:highlight w:val="none"/>
        </w:rPr>
      </w:pPr>
    </w:p>
    <w:p w14:paraId="204DF692">
      <w:pPr>
        <w:snapToGrid w:val="0"/>
        <w:spacing w:before="120" w:beforeLines="50" w:after="50"/>
        <w:ind w:firstLine="720" w:firstLineChars="225"/>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20252E01">
      <w:pPr>
        <w:snapToGrid w:val="0"/>
        <w:spacing w:before="120" w:beforeLines="50" w:after="50"/>
        <w:ind w:firstLine="720" w:firstLineChars="225"/>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 xml:space="preserve"> </w:t>
      </w:r>
    </w:p>
    <w:p w14:paraId="34DC47C0">
      <w:pPr>
        <w:snapToGrid w:val="0"/>
        <w:spacing w:before="120" w:beforeLines="50" w:after="50"/>
        <w:ind w:firstLine="720" w:firstLineChars="225"/>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768CFFD4">
      <w:pPr>
        <w:snapToGrid w:val="0"/>
        <w:spacing w:before="120" w:beforeLines="50" w:after="50"/>
        <w:ind w:firstLine="720" w:firstLineChars="225"/>
        <w:rPr>
          <w:rFonts w:ascii="宋体" w:hAnsi="宋体" w:cs="宋体"/>
          <w:bCs/>
          <w:color w:val="auto"/>
          <w:kern w:val="21"/>
          <w:sz w:val="32"/>
          <w:szCs w:val="32"/>
          <w:highlight w:val="none"/>
        </w:rPr>
      </w:pPr>
    </w:p>
    <w:p w14:paraId="1B0E7A7F">
      <w:pPr>
        <w:pStyle w:val="8"/>
        <w:snapToGrid w:val="0"/>
        <w:spacing w:before="50" w:after="50"/>
        <w:ind w:firstLine="720" w:firstLineChars="225"/>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03AF6031">
      <w:pPr>
        <w:pStyle w:val="8"/>
        <w:snapToGrid w:val="0"/>
        <w:spacing w:before="50" w:after="50"/>
        <w:ind w:firstLine="720" w:firstLineChars="225"/>
        <w:rPr>
          <w:rFonts w:ascii="宋体" w:hAnsi="宋体" w:cs="宋体"/>
          <w:bCs/>
          <w:color w:val="auto"/>
          <w:kern w:val="21"/>
          <w:sz w:val="32"/>
          <w:szCs w:val="32"/>
          <w:highlight w:val="none"/>
        </w:rPr>
      </w:pPr>
    </w:p>
    <w:p w14:paraId="34262002">
      <w:pPr>
        <w:pStyle w:val="8"/>
        <w:snapToGrid w:val="0"/>
        <w:spacing w:before="50" w:after="50"/>
        <w:ind w:firstLine="720" w:firstLineChars="225"/>
        <w:rPr>
          <w:rFonts w:ascii="宋体" w:hAnsi="宋体" w:cs="宋体"/>
          <w:bCs/>
          <w:color w:val="auto"/>
          <w:kern w:val="21"/>
          <w:sz w:val="32"/>
          <w:szCs w:val="32"/>
          <w:highlight w:val="none"/>
        </w:rPr>
      </w:pPr>
    </w:p>
    <w:p w14:paraId="0E1B4672">
      <w:pPr>
        <w:pStyle w:val="8"/>
        <w:snapToGrid w:val="0"/>
        <w:spacing w:before="50" w:after="50"/>
        <w:ind w:firstLine="720" w:firstLineChars="225"/>
        <w:rPr>
          <w:rFonts w:ascii="宋体" w:hAnsi="宋体" w:cs="宋体"/>
          <w:bCs/>
          <w:color w:val="auto"/>
          <w:kern w:val="21"/>
          <w:sz w:val="32"/>
          <w:szCs w:val="32"/>
          <w:highlight w:val="none"/>
        </w:rPr>
      </w:pPr>
    </w:p>
    <w:p w14:paraId="3A219936">
      <w:pPr>
        <w:pStyle w:val="8"/>
        <w:snapToGrid w:val="0"/>
        <w:spacing w:before="50" w:after="50"/>
        <w:ind w:firstLine="1280" w:firstLineChars="400"/>
        <w:rPr>
          <w:rFonts w:ascii="宋体" w:hAnsi="宋体" w:cs="宋体"/>
          <w:bCs/>
          <w:color w:val="auto"/>
          <w:kern w:val="21"/>
          <w:sz w:val="32"/>
          <w:szCs w:val="32"/>
          <w:highlight w:val="none"/>
        </w:rPr>
      </w:pPr>
    </w:p>
    <w:p w14:paraId="16B74471">
      <w:pPr>
        <w:snapToGrid w:val="0"/>
        <w:spacing w:before="120" w:beforeLines="50" w:after="50"/>
        <w:jc w:val="center"/>
        <w:rPr>
          <w:rFonts w:ascii="宋体" w:hAnsi="宋体" w:cs="宋体"/>
          <w:color w:val="auto"/>
          <w:kern w:val="21"/>
          <w:sz w:val="32"/>
          <w:szCs w:val="32"/>
          <w:highlight w:val="none"/>
        </w:rPr>
      </w:pPr>
      <w:r>
        <w:rPr>
          <w:rFonts w:hint="eastAsia" w:ascii="宋体" w:hAnsi="宋体" w:cs="宋体"/>
          <w:color w:val="auto"/>
          <w:kern w:val="21"/>
          <w:sz w:val="32"/>
          <w:szCs w:val="32"/>
          <w:highlight w:val="none"/>
        </w:rPr>
        <w:t>年    月    日</w:t>
      </w:r>
    </w:p>
    <w:p w14:paraId="06E6D234">
      <w:pPr>
        <w:snapToGrid w:val="0"/>
        <w:spacing w:before="120" w:beforeLines="50" w:after="50" w:line="360" w:lineRule="auto"/>
        <w:jc w:val="center"/>
        <w:rPr>
          <w:rFonts w:ascii="宋体" w:hAnsi="宋体" w:cs="宋体"/>
          <w:b/>
          <w:color w:val="auto"/>
          <w:kern w:val="21"/>
          <w:sz w:val="36"/>
          <w:szCs w:val="36"/>
          <w:highlight w:val="none"/>
        </w:rPr>
      </w:pPr>
      <w:r>
        <w:rPr>
          <w:rFonts w:hint="eastAsia" w:ascii="宋体" w:hAnsi="宋体" w:cs="宋体"/>
          <w:color w:val="auto"/>
          <w:kern w:val="21"/>
          <w:sz w:val="24"/>
          <w:highlight w:val="none"/>
        </w:rPr>
        <w:br w:type="page"/>
      </w:r>
      <w:r>
        <w:rPr>
          <w:rFonts w:hint="eastAsia" w:ascii="宋体" w:hAnsi="宋体" w:cs="宋体"/>
          <w:b/>
          <w:bCs/>
          <w:color w:val="auto"/>
          <w:kern w:val="21"/>
          <w:sz w:val="32"/>
          <w:szCs w:val="32"/>
          <w:highlight w:val="none"/>
        </w:rPr>
        <w:t xml:space="preserve"> </w:t>
      </w:r>
      <w:r>
        <w:rPr>
          <w:rFonts w:hint="eastAsia" w:ascii="宋体" w:hAnsi="宋体" w:cs="宋体"/>
          <w:b/>
          <w:color w:val="auto"/>
          <w:kern w:val="21"/>
          <w:sz w:val="36"/>
          <w:szCs w:val="36"/>
          <w:highlight w:val="none"/>
        </w:rPr>
        <w:t>资格证明文件目录</w:t>
      </w:r>
    </w:p>
    <w:p w14:paraId="63C316F8">
      <w:pPr>
        <w:snapToGrid w:val="0"/>
        <w:spacing w:line="360" w:lineRule="auto"/>
        <w:rPr>
          <w:rFonts w:ascii="宋体" w:hAnsi="宋体" w:cs="宋体"/>
          <w:color w:val="auto"/>
          <w:kern w:val="21"/>
          <w:sz w:val="24"/>
          <w:highlight w:val="none"/>
        </w:rPr>
      </w:pPr>
    </w:p>
    <w:p w14:paraId="18851AD7">
      <w:pPr>
        <w:snapToGrid w:val="0"/>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一、营业执照（或事业法人登记证或其他工商等登记证明材料）复印件（供应商为自然人的，须提供自然人的身份证明）…………………………………………………（页码）</w:t>
      </w:r>
    </w:p>
    <w:p w14:paraId="4DA7EB48">
      <w:pPr>
        <w:snapToGrid w:val="0"/>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二、符合参与政府采购活动的资格条件依法缴纳税收、社会保障资金等方面的材料……………………………………………………………………………………（页码）</w:t>
      </w:r>
    </w:p>
    <w:p w14:paraId="14F8CB1D">
      <w:pPr>
        <w:snapToGrid w:val="0"/>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三、财务状况报告方面的材料……………………………………………………（页码）</w:t>
      </w:r>
    </w:p>
    <w:p w14:paraId="535A416A">
      <w:pPr>
        <w:snapToGrid w:val="0"/>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四、供应商直接控股股东信息……………………………………………………（页码）</w:t>
      </w:r>
    </w:p>
    <w:p w14:paraId="6831F3AD">
      <w:pPr>
        <w:snapToGrid w:val="0"/>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五、供应商直接关联关系信息表…………………………………………………（页码）</w:t>
      </w:r>
    </w:p>
    <w:p w14:paraId="0DAC63DC">
      <w:pPr>
        <w:snapToGrid w:val="0"/>
        <w:spacing w:line="36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六、资格声明函……………………………………………………………………（页码）</w:t>
      </w:r>
    </w:p>
    <w:p w14:paraId="0DD8091A">
      <w:pPr>
        <w:pStyle w:val="2"/>
        <w:rPr>
          <w:rFonts w:hint="eastAsia" w:eastAsia="宋体"/>
          <w:lang w:val="en-US" w:eastAsia="zh-CN"/>
        </w:rPr>
      </w:pPr>
      <w:r>
        <w:rPr>
          <w:rFonts w:hint="eastAsia" w:ascii="宋体" w:hAnsi="宋体" w:cs="宋体"/>
          <w:color w:val="auto"/>
          <w:kern w:val="21"/>
          <w:sz w:val="24"/>
          <w:highlight w:val="none"/>
          <w:lang w:val="en-US" w:eastAsia="zh-CN"/>
        </w:rPr>
        <w:t>七、具有法人资格的总公司出具的授权书（分公司参与竞标时）</w:t>
      </w:r>
      <w:r>
        <w:rPr>
          <w:rFonts w:hint="eastAsia" w:ascii="宋体" w:hAnsi="宋体" w:cs="宋体"/>
          <w:color w:val="auto"/>
          <w:kern w:val="21"/>
          <w:sz w:val="24"/>
          <w:highlight w:val="none"/>
        </w:rPr>
        <w:t>……………（页码）</w:t>
      </w:r>
    </w:p>
    <w:p w14:paraId="2368CDFE">
      <w:pPr>
        <w:snapToGrid w:val="0"/>
        <w:spacing w:line="360" w:lineRule="auto"/>
        <w:rPr>
          <w:rFonts w:ascii="宋体" w:hAnsi="宋体" w:cs="宋体"/>
          <w:color w:val="auto"/>
          <w:kern w:val="21"/>
          <w:sz w:val="24"/>
          <w:highlight w:val="none"/>
        </w:rPr>
      </w:pPr>
      <w:r>
        <w:rPr>
          <w:rFonts w:hint="eastAsia" w:ascii="宋体" w:hAnsi="宋体" w:cs="宋体"/>
          <w:color w:val="auto"/>
          <w:kern w:val="21"/>
          <w:sz w:val="24"/>
          <w:highlight w:val="none"/>
          <w:lang w:val="en-US" w:eastAsia="zh-CN"/>
        </w:rPr>
        <w:t>八</w:t>
      </w:r>
      <w:r>
        <w:rPr>
          <w:rFonts w:hint="eastAsia" w:ascii="宋体" w:hAnsi="宋体" w:cs="宋体"/>
          <w:color w:val="auto"/>
          <w:kern w:val="21"/>
          <w:sz w:val="24"/>
          <w:highlight w:val="none"/>
        </w:rPr>
        <w:t>、除磋商文件规定必须提供以外，供应商认为需要提供的其他证明材料…（页码）</w:t>
      </w:r>
    </w:p>
    <w:p w14:paraId="743BE11C">
      <w:pPr>
        <w:spacing w:line="360" w:lineRule="auto"/>
        <w:rPr>
          <w:rFonts w:ascii="宋体" w:hAnsi="宋体" w:cs="宋体"/>
          <w:b/>
          <w:bCs/>
          <w:color w:val="auto"/>
          <w:kern w:val="21"/>
          <w:sz w:val="24"/>
          <w:highlight w:val="none"/>
        </w:rPr>
      </w:pPr>
    </w:p>
    <w:p w14:paraId="42FEC3AD">
      <w:pPr>
        <w:spacing w:line="360" w:lineRule="auto"/>
        <w:rPr>
          <w:rFonts w:ascii="宋体" w:hAnsi="宋体" w:cs="宋体"/>
          <w:b/>
          <w:bCs/>
          <w:color w:val="auto"/>
          <w:kern w:val="21"/>
          <w:sz w:val="24"/>
          <w:highlight w:val="none"/>
        </w:rPr>
      </w:pPr>
      <w:r>
        <w:rPr>
          <w:rFonts w:hint="eastAsia" w:ascii="宋体" w:hAnsi="宋体" w:cs="宋体"/>
          <w:b/>
          <w:bCs/>
          <w:color w:val="auto"/>
          <w:kern w:val="21"/>
          <w:sz w:val="24"/>
          <w:highlight w:val="none"/>
        </w:rPr>
        <w:t>注：以上目录是编制供应商响应文件的基本格式要求，各供应商可根据自身情况进一步细化。</w:t>
      </w:r>
    </w:p>
    <w:p w14:paraId="5589BEE3">
      <w:pPr>
        <w:snapToGrid w:val="0"/>
        <w:spacing w:before="120" w:beforeLines="50" w:after="50" w:line="360" w:lineRule="auto"/>
        <w:ind w:left="142" w:firstLine="420" w:firstLineChars="200"/>
        <w:jc w:val="left"/>
        <w:rPr>
          <w:rFonts w:ascii="宋体" w:hAnsi="宋体" w:cs="宋体"/>
          <w:color w:val="auto"/>
          <w:kern w:val="21"/>
          <w:szCs w:val="21"/>
          <w:highlight w:val="none"/>
        </w:rPr>
      </w:pPr>
    </w:p>
    <w:p w14:paraId="1F3C25FF">
      <w:pPr>
        <w:spacing w:line="300" w:lineRule="auto"/>
        <w:rPr>
          <w:rFonts w:ascii="宋体" w:hAnsi="宋体" w:cs="宋体"/>
          <w:color w:val="auto"/>
          <w:kern w:val="21"/>
          <w:szCs w:val="21"/>
          <w:highlight w:val="none"/>
        </w:rPr>
      </w:pPr>
    </w:p>
    <w:p w14:paraId="321DB146">
      <w:pPr>
        <w:spacing w:line="300" w:lineRule="auto"/>
        <w:rPr>
          <w:rFonts w:ascii="宋体" w:hAnsi="宋体" w:cs="宋体"/>
          <w:color w:val="auto"/>
          <w:kern w:val="21"/>
          <w:szCs w:val="21"/>
          <w:highlight w:val="none"/>
        </w:rPr>
      </w:pPr>
    </w:p>
    <w:p w14:paraId="5BD679AA">
      <w:pPr>
        <w:spacing w:line="300" w:lineRule="auto"/>
        <w:rPr>
          <w:rFonts w:ascii="宋体" w:hAnsi="宋体" w:cs="宋体"/>
          <w:color w:val="auto"/>
          <w:kern w:val="21"/>
          <w:szCs w:val="21"/>
          <w:highlight w:val="none"/>
        </w:rPr>
      </w:pPr>
    </w:p>
    <w:p w14:paraId="33799E06">
      <w:pPr>
        <w:spacing w:line="300" w:lineRule="auto"/>
        <w:rPr>
          <w:rFonts w:ascii="宋体" w:hAnsi="宋体" w:cs="宋体"/>
          <w:color w:val="auto"/>
          <w:kern w:val="21"/>
          <w:szCs w:val="21"/>
          <w:highlight w:val="none"/>
        </w:rPr>
      </w:pPr>
    </w:p>
    <w:p w14:paraId="75C4ED32">
      <w:pPr>
        <w:spacing w:line="300" w:lineRule="auto"/>
        <w:rPr>
          <w:rFonts w:ascii="宋体" w:hAnsi="宋体" w:cs="宋体"/>
          <w:color w:val="auto"/>
          <w:kern w:val="21"/>
          <w:szCs w:val="21"/>
          <w:highlight w:val="none"/>
        </w:rPr>
      </w:pPr>
    </w:p>
    <w:p w14:paraId="3B886F8A">
      <w:pPr>
        <w:spacing w:line="300" w:lineRule="auto"/>
        <w:rPr>
          <w:rFonts w:ascii="宋体" w:hAnsi="宋体" w:cs="宋体"/>
          <w:color w:val="auto"/>
          <w:kern w:val="21"/>
          <w:szCs w:val="21"/>
          <w:highlight w:val="none"/>
        </w:rPr>
      </w:pPr>
    </w:p>
    <w:p w14:paraId="31792597">
      <w:pPr>
        <w:spacing w:line="300" w:lineRule="auto"/>
        <w:rPr>
          <w:rFonts w:ascii="宋体" w:hAnsi="宋体" w:cs="宋体"/>
          <w:color w:val="auto"/>
          <w:kern w:val="21"/>
          <w:szCs w:val="21"/>
          <w:highlight w:val="none"/>
        </w:rPr>
      </w:pPr>
    </w:p>
    <w:p w14:paraId="373A1F09">
      <w:pPr>
        <w:spacing w:line="300" w:lineRule="auto"/>
        <w:rPr>
          <w:rFonts w:ascii="宋体" w:hAnsi="宋体" w:cs="宋体"/>
          <w:color w:val="auto"/>
          <w:kern w:val="21"/>
          <w:szCs w:val="21"/>
          <w:highlight w:val="none"/>
        </w:rPr>
      </w:pPr>
    </w:p>
    <w:p w14:paraId="75B06BEE">
      <w:pPr>
        <w:spacing w:line="300" w:lineRule="auto"/>
        <w:rPr>
          <w:rFonts w:ascii="宋体" w:hAnsi="宋体" w:cs="宋体"/>
          <w:color w:val="auto"/>
          <w:kern w:val="21"/>
          <w:szCs w:val="21"/>
          <w:highlight w:val="none"/>
        </w:rPr>
      </w:pPr>
    </w:p>
    <w:p w14:paraId="21AE5CA5">
      <w:pPr>
        <w:pStyle w:val="18"/>
        <w:spacing w:line="360" w:lineRule="auto"/>
        <w:ind w:firstLine="400" w:firstLineChars="200"/>
        <w:rPr>
          <w:rFonts w:hAnsi="宋体" w:cs="宋体"/>
          <w:b/>
          <w:color w:val="auto"/>
          <w:kern w:val="21"/>
          <w:sz w:val="30"/>
          <w:szCs w:val="30"/>
          <w:highlight w:val="none"/>
        </w:rPr>
      </w:pPr>
      <w:r>
        <w:rPr>
          <w:rFonts w:hint="eastAsia" w:hAnsi="宋体" w:cs="宋体"/>
          <w:color w:val="auto"/>
          <w:kern w:val="21"/>
          <w:highlight w:val="none"/>
        </w:rPr>
        <w:br w:type="page"/>
      </w:r>
      <w:r>
        <w:rPr>
          <w:rFonts w:hint="eastAsia" w:hAnsi="宋体" w:cs="宋体"/>
          <w:color w:val="auto"/>
          <w:kern w:val="21"/>
          <w:highlight w:val="none"/>
        </w:rPr>
        <w:t xml:space="preserve">   </w:t>
      </w:r>
      <w:r>
        <w:rPr>
          <w:rFonts w:hint="eastAsia" w:hAnsi="宋体" w:cs="宋体"/>
          <w:b/>
          <w:color w:val="auto"/>
          <w:kern w:val="21"/>
          <w:sz w:val="30"/>
          <w:szCs w:val="30"/>
          <w:highlight w:val="none"/>
        </w:rPr>
        <w:t>一、营业执照（或事业法人登记证或其他工商等登记证明材料）复印件（供应商为自然人的，提供自然人的身份证明）</w:t>
      </w:r>
    </w:p>
    <w:p w14:paraId="4C9EF8F1">
      <w:pPr>
        <w:pStyle w:val="18"/>
        <w:spacing w:line="360" w:lineRule="auto"/>
        <w:ind w:firstLine="602" w:firstLineChars="200"/>
        <w:rPr>
          <w:rFonts w:hAnsi="宋体" w:cs="宋体"/>
          <w:b/>
          <w:color w:val="auto"/>
          <w:kern w:val="21"/>
          <w:sz w:val="30"/>
          <w:szCs w:val="30"/>
          <w:highlight w:val="none"/>
        </w:rPr>
      </w:pPr>
    </w:p>
    <w:p w14:paraId="7510B63A">
      <w:pPr>
        <w:autoSpaceDE w:val="0"/>
        <w:autoSpaceDN w:val="0"/>
        <w:spacing w:line="360" w:lineRule="auto"/>
        <w:ind w:left="4365" w:leftChars="1850" w:hanging="480" w:hangingChars="2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31CDE5D">
      <w:pPr>
        <w:autoSpaceDE w:val="0"/>
        <w:autoSpaceDN w:val="0"/>
        <w:spacing w:line="360" w:lineRule="auto"/>
        <w:ind w:firstLine="6120" w:firstLineChars="255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6048820C">
      <w:pPr>
        <w:snapToGrid w:val="0"/>
        <w:spacing w:before="120" w:beforeLines="50" w:after="50"/>
        <w:rPr>
          <w:rFonts w:ascii="宋体" w:hAnsi="宋体" w:cs="宋体"/>
          <w:color w:val="auto"/>
          <w:kern w:val="21"/>
          <w:sz w:val="24"/>
          <w:szCs w:val="20"/>
          <w:highlight w:val="none"/>
        </w:rPr>
      </w:pPr>
    </w:p>
    <w:p w14:paraId="7173751E">
      <w:pPr>
        <w:pStyle w:val="18"/>
        <w:spacing w:line="360" w:lineRule="auto"/>
        <w:ind w:firstLine="602" w:firstLineChars="200"/>
        <w:rPr>
          <w:rFonts w:hAnsi="宋体" w:cs="宋体"/>
          <w:b/>
          <w:color w:val="auto"/>
          <w:kern w:val="21"/>
          <w:sz w:val="30"/>
          <w:szCs w:val="30"/>
          <w:highlight w:val="none"/>
        </w:rPr>
      </w:pPr>
      <w:r>
        <w:rPr>
          <w:rFonts w:hint="eastAsia" w:hAnsi="宋体" w:cs="宋体"/>
          <w:b/>
          <w:color w:val="auto"/>
          <w:kern w:val="21"/>
          <w:sz w:val="30"/>
          <w:szCs w:val="30"/>
          <w:highlight w:val="none"/>
        </w:rPr>
        <w:t>二、符合参与政府采购活动的资格条件依法缴纳税收、社会保障资金等方面的材料</w:t>
      </w:r>
    </w:p>
    <w:p w14:paraId="07E2BCF2">
      <w:pPr>
        <w:spacing w:line="300" w:lineRule="auto"/>
        <w:rPr>
          <w:rFonts w:ascii="宋体" w:hAnsi="宋体" w:cs="宋体"/>
          <w:color w:val="auto"/>
          <w:kern w:val="21"/>
          <w:szCs w:val="21"/>
          <w:highlight w:val="none"/>
        </w:rPr>
      </w:pPr>
    </w:p>
    <w:p w14:paraId="255E7C30">
      <w:pPr>
        <w:autoSpaceDE w:val="0"/>
        <w:autoSpaceDN w:val="0"/>
        <w:spacing w:line="360" w:lineRule="auto"/>
        <w:ind w:left="4365" w:leftChars="1850" w:hanging="480" w:hangingChars="2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77AA1382">
      <w:pPr>
        <w:autoSpaceDE w:val="0"/>
        <w:autoSpaceDN w:val="0"/>
        <w:spacing w:line="360" w:lineRule="auto"/>
        <w:ind w:firstLine="6120" w:firstLineChars="255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33596952">
      <w:pPr>
        <w:spacing w:line="300" w:lineRule="auto"/>
        <w:rPr>
          <w:rFonts w:ascii="宋体" w:hAnsi="宋体" w:cs="宋体"/>
          <w:color w:val="auto"/>
          <w:kern w:val="21"/>
          <w:szCs w:val="21"/>
          <w:highlight w:val="none"/>
        </w:rPr>
      </w:pPr>
    </w:p>
    <w:p w14:paraId="61385EEE">
      <w:pPr>
        <w:spacing w:line="300" w:lineRule="auto"/>
        <w:ind w:firstLine="596" w:firstLineChars="198"/>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三、财务状况报告方面的材料</w:t>
      </w:r>
    </w:p>
    <w:p w14:paraId="3C7680EC">
      <w:pPr>
        <w:spacing w:line="300" w:lineRule="auto"/>
        <w:rPr>
          <w:rFonts w:ascii="宋体" w:hAnsi="宋体" w:cs="宋体"/>
          <w:color w:val="auto"/>
          <w:kern w:val="21"/>
          <w:szCs w:val="21"/>
          <w:highlight w:val="none"/>
        </w:rPr>
      </w:pPr>
    </w:p>
    <w:p w14:paraId="1998B862">
      <w:pPr>
        <w:autoSpaceDE w:val="0"/>
        <w:autoSpaceDN w:val="0"/>
        <w:spacing w:line="360" w:lineRule="auto"/>
        <w:ind w:left="4365" w:leftChars="1850" w:hanging="480" w:hangingChars="2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2DEF4980">
      <w:pPr>
        <w:autoSpaceDE w:val="0"/>
        <w:autoSpaceDN w:val="0"/>
        <w:spacing w:line="360" w:lineRule="auto"/>
        <w:ind w:firstLine="6120" w:firstLineChars="255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50E0D8FF">
      <w:pPr>
        <w:spacing w:line="320" w:lineRule="exact"/>
        <w:jc w:val="left"/>
        <w:rPr>
          <w:rFonts w:ascii="宋体" w:hAnsi="宋体" w:cs="宋体"/>
          <w:color w:val="auto"/>
          <w:kern w:val="21"/>
          <w:szCs w:val="21"/>
          <w:highlight w:val="none"/>
        </w:rPr>
      </w:pPr>
      <w:r>
        <w:rPr>
          <w:rFonts w:hint="eastAsia" w:ascii="宋体" w:hAnsi="宋体" w:cs="宋体"/>
          <w:color w:val="auto"/>
          <w:kern w:val="21"/>
          <w:szCs w:val="21"/>
          <w:highlight w:val="none"/>
        </w:rPr>
        <w:t xml:space="preserve"> </w:t>
      </w:r>
    </w:p>
    <w:p w14:paraId="38B65C7A">
      <w:pPr>
        <w:snapToGrid w:val="0"/>
        <w:spacing w:before="120" w:beforeLines="50" w:after="50" w:line="360" w:lineRule="auto"/>
        <w:jc w:val="center"/>
        <w:rPr>
          <w:rFonts w:ascii="宋体" w:hAnsi="宋体" w:cs="宋体"/>
          <w:b/>
          <w:color w:val="auto"/>
          <w:kern w:val="21"/>
          <w:sz w:val="24"/>
          <w:highlight w:val="none"/>
        </w:rPr>
      </w:pPr>
    </w:p>
    <w:p w14:paraId="1F646754">
      <w:pPr>
        <w:spacing w:line="360" w:lineRule="auto"/>
        <w:ind w:firstLine="596" w:firstLineChars="198"/>
        <w:contextualSpacing/>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br w:type="page"/>
      </w:r>
      <w:r>
        <w:rPr>
          <w:rFonts w:hint="eastAsia" w:ascii="宋体" w:hAnsi="宋体" w:cs="宋体"/>
          <w:b/>
          <w:color w:val="auto"/>
          <w:kern w:val="21"/>
          <w:sz w:val="30"/>
          <w:szCs w:val="30"/>
          <w:highlight w:val="none"/>
        </w:rPr>
        <w:t>四、供应商直接控股股东信息</w:t>
      </w:r>
    </w:p>
    <w:p w14:paraId="6230BE29">
      <w:pPr>
        <w:spacing w:line="360" w:lineRule="auto"/>
        <w:contextualSpacing/>
        <w:jc w:val="center"/>
        <w:rPr>
          <w:rFonts w:ascii="宋体" w:hAnsi="宋体" w:cs="宋体"/>
          <w:b/>
          <w:color w:val="auto"/>
          <w:kern w:val="21"/>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345E8B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0EABCC">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ECFA82">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E8413D">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6FF3DC">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D1CC8B">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备注</w:t>
            </w:r>
          </w:p>
        </w:tc>
      </w:tr>
      <w:tr w14:paraId="2ABB235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EA3FA0">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7D1B54">
            <w:pPr>
              <w:widowControl/>
              <w:spacing w:line="360" w:lineRule="auto"/>
              <w:contextualSpacing/>
              <w:jc w:val="center"/>
              <w:rPr>
                <w:rFonts w:ascii="宋体" w:hAnsi="宋体" w:cs="宋体"/>
                <w:color w:val="auto"/>
                <w:kern w:val="21"/>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DEC094">
            <w:pPr>
              <w:widowControl/>
              <w:spacing w:line="360" w:lineRule="auto"/>
              <w:contextualSpacing/>
              <w:jc w:val="center"/>
              <w:rPr>
                <w:rFonts w:ascii="宋体" w:hAnsi="宋体" w:cs="宋体"/>
                <w:color w:val="auto"/>
                <w:kern w:val="21"/>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D148FB">
            <w:pPr>
              <w:widowControl/>
              <w:spacing w:line="360" w:lineRule="auto"/>
              <w:contextualSpacing/>
              <w:jc w:val="center"/>
              <w:rPr>
                <w:rFonts w:ascii="宋体" w:hAnsi="宋体" w:cs="宋体"/>
                <w:color w:val="auto"/>
                <w:kern w:val="21"/>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D6F5BE">
            <w:pPr>
              <w:widowControl/>
              <w:spacing w:line="360" w:lineRule="auto"/>
              <w:contextualSpacing/>
              <w:jc w:val="center"/>
              <w:rPr>
                <w:rFonts w:ascii="宋体" w:hAnsi="宋体" w:cs="宋体"/>
                <w:color w:val="auto"/>
                <w:kern w:val="21"/>
                <w:sz w:val="24"/>
                <w:highlight w:val="none"/>
              </w:rPr>
            </w:pPr>
          </w:p>
        </w:tc>
      </w:tr>
      <w:tr w14:paraId="02EA354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160380">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123DCB">
            <w:pPr>
              <w:widowControl/>
              <w:spacing w:line="360" w:lineRule="auto"/>
              <w:contextualSpacing/>
              <w:jc w:val="center"/>
              <w:rPr>
                <w:rFonts w:ascii="宋体" w:hAnsi="宋体" w:cs="宋体"/>
                <w:color w:val="auto"/>
                <w:kern w:val="21"/>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089422">
            <w:pPr>
              <w:widowControl/>
              <w:spacing w:line="360" w:lineRule="auto"/>
              <w:contextualSpacing/>
              <w:jc w:val="center"/>
              <w:rPr>
                <w:rFonts w:ascii="宋体" w:hAnsi="宋体" w:cs="宋体"/>
                <w:color w:val="auto"/>
                <w:kern w:val="21"/>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D0146">
            <w:pPr>
              <w:widowControl/>
              <w:spacing w:line="360" w:lineRule="auto"/>
              <w:contextualSpacing/>
              <w:jc w:val="center"/>
              <w:rPr>
                <w:rFonts w:ascii="宋体" w:hAnsi="宋体" w:cs="宋体"/>
                <w:color w:val="auto"/>
                <w:kern w:val="21"/>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05DF5">
            <w:pPr>
              <w:widowControl/>
              <w:spacing w:line="360" w:lineRule="auto"/>
              <w:contextualSpacing/>
              <w:jc w:val="center"/>
              <w:rPr>
                <w:rFonts w:ascii="宋体" w:hAnsi="宋体" w:cs="宋体"/>
                <w:color w:val="auto"/>
                <w:kern w:val="21"/>
                <w:sz w:val="24"/>
                <w:highlight w:val="none"/>
              </w:rPr>
            </w:pPr>
          </w:p>
        </w:tc>
      </w:tr>
      <w:tr w14:paraId="67BED98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830F5E">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197B4E">
            <w:pPr>
              <w:widowControl/>
              <w:spacing w:line="360" w:lineRule="auto"/>
              <w:contextualSpacing/>
              <w:jc w:val="center"/>
              <w:rPr>
                <w:rFonts w:ascii="宋体" w:hAnsi="宋体" w:cs="宋体"/>
                <w:color w:val="auto"/>
                <w:kern w:val="21"/>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689B50">
            <w:pPr>
              <w:widowControl/>
              <w:spacing w:line="360" w:lineRule="auto"/>
              <w:contextualSpacing/>
              <w:jc w:val="center"/>
              <w:rPr>
                <w:rFonts w:ascii="宋体" w:hAnsi="宋体" w:cs="宋体"/>
                <w:color w:val="auto"/>
                <w:kern w:val="21"/>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49144D">
            <w:pPr>
              <w:widowControl/>
              <w:spacing w:line="360" w:lineRule="auto"/>
              <w:contextualSpacing/>
              <w:jc w:val="center"/>
              <w:rPr>
                <w:rFonts w:ascii="宋体" w:hAnsi="宋体" w:cs="宋体"/>
                <w:color w:val="auto"/>
                <w:kern w:val="21"/>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DE6B41">
            <w:pPr>
              <w:widowControl/>
              <w:spacing w:line="360" w:lineRule="auto"/>
              <w:contextualSpacing/>
              <w:jc w:val="center"/>
              <w:rPr>
                <w:rFonts w:ascii="宋体" w:hAnsi="宋体" w:cs="宋体"/>
                <w:color w:val="auto"/>
                <w:kern w:val="21"/>
                <w:sz w:val="24"/>
                <w:highlight w:val="none"/>
              </w:rPr>
            </w:pPr>
          </w:p>
        </w:tc>
      </w:tr>
      <w:tr w14:paraId="25FC408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E5E2AA">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9F6A60">
            <w:pPr>
              <w:widowControl/>
              <w:spacing w:line="360" w:lineRule="auto"/>
              <w:contextualSpacing/>
              <w:jc w:val="center"/>
              <w:rPr>
                <w:rFonts w:ascii="宋体" w:hAnsi="宋体" w:cs="宋体"/>
                <w:color w:val="auto"/>
                <w:kern w:val="21"/>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568522">
            <w:pPr>
              <w:widowControl/>
              <w:spacing w:line="360" w:lineRule="auto"/>
              <w:contextualSpacing/>
              <w:jc w:val="center"/>
              <w:rPr>
                <w:rFonts w:ascii="宋体" w:hAnsi="宋体" w:cs="宋体"/>
                <w:color w:val="auto"/>
                <w:kern w:val="21"/>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EB354">
            <w:pPr>
              <w:widowControl/>
              <w:spacing w:line="360" w:lineRule="auto"/>
              <w:contextualSpacing/>
              <w:jc w:val="center"/>
              <w:rPr>
                <w:rFonts w:ascii="宋体" w:hAnsi="宋体" w:cs="宋体"/>
                <w:color w:val="auto"/>
                <w:kern w:val="21"/>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5385B9">
            <w:pPr>
              <w:widowControl/>
              <w:spacing w:line="360" w:lineRule="auto"/>
              <w:contextualSpacing/>
              <w:jc w:val="center"/>
              <w:rPr>
                <w:rFonts w:ascii="宋体" w:hAnsi="宋体" w:cs="宋体"/>
                <w:color w:val="auto"/>
                <w:kern w:val="21"/>
                <w:sz w:val="24"/>
                <w:highlight w:val="none"/>
              </w:rPr>
            </w:pPr>
          </w:p>
        </w:tc>
      </w:tr>
    </w:tbl>
    <w:p w14:paraId="6B4EE441">
      <w:pPr>
        <w:spacing w:line="360" w:lineRule="auto"/>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注：</w:t>
      </w:r>
    </w:p>
    <w:p w14:paraId="68D7F79E">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101580">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2.本表所指的控股关系仅限于直接控股关系，不包括间接的控股关系。公司实际控制人与公司之间的关系不属于本表所指的直接控股关系。</w:t>
      </w:r>
    </w:p>
    <w:p w14:paraId="17CA25F2">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3.供应商不存在直接控股股东的，则填“无”。</w:t>
      </w:r>
    </w:p>
    <w:p w14:paraId="4CAB2E43">
      <w:pPr>
        <w:snapToGrid w:val="0"/>
        <w:spacing w:line="360" w:lineRule="auto"/>
        <w:jc w:val="left"/>
        <w:rPr>
          <w:rFonts w:ascii="宋体" w:hAnsi="宋体" w:cs="宋体"/>
          <w:color w:val="auto"/>
          <w:kern w:val="21"/>
          <w:sz w:val="24"/>
          <w:highlight w:val="none"/>
        </w:rPr>
      </w:pPr>
    </w:p>
    <w:p w14:paraId="4AFFB574">
      <w:pPr>
        <w:snapToGrid w:val="0"/>
        <w:spacing w:line="360" w:lineRule="auto"/>
        <w:jc w:val="left"/>
        <w:rPr>
          <w:rFonts w:ascii="宋体" w:hAnsi="宋体" w:cs="宋体"/>
          <w:color w:val="auto"/>
          <w:kern w:val="21"/>
          <w:sz w:val="24"/>
          <w:highlight w:val="none"/>
        </w:rPr>
      </w:pPr>
    </w:p>
    <w:p w14:paraId="0B978251">
      <w:pPr>
        <w:autoSpaceDE w:val="0"/>
        <w:autoSpaceDN w:val="0"/>
        <w:spacing w:line="360" w:lineRule="auto"/>
        <w:ind w:left="4365" w:leftChars="1850" w:hanging="480" w:hangingChars="2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3CA79823">
      <w:pPr>
        <w:autoSpaceDE w:val="0"/>
        <w:autoSpaceDN w:val="0"/>
        <w:spacing w:line="360" w:lineRule="auto"/>
        <w:ind w:firstLine="6120" w:firstLineChars="255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07CAE702">
      <w:pPr>
        <w:snapToGrid w:val="0"/>
        <w:rPr>
          <w:rFonts w:ascii="宋体" w:hAnsi="宋体" w:cs="宋体"/>
          <w:b/>
          <w:color w:val="auto"/>
          <w:kern w:val="21"/>
          <w:sz w:val="30"/>
          <w:szCs w:val="30"/>
          <w:highlight w:val="none"/>
        </w:rPr>
      </w:pPr>
    </w:p>
    <w:p w14:paraId="1B263C3E">
      <w:pPr>
        <w:snapToGrid w:val="0"/>
        <w:ind w:firstLine="596" w:firstLineChars="198"/>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br w:type="page"/>
      </w:r>
      <w:r>
        <w:rPr>
          <w:rFonts w:hint="eastAsia" w:ascii="宋体" w:hAnsi="宋体" w:cs="宋体"/>
          <w:b/>
          <w:color w:val="auto"/>
          <w:kern w:val="21"/>
          <w:sz w:val="30"/>
          <w:szCs w:val="30"/>
          <w:highlight w:val="none"/>
        </w:rPr>
        <w:t>五、供应商直接管理关系信息表</w:t>
      </w:r>
    </w:p>
    <w:p w14:paraId="56AFF0C6">
      <w:pPr>
        <w:snapToGrid w:val="0"/>
        <w:spacing w:line="360" w:lineRule="auto"/>
        <w:jc w:val="center"/>
        <w:rPr>
          <w:rFonts w:ascii="宋体" w:hAnsi="宋体" w:cs="宋体"/>
          <w:b/>
          <w:color w:val="auto"/>
          <w:kern w:val="21"/>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EBE87EB">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8324E7">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3BE1C8">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88E72">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FFC138">
            <w:pPr>
              <w:widowControl/>
              <w:spacing w:line="360" w:lineRule="auto"/>
              <w:contextualSpacing/>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备注</w:t>
            </w:r>
          </w:p>
        </w:tc>
      </w:tr>
      <w:tr w14:paraId="539F2AE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685421">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B75CF">
            <w:pPr>
              <w:widowControl/>
              <w:spacing w:line="360" w:lineRule="auto"/>
              <w:contextualSpacing/>
              <w:jc w:val="center"/>
              <w:rPr>
                <w:rFonts w:ascii="宋体" w:hAnsi="宋体" w:cs="宋体"/>
                <w:color w:val="auto"/>
                <w:kern w:val="21"/>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2B9FE6">
            <w:pPr>
              <w:widowControl/>
              <w:spacing w:line="360" w:lineRule="auto"/>
              <w:contextualSpacing/>
              <w:jc w:val="center"/>
              <w:rPr>
                <w:rFonts w:ascii="宋体" w:hAnsi="宋体" w:cs="宋体"/>
                <w:color w:val="auto"/>
                <w:kern w:val="21"/>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1516D3">
            <w:pPr>
              <w:widowControl/>
              <w:spacing w:line="360" w:lineRule="auto"/>
              <w:contextualSpacing/>
              <w:jc w:val="center"/>
              <w:rPr>
                <w:rFonts w:ascii="宋体" w:hAnsi="宋体" w:cs="宋体"/>
                <w:color w:val="auto"/>
                <w:kern w:val="21"/>
                <w:sz w:val="24"/>
                <w:highlight w:val="none"/>
              </w:rPr>
            </w:pPr>
          </w:p>
        </w:tc>
      </w:tr>
      <w:tr w14:paraId="484A4D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03E112">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00A7A">
            <w:pPr>
              <w:widowControl/>
              <w:spacing w:line="360" w:lineRule="auto"/>
              <w:contextualSpacing/>
              <w:jc w:val="center"/>
              <w:rPr>
                <w:rFonts w:ascii="宋体" w:hAnsi="宋体" w:cs="宋体"/>
                <w:color w:val="auto"/>
                <w:kern w:val="21"/>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C54664">
            <w:pPr>
              <w:widowControl/>
              <w:spacing w:line="360" w:lineRule="auto"/>
              <w:contextualSpacing/>
              <w:jc w:val="center"/>
              <w:rPr>
                <w:rFonts w:ascii="宋体" w:hAnsi="宋体" w:cs="宋体"/>
                <w:color w:val="auto"/>
                <w:kern w:val="21"/>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20C055">
            <w:pPr>
              <w:widowControl/>
              <w:spacing w:line="360" w:lineRule="auto"/>
              <w:contextualSpacing/>
              <w:jc w:val="center"/>
              <w:rPr>
                <w:rFonts w:ascii="宋体" w:hAnsi="宋体" w:cs="宋体"/>
                <w:color w:val="auto"/>
                <w:kern w:val="21"/>
                <w:sz w:val="24"/>
                <w:highlight w:val="none"/>
              </w:rPr>
            </w:pPr>
          </w:p>
        </w:tc>
      </w:tr>
      <w:tr w14:paraId="0900072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D2A5B3">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5DF843">
            <w:pPr>
              <w:widowControl/>
              <w:spacing w:line="360" w:lineRule="auto"/>
              <w:contextualSpacing/>
              <w:jc w:val="center"/>
              <w:rPr>
                <w:rFonts w:ascii="宋体" w:hAnsi="宋体" w:cs="宋体"/>
                <w:color w:val="auto"/>
                <w:kern w:val="21"/>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685976">
            <w:pPr>
              <w:widowControl/>
              <w:spacing w:line="360" w:lineRule="auto"/>
              <w:contextualSpacing/>
              <w:jc w:val="center"/>
              <w:rPr>
                <w:rFonts w:ascii="宋体" w:hAnsi="宋体" w:cs="宋体"/>
                <w:color w:val="auto"/>
                <w:kern w:val="21"/>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F4238D">
            <w:pPr>
              <w:widowControl/>
              <w:spacing w:line="360" w:lineRule="auto"/>
              <w:contextualSpacing/>
              <w:jc w:val="center"/>
              <w:rPr>
                <w:rFonts w:ascii="宋体" w:hAnsi="宋体" w:cs="宋体"/>
                <w:color w:val="auto"/>
                <w:kern w:val="21"/>
                <w:sz w:val="24"/>
                <w:highlight w:val="none"/>
              </w:rPr>
            </w:pPr>
          </w:p>
        </w:tc>
      </w:tr>
      <w:tr w14:paraId="6909F51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E77A88">
            <w:pPr>
              <w:widowControl/>
              <w:spacing w:line="360" w:lineRule="auto"/>
              <w:contextualSpacing/>
              <w:jc w:val="center"/>
              <w:rPr>
                <w:rFonts w:ascii="宋体" w:hAnsi="宋体" w:cs="宋体"/>
                <w:color w:val="auto"/>
                <w:kern w:val="21"/>
                <w:sz w:val="24"/>
                <w:highlight w:val="none"/>
              </w:rPr>
            </w:pPr>
            <w:r>
              <w:rPr>
                <w:rFonts w:hint="eastAsia" w:ascii="宋体" w:hAnsi="宋体" w:cs="宋体"/>
                <w:color w:val="auto"/>
                <w:kern w:val="21"/>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8D5448">
            <w:pPr>
              <w:widowControl/>
              <w:spacing w:line="360" w:lineRule="auto"/>
              <w:contextualSpacing/>
              <w:jc w:val="center"/>
              <w:rPr>
                <w:rFonts w:ascii="宋体" w:hAnsi="宋体" w:cs="宋体"/>
                <w:color w:val="auto"/>
                <w:kern w:val="21"/>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C046F9">
            <w:pPr>
              <w:widowControl/>
              <w:spacing w:line="360" w:lineRule="auto"/>
              <w:contextualSpacing/>
              <w:jc w:val="center"/>
              <w:rPr>
                <w:rFonts w:ascii="宋体" w:hAnsi="宋体" w:cs="宋体"/>
                <w:color w:val="auto"/>
                <w:kern w:val="21"/>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825B2D">
            <w:pPr>
              <w:widowControl/>
              <w:spacing w:line="360" w:lineRule="auto"/>
              <w:contextualSpacing/>
              <w:jc w:val="center"/>
              <w:rPr>
                <w:rFonts w:ascii="宋体" w:hAnsi="宋体" w:cs="宋体"/>
                <w:color w:val="auto"/>
                <w:kern w:val="21"/>
                <w:sz w:val="24"/>
                <w:highlight w:val="none"/>
              </w:rPr>
            </w:pPr>
          </w:p>
        </w:tc>
      </w:tr>
    </w:tbl>
    <w:p w14:paraId="4F241170">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注：</w:t>
      </w:r>
    </w:p>
    <w:p w14:paraId="3167D4BE">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1.管理关系：是指不具有出资持股关系的其他单位之间存在的管理与被管理关系，如一些上下级关系的事业单位和团体组织。</w:t>
      </w:r>
    </w:p>
    <w:p w14:paraId="576D8550">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2.本表所指的管理关系仅限于直接管理关系，不包括间接的管理关系。</w:t>
      </w:r>
    </w:p>
    <w:p w14:paraId="2AD473E5">
      <w:pPr>
        <w:spacing w:line="360" w:lineRule="auto"/>
        <w:ind w:firstLine="480" w:firstLineChars="200"/>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3.供应商不存在直接管理关系的，则填“无”。</w:t>
      </w:r>
    </w:p>
    <w:p w14:paraId="53CD7B0B">
      <w:pPr>
        <w:spacing w:line="360" w:lineRule="auto"/>
        <w:contextualSpacing/>
        <w:jc w:val="left"/>
        <w:rPr>
          <w:rFonts w:ascii="宋体" w:hAnsi="宋体" w:cs="宋体"/>
          <w:color w:val="auto"/>
          <w:kern w:val="21"/>
          <w:sz w:val="24"/>
          <w:highlight w:val="none"/>
        </w:rPr>
      </w:pPr>
    </w:p>
    <w:p w14:paraId="465D7D99">
      <w:pPr>
        <w:autoSpaceDE w:val="0"/>
        <w:autoSpaceDN w:val="0"/>
        <w:spacing w:line="360" w:lineRule="auto"/>
        <w:ind w:left="4365" w:leftChars="1850" w:hanging="480" w:hangingChars="2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D44D1FC">
      <w:pPr>
        <w:autoSpaceDE w:val="0"/>
        <w:autoSpaceDN w:val="0"/>
        <w:spacing w:line="360" w:lineRule="auto"/>
        <w:ind w:firstLine="6120" w:firstLineChars="255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752B52CD">
      <w:pPr>
        <w:spacing w:line="320" w:lineRule="exact"/>
        <w:ind w:firstLine="602" w:firstLineChars="200"/>
        <w:jc w:val="left"/>
        <w:rPr>
          <w:rFonts w:ascii="宋体" w:hAnsi="宋体" w:cs="宋体"/>
          <w:color w:val="auto"/>
          <w:kern w:val="21"/>
          <w:sz w:val="28"/>
          <w:szCs w:val="28"/>
          <w:highlight w:val="none"/>
        </w:rPr>
      </w:pPr>
      <w:r>
        <w:rPr>
          <w:rFonts w:hint="eastAsia" w:ascii="宋体" w:hAnsi="宋体" w:cs="宋体"/>
          <w:b/>
          <w:color w:val="auto"/>
          <w:kern w:val="21"/>
          <w:sz w:val="30"/>
          <w:szCs w:val="30"/>
          <w:highlight w:val="none"/>
        </w:rPr>
        <w:br w:type="page"/>
      </w:r>
      <w:r>
        <w:rPr>
          <w:rFonts w:hint="eastAsia" w:ascii="宋体" w:hAnsi="宋体" w:cs="宋体"/>
          <w:b/>
          <w:color w:val="auto"/>
          <w:kern w:val="21"/>
          <w:sz w:val="30"/>
          <w:szCs w:val="30"/>
          <w:highlight w:val="none"/>
        </w:rPr>
        <w:t>六、资格声明函</w:t>
      </w:r>
    </w:p>
    <w:p w14:paraId="2BD66505">
      <w:pPr>
        <w:spacing w:line="320" w:lineRule="exact"/>
        <w:jc w:val="center"/>
        <w:rPr>
          <w:rFonts w:ascii="宋体" w:hAnsi="宋体" w:cs="宋体"/>
          <w:b/>
          <w:color w:val="auto"/>
          <w:kern w:val="21"/>
          <w:sz w:val="32"/>
          <w:szCs w:val="32"/>
          <w:highlight w:val="none"/>
        </w:rPr>
      </w:pPr>
    </w:p>
    <w:p w14:paraId="6C856553">
      <w:pPr>
        <w:spacing w:line="320" w:lineRule="exact"/>
        <w:jc w:val="center"/>
        <w:rPr>
          <w:rFonts w:ascii="宋体" w:hAnsi="宋体" w:cs="宋体"/>
          <w:b/>
          <w:color w:val="auto"/>
          <w:kern w:val="21"/>
          <w:sz w:val="32"/>
          <w:szCs w:val="32"/>
          <w:highlight w:val="none"/>
        </w:rPr>
      </w:pPr>
      <w:r>
        <w:rPr>
          <w:rFonts w:hint="eastAsia" w:ascii="宋体" w:hAnsi="宋体" w:cs="宋体"/>
          <w:b/>
          <w:color w:val="auto"/>
          <w:kern w:val="21"/>
          <w:sz w:val="32"/>
          <w:szCs w:val="32"/>
          <w:highlight w:val="none"/>
        </w:rPr>
        <w:t>资格声明函</w:t>
      </w:r>
    </w:p>
    <w:p w14:paraId="74394C32">
      <w:pPr>
        <w:spacing w:line="320" w:lineRule="exact"/>
        <w:jc w:val="center"/>
        <w:rPr>
          <w:rFonts w:ascii="宋体" w:hAnsi="宋体" w:cs="宋体"/>
          <w:color w:val="auto"/>
          <w:kern w:val="21"/>
          <w:sz w:val="24"/>
          <w:szCs w:val="20"/>
          <w:highlight w:val="none"/>
        </w:rPr>
      </w:pPr>
    </w:p>
    <w:p w14:paraId="59C56092">
      <w:pPr>
        <w:spacing w:line="360" w:lineRule="auto"/>
        <w:contextualSpacing/>
        <w:rPr>
          <w:rFonts w:ascii="宋体" w:hAnsi="宋体" w:cs="宋体"/>
          <w:color w:val="auto"/>
          <w:kern w:val="21"/>
          <w:sz w:val="24"/>
          <w:highlight w:val="none"/>
        </w:rPr>
      </w:pPr>
      <w:r>
        <w:rPr>
          <w:rFonts w:hint="eastAsia" w:ascii="宋体" w:hAnsi="宋体" w:cs="宋体"/>
          <w:color w:val="auto"/>
          <w:kern w:val="21"/>
          <w:sz w:val="24"/>
          <w:highlight w:val="none"/>
        </w:rPr>
        <w:t>致</w:t>
      </w:r>
      <w:r>
        <w:rPr>
          <w:rFonts w:hint="eastAsia" w:ascii="宋体" w:hAnsi="宋体" w:cs="宋体"/>
          <w:color w:val="auto"/>
          <w:kern w:val="21"/>
          <w:sz w:val="24"/>
          <w:highlight w:val="none"/>
          <w:u w:val="single"/>
        </w:rPr>
        <w:t>（采购代理机构名称）</w:t>
      </w:r>
      <w:r>
        <w:rPr>
          <w:rFonts w:hint="eastAsia" w:ascii="宋体" w:hAnsi="宋体" w:cs="宋体"/>
          <w:color w:val="auto"/>
          <w:kern w:val="21"/>
          <w:sz w:val="24"/>
          <w:highlight w:val="none"/>
        </w:rPr>
        <w:t>：</w:t>
      </w:r>
    </w:p>
    <w:p w14:paraId="5D6B2D5A">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u w:val="single"/>
        </w:rPr>
        <w:t>（供应商名称）</w:t>
      </w:r>
      <w:r>
        <w:rPr>
          <w:rFonts w:hint="eastAsia" w:ascii="宋体" w:hAnsi="宋体" w:cs="宋体"/>
          <w:color w:val="auto"/>
          <w:kern w:val="21"/>
          <w:sz w:val="24"/>
          <w:highlight w:val="none"/>
        </w:rPr>
        <w:t>系中华人民共和国合法供应商，经营地址</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w:t>
      </w:r>
    </w:p>
    <w:p w14:paraId="06369D0B">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我方愿意参加贵方组织的</w:t>
      </w:r>
      <w:r>
        <w:rPr>
          <w:rFonts w:hint="eastAsia" w:ascii="宋体" w:hAnsi="宋体" w:cs="宋体"/>
          <w:color w:val="auto"/>
          <w:kern w:val="21"/>
          <w:sz w:val="24"/>
          <w:highlight w:val="none"/>
          <w:u w:val="single"/>
        </w:rPr>
        <w:t>（项目名称）</w:t>
      </w:r>
      <w:r>
        <w:rPr>
          <w:rFonts w:hint="eastAsia" w:ascii="宋体" w:hAnsi="宋体" w:cs="宋体"/>
          <w:color w:val="auto"/>
          <w:kern w:val="21"/>
          <w:sz w:val="24"/>
          <w:highlight w:val="none"/>
        </w:rPr>
        <w:t>项目的竞标，为便于贵方公正、择优地确定成交供应商及其竞标产品和服务，我方就本次竞标有关事项郑重声明如下：</w:t>
      </w:r>
    </w:p>
    <w:p w14:paraId="4F812B1D">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1.我方向贵方提交的所有响应文件、资料都是准确的和真实的。</w:t>
      </w:r>
    </w:p>
    <w:p w14:paraId="57DDE9F5">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3B0E418">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3.在此，我方宣布同意如下：</w:t>
      </w:r>
    </w:p>
    <w:p w14:paraId="04306B2B">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（1）将按磋商文件的约定履行合同责任和义务；</w:t>
      </w:r>
    </w:p>
    <w:p w14:paraId="798FE91F">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（2）已详细审查全部磋商文件，包括澄清或者更正公告（如有）；</w:t>
      </w:r>
    </w:p>
    <w:p w14:paraId="056DE700">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（3）同意提供按照贵方可能要求的与磋商有关的一切数据或者资料；</w:t>
      </w:r>
    </w:p>
    <w:p w14:paraId="6B353B78">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（4）响应磋商文件规定的竞标有效期。</w:t>
      </w:r>
    </w:p>
    <w:p w14:paraId="784F0C24">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4.我方承诺符合《中华人民共和国政府采购法》第二十二条规定：</w:t>
      </w:r>
    </w:p>
    <w:p w14:paraId="13A03002">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（1）具有独立承担民事责任的能力；</w:t>
      </w:r>
    </w:p>
    <w:p w14:paraId="7A27B246">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（2）具有良好的商业信誉和健全的财务会计制度；</w:t>
      </w:r>
    </w:p>
    <w:p w14:paraId="06FB4556">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（3）具有履行合同所必需的设备和专业技术能力；</w:t>
      </w:r>
    </w:p>
    <w:p w14:paraId="7E2B189F">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（4）有依法缴纳税收和社会保障资金的良好记录；</w:t>
      </w:r>
    </w:p>
    <w:p w14:paraId="39F579C5">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（5）参加政府采购活动前三年内，在经营活动中没有重大违法记录；</w:t>
      </w:r>
    </w:p>
    <w:p w14:paraId="2A617F5D">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（6）法律、行政法规规定的其他条件。</w:t>
      </w:r>
    </w:p>
    <w:p w14:paraId="348CBB4E">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2756D0E">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7601337">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□我方本次响应文件内容中未涉及商业秘密；</w:t>
      </w:r>
    </w:p>
    <w:p w14:paraId="5C8BF518">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□我方本次响应文件涉及商业秘密的内容有：</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w:t>
      </w:r>
    </w:p>
    <w:p w14:paraId="29FBD8F2">
      <w:pPr>
        <w:pStyle w:val="18"/>
        <w:spacing w:line="360" w:lineRule="auto"/>
        <w:ind w:firstLine="480" w:firstLineChars="200"/>
        <w:contextualSpacing/>
        <w:rPr>
          <w:rFonts w:hAnsi="宋体" w:cs="宋体"/>
          <w:color w:val="auto"/>
          <w:kern w:val="21"/>
          <w:sz w:val="24"/>
          <w:szCs w:val="24"/>
          <w:highlight w:val="none"/>
          <w:u w:val="single"/>
        </w:rPr>
      </w:pPr>
      <w:r>
        <w:rPr>
          <w:rFonts w:hint="eastAsia" w:hAnsi="宋体" w:cs="宋体"/>
          <w:color w:val="auto"/>
          <w:kern w:val="21"/>
          <w:sz w:val="24"/>
          <w:szCs w:val="24"/>
          <w:highlight w:val="none"/>
        </w:rPr>
        <w:t>7.与本磋商有关的一切正式往来信函请寄：</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邮政编号：</w:t>
      </w:r>
      <w:r>
        <w:rPr>
          <w:rFonts w:hint="eastAsia" w:hAnsi="宋体" w:cs="宋体"/>
          <w:color w:val="auto"/>
          <w:kern w:val="21"/>
          <w:sz w:val="24"/>
          <w:szCs w:val="24"/>
          <w:highlight w:val="none"/>
          <w:u w:val="single"/>
        </w:rPr>
        <w:t xml:space="preserve">        </w:t>
      </w:r>
    </w:p>
    <w:p w14:paraId="5187178B">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电话/传真：</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 xml:space="preserve"> 电子函件：</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 xml:space="preserve">    </w:t>
      </w:r>
    </w:p>
    <w:p w14:paraId="54DE65C9">
      <w:pPr>
        <w:pStyle w:val="16"/>
        <w:tabs>
          <w:tab w:val="left" w:pos="939"/>
        </w:tabs>
        <w:spacing w:line="360" w:lineRule="auto"/>
        <w:ind w:left="141" w:leftChars="67" w:firstLine="360" w:firstLineChars="150"/>
        <w:rPr>
          <w:rFonts w:ascii="宋体" w:hAnsi="宋体" w:cs="宋体"/>
          <w:color w:val="auto"/>
          <w:kern w:val="21"/>
          <w:sz w:val="24"/>
          <w:highlight w:val="none"/>
        </w:rPr>
      </w:pPr>
      <w:r>
        <w:rPr>
          <w:rFonts w:hint="eastAsia" w:ascii="宋体" w:hAnsi="宋体" w:cs="宋体"/>
          <w:color w:val="auto"/>
          <w:kern w:val="21"/>
          <w:sz w:val="24"/>
          <w:highlight w:val="none"/>
        </w:rPr>
        <w:t>开户银行：</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账号：</w:t>
      </w:r>
      <w:r>
        <w:rPr>
          <w:rFonts w:hint="eastAsia" w:ascii="宋体" w:hAnsi="宋体" w:cs="宋体"/>
          <w:color w:val="auto"/>
          <w:kern w:val="21"/>
          <w:sz w:val="24"/>
          <w:highlight w:val="none"/>
          <w:u w:val="single"/>
        </w:rPr>
        <w:t xml:space="preserve">                               </w:t>
      </w:r>
    </w:p>
    <w:p w14:paraId="0C3CE88F">
      <w:pPr>
        <w:pStyle w:val="16"/>
        <w:tabs>
          <w:tab w:val="left" w:pos="939"/>
        </w:tabs>
        <w:spacing w:line="360" w:lineRule="auto"/>
        <w:ind w:left="0" w:leftChars="0"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8.以上事项如有虚假或者隐瞒，我方愿意承担一切后果，并不再寻求任何旨在减轻或者免除法律责任的辩解。</w:t>
      </w:r>
    </w:p>
    <w:p w14:paraId="4840DA82">
      <w:pPr>
        <w:pStyle w:val="16"/>
        <w:tabs>
          <w:tab w:val="left" w:pos="939"/>
        </w:tabs>
        <w:spacing w:line="360" w:lineRule="auto"/>
        <w:ind w:left="141" w:leftChars="67" w:firstLine="360" w:firstLineChars="150"/>
        <w:rPr>
          <w:rFonts w:ascii="宋体" w:hAnsi="宋体" w:cs="宋体"/>
          <w:color w:val="auto"/>
          <w:kern w:val="21"/>
          <w:sz w:val="24"/>
          <w:highlight w:val="none"/>
        </w:rPr>
      </w:pPr>
      <w:r>
        <w:rPr>
          <w:rFonts w:hint="eastAsia" w:ascii="宋体" w:hAnsi="宋体" w:cs="宋体"/>
          <w:color w:val="auto"/>
          <w:kern w:val="21"/>
          <w:sz w:val="24"/>
          <w:highlight w:val="none"/>
        </w:rPr>
        <w:t>特此承诺。</w:t>
      </w:r>
    </w:p>
    <w:p w14:paraId="7A70EE5A">
      <w:pPr>
        <w:pStyle w:val="16"/>
        <w:tabs>
          <w:tab w:val="left" w:pos="939"/>
        </w:tabs>
        <w:spacing w:line="360" w:lineRule="auto"/>
        <w:ind w:left="0" w:leftChars="0"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注：如为联合体竞标，盖章处须加盖联合体各方公章，否则其响应文件按无效响应处理。</w:t>
      </w:r>
    </w:p>
    <w:p w14:paraId="5EE69EAE">
      <w:pPr>
        <w:pStyle w:val="16"/>
        <w:tabs>
          <w:tab w:val="left" w:pos="939"/>
        </w:tabs>
        <w:spacing w:line="360" w:lineRule="auto"/>
        <w:ind w:left="0" w:leftChars="0" w:firstLine="480" w:firstLineChars="200"/>
        <w:rPr>
          <w:rFonts w:ascii="宋体" w:hAnsi="宋体" w:cs="宋体"/>
          <w:color w:val="auto"/>
          <w:kern w:val="21"/>
          <w:sz w:val="24"/>
          <w:highlight w:val="none"/>
        </w:rPr>
      </w:pPr>
    </w:p>
    <w:p w14:paraId="5F386837">
      <w:pPr>
        <w:autoSpaceDE w:val="0"/>
        <w:autoSpaceDN w:val="0"/>
        <w:spacing w:line="360" w:lineRule="auto"/>
        <w:ind w:left="4365" w:leftChars="1850" w:hanging="480" w:hangingChars="200"/>
        <w:rPr>
          <w:rFonts w:ascii="宋体" w:hAnsi="宋体" w:cs="宋体"/>
          <w:color w:val="auto"/>
          <w:kern w:val="21"/>
          <w:sz w:val="24"/>
          <w:highlight w:val="none"/>
        </w:rPr>
      </w:pPr>
      <w:r>
        <w:rPr>
          <w:rFonts w:hint="eastAsia" w:ascii="宋体" w:hAnsi="宋体" w:cs="宋体"/>
          <w:color w:val="auto"/>
          <w:kern w:val="21"/>
          <w:sz w:val="24"/>
          <w:highlight w:val="none"/>
        </w:rPr>
        <w:t>供应商名称（公章）：</w:t>
      </w:r>
    </w:p>
    <w:p w14:paraId="2283D6A9">
      <w:pPr>
        <w:autoSpaceDE w:val="0"/>
        <w:autoSpaceDN w:val="0"/>
        <w:spacing w:line="360" w:lineRule="auto"/>
        <w:ind w:firstLine="6120" w:firstLineChars="2550"/>
        <w:rPr>
          <w:rFonts w:ascii="宋体" w:hAnsi="宋体" w:cs="宋体"/>
          <w:color w:val="auto"/>
          <w:kern w:val="21"/>
          <w:sz w:val="24"/>
          <w:highlight w:val="none"/>
          <w:lang w:val="zh-CN"/>
        </w:rPr>
        <w:sectPr>
          <w:pgSz w:w="11911" w:h="16838"/>
          <w:pgMar w:top="1440" w:right="1440" w:bottom="1440" w:left="1440" w:header="720" w:footer="720" w:gutter="0"/>
          <w:cols w:space="720" w:num="1"/>
        </w:sectPr>
      </w:pPr>
      <w:r>
        <w:rPr>
          <w:rFonts w:hint="eastAsia" w:ascii="宋体" w:hAnsi="宋体" w:cs="宋体"/>
          <w:color w:val="auto"/>
          <w:kern w:val="21"/>
          <w:sz w:val="24"/>
          <w:highlight w:val="none"/>
          <w:lang w:val="zh-CN"/>
        </w:rPr>
        <w:t>日期：  年  月   日</w:t>
      </w:r>
    </w:p>
    <w:p w14:paraId="6A3D031C">
      <w:pPr>
        <w:autoSpaceDE w:val="0"/>
        <w:autoSpaceDN w:val="0"/>
        <w:spacing w:line="360" w:lineRule="auto"/>
        <w:ind w:firstLine="602" w:firstLineChars="200"/>
        <w:rPr>
          <w:rFonts w:ascii="宋体" w:hAnsi="宋体" w:cs="宋体"/>
          <w:color w:val="auto"/>
          <w:kern w:val="21"/>
          <w:sz w:val="24"/>
          <w:highlight w:val="none"/>
          <w:lang w:val="zh-CN"/>
        </w:rPr>
      </w:pPr>
      <w:r>
        <w:rPr>
          <w:rFonts w:hint="eastAsia" w:ascii="宋体" w:hAnsi="宋体" w:cs="宋体"/>
          <w:b/>
          <w:color w:val="auto"/>
          <w:kern w:val="21"/>
          <w:sz w:val="30"/>
          <w:szCs w:val="30"/>
          <w:highlight w:val="none"/>
        </w:rPr>
        <w:t>七、具有法人资格的总公司出具的授权书（分公司参与竞标时）</w:t>
      </w:r>
    </w:p>
    <w:p w14:paraId="63F45BD9">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3FD0BAE0">
      <w:pPr>
        <w:autoSpaceDE w:val="0"/>
        <w:autoSpaceDN w:val="0"/>
        <w:spacing w:line="360" w:lineRule="auto"/>
        <w:ind w:firstLine="6120" w:firstLineChars="255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6BBF91C4">
      <w:pPr>
        <w:autoSpaceDE w:val="0"/>
        <w:autoSpaceDN w:val="0"/>
        <w:spacing w:line="360" w:lineRule="auto"/>
        <w:ind w:firstLine="6120" w:firstLineChars="2550"/>
        <w:rPr>
          <w:rFonts w:ascii="宋体" w:hAnsi="宋体" w:cs="宋体"/>
          <w:color w:val="auto"/>
          <w:kern w:val="21"/>
          <w:sz w:val="24"/>
          <w:highlight w:val="none"/>
          <w:lang w:val="zh-CN"/>
        </w:rPr>
      </w:pPr>
    </w:p>
    <w:p w14:paraId="2A6EE640">
      <w:pPr>
        <w:pStyle w:val="2"/>
        <w:rPr>
          <w:lang w:val="zh-CN"/>
        </w:rPr>
      </w:pPr>
    </w:p>
    <w:p w14:paraId="0354D076">
      <w:pPr>
        <w:autoSpaceDE w:val="0"/>
        <w:autoSpaceDN w:val="0"/>
        <w:spacing w:line="360" w:lineRule="auto"/>
        <w:ind w:firstLine="6120" w:firstLineChars="2550"/>
        <w:rPr>
          <w:rFonts w:ascii="宋体" w:hAnsi="宋体" w:cs="宋体"/>
          <w:color w:val="auto"/>
          <w:kern w:val="21"/>
          <w:sz w:val="24"/>
          <w:highlight w:val="none"/>
          <w:lang w:val="zh-CN"/>
        </w:rPr>
      </w:pPr>
    </w:p>
    <w:p w14:paraId="6ED57A28">
      <w:pPr>
        <w:snapToGrid w:val="0"/>
        <w:spacing w:line="360" w:lineRule="auto"/>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八、符合特定资格条件（如果项目要求）的有关证明材料（复印件）</w:t>
      </w:r>
    </w:p>
    <w:p w14:paraId="131046CF">
      <w:pPr>
        <w:snapToGrid w:val="0"/>
        <w:spacing w:line="360" w:lineRule="auto"/>
        <w:ind w:firstLine="602" w:firstLineChars="200"/>
        <w:rPr>
          <w:rFonts w:ascii="宋体" w:hAnsi="宋体" w:cs="宋体"/>
          <w:b/>
          <w:color w:val="auto"/>
          <w:kern w:val="21"/>
          <w:sz w:val="30"/>
          <w:szCs w:val="30"/>
          <w:highlight w:val="none"/>
        </w:rPr>
      </w:pPr>
    </w:p>
    <w:p w14:paraId="572AF813">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2D229A44">
      <w:pPr>
        <w:autoSpaceDE w:val="0"/>
        <w:autoSpaceDN w:val="0"/>
        <w:spacing w:line="360" w:lineRule="auto"/>
        <w:ind w:firstLine="6480" w:firstLineChars="2700"/>
        <w:rPr>
          <w:rFonts w:ascii="宋体" w:hAnsi="宋体" w:cs="宋体"/>
          <w:color w:val="auto"/>
          <w:kern w:val="21"/>
          <w:sz w:val="24"/>
          <w:highlight w:val="none"/>
          <w:lang w:val="zh-CN"/>
        </w:rPr>
        <w:sectPr>
          <w:pgSz w:w="11911" w:h="16838"/>
          <w:pgMar w:top="1440" w:right="1440" w:bottom="1440" w:left="1440" w:header="720" w:footer="720" w:gutter="0"/>
          <w:cols w:space="720" w:num="1"/>
        </w:sectPr>
      </w:pPr>
      <w:r>
        <w:rPr>
          <w:rFonts w:hint="eastAsia" w:ascii="宋体" w:hAnsi="宋体" w:cs="宋体"/>
          <w:color w:val="auto"/>
          <w:kern w:val="21"/>
          <w:sz w:val="24"/>
          <w:highlight w:val="none"/>
          <w:lang w:val="zh-CN"/>
        </w:rPr>
        <w:t>日期：  年  月   日</w:t>
      </w:r>
    </w:p>
    <w:p w14:paraId="42B04574">
      <w:pPr>
        <w:pStyle w:val="4"/>
        <w:jc w:val="center"/>
        <w:rPr>
          <w:rFonts w:ascii="宋体" w:hAnsi="宋体" w:cs="宋体"/>
          <w:color w:val="auto"/>
          <w:kern w:val="21"/>
          <w:highlight w:val="none"/>
        </w:rPr>
      </w:pPr>
      <w:bookmarkStart w:id="81" w:name="_Toc32331"/>
      <w:bookmarkStart w:id="82" w:name="_Toc80205940"/>
      <w:bookmarkStart w:id="83" w:name="_Toc5917"/>
      <w:r>
        <w:rPr>
          <w:rFonts w:hint="eastAsia" w:ascii="宋体" w:hAnsi="宋体" w:cs="宋体"/>
          <w:color w:val="auto"/>
          <w:kern w:val="21"/>
          <w:highlight w:val="none"/>
        </w:rPr>
        <w:t>第三节 商务技术文件格式</w:t>
      </w:r>
      <w:bookmarkEnd w:id="81"/>
      <w:bookmarkEnd w:id="82"/>
      <w:bookmarkEnd w:id="83"/>
    </w:p>
    <w:p w14:paraId="7BAAD565">
      <w:pPr>
        <w:snapToGrid w:val="0"/>
        <w:spacing w:before="120" w:beforeLines="50" w:after="50"/>
        <w:rPr>
          <w:rFonts w:ascii="宋体" w:hAnsi="宋体" w:cs="宋体"/>
          <w:bCs/>
          <w:color w:val="auto"/>
          <w:kern w:val="21"/>
          <w:sz w:val="32"/>
          <w:szCs w:val="20"/>
          <w:highlight w:val="none"/>
        </w:rPr>
      </w:pPr>
      <w:r>
        <w:rPr>
          <w:rFonts w:hint="eastAsia" w:ascii="宋体" w:hAnsi="宋体" w:cs="宋体"/>
          <w:color w:val="auto"/>
          <w:kern w:val="21"/>
          <w:sz w:val="24"/>
          <w:highlight w:val="none"/>
        </w:rPr>
        <w:t xml:space="preserve">                                                    </w:t>
      </w:r>
      <w:r>
        <w:rPr>
          <w:rFonts w:hint="eastAsia" w:ascii="宋体" w:hAnsi="宋体" w:cs="宋体"/>
          <w:bCs/>
          <w:color w:val="auto"/>
          <w:kern w:val="21"/>
          <w:highlight w:val="none"/>
        </w:rPr>
        <w:t>全流程电子文件</w:t>
      </w:r>
    </w:p>
    <w:p w14:paraId="103A5829">
      <w:pPr>
        <w:snapToGrid w:val="0"/>
        <w:spacing w:before="120" w:beforeLines="50" w:after="50"/>
        <w:rPr>
          <w:rFonts w:ascii="宋体" w:hAnsi="宋体" w:cs="宋体"/>
          <w:color w:val="auto"/>
          <w:kern w:val="21"/>
          <w:sz w:val="24"/>
          <w:szCs w:val="20"/>
          <w:highlight w:val="none"/>
        </w:rPr>
      </w:pPr>
    </w:p>
    <w:p w14:paraId="4D591207">
      <w:pPr>
        <w:snapToGrid w:val="0"/>
        <w:spacing w:before="120" w:beforeLines="50" w:after="50"/>
        <w:rPr>
          <w:rFonts w:ascii="宋体" w:hAnsi="宋体" w:cs="宋体"/>
          <w:color w:val="auto"/>
          <w:kern w:val="21"/>
          <w:sz w:val="24"/>
          <w:szCs w:val="20"/>
          <w:highlight w:val="none"/>
        </w:rPr>
      </w:pPr>
    </w:p>
    <w:p w14:paraId="2F8F4287">
      <w:pPr>
        <w:snapToGrid w:val="0"/>
        <w:spacing w:before="120" w:beforeLines="50" w:after="50"/>
        <w:rPr>
          <w:rFonts w:ascii="宋体" w:hAnsi="宋体" w:cs="宋体"/>
          <w:color w:val="auto"/>
          <w:kern w:val="21"/>
          <w:sz w:val="24"/>
          <w:szCs w:val="20"/>
          <w:highlight w:val="none"/>
        </w:rPr>
      </w:pPr>
    </w:p>
    <w:p w14:paraId="0DECA406">
      <w:pPr>
        <w:snapToGrid w:val="0"/>
        <w:spacing w:before="120" w:beforeLines="50" w:after="50"/>
        <w:jc w:val="center"/>
        <w:rPr>
          <w:rFonts w:ascii="宋体" w:hAnsi="宋体" w:cs="宋体"/>
          <w:bCs/>
          <w:color w:val="auto"/>
          <w:kern w:val="21"/>
          <w:sz w:val="44"/>
          <w:szCs w:val="44"/>
          <w:highlight w:val="none"/>
        </w:rPr>
      </w:pPr>
      <w:r>
        <w:rPr>
          <w:rFonts w:hint="eastAsia" w:ascii="宋体" w:hAnsi="宋体" w:cs="宋体"/>
          <w:bCs/>
          <w:color w:val="auto"/>
          <w:kern w:val="21"/>
          <w:sz w:val="44"/>
          <w:szCs w:val="44"/>
          <w:highlight w:val="none"/>
        </w:rPr>
        <w:t>商  务  技  术  文  件（封面）</w:t>
      </w:r>
    </w:p>
    <w:p w14:paraId="079EAAC5">
      <w:pPr>
        <w:snapToGrid w:val="0"/>
        <w:spacing w:before="120" w:beforeLines="50" w:after="50"/>
        <w:rPr>
          <w:rFonts w:ascii="宋体" w:hAnsi="宋体" w:cs="宋体"/>
          <w:bCs/>
          <w:color w:val="auto"/>
          <w:kern w:val="21"/>
          <w:sz w:val="24"/>
          <w:szCs w:val="20"/>
          <w:highlight w:val="none"/>
        </w:rPr>
      </w:pPr>
    </w:p>
    <w:p w14:paraId="105AFBE4">
      <w:pPr>
        <w:snapToGrid w:val="0"/>
        <w:spacing w:before="120" w:beforeLines="50" w:after="50"/>
        <w:rPr>
          <w:rFonts w:ascii="宋体" w:hAnsi="宋体" w:cs="宋体"/>
          <w:bCs/>
          <w:color w:val="auto"/>
          <w:kern w:val="21"/>
          <w:sz w:val="24"/>
          <w:szCs w:val="20"/>
          <w:highlight w:val="none"/>
        </w:rPr>
      </w:pPr>
    </w:p>
    <w:p w14:paraId="76FAEAC6">
      <w:pPr>
        <w:snapToGrid w:val="0"/>
        <w:spacing w:before="120" w:beforeLines="50" w:after="50"/>
        <w:rPr>
          <w:rFonts w:ascii="宋体" w:hAnsi="宋体" w:cs="宋体"/>
          <w:bCs/>
          <w:color w:val="auto"/>
          <w:kern w:val="21"/>
          <w:sz w:val="24"/>
          <w:szCs w:val="20"/>
          <w:highlight w:val="none"/>
        </w:rPr>
      </w:pPr>
    </w:p>
    <w:p w14:paraId="1F9D2E37">
      <w:pPr>
        <w:snapToGrid w:val="0"/>
        <w:spacing w:before="120" w:beforeLines="50" w:after="50"/>
        <w:rPr>
          <w:rFonts w:ascii="宋体" w:hAnsi="宋体" w:cs="宋体"/>
          <w:bCs/>
          <w:color w:val="auto"/>
          <w:kern w:val="21"/>
          <w:sz w:val="24"/>
          <w:szCs w:val="20"/>
          <w:highlight w:val="none"/>
        </w:rPr>
      </w:pPr>
    </w:p>
    <w:p w14:paraId="1A4E9EF2">
      <w:pPr>
        <w:snapToGrid w:val="0"/>
        <w:spacing w:before="120" w:beforeLines="50" w:after="50"/>
        <w:rPr>
          <w:rFonts w:ascii="宋体" w:hAnsi="宋体" w:cs="宋体"/>
          <w:bCs/>
          <w:color w:val="auto"/>
          <w:kern w:val="21"/>
          <w:sz w:val="24"/>
          <w:szCs w:val="20"/>
          <w:highlight w:val="none"/>
        </w:rPr>
      </w:pPr>
    </w:p>
    <w:p w14:paraId="3B1C494E">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6EF2A0A8">
      <w:pPr>
        <w:snapToGrid w:val="0"/>
        <w:spacing w:before="120" w:beforeLines="50" w:after="50"/>
        <w:ind w:firstLine="720" w:firstLineChars="225"/>
        <w:rPr>
          <w:rFonts w:ascii="宋体" w:hAnsi="宋体" w:cs="宋体"/>
          <w:bCs/>
          <w:color w:val="auto"/>
          <w:kern w:val="21"/>
          <w:sz w:val="32"/>
          <w:szCs w:val="32"/>
          <w:highlight w:val="none"/>
        </w:rPr>
      </w:pPr>
    </w:p>
    <w:p w14:paraId="38034327">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6E737764">
      <w:pPr>
        <w:snapToGrid w:val="0"/>
        <w:spacing w:before="120" w:beforeLines="50" w:after="50"/>
        <w:ind w:firstLine="720" w:firstLineChars="225"/>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 xml:space="preserve"> </w:t>
      </w:r>
    </w:p>
    <w:p w14:paraId="32C138AE">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435F4D63">
      <w:pPr>
        <w:snapToGrid w:val="0"/>
        <w:spacing w:before="120" w:beforeLines="50" w:after="50"/>
        <w:ind w:firstLine="720" w:firstLineChars="225"/>
        <w:rPr>
          <w:rFonts w:ascii="宋体" w:hAnsi="宋体" w:cs="宋体"/>
          <w:bCs/>
          <w:color w:val="auto"/>
          <w:kern w:val="21"/>
          <w:sz w:val="32"/>
          <w:szCs w:val="32"/>
          <w:highlight w:val="none"/>
        </w:rPr>
      </w:pPr>
    </w:p>
    <w:p w14:paraId="4E77FA00">
      <w:pPr>
        <w:pStyle w:val="8"/>
        <w:snapToGrid w:val="0"/>
        <w:spacing w:before="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2E58081F">
      <w:pPr>
        <w:pStyle w:val="8"/>
        <w:snapToGrid w:val="0"/>
        <w:spacing w:before="50" w:after="50"/>
        <w:ind w:firstLine="720" w:firstLineChars="225"/>
        <w:rPr>
          <w:rFonts w:ascii="宋体" w:hAnsi="宋体" w:cs="宋体"/>
          <w:bCs/>
          <w:color w:val="auto"/>
          <w:kern w:val="21"/>
          <w:sz w:val="32"/>
          <w:szCs w:val="32"/>
          <w:highlight w:val="none"/>
        </w:rPr>
      </w:pPr>
    </w:p>
    <w:p w14:paraId="449F8F65">
      <w:pPr>
        <w:pStyle w:val="8"/>
        <w:snapToGrid w:val="0"/>
        <w:spacing w:before="50" w:after="50"/>
        <w:ind w:firstLine="720" w:firstLineChars="225"/>
        <w:rPr>
          <w:rFonts w:ascii="宋体" w:hAnsi="宋体" w:cs="宋体"/>
          <w:bCs/>
          <w:color w:val="auto"/>
          <w:kern w:val="21"/>
          <w:sz w:val="32"/>
          <w:szCs w:val="32"/>
          <w:highlight w:val="none"/>
        </w:rPr>
      </w:pPr>
    </w:p>
    <w:p w14:paraId="11C3887B">
      <w:pPr>
        <w:pStyle w:val="8"/>
        <w:snapToGrid w:val="0"/>
        <w:spacing w:before="50" w:after="50"/>
        <w:ind w:firstLine="1280" w:firstLineChars="400"/>
        <w:rPr>
          <w:rFonts w:ascii="宋体" w:hAnsi="宋体" w:cs="宋体"/>
          <w:bCs/>
          <w:color w:val="auto"/>
          <w:kern w:val="21"/>
          <w:sz w:val="32"/>
          <w:szCs w:val="32"/>
          <w:highlight w:val="none"/>
        </w:rPr>
      </w:pPr>
    </w:p>
    <w:p w14:paraId="45CAB795">
      <w:pPr>
        <w:snapToGrid w:val="0"/>
        <w:spacing w:before="120" w:beforeLines="50" w:after="50"/>
        <w:jc w:val="center"/>
        <w:rPr>
          <w:rFonts w:ascii="宋体" w:hAnsi="宋体" w:cs="宋体"/>
          <w:color w:val="auto"/>
          <w:kern w:val="21"/>
          <w:sz w:val="32"/>
          <w:szCs w:val="32"/>
          <w:highlight w:val="none"/>
        </w:rPr>
      </w:pPr>
      <w:r>
        <w:rPr>
          <w:rFonts w:hint="eastAsia" w:ascii="宋体" w:hAnsi="宋体" w:cs="宋体"/>
          <w:color w:val="auto"/>
          <w:kern w:val="21"/>
          <w:sz w:val="32"/>
          <w:szCs w:val="32"/>
          <w:highlight w:val="none"/>
        </w:rPr>
        <w:t>年    月    日</w:t>
      </w:r>
    </w:p>
    <w:p w14:paraId="6672F6F0">
      <w:pPr>
        <w:snapToGrid w:val="0"/>
        <w:spacing w:before="120" w:beforeLines="50" w:after="50" w:line="360" w:lineRule="auto"/>
        <w:ind w:left="142" w:firstLine="643" w:firstLineChars="200"/>
        <w:jc w:val="left"/>
        <w:rPr>
          <w:rFonts w:ascii="宋体" w:hAnsi="宋体" w:cs="宋体"/>
          <w:b/>
          <w:bCs/>
          <w:color w:val="auto"/>
          <w:kern w:val="21"/>
          <w:sz w:val="32"/>
          <w:szCs w:val="32"/>
          <w:highlight w:val="none"/>
        </w:rPr>
        <w:sectPr>
          <w:pgSz w:w="11911" w:h="16838"/>
          <w:pgMar w:top="1440" w:right="1440" w:bottom="1440" w:left="1440" w:header="720" w:footer="720" w:gutter="0"/>
          <w:cols w:space="720" w:num="1"/>
        </w:sectPr>
      </w:pPr>
    </w:p>
    <w:p w14:paraId="15044802">
      <w:pPr>
        <w:jc w:val="center"/>
        <w:rPr>
          <w:rFonts w:ascii="宋体" w:hAnsi="宋体" w:cs="宋体"/>
          <w:b/>
          <w:color w:val="auto"/>
          <w:kern w:val="21"/>
          <w:sz w:val="28"/>
          <w:szCs w:val="28"/>
          <w:highlight w:val="none"/>
        </w:rPr>
      </w:pPr>
      <w:r>
        <w:rPr>
          <w:rFonts w:hint="eastAsia" w:ascii="宋体" w:hAnsi="宋体" w:cs="宋体"/>
          <w:b/>
          <w:color w:val="auto"/>
          <w:kern w:val="21"/>
          <w:sz w:val="28"/>
          <w:szCs w:val="28"/>
          <w:highlight w:val="none"/>
        </w:rPr>
        <w:t>商务技术文件目录</w:t>
      </w:r>
    </w:p>
    <w:p w14:paraId="483E4E59">
      <w:pPr>
        <w:jc w:val="center"/>
        <w:rPr>
          <w:rFonts w:ascii="宋体" w:hAnsi="宋体" w:cs="宋体"/>
          <w:b/>
          <w:color w:val="auto"/>
          <w:kern w:val="21"/>
          <w:sz w:val="28"/>
          <w:szCs w:val="28"/>
          <w:highlight w:val="none"/>
        </w:rPr>
      </w:pPr>
    </w:p>
    <w:p w14:paraId="1B3C35DA">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一、无串标行为承诺函………………………………………………………（页码）</w:t>
      </w:r>
    </w:p>
    <w:p w14:paraId="7C8D38B9">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二、法定代表人身份证明及法定代表人有效身份证正反面复印件………（页码）</w:t>
      </w:r>
    </w:p>
    <w:p w14:paraId="2F192424">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三、法定代表人授权委托书（如有委托时）………………………………（页码）</w:t>
      </w:r>
    </w:p>
    <w:p w14:paraId="78C16CF2">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四、</w:t>
      </w:r>
      <w:r>
        <w:rPr>
          <w:rFonts w:hint="eastAsia" w:ascii="宋体" w:hAnsi="宋体" w:eastAsia="宋体" w:cs="宋体"/>
          <w:color w:val="auto"/>
          <w:kern w:val="21"/>
          <w:highlight w:val="none"/>
          <w:lang w:val="zh-CN"/>
        </w:rPr>
        <w:t>商务条款偏离表………………………………</w:t>
      </w:r>
      <w:r>
        <w:rPr>
          <w:rFonts w:hint="eastAsia" w:ascii="宋体" w:hAnsi="宋体" w:eastAsia="宋体" w:cs="宋体"/>
          <w:color w:val="auto"/>
          <w:kern w:val="21"/>
          <w:highlight w:val="none"/>
        </w:rPr>
        <w:t>…………………………（页码）</w:t>
      </w:r>
    </w:p>
    <w:p w14:paraId="12D7C2F7">
      <w:pPr>
        <w:pStyle w:val="82"/>
        <w:spacing w:line="360" w:lineRule="auto"/>
        <w:rPr>
          <w:rFonts w:ascii="宋体" w:hAnsi="宋体" w:eastAsia="宋体" w:cs="宋体"/>
          <w:color w:val="auto"/>
          <w:kern w:val="21"/>
          <w:highlight w:val="none"/>
        </w:rPr>
      </w:pPr>
      <w:bookmarkStart w:id="84" w:name="OLE_LINK7"/>
      <w:bookmarkStart w:id="85" w:name="OLE_LINK6"/>
      <w:bookmarkStart w:id="86" w:name="OLE_LINK5"/>
      <w:r>
        <w:rPr>
          <w:rFonts w:hint="eastAsia" w:ascii="宋体" w:hAnsi="宋体" w:eastAsia="宋体" w:cs="宋体"/>
          <w:color w:val="auto"/>
          <w:kern w:val="21"/>
          <w:highlight w:val="none"/>
        </w:rPr>
        <w:t>五、磋商保证金的相关证明复印件</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6B278C7D">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六、竞标人情况介绍</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66C689E8">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七、供应商类似业绩的证明文件（如有要求）</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bookmarkEnd w:id="84"/>
      <w:bookmarkEnd w:id="85"/>
    </w:p>
    <w:bookmarkEnd w:id="86"/>
    <w:p w14:paraId="409F23A2">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八、服务需求偏离表…………………………………………………………（页码）</w:t>
      </w:r>
    </w:p>
    <w:p w14:paraId="6CBFF45D">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九、技术服务方案……………………………………………………………（页码）</w:t>
      </w:r>
    </w:p>
    <w:p w14:paraId="71556D92">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十、售后服务方案………………………………</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007F98D2">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十一、</w:t>
      </w:r>
      <w:r>
        <w:rPr>
          <w:rFonts w:hint="eastAsia" w:ascii="宋体" w:hAnsi="宋体" w:eastAsia="宋体" w:cs="宋体"/>
          <w:color w:val="auto"/>
          <w:kern w:val="21"/>
          <w:highlight w:val="none"/>
          <w:lang w:val="zh-CN"/>
        </w:rPr>
        <w:t>项目实施人员一览表……………………………</w:t>
      </w:r>
      <w:r>
        <w:rPr>
          <w:rFonts w:hint="eastAsia" w:ascii="宋体" w:hAnsi="宋体" w:eastAsia="宋体" w:cs="宋体"/>
          <w:color w:val="auto"/>
          <w:kern w:val="21"/>
          <w:highlight w:val="none"/>
        </w:rPr>
        <w:t>……………………（页码）</w:t>
      </w:r>
    </w:p>
    <w:p w14:paraId="2D85C9E2">
      <w:pPr>
        <w:pStyle w:val="82"/>
        <w:spacing w:line="360" w:lineRule="auto"/>
        <w:rPr>
          <w:rFonts w:ascii="宋体" w:hAnsi="宋体" w:eastAsia="宋体" w:cs="宋体"/>
          <w:color w:val="auto"/>
          <w:kern w:val="21"/>
          <w:highlight w:val="none"/>
        </w:rPr>
      </w:pPr>
      <w:r>
        <w:rPr>
          <w:rFonts w:hint="eastAsia" w:ascii="宋体" w:hAnsi="宋体" w:eastAsia="宋体" w:cs="宋体"/>
          <w:color w:val="auto"/>
          <w:kern w:val="21"/>
          <w:highlight w:val="none"/>
        </w:rPr>
        <w:t>十二、服务需求、商务条款要求提供的其他材料</w:t>
      </w:r>
      <w:r>
        <w:rPr>
          <w:rFonts w:hint="eastAsia" w:ascii="宋体" w:hAnsi="宋体" w:eastAsia="宋体" w:cs="宋体"/>
          <w:color w:val="auto"/>
          <w:kern w:val="21"/>
          <w:highlight w:val="none"/>
          <w:lang w:val="zh-CN"/>
        </w:rPr>
        <w:t>…………………</w:t>
      </w:r>
      <w:r>
        <w:rPr>
          <w:rFonts w:hint="eastAsia" w:ascii="宋体" w:hAnsi="宋体" w:eastAsia="宋体" w:cs="宋体"/>
          <w:color w:val="auto"/>
          <w:kern w:val="21"/>
          <w:highlight w:val="none"/>
        </w:rPr>
        <w:t>………（页码）</w:t>
      </w:r>
    </w:p>
    <w:p w14:paraId="3486D584">
      <w:pPr>
        <w:spacing w:line="360" w:lineRule="auto"/>
        <w:rPr>
          <w:rFonts w:ascii="宋体" w:hAnsi="宋体" w:cs="宋体"/>
          <w:b/>
          <w:bCs/>
          <w:color w:val="auto"/>
          <w:kern w:val="21"/>
          <w:sz w:val="24"/>
          <w:highlight w:val="none"/>
        </w:rPr>
      </w:pPr>
      <w:r>
        <w:rPr>
          <w:rFonts w:hint="eastAsia" w:ascii="宋体" w:hAnsi="宋体" w:cs="宋体"/>
          <w:b/>
          <w:bCs/>
          <w:color w:val="auto"/>
          <w:kern w:val="21"/>
          <w:sz w:val="24"/>
          <w:highlight w:val="none"/>
        </w:rPr>
        <w:t>注：以上目录是基本格式要求，各供应商可根据自身情况进一步向下增加内容或细化。</w:t>
      </w:r>
    </w:p>
    <w:p w14:paraId="17F49C37">
      <w:pPr>
        <w:spacing w:line="400" w:lineRule="exact"/>
        <w:rPr>
          <w:rFonts w:ascii="宋体" w:hAnsi="宋体" w:cs="宋体"/>
          <w:color w:val="auto"/>
          <w:kern w:val="21"/>
          <w:sz w:val="32"/>
          <w:szCs w:val="32"/>
          <w:highlight w:val="none"/>
        </w:rPr>
      </w:pPr>
    </w:p>
    <w:p w14:paraId="17BB5C80">
      <w:pPr>
        <w:spacing w:line="520" w:lineRule="exact"/>
        <w:ind w:firstLine="880" w:firstLineChars="200"/>
        <w:rPr>
          <w:rFonts w:ascii="宋体" w:hAnsi="宋体" w:cs="宋体"/>
          <w:color w:val="auto"/>
          <w:kern w:val="21"/>
          <w:sz w:val="44"/>
          <w:szCs w:val="44"/>
          <w:highlight w:val="none"/>
        </w:rPr>
      </w:pPr>
      <w:r>
        <w:rPr>
          <w:rFonts w:hint="eastAsia" w:ascii="宋体" w:hAnsi="宋体" w:cs="宋体"/>
          <w:color w:val="auto"/>
          <w:kern w:val="21"/>
          <w:sz w:val="44"/>
          <w:szCs w:val="44"/>
          <w:highlight w:val="none"/>
        </w:rPr>
        <w:br w:type="page"/>
      </w:r>
      <w:r>
        <w:rPr>
          <w:rFonts w:hint="eastAsia" w:ascii="宋体" w:hAnsi="宋体" w:cs="宋体"/>
          <w:b/>
          <w:color w:val="auto"/>
          <w:kern w:val="21"/>
          <w:sz w:val="30"/>
          <w:szCs w:val="30"/>
          <w:highlight w:val="none"/>
        </w:rPr>
        <w:t>一、无串标行为承诺函</w:t>
      </w:r>
    </w:p>
    <w:p w14:paraId="6B5A9494">
      <w:pPr>
        <w:spacing w:line="520" w:lineRule="exact"/>
        <w:jc w:val="center"/>
        <w:rPr>
          <w:rFonts w:ascii="宋体" w:hAnsi="宋体" w:cs="宋体"/>
          <w:color w:val="auto"/>
          <w:kern w:val="21"/>
          <w:sz w:val="44"/>
          <w:szCs w:val="44"/>
          <w:highlight w:val="none"/>
        </w:rPr>
      </w:pPr>
    </w:p>
    <w:p w14:paraId="01380AFA">
      <w:pPr>
        <w:spacing w:line="520" w:lineRule="exact"/>
        <w:jc w:val="center"/>
        <w:rPr>
          <w:rFonts w:ascii="宋体" w:hAnsi="宋体" w:cs="宋体"/>
          <w:color w:val="auto"/>
          <w:kern w:val="21"/>
          <w:sz w:val="32"/>
          <w:szCs w:val="32"/>
          <w:highlight w:val="none"/>
        </w:rPr>
      </w:pPr>
      <w:r>
        <w:rPr>
          <w:rFonts w:hint="eastAsia" w:ascii="宋体" w:hAnsi="宋体" w:cs="宋体"/>
          <w:color w:val="auto"/>
          <w:kern w:val="21"/>
          <w:sz w:val="44"/>
          <w:szCs w:val="44"/>
          <w:highlight w:val="none"/>
        </w:rPr>
        <w:t>无串通竞标行为的承诺函</w:t>
      </w:r>
    </w:p>
    <w:p w14:paraId="5DD9CEE7">
      <w:pPr>
        <w:spacing w:line="520" w:lineRule="exact"/>
        <w:ind w:firstLine="640" w:firstLineChars="200"/>
        <w:rPr>
          <w:rFonts w:ascii="宋体" w:hAnsi="宋体" w:cs="宋体"/>
          <w:color w:val="auto"/>
          <w:kern w:val="21"/>
          <w:sz w:val="32"/>
          <w:szCs w:val="32"/>
          <w:highlight w:val="none"/>
        </w:rPr>
      </w:pPr>
    </w:p>
    <w:p w14:paraId="4409FF46">
      <w:pPr>
        <w:spacing w:line="360" w:lineRule="auto"/>
        <w:ind w:firstLine="482" w:firstLineChars="200"/>
        <w:contextualSpacing/>
        <w:rPr>
          <w:rFonts w:ascii="宋体" w:hAnsi="宋体" w:cs="宋体"/>
          <w:b/>
          <w:bCs/>
          <w:color w:val="auto"/>
          <w:kern w:val="21"/>
          <w:sz w:val="24"/>
          <w:highlight w:val="none"/>
        </w:rPr>
      </w:pPr>
      <w:r>
        <w:rPr>
          <w:rFonts w:hint="eastAsia" w:ascii="宋体" w:hAnsi="宋体" w:cs="宋体"/>
          <w:b/>
          <w:bCs/>
          <w:color w:val="auto"/>
          <w:kern w:val="21"/>
          <w:sz w:val="24"/>
          <w:highlight w:val="none"/>
        </w:rPr>
        <w:t>一、我方承诺无下列相互串通竞标的情形：</w:t>
      </w:r>
    </w:p>
    <w:p w14:paraId="68B31CEF">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1.</w:t>
      </w:r>
      <w:r>
        <w:rPr>
          <w:rFonts w:hint="eastAsia" w:ascii="宋体" w:hAnsi="宋体" w:cs="宋体"/>
          <w:color w:val="auto"/>
          <w:kern w:val="21"/>
          <w:highlight w:val="none"/>
        </w:rPr>
        <w:t xml:space="preserve"> </w:t>
      </w:r>
      <w:r>
        <w:rPr>
          <w:rFonts w:hint="eastAsia" w:ascii="宋体" w:hAnsi="宋体" w:cs="宋体"/>
          <w:color w:val="auto"/>
          <w:kern w:val="21"/>
          <w:sz w:val="24"/>
          <w:highlight w:val="none"/>
        </w:rPr>
        <w:t xml:space="preserve">不同供应商的响应文件由同一单位或者个人编制；或者不同供应商报名的IP地址一致的；或者编制响应文件硬件设备CPU编号、硬盘编号、网卡地址一致的情况； </w:t>
      </w:r>
    </w:p>
    <w:p w14:paraId="72D60267">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2.不同供应商委托同一单位或者个人办理竞标事宜；</w:t>
      </w:r>
    </w:p>
    <w:p w14:paraId="063E0E13">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3.不同供应商的响应文件载明的项目管理员为同一个人；</w:t>
      </w:r>
    </w:p>
    <w:p w14:paraId="52FC13EE">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4.不同供应商的响应文件异常一致或者响应报价呈规律性差异；</w:t>
      </w:r>
    </w:p>
    <w:p w14:paraId="47649CDD">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5.不同供应商的响应文件相互混装；</w:t>
      </w:r>
    </w:p>
    <w:p w14:paraId="460B58B6">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6.不同供应商的磋商保证金从同一单位或者个人账户转出。</w:t>
      </w:r>
    </w:p>
    <w:p w14:paraId="45609DB1">
      <w:pPr>
        <w:spacing w:line="360" w:lineRule="auto"/>
        <w:ind w:firstLine="482" w:firstLineChars="200"/>
        <w:contextualSpacing/>
        <w:rPr>
          <w:rFonts w:ascii="宋体" w:hAnsi="宋体" w:cs="宋体"/>
          <w:b/>
          <w:bCs/>
          <w:color w:val="auto"/>
          <w:kern w:val="21"/>
          <w:sz w:val="24"/>
          <w:highlight w:val="none"/>
        </w:rPr>
      </w:pPr>
      <w:r>
        <w:rPr>
          <w:rFonts w:hint="eastAsia" w:ascii="宋体" w:hAnsi="宋体" w:cs="宋体"/>
          <w:b/>
          <w:bCs/>
          <w:color w:val="auto"/>
          <w:kern w:val="21"/>
          <w:sz w:val="24"/>
          <w:highlight w:val="none"/>
        </w:rPr>
        <w:t>二、我方承诺无下列恶意串通的情形：</w:t>
      </w:r>
    </w:p>
    <w:p w14:paraId="7AB0718E">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1.供应商直接或者间接从采购人或者采购代理机构处获得其他供应商的相关信息并修改其响应文件；</w:t>
      </w:r>
    </w:p>
    <w:p w14:paraId="74F1759C">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2.供应商按照采购人或者采购代理机构的授意撤换、修改响应文件；</w:t>
      </w:r>
    </w:p>
    <w:p w14:paraId="1D09FDD4">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3.供应商之间协商报价、技术方案等响应文件的实质性内容；</w:t>
      </w:r>
    </w:p>
    <w:p w14:paraId="0B0D1AD8">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4.属于同一集团、协会、商会等组织成员的供应商按照该组织要求协同参加政府采购活动；</w:t>
      </w:r>
    </w:p>
    <w:p w14:paraId="0E46FC8B">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5.供应商之间事先约定一致抬高或者压低响应报价，或者在竞争性磋商项目中事先约定轮流以高价位或者低价位成交，或者事先约定由某一特定供应商成交，然后再参加竞标；</w:t>
      </w:r>
    </w:p>
    <w:p w14:paraId="44BF5E1E">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6.供应商之间商定部分供应商放弃参加政府采购活动或者放弃成交；</w:t>
      </w:r>
    </w:p>
    <w:p w14:paraId="46E5926B">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7.供应商与采购人或者采购代理机构之间、供应商相互之间，为谋求特定供应商成交或者排斥其他供应商的其他串通行为。</w:t>
      </w:r>
    </w:p>
    <w:p w14:paraId="155D4E01">
      <w:pPr>
        <w:spacing w:line="360" w:lineRule="auto"/>
        <w:ind w:firstLine="482" w:firstLineChars="200"/>
        <w:contextualSpacing/>
        <w:rPr>
          <w:rFonts w:ascii="宋体" w:hAnsi="宋体" w:cs="宋体"/>
          <w:b/>
          <w:bCs/>
          <w:color w:val="auto"/>
          <w:kern w:val="21"/>
          <w:sz w:val="24"/>
          <w:highlight w:val="none"/>
        </w:rPr>
      </w:pPr>
      <w:r>
        <w:rPr>
          <w:rFonts w:hint="eastAsia" w:ascii="宋体" w:hAnsi="宋体" w:cs="宋体"/>
          <w:b/>
          <w:bCs/>
          <w:color w:val="auto"/>
          <w:kern w:val="21"/>
          <w:sz w:val="24"/>
          <w:highlight w:val="none"/>
        </w:rPr>
        <w:t>以上情形一经核查属实，接受政府采购监管部门对我方认定存在围标串标行为，我方愿意承担一切后果，并不再寻求任何旨在减轻或者免除法律责任的辩解。</w:t>
      </w:r>
    </w:p>
    <w:p w14:paraId="1002E29C">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18AE6C41">
      <w:pPr>
        <w:spacing w:line="520" w:lineRule="exact"/>
        <w:ind w:left="239" w:leftChars="114" w:firstLine="6120" w:firstLineChars="2550"/>
        <w:jc w:val="left"/>
        <w:rPr>
          <w:rFonts w:ascii="宋体" w:hAnsi="宋体" w:cs="宋体"/>
          <w:bCs/>
          <w:color w:val="auto"/>
          <w:kern w:val="21"/>
          <w:sz w:val="44"/>
          <w:szCs w:val="44"/>
          <w:highlight w:val="none"/>
        </w:rPr>
      </w:pPr>
      <w:r>
        <w:rPr>
          <w:rFonts w:hint="eastAsia" w:ascii="宋体" w:hAnsi="宋体" w:cs="宋体"/>
          <w:color w:val="auto"/>
          <w:kern w:val="21"/>
          <w:sz w:val="24"/>
          <w:highlight w:val="none"/>
          <w:lang w:val="zh-CN"/>
        </w:rPr>
        <w:t xml:space="preserve">日期：  年  月   日   </w:t>
      </w:r>
      <w:r>
        <w:rPr>
          <w:rFonts w:hint="eastAsia" w:ascii="宋体" w:hAnsi="宋体" w:cs="宋体"/>
          <w:b/>
          <w:bCs/>
          <w:color w:val="auto"/>
          <w:kern w:val="21"/>
          <w:sz w:val="32"/>
          <w:szCs w:val="32"/>
          <w:highlight w:val="none"/>
        </w:rPr>
        <w:br w:type="page"/>
      </w:r>
      <w:r>
        <w:rPr>
          <w:rFonts w:hint="eastAsia" w:ascii="宋体" w:hAnsi="宋体" w:cs="宋体"/>
          <w:b/>
          <w:color w:val="auto"/>
          <w:kern w:val="21"/>
          <w:sz w:val="30"/>
          <w:szCs w:val="30"/>
          <w:highlight w:val="none"/>
        </w:rPr>
        <w:t>二、法定代表人身份证明及法定代表人有效身份证正反面复印件</w:t>
      </w:r>
    </w:p>
    <w:p w14:paraId="1DE8F481">
      <w:pPr>
        <w:spacing w:line="520" w:lineRule="exact"/>
        <w:jc w:val="center"/>
        <w:rPr>
          <w:rFonts w:ascii="宋体" w:hAnsi="宋体" w:cs="宋体"/>
          <w:bCs/>
          <w:color w:val="auto"/>
          <w:kern w:val="21"/>
          <w:sz w:val="44"/>
          <w:szCs w:val="44"/>
          <w:highlight w:val="none"/>
        </w:rPr>
      </w:pPr>
    </w:p>
    <w:p w14:paraId="46AC3C64">
      <w:pPr>
        <w:spacing w:line="520" w:lineRule="exact"/>
        <w:jc w:val="center"/>
        <w:rPr>
          <w:rFonts w:ascii="宋体" w:hAnsi="宋体" w:cs="宋体"/>
          <w:color w:val="auto"/>
          <w:kern w:val="21"/>
          <w:sz w:val="32"/>
          <w:szCs w:val="32"/>
          <w:highlight w:val="none"/>
        </w:rPr>
      </w:pPr>
      <w:r>
        <w:rPr>
          <w:rFonts w:hint="eastAsia" w:ascii="宋体" w:hAnsi="宋体" w:cs="宋体"/>
          <w:bCs/>
          <w:color w:val="auto"/>
          <w:kern w:val="21"/>
          <w:sz w:val="44"/>
          <w:szCs w:val="44"/>
          <w:highlight w:val="none"/>
        </w:rPr>
        <w:t>法定代表人证明书</w:t>
      </w:r>
    </w:p>
    <w:p w14:paraId="594CBC93">
      <w:pPr>
        <w:spacing w:line="360" w:lineRule="auto"/>
        <w:ind w:left="540"/>
        <w:contextualSpacing/>
        <w:rPr>
          <w:rFonts w:ascii="宋体" w:hAnsi="宋体" w:cs="宋体"/>
          <w:color w:val="auto"/>
          <w:kern w:val="21"/>
          <w:sz w:val="32"/>
          <w:szCs w:val="32"/>
          <w:highlight w:val="none"/>
        </w:rPr>
      </w:pPr>
    </w:p>
    <w:p w14:paraId="7EC51B11">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供应商名称：</w:t>
      </w:r>
      <w:r>
        <w:rPr>
          <w:rFonts w:hint="eastAsia" w:ascii="宋体" w:hAnsi="宋体" w:cs="宋体"/>
          <w:color w:val="auto"/>
          <w:kern w:val="21"/>
          <w:sz w:val="24"/>
          <w:highlight w:val="none"/>
          <w:u w:val="single"/>
        </w:rPr>
        <w:t xml:space="preserve">                                                        </w:t>
      </w:r>
    </w:p>
    <w:p w14:paraId="5D8AC7EE">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地    址：</w:t>
      </w:r>
      <w:r>
        <w:rPr>
          <w:rFonts w:hint="eastAsia" w:ascii="宋体" w:hAnsi="宋体" w:cs="宋体"/>
          <w:color w:val="auto"/>
          <w:kern w:val="21"/>
          <w:sz w:val="24"/>
          <w:highlight w:val="none"/>
          <w:u w:val="single"/>
        </w:rPr>
        <w:t xml:space="preserve">                                                        </w:t>
      </w:r>
    </w:p>
    <w:p w14:paraId="1F7EAE9D">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姓    名：</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性     别：</w:t>
      </w:r>
      <w:r>
        <w:rPr>
          <w:rFonts w:hint="eastAsia" w:ascii="宋体" w:hAnsi="宋体" w:cs="宋体"/>
          <w:color w:val="auto"/>
          <w:kern w:val="21"/>
          <w:sz w:val="24"/>
          <w:highlight w:val="none"/>
          <w:u w:val="single"/>
        </w:rPr>
        <w:t xml:space="preserve">                </w:t>
      </w:r>
    </w:p>
    <w:p w14:paraId="6371D28B">
      <w:pPr>
        <w:spacing w:line="360" w:lineRule="auto"/>
        <w:ind w:firstLine="480" w:firstLineChars="200"/>
        <w:contextualSpacing/>
        <w:rPr>
          <w:rFonts w:ascii="宋体" w:hAnsi="宋体" w:cs="宋体"/>
          <w:color w:val="auto"/>
          <w:kern w:val="21"/>
          <w:sz w:val="24"/>
          <w:highlight w:val="none"/>
          <w:u w:val="single"/>
        </w:rPr>
      </w:pPr>
      <w:r>
        <w:rPr>
          <w:rFonts w:hint="eastAsia" w:ascii="宋体" w:hAnsi="宋体" w:cs="宋体"/>
          <w:color w:val="auto"/>
          <w:kern w:val="21"/>
          <w:sz w:val="24"/>
          <w:highlight w:val="none"/>
        </w:rPr>
        <w:t>年    龄：</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职     务：</w:t>
      </w:r>
      <w:r>
        <w:rPr>
          <w:rFonts w:hint="eastAsia" w:ascii="宋体" w:hAnsi="宋体" w:cs="宋体"/>
          <w:color w:val="auto"/>
          <w:kern w:val="21"/>
          <w:sz w:val="24"/>
          <w:highlight w:val="none"/>
          <w:u w:val="single"/>
        </w:rPr>
        <w:t xml:space="preserve">                </w:t>
      </w:r>
    </w:p>
    <w:p w14:paraId="3A4B6892">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身份证号码：</w:t>
      </w:r>
      <w:r>
        <w:rPr>
          <w:rFonts w:hint="eastAsia" w:ascii="宋体" w:hAnsi="宋体" w:cs="宋体"/>
          <w:color w:val="auto"/>
          <w:kern w:val="21"/>
          <w:sz w:val="24"/>
          <w:highlight w:val="none"/>
          <w:u w:val="single"/>
        </w:rPr>
        <w:t xml:space="preserve">                                        </w:t>
      </w:r>
    </w:p>
    <w:p w14:paraId="014F5C03">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系</w:t>
      </w:r>
      <w:r>
        <w:rPr>
          <w:rFonts w:hint="eastAsia" w:ascii="宋体" w:hAnsi="宋体" w:cs="宋体"/>
          <w:color w:val="auto"/>
          <w:kern w:val="21"/>
          <w:sz w:val="24"/>
          <w:highlight w:val="none"/>
          <w:u w:val="single"/>
        </w:rPr>
        <w:t>（供应商名称）</w:t>
      </w:r>
      <w:r>
        <w:rPr>
          <w:rFonts w:hint="eastAsia" w:ascii="宋体" w:hAnsi="宋体" w:cs="宋体"/>
          <w:color w:val="auto"/>
          <w:kern w:val="21"/>
          <w:sz w:val="24"/>
          <w:highlight w:val="none"/>
        </w:rPr>
        <w:t>的法定代表人。</w:t>
      </w:r>
    </w:p>
    <w:p w14:paraId="7704B386">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特此证明。</w:t>
      </w:r>
    </w:p>
    <w:p w14:paraId="1909ED86">
      <w:pPr>
        <w:spacing w:line="360" w:lineRule="auto"/>
        <w:ind w:left="540"/>
        <w:contextualSpacing/>
        <w:rPr>
          <w:rFonts w:ascii="宋体" w:hAnsi="宋体" w:cs="宋体"/>
          <w:color w:val="auto"/>
          <w:kern w:val="21"/>
          <w:sz w:val="24"/>
          <w:highlight w:val="none"/>
        </w:rPr>
      </w:pPr>
    </w:p>
    <w:p w14:paraId="24E3AE34">
      <w:pPr>
        <w:spacing w:line="360" w:lineRule="auto"/>
        <w:ind w:left="540"/>
        <w:contextualSpacing/>
        <w:rPr>
          <w:rFonts w:ascii="宋体" w:hAnsi="宋体" w:cs="宋体"/>
          <w:color w:val="auto"/>
          <w:kern w:val="21"/>
          <w:sz w:val="24"/>
          <w:highlight w:val="none"/>
        </w:rPr>
      </w:pPr>
    </w:p>
    <w:p w14:paraId="5B232AD7">
      <w:pPr>
        <w:spacing w:line="360" w:lineRule="auto"/>
        <w:ind w:left="540"/>
        <w:contextualSpacing/>
        <w:rPr>
          <w:rFonts w:ascii="宋体" w:hAnsi="宋体" w:cs="宋体"/>
          <w:color w:val="auto"/>
          <w:kern w:val="21"/>
          <w:sz w:val="24"/>
          <w:highlight w:val="none"/>
        </w:rPr>
      </w:pPr>
    </w:p>
    <w:p w14:paraId="5028EDC6">
      <w:pPr>
        <w:spacing w:line="360" w:lineRule="auto"/>
        <w:ind w:left="540"/>
        <w:contextualSpacing/>
        <w:rPr>
          <w:rFonts w:ascii="宋体" w:hAnsi="宋体" w:cs="宋体"/>
          <w:color w:val="auto"/>
          <w:kern w:val="21"/>
          <w:sz w:val="24"/>
          <w:highlight w:val="none"/>
        </w:rPr>
      </w:pPr>
      <w:r>
        <w:rPr>
          <w:rFonts w:hint="eastAsia" w:ascii="宋体" w:hAnsi="宋体" w:cs="宋体"/>
          <w:color w:val="auto"/>
          <w:kern w:val="21"/>
          <w:sz w:val="24"/>
          <w:highlight w:val="none"/>
        </w:rPr>
        <w:t>附件：法定代表人有效身份证正反面复印件</w:t>
      </w:r>
    </w:p>
    <w:p w14:paraId="0DDC6266">
      <w:pPr>
        <w:spacing w:line="360" w:lineRule="auto"/>
        <w:ind w:left="540"/>
        <w:contextualSpacing/>
        <w:rPr>
          <w:rFonts w:ascii="宋体" w:hAnsi="宋体" w:cs="宋体"/>
          <w:color w:val="auto"/>
          <w:kern w:val="21"/>
          <w:sz w:val="24"/>
          <w:highlight w:val="none"/>
        </w:rPr>
      </w:pPr>
    </w:p>
    <w:p w14:paraId="1EADD8FE">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2E5832FF">
      <w:pPr>
        <w:spacing w:line="360" w:lineRule="auto"/>
        <w:contextualSpacing/>
        <w:jc w:val="center"/>
        <w:rPr>
          <w:rFonts w:ascii="宋体" w:hAnsi="宋体" w:cs="宋体"/>
          <w:b/>
          <w:color w:val="auto"/>
          <w:kern w:val="21"/>
          <w:sz w:val="24"/>
          <w:highlight w:val="none"/>
        </w:rPr>
      </w:pPr>
      <w:r>
        <w:rPr>
          <w:rFonts w:hint="eastAsia" w:ascii="宋体" w:hAnsi="宋体" w:cs="宋体"/>
          <w:color w:val="auto"/>
          <w:kern w:val="21"/>
          <w:sz w:val="24"/>
          <w:highlight w:val="none"/>
          <w:lang w:val="zh-CN"/>
        </w:rPr>
        <w:t xml:space="preserve">                                                   日期：  年  月   日</w:t>
      </w:r>
    </w:p>
    <w:p w14:paraId="2EF9D7A9">
      <w:pPr>
        <w:spacing w:line="360" w:lineRule="auto"/>
        <w:contextualSpacing/>
        <w:jc w:val="left"/>
        <w:rPr>
          <w:rFonts w:ascii="宋体" w:hAnsi="宋体" w:cs="宋体"/>
          <w:color w:val="auto"/>
          <w:kern w:val="21"/>
          <w:sz w:val="24"/>
          <w:highlight w:val="none"/>
        </w:rPr>
      </w:pPr>
    </w:p>
    <w:p w14:paraId="35AAE722">
      <w:pPr>
        <w:spacing w:line="360" w:lineRule="auto"/>
        <w:contextualSpacing/>
        <w:jc w:val="left"/>
        <w:rPr>
          <w:rFonts w:ascii="宋体" w:hAnsi="宋体" w:cs="宋体"/>
          <w:color w:val="auto"/>
          <w:kern w:val="21"/>
          <w:sz w:val="24"/>
          <w:highlight w:val="none"/>
        </w:rPr>
      </w:pPr>
      <w:r>
        <w:rPr>
          <w:rFonts w:hint="eastAsia" w:ascii="宋体" w:hAnsi="宋体" w:cs="宋体"/>
          <w:color w:val="auto"/>
          <w:kern w:val="21"/>
          <w:sz w:val="24"/>
          <w:highlight w:val="none"/>
        </w:rPr>
        <w:t>注：1.自然人竞标的无需提供，联合体竞标的只需牵头人出具。</w:t>
      </w:r>
    </w:p>
    <w:p w14:paraId="52CCE9B9">
      <w:pPr>
        <w:spacing w:line="360" w:lineRule="auto"/>
        <w:ind w:firstLine="480" w:firstLineChars="200"/>
        <w:contextualSpacing/>
        <w:jc w:val="left"/>
        <w:rPr>
          <w:rFonts w:ascii="宋体" w:hAnsi="宋体" w:cs="宋体"/>
          <w:color w:val="auto"/>
          <w:kern w:val="21"/>
          <w:sz w:val="24"/>
          <w:highlight w:val="none"/>
        </w:rPr>
        <w:sectPr>
          <w:pgSz w:w="11911" w:h="16838"/>
          <w:pgMar w:top="1440" w:right="1440" w:bottom="1440" w:left="1440" w:header="720" w:footer="720" w:gutter="0"/>
          <w:cols w:space="720" w:num="1"/>
        </w:sectPr>
      </w:pPr>
      <w:r>
        <w:rPr>
          <w:rFonts w:hint="eastAsia" w:ascii="宋体" w:hAnsi="宋体" w:cs="宋体"/>
          <w:color w:val="auto"/>
          <w:kern w:val="21"/>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1"/>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FDD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20D5562">
            <w:pPr>
              <w:spacing w:line="360" w:lineRule="auto"/>
              <w:rPr>
                <w:rFonts w:ascii="宋体" w:hAnsi="宋体" w:cs="宋体"/>
                <w:b/>
                <w:color w:val="auto"/>
                <w:kern w:val="21"/>
                <w:sz w:val="24"/>
                <w:highlight w:val="none"/>
              </w:rPr>
            </w:pPr>
          </w:p>
          <w:p w14:paraId="368C311E">
            <w:pPr>
              <w:spacing w:line="360" w:lineRule="auto"/>
              <w:rPr>
                <w:rFonts w:ascii="宋体" w:hAnsi="宋体" w:cs="宋体"/>
                <w:b/>
                <w:color w:val="auto"/>
                <w:kern w:val="21"/>
                <w:sz w:val="24"/>
                <w:highlight w:val="none"/>
              </w:rPr>
            </w:pPr>
            <w:r>
              <w:rPr>
                <w:rFonts w:hint="eastAsia" w:ascii="宋体" w:hAnsi="宋体" w:cs="宋体"/>
                <w:b/>
                <w:color w:val="auto"/>
                <w:kern w:val="21"/>
                <w:sz w:val="24"/>
                <w:highlight w:val="none"/>
              </w:rPr>
              <w:t>法定代表身份证复印件粘贴处（正、反面）</w:t>
            </w:r>
          </w:p>
        </w:tc>
      </w:tr>
    </w:tbl>
    <w:p w14:paraId="12A7336F">
      <w:pPr>
        <w:spacing w:line="360" w:lineRule="auto"/>
        <w:ind w:firstLine="482" w:firstLineChars="200"/>
        <w:contextualSpacing/>
        <w:jc w:val="left"/>
        <w:rPr>
          <w:rFonts w:ascii="宋体" w:hAnsi="宋体" w:cs="宋体"/>
          <w:b/>
          <w:color w:val="auto"/>
          <w:kern w:val="21"/>
          <w:sz w:val="32"/>
          <w:szCs w:val="32"/>
          <w:highlight w:val="none"/>
        </w:rPr>
      </w:pPr>
      <w:r>
        <w:rPr>
          <w:rFonts w:hint="eastAsia" w:ascii="宋体" w:hAnsi="宋体" w:cs="宋体"/>
          <w:b/>
          <w:color w:val="auto"/>
          <w:kern w:val="21"/>
          <w:sz w:val="24"/>
          <w:highlight w:val="none"/>
        </w:rPr>
        <w:t>附件：</w:t>
      </w:r>
    </w:p>
    <w:p w14:paraId="5C5D1EAB">
      <w:pPr>
        <w:adjustRightInd w:val="0"/>
        <w:snapToGrid w:val="0"/>
        <w:spacing w:line="300" w:lineRule="auto"/>
        <w:jc w:val="left"/>
        <w:rPr>
          <w:rFonts w:ascii="宋体" w:hAnsi="宋体" w:cs="宋体"/>
          <w:b/>
          <w:color w:val="auto"/>
          <w:kern w:val="21"/>
          <w:szCs w:val="21"/>
          <w:highlight w:val="none"/>
        </w:rPr>
      </w:pPr>
    </w:p>
    <w:p w14:paraId="63A87894">
      <w:pPr>
        <w:spacing w:line="520" w:lineRule="exact"/>
        <w:ind w:firstLine="880"/>
        <w:jc w:val="left"/>
        <w:rPr>
          <w:rFonts w:ascii="宋体" w:hAnsi="宋体" w:cs="宋体"/>
          <w:bCs/>
          <w:color w:val="auto"/>
          <w:kern w:val="21"/>
          <w:sz w:val="44"/>
          <w:szCs w:val="44"/>
          <w:highlight w:val="none"/>
        </w:rPr>
      </w:pPr>
      <w:r>
        <w:rPr>
          <w:rFonts w:hint="eastAsia" w:ascii="宋体" w:hAnsi="宋体" w:cs="宋体"/>
          <w:color w:val="auto"/>
          <w:kern w:val="21"/>
          <w:sz w:val="44"/>
          <w:szCs w:val="44"/>
          <w:highlight w:val="none"/>
        </w:rPr>
        <w:br w:type="page"/>
      </w:r>
      <w:r>
        <w:rPr>
          <w:rFonts w:hint="eastAsia" w:ascii="宋体" w:hAnsi="宋体" w:cs="宋体"/>
          <w:b/>
          <w:color w:val="auto"/>
          <w:kern w:val="21"/>
          <w:sz w:val="30"/>
          <w:szCs w:val="30"/>
          <w:highlight w:val="none"/>
        </w:rPr>
        <w:t>三、法定代表人授权委托书</w:t>
      </w:r>
    </w:p>
    <w:p w14:paraId="23F1E727">
      <w:pPr>
        <w:spacing w:line="500" w:lineRule="exact"/>
        <w:jc w:val="center"/>
        <w:rPr>
          <w:rFonts w:ascii="宋体" w:hAnsi="宋体" w:cs="宋体"/>
          <w:color w:val="auto"/>
          <w:kern w:val="21"/>
          <w:sz w:val="44"/>
          <w:szCs w:val="44"/>
          <w:highlight w:val="none"/>
        </w:rPr>
      </w:pPr>
    </w:p>
    <w:p w14:paraId="46D32295">
      <w:pPr>
        <w:spacing w:line="520" w:lineRule="exact"/>
        <w:jc w:val="center"/>
        <w:rPr>
          <w:rFonts w:ascii="宋体" w:hAnsi="宋体" w:cs="宋体"/>
          <w:color w:val="auto"/>
          <w:kern w:val="21"/>
          <w:sz w:val="44"/>
          <w:szCs w:val="44"/>
          <w:highlight w:val="none"/>
        </w:rPr>
      </w:pPr>
      <w:r>
        <w:rPr>
          <w:rFonts w:hint="eastAsia" w:ascii="宋体" w:hAnsi="宋体" w:cs="宋体"/>
          <w:color w:val="auto"/>
          <w:kern w:val="21"/>
          <w:sz w:val="44"/>
          <w:szCs w:val="44"/>
          <w:highlight w:val="none"/>
        </w:rPr>
        <w:t>授权委托书（非联合体竞标格式）</w:t>
      </w:r>
    </w:p>
    <w:p w14:paraId="5446B822">
      <w:pPr>
        <w:spacing w:line="520" w:lineRule="exact"/>
        <w:jc w:val="center"/>
        <w:rPr>
          <w:rFonts w:ascii="宋体" w:hAnsi="宋体" w:cs="宋体"/>
          <w:color w:val="auto"/>
          <w:kern w:val="21"/>
          <w:sz w:val="44"/>
          <w:szCs w:val="44"/>
          <w:highlight w:val="none"/>
        </w:rPr>
      </w:pPr>
      <w:r>
        <w:rPr>
          <w:rFonts w:hint="eastAsia" w:ascii="宋体" w:hAnsi="宋体" w:cs="宋体"/>
          <w:color w:val="auto"/>
          <w:kern w:val="21"/>
          <w:sz w:val="44"/>
          <w:szCs w:val="44"/>
          <w:highlight w:val="none"/>
        </w:rPr>
        <w:t>（如有委托时）</w:t>
      </w:r>
    </w:p>
    <w:p w14:paraId="05C354BE">
      <w:pPr>
        <w:spacing w:line="520" w:lineRule="exact"/>
        <w:rPr>
          <w:rFonts w:ascii="宋体" w:hAnsi="宋体" w:cs="宋体"/>
          <w:color w:val="auto"/>
          <w:kern w:val="21"/>
          <w:sz w:val="32"/>
          <w:szCs w:val="32"/>
          <w:highlight w:val="none"/>
        </w:rPr>
      </w:pPr>
    </w:p>
    <w:p w14:paraId="4583C7C1">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致</w:t>
      </w:r>
      <w:r>
        <w:rPr>
          <w:rFonts w:hint="eastAsia" w:ascii="宋体" w:hAnsi="宋体" w:cs="宋体"/>
          <w:color w:val="auto"/>
          <w:kern w:val="21"/>
          <w:sz w:val="24"/>
          <w:highlight w:val="none"/>
          <w:u w:val="single"/>
        </w:rPr>
        <w:t>（采购代理机构名称）</w:t>
      </w:r>
      <w:r>
        <w:rPr>
          <w:rFonts w:hint="eastAsia" w:ascii="宋体" w:hAnsi="宋体" w:cs="宋体"/>
          <w:color w:val="auto"/>
          <w:kern w:val="21"/>
          <w:sz w:val="24"/>
          <w:highlight w:val="none"/>
        </w:rPr>
        <w:t>：</w:t>
      </w:r>
    </w:p>
    <w:p w14:paraId="77177B3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我</w:t>
      </w:r>
      <w:r>
        <w:rPr>
          <w:rFonts w:hint="eastAsia" w:ascii="宋体" w:hAnsi="宋体" w:cs="宋体"/>
          <w:color w:val="auto"/>
          <w:kern w:val="21"/>
          <w:sz w:val="24"/>
          <w:highlight w:val="none"/>
          <w:u w:val="single"/>
        </w:rPr>
        <w:t xml:space="preserve">  （姓名）  </w:t>
      </w:r>
      <w:r>
        <w:rPr>
          <w:rFonts w:hint="eastAsia" w:ascii="宋体" w:hAnsi="宋体" w:cs="宋体"/>
          <w:color w:val="auto"/>
          <w:kern w:val="21"/>
          <w:sz w:val="24"/>
          <w:highlight w:val="none"/>
        </w:rPr>
        <w:t>系</w:t>
      </w:r>
      <w:r>
        <w:rPr>
          <w:rFonts w:hint="eastAsia" w:ascii="宋体" w:hAnsi="宋体" w:cs="宋体"/>
          <w:color w:val="auto"/>
          <w:kern w:val="21"/>
          <w:sz w:val="24"/>
          <w:highlight w:val="none"/>
          <w:u w:val="single"/>
        </w:rPr>
        <w:t xml:space="preserve">  （供应商名称）  </w:t>
      </w:r>
      <w:r>
        <w:rPr>
          <w:rFonts w:hint="eastAsia" w:ascii="宋体" w:hAnsi="宋体" w:cs="宋体"/>
          <w:color w:val="auto"/>
          <w:kern w:val="21"/>
          <w:sz w:val="24"/>
          <w:highlight w:val="none"/>
        </w:rPr>
        <w:t>的（</w:t>
      </w:r>
      <w:r>
        <w:rPr>
          <w:rFonts w:hint="eastAsia" w:ascii="宋体" w:hAnsi="宋体" w:cs="宋体"/>
          <w:color w:val="auto"/>
          <w:kern w:val="21"/>
          <w:sz w:val="24"/>
          <w:highlight w:val="none"/>
          <w:u w:val="single"/>
        </w:rPr>
        <w:t>□法定代表人/□负责人/□自然人本人</w:t>
      </w:r>
      <w:r>
        <w:rPr>
          <w:rFonts w:hint="eastAsia" w:ascii="宋体" w:hAnsi="宋体" w:cs="宋体"/>
          <w:color w:val="auto"/>
          <w:kern w:val="21"/>
          <w:sz w:val="24"/>
          <w:highlight w:val="none"/>
        </w:rPr>
        <w:t>），现授权</w:t>
      </w:r>
      <w:r>
        <w:rPr>
          <w:rFonts w:hint="eastAsia" w:ascii="宋体" w:hAnsi="宋体" w:cs="宋体"/>
          <w:color w:val="auto"/>
          <w:kern w:val="21"/>
          <w:sz w:val="24"/>
          <w:highlight w:val="none"/>
          <w:u w:val="single"/>
        </w:rPr>
        <w:t xml:space="preserve"> （姓名） </w:t>
      </w:r>
      <w:r>
        <w:rPr>
          <w:rFonts w:hint="eastAsia" w:ascii="宋体" w:hAnsi="宋体" w:cs="宋体"/>
          <w:color w:val="auto"/>
          <w:kern w:val="21"/>
          <w:sz w:val="24"/>
          <w:highlight w:val="none"/>
        </w:rPr>
        <w:t>以我方的名义参加</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项目的竞标活动，并代表我方全权办理针对上述项目的所有采购程序和环节的具体事务和签署相关文件。</w:t>
      </w:r>
    </w:p>
    <w:p w14:paraId="4D0068D2">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    我方对委托代理人的签字事项负全部责任。</w:t>
      </w:r>
    </w:p>
    <w:p w14:paraId="1E480D23">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本授权书自签署之日起生效，在撤销授权的书面通知以前，本授权书一直有效。委托代理人在授权书有效期内签署的所有文件不因授权的撤销而失效。</w:t>
      </w:r>
    </w:p>
    <w:p w14:paraId="15E0CF14">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委托代理人无转委托权，特此委托。</w:t>
      </w:r>
    </w:p>
    <w:p w14:paraId="24F97031">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附：法定代表人身份证明书及委托代理人有效身份证正反面复印件</w:t>
      </w:r>
    </w:p>
    <w:p w14:paraId="21D51910">
      <w:pPr>
        <w:spacing w:line="360" w:lineRule="auto"/>
        <w:rPr>
          <w:rFonts w:ascii="宋体" w:hAnsi="宋体" w:cs="宋体"/>
          <w:color w:val="auto"/>
          <w:kern w:val="21"/>
          <w:sz w:val="24"/>
          <w:highlight w:val="none"/>
        </w:rPr>
      </w:pPr>
    </w:p>
    <w:p w14:paraId="3D4DA589">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委托代理人（签字）：         法定代表人（签字或盖章）：                    </w:t>
      </w:r>
    </w:p>
    <w:p w14:paraId="189C4040">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委托代理人身份证号码：                              </w:t>
      </w:r>
    </w:p>
    <w:p w14:paraId="279067F2">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                                </w:t>
      </w:r>
    </w:p>
    <w:p w14:paraId="4F842B0F">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                         供应商名称（电子签章）：</w:t>
      </w:r>
    </w:p>
    <w:p w14:paraId="02DE6698">
      <w:pPr>
        <w:spacing w:line="360" w:lineRule="auto"/>
        <w:contextualSpacing/>
        <w:jc w:val="center"/>
        <w:rPr>
          <w:rFonts w:ascii="宋体" w:hAnsi="宋体" w:cs="宋体"/>
          <w:b/>
          <w:color w:val="auto"/>
          <w:kern w:val="21"/>
          <w:sz w:val="24"/>
          <w:highlight w:val="none"/>
        </w:rPr>
      </w:pPr>
      <w:r>
        <w:rPr>
          <w:rFonts w:hint="eastAsia" w:ascii="宋体" w:hAnsi="宋体" w:cs="宋体"/>
          <w:color w:val="auto"/>
          <w:kern w:val="21"/>
          <w:sz w:val="24"/>
          <w:highlight w:val="none"/>
          <w:lang w:val="zh-CN"/>
        </w:rPr>
        <w:t xml:space="preserve">                                                   日期：  年  月   日</w:t>
      </w:r>
    </w:p>
    <w:p w14:paraId="5B95825A">
      <w:pPr>
        <w:spacing w:line="360" w:lineRule="auto"/>
        <w:rPr>
          <w:rFonts w:ascii="宋体" w:hAnsi="宋体" w:cs="宋体"/>
          <w:color w:val="auto"/>
          <w:kern w:val="21"/>
          <w:sz w:val="24"/>
          <w:highlight w:val="none"/>
        </w:rPr>
      </w:pPr>
    </w:p>
    <w:p w14:paraId="58E82B4C">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注：1. 法定代表人必须在授权委托书上亲笔签字或盖章，委托代理人必须在授权委托书上亲笔签字，</w:t>
      </w:r>
      <w:r>
        <w:rPr>
          <w:rFonts w:hint="eastAsia" w:ascii="宋体" w:hAnsi="宋体" w:cs="宋体"/>
          <w:b/>
          <w:color w:val="auto"/>
          <w:kern w:val="21"/>
          <w:sz w:val="24"/>
          <w:highlight w:val="none"/>
        </w:rPr>
        <w:t>否则其响应文件按无效响应处理。</w:t>
      </w:r>
    </w:p>
    <w:p w14:paraId="172FB5DF">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9DC29CB">
      <w:pPr>
        <w:spacing w:line="360" w:lineRule="auto"/>
        <w:ind w:firstLine="480" w:firstLineChars="200"/>
        <w:jc w:val="left"/>
        <w:rPr>
          <w:rFonts w:ascii="宋体" w:hAnsi="宋体" w:cs="宋体"/>
          <w:color w:val="auto"/>
          <w:kern w:val="21"/>
          <w:szCs w:val="21"/>
          <w:highlight w:val="none"/>
        </w:rPr>
      </w:pPr>
      <w:r>
        <w:rPr>
          <w:rFonts w:hint="eastAsia" w:ascii="宋体" w:hAnsi="宋体" w:cs="宋体"/>
          <w:color w:val="auto"/>
          <w:kern w:val="21"/>
          <w:sz w:val="24"/>
          <w:highlight w:val="none"/>
        </w:rPr>
        <w:t>3. 法人、其他组织竞标时“我方”是指“我单位”，自然人竞标时“我方”是指“本人”。</w:t>
      </w:r>
    </w:p>
    <w:p w14:paraId="5088C799">
      <w:pPr>
        <w:spacing w:line="500" w:lineRule="exact"/>
        <w:jc w:val="center"/>
        <w:rPr>
          <w:rFonts w:ascii="宋体" w:hAnsi="宋体" w:cs="宋体"/>
          <w:color w:val="auto"/>
          <w:kern w:val="21"/>
          <w:sz w:val="44"/>
          <w:szCs w:val="44"/>
          <w:highlight w:val="none"/>
        </w:rPr>
      </w:pPr>
      <w:r>
        <w:rPr>
          <w:rFonts w:hint="eastAsia" w:ascii="宋体" w:hAnsi="宋体" w:cs="宋体"/>
          <w:color w:val="auto"/>
          <w:kern w:val="21"/>
          <w:szCs w:val="21"/>
          <w:highlight w:val="none"/>
        </w:rPr>
        <w:br w:type="page"/>
      </w:r>
      <w:r>
        <w:rPr>
          <w:rFonts w:hint="eastAsia" w:ascii="宋体" w:hAnsi="宋体" w:cs="宋体"/>
          <w:color w:val="auto"/>
          <w:kern w:val="21"/>
          <w:sz w:val="44"/>
          <w:szCs w:val="44"/>
          <w:highlight w:val="none"/>
        </w:rPr>
        <w:t>授权委托书（联合体竞标格式）</w:t>
      </w:r>
    </w:p>
    <w:p w14:paraId="75184AC2">
      <w:pPr>
        <w:spacing w:line="500" w:lineRule="exact"/>
        <w:jc w:val="center"/>
        <w:rPr>
          <w:rFonts w:ascii="宋体" w:hAnsi="宋体" w:cs="宋体"/>
          <w:color w:val="auto"/>
          <w:kern w:val="21"/>
          <w:sz w:val="44"/>
          <w:szCs w:val="44"/>
          <w:highlight w:val="none"/>
        </w:rPr>
      </w:pPr>
      <w:r>
        <w:rPr>
          <w:rFonts w:hint="eastAsia" w:ascii="宋体" w:hAnsi="宋体" w:cs="宋体"/>
          <w:color w:val="auto"/>
          <w:kern w:val="21"/>
          <w:sz w:val="44"/>
          <w:szCs w:val="44"/>
          <w:highlight w:val="none"/>
        </w:rPr>
        <w:t>（如有委托时）</w:t>
      </w:r>
    </w:p>
    <w:p w14:paraId="3AE60990">
      <w:pPr>
        <w:spacing w:line="500" w:lineRule="exact"/>
        <w:jc w:val="center"/>
        <w:rPr>
          <w:rFonts w:ascii="宋体" w:hAnsi="宋体" w:cs="宋体"/>
          <w:color w:val="auto"/>
          <w:kern w:val="21"/>
          <w:sz w:val="44"/>
          <w:szCs w:val="44"/>
          <w:highlight w:val="none"/>
        </w:rPr>
      </w:pPr>
    </w:p>
    <w:p w14:paraId="31B079B1">
      <w:pPr>
        <w:spacing w:line="500" w:lineRule="exact"/>
        <w:jc w:val="center"/>
        <w:rPr>
          <w:rFonts w:ascii="宋体" w:hAnsi="宋体" w:cs="宋体"/>
          <w:color w:val="auto"/>
          <w:kern w:val="21"/>
          <w:sz w:val="32"/>
          <w:szCs w:val="32"/>
          <w:highlight w:val="none"/>
        </w:rPr>
      </w:pPr>
    </w:p>
    <w:p w14:paraId="7AE6294B">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本授权委托书声明：根据</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（牵头人名称）与</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（联合体其他成员名称）签订的《联合体竞标协议书》的内容，</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（牵头人名称）的法定代表人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（姓名）现授权</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（姓名）为联合委托代理人，并代表我方全权办理针对上述项目的所有采购程序和环节的具体事务和签署相关文件。</w:t>
      </w:r>
    </w:p>
    <w:p w14:paraId="59925C8A">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我方对委托代理人的签字事项负全部责任。</w:t>
      </w:r>
    </w:p>
    <w:p w14:paraId="51481205">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本授权书自签署之日起生效，在撤销授权的书面通知以前，本授权书一直有效。委托代理人在授权书有效期内签署的所有文件不因授权的撤销而失效。</w:t>
      </w:r>
    </w:p>
    <w:p w14:paraId="6D1A6F1D">
      <w:pPr>
        <w:spacing w:line="360" w:lineRule="auto"/>
        <w:ind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委托代理人无转委托权，特此委托。</w:t>
      </w:r>
    </w:p>
    <w:p w14:paraId="69FB4B84">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    </w:t>
      </w:r>
    </w:p>
    <w:p w14:paraId="1F22845C">
      <w:pPr>
        <w:spacing w:line="360" w:lineRule="auto"/>
        <w:ind w:firstLine="1560" w:firstLineChars="650"/>
        <w:rPr>
          <w:rFonts w:ascii="宋体" w:hAnsi="宋体" w:cs="宋体"/>
          <w:color w:val="auto"/>
          <w:kern w:val="21"/>
          <w:sz w:val="24"/>
          <w:highlight w:val="none"/>
        </w:rPr>
      </w:pPr>
      <w:r>
        <w:rPr>
          <w:rFonts w:hint="eastAsia" w:ascii="宋体" w:hAnsi="宋体" w:cs="宋体"/>
          <w:color w:val="auto"/>
          <w:kern w:val="21"/>
          <w:sz w:val="24"/>
          <w:highlight w:val="none"/>
        </w:rPr>
        <w:t>牵头人法定代表人（签字或盖章）：</w:t>
      </w:r>
    </w:p>
    <w:p w14:paraId="22ED6185">
      <w:pPr>
        <w:spacing w:line="360" w:lineRule="auto"/>
        <w:ind w:firstLine="3120" w:firstLineChars="1300"/>
        <w:rPr>
          <w:rFonts w:ascii="宋体" w:hAnsi="宋体" w:cs="宋体"/>
          <w:color w:val="auto"/>
          <w:kern w:val="21"/>
          <w:sz w:val="24"/>
          <w:highlight w:val="none"/>
        </w:rPr>
      </w:pPr>
      <w:r>
        <w:rPr>
          <w:rFonts w:hint="eastAsia" w:ascii="宋体" w:hAnsi="宋体" w:cs="宋体"/>
          <w:color w:val="auto"/>
          <w:kern w:val="21"/>
          <w:sz w:val="24"/>
          <w:highlight w:val="none"/>
        </w:rPr>
        <w:t>牵头人（电子签章）：</w:t>
      </w:r>
    </w:p>
    <w:p w14:paraId="00851568">
      <w:pPr>
        <w:spacing w:line="360" w:lineRule="auto"/>
        <w:ind w:firstLine="3840" w:firstLineChars="1600"/>
        <w:rPr>
          <w:rFonts w:ascii="宋体" w:hAnsi="宋体" w:cs="宋体"/>
          <w:color w:val="auto"/>
          <w:kern w:val="21"/>
          <w:sz w:val="24"/>
          <w:highlight w:val="none"/>
        </w:rPr>
      </w:pPr>
      <w:r>
        <w:rPr>
          <w:rFonts w:hint="eastAsia" w:ascii="宋体" w:hAnsi="宋体" w:cs="宋体"/>
          <w:color w:val="auto"/>
          <w:kern w:val="21"/>
          <w:sz w:val="24"/>
          <w:highlight w:val="none"/>
        </w:rPr>
        <w:t>日期：    年   月   日</w:t>
      </w:r>
    </w:p>
    <w:p w14:paraId="174693D6">
      <w:pPr>
        <w:spacing w:line="360" w:lineRule="auto"/>
        <w:rPr>
          <w:rFonts w:ascii="宋体" w:hAnsi="宋体" w:cs="宋体"/>
          <w:color w:val="auto"/>
          <w:kern w:val="21"/>
          <w:sz w:val="24"/>
          <w:highlight w:val="none"/>
        </w:rPr>
      </w:pPr>
    </w:p>
    <w:p w14:paraId="557A39F6">
      <w:pPr>
        <w:spacing w:line="360" w:lineRule="auto"/>
        <w:ind w:firstLine="3120" w:firstLineChars="1300"/>
        <w:rPr>
          <w:rFonts w:ascii="宋体" w:hAnsi="宋体" w:cs="宋体"/>
          <w:color w:val="auto"/>
          <w:kern w:val="21"/>
          <w:sz w:val="24"/>
          <w:highlight w:val="none"/>
        </w:rPr>
      </w:pPr>
      <w:r>
        <w:rPr>
          <w:rFonts w:hint="eastAsia" w:ascii="宋体" w:hAnsi="宋体" w:cs="宋体"/>
          <w:color w:val="auto"/>
          <w:kern w:val="21"/>
          <w:sz w:val="24"/>
          <w:highlight w:val="none"/>
        </w:rPr>
        <w:t>被授权人（签字）：</w:t>
      </w:r>
    </w:p>
    <w:p w14:paraId="55B486FB">
      <w:pPr>
        <w:spacing w:line="360" w:lineRule="auto"/>
        <w:ind w:firstLine="3840" w:firstLineChars="1600"/>
        <w:rPr>
          <w:rFonts w:ascii="宋体" w:hAnsi="宋体" w:cs="宋体"/>
          <w:color w:val="auto"/>
          <w:kern w:val="21"/>
          <w:sz w:val="24"/>
          <w:highlight w:val="none"/>
        </w:rPr>
      </w:pPr>
      <w:r>
        <w:rPr>
          <w:rFonts w:hint="eastAsia" w:ascii="宋体" w:hAnsi="宋体" w:cs="宋体"/>
          <w:color w:val="auto"/>
          <w:kern w:val="21"/>
          <w:sz w:val="24"/>
          <w:highlight w:val="none"/>
        </w:rPr>
        <w:t>日期：    年   月   日</w:t>
      </w:r>
    </w:p>
    <w:p w14:paraId="7B753949">
      <w:pPr>
        <w:spacing w:line="360" w:lineRule="auto"/>
        <w:rPr>
          <w:rFonts w:ascii="宋体" w:hAnsi="宋体" w:cs="宋体"/>
          <w:color w:val="auto"/>
          <w:kern w:val="21"/>
          <w:sz w:val="24"/>
          <w:highlight w:val="none"/>
        </w:rPr>
      </w:pPr>
    </w:p>
    <w:p w14:paraId="17CE252F">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注：1. 法定代表人必须在授权委托书上亲笔签字或盖章，委托代理人必须在授权委托书上亲笔签字，</w:t>
      </w:r>
      <w:r>
        <w:rPr>
          <w:rFonts w:hint="eastAsia" w:ascii="宋体" w:hAnsi="宋体" w:cs="宋体"/>
          <w:b/>
          <w:color w:val="auto"/>
          <w:kern w:val="21"/>
          <w:sz w:val="24"/>
          <w:highlight w:val="none"/>
        </w:rPr>
        <w:t>否则其响应文件按无效响应处理。</w:t>
      </w:r>
    </w:p>
    <w:p w14:paraId="0285A2C3">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2.本授权委托书应由联合体牵头人的法定代表人按上述规定签署。</w:t>
      </w:r>
    </w:p>
    <w:p w14:paraId="12F9180A">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A668AA5">
      <w:pPr>
        <w:spacing w:line="360" w:lineRule="auto"/>
        <w:ind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t>4.法人、其他组织竞标时“我方”是指“我单位”，自然人竞标时“我方”是指“本人”。</w:t>
      </w:r>
    </w:p>
    <w:p w14:paraId="3C19E57D">
      <w:pPr>
        <w:spacing w:line="360" w:lineRule="auto"/>
        <w:ind w:firstLine="420" w:firstLineChars="200"/>
        <w:jc w:val="left"/>
        <w:rPr>
          <w:rFonts w:ascii="宋体" w:hAnsi="宋体" w:cs="宋体"/>
          <w:color w:val="auto"/>
          <w:kern w:val="21"/>
          <w:szCs w:val="21"/>
          <w:highlight w:val="none"/>
        </w:rPr>
      </w:pPr>
    </w:p>
    <w:p w14:paraId="3CB0006B">
      <w:pPr>
        <w:spacing w:line="520" w:lineRule="exact"/>
        <w:ind w:firstLine="640" w:firstLineChars="200"/>
        <w:jc w:val="left"/>
        <w:rPr>
          <w:rFonts w:ascii="宋体" w:hAnsi="宋体" w:cs="宋体"/>
          <w:b/>
          <w:color w:val="auto"/>
          <w:kern w:val="21"/>
          <w:sz w:val="30"/>
          <w:szCs w:val="30"/>
          <w:highlight w:val="none"/>
        </w:rPr>
      </w:pPr>
      <w:r>
        <w:rPr>
          <w:rFonts w:hint="eastAsia" w:ascii="宋体" w:hAnsi="宋体" w:cs="宋体"/>
          <w:color w:val="auto"/>
          <w:kern w:val="21"/>
          <w:sz w:val="32"/>
          <w:szCs w:val="32"/>
          <w:highlight w:val="none"/>
        </w:rPr>
        <w:br w:type="page"/>
      </w:r>
      <w:r>
        <w:rPr>
          <w:rFonts w:hint="eastAsia" w:ascii="宋体" w:hAnsi="宋体" w:cs="宋体"/>
          <w:b/>
          <w:color w:val="auto"/>
          <w:kern w:val="21"/>
          <w:sz w:val="30"/>
          <w:szCs w:val="30"/>
          <w:highlight w:val="none"/>
        </w:rPr>
        <w:t>四、商务条款偏离表</w:t>
      </w:r>
    </w:p>
    <w:p w14:paraId="258D360A">
      <w:pPr>
        <w:spacing w:line="500" w:lineRule="exact"/>
        <w:jc w:val="center"/>
        <w:rPr>
          <w:rFonts w:ascii="宋体" w:hAnsi="宋体" w:cs="宋体"/>
          <w:bCs/>
          <w:color w:val="auto"/>
          <w:kern w:val="21"/>
          <w:sz w:val="44"/>
          <w:szCs w:val="44"/>
          <w:highlight w:val="none"/>
        </w:rPr>
      </w:pPr>
    </w:p>
    <w:p w14:paraId="5C949400">
      <w:pPr>
        <w:spacing w:line="500" w:lineRule="exact"/>
        <w:jc w:val="center"/>
        <w:rPr>
          <w:rFonts w:ascii="宋体" w:hAnsi="宋体" w:cs="宋体"/>
          <w:bCs/>
          <w:color w:val="auto"/>
          <w:kern w:val="21"/>
          <w:sz w:val="44"/>
          <w:szCs w:val="44"/>
          <w:highlight w:val="none"/>
        </w:rPr>
      </w:pPr>
      <w:r>
        <w:rPr>
          <w:rFonts w:hint="eastAsia" w:ascii="宋体" w:hAnsi="宋体" w:cs="宋体"/>
          <w:bCs/>
          <w:color w:val="auto"/>
          <w:kern w:val="21"/>
          <w:sz w:val="44"/>
          <w:szCs w:val="44"/>
          <w:highlight w:val="none"/>
        </w:rPr>
        <w:t>商务条款偏离表</w:t>
      </w:r>
    </w:p>
    <w:p w14:paraId="243D6389">
      <w:pPr>
        <w:spacing w:line="520" w:lineRule="exact"/>
        <w:rPr>
          <w:rFonts w:ascii="宋体" w:hAnsi="宋体" w:cs="宋体"/>
          <w:color w:val="auto"/>
          <w:kern w:val="21"/>
          <w:sz w:val="32"/>
          <w:szCs w:val="32"/>
          <w:highlight w:val="none"/>
        </w:rPr>
      </w:pPr>
    </w:p>
    <w:p w14:paraId="764DB820">
      <w:pPr>
        <w:spacing w:line="360" w:lineRule="auto"/>
        <w:contextualSpacing/>
        <w:rPr>
          <w:rFonts w:ascii="宋体" w:hAnsi="宋体" w:cs="宋体"/>
          <w:color w:val="auto"/>
          <w:kern w:val="21"/>
          <w:sz w:val="24"/>
          <w:highlight w:val="none"/>
          <w:u w:val="single"/>
        </w:rPr>
      </w:pPr>
      <w:r>
        <w:rPr>
          <w:rFonts w:hint="eastAsia" w:ascii="宋体" w:hAnsi="宋体" w:cs="宋体"/>
          <w:color w:val="auto"/>
          <w:kern w:val="21"/>
          <w:sz w:val="24"/>
          <w:highlight w:val="none"/>
        </w:rPr>
        <w:t>采购项目编号：</w:t>
      </w:r>
      <w:r>
        <w:rPr>
          <w:rFonts w:hint="eastAsia" w:ascii="宋体" w:hAnsi="宋体" w:cs="宋体"/>
          <w:color w:val="auto"/>
          <w:kern w:val="21"/>
          <w:sz w:val="24"/>
          <w:highlight w:val="none"/>
          <w:u w:val="single"/>
        </w:rPr>
        <w:t xml:space="preserve">                 </w:t>
      </w:r>
    </w:p>
    <w:p w14:paraId="1F9D4FF3">
      <w:pPr>
        <w:spacing w:line="360" w:lineRule="auto"/>
        <w:contextualSpacing/>
        <w:rPr>
          <w:rFonts w:ascii="宋体" w:hAnsi="宋体" w:cs="宋体"/>
          <w:color w:val="auto"/>
          <w:kern w:val="21"/>
          <w:sz w:val="24"/>
          <w:highlight w:val="none"/>
        </w:rPr>
      </w:pPr>
      <w:r>
        <w:rPr>
          <w:rFonts w:hint="eastAsia" w:ascii="宋体" w:hAnsi="宋体" w:cs="宋体"/>
          <w:color w:val="auto"/>
          <w:kern w:val="21"/>
          <w:sz w:val="24"/>
          <w:highlight w:val="none"/>
        </w:rPr>
        <w:t>采购项目名称：</w:t>
      </w:r>
      <w:r>
        <w:rPr>
          <w:rFonts w:hint="eastAsia" w:ascii="宋体" w:hAnsi="宋体" w:cs="宋体"/>
          <w:color w:val="auto"/>
          <w:kern w:val="21"/>
          <w:sz w:val="24"/>
          <w:highlight w:val="none"/>
          <w:u w:val="single"/>
        </w:rPr>
        <w:t xml:space="preserve">                 </w:t>
      </w:r>
    </w:p>
    <w:p w14:paraId="4C0ADFEA">
      <w:pPr>
        <w:spacing w:line="360" w:lineRule="auto"/>
        <w:contextualSpacing/>
        <w:rPr>
          <w:rFonts w:ascii="宋体" w:hAnsi="宋体" w:cs="宋体"/>
          <w:color w:val="auto"/>
          <w:kern w:val="21"/>
          <w:sz w:val="24"/>
          <w:highlight w:val="none"/>
          <w:u w:val="single"/>
        </w:rPr>
      </w:pPr>
      <w:r>
        <w:rPr>
          <w:rFonts w:hint="eastAsia" w:ascii="宋体" w:hAnsi="宋体" w:cs="宋体"/>
          <w:color w:val="auto"/>
          <w:kern w:val="21"/>
          <w:sz w:val="24"/>
          <w:highlight w:val="none"/>
        </w:rPr>
        <w:t>分标号</w:t>
      </w:r>
      <w:r>
        <w:rPr>
          <w:rFonts w:hint="eastAsia" w:ascii="宋体" w:hAnsi="宋体" w:cs="宋体"/>
          <w:color w:val="auto"/>
          <w:kern w:val="21"/>
          <w:szCs w:val="21"/>
          <w:highlight w:val="none"/>
        </w:rPr>
        <w:t>（此处有分标时填写具体分标号，无分标时填写“无”）</w:t>
      </w:r>
      <w:r>
        <w:rPr>
          <w:rFonts w:hint="eastAsia" w:ascii="宋体" w:hAnsi="宋体" w:cs="宋体"/>
          <w:color w:val="auto"/>
          <w:kern w:val="21"/>
          <w:sz w:val="24"/>
          <w:highlight w:val="none"/>
        </w:rPr>
        <w:t>：</w:t>
      </w:r>
      <w:r>
        <w:rPr>
          <w:rFonts w:hint="eastAsia" w:ascii="宋体" w:hAnsi="宋体" w:cs="宋体"/>
          <w:color w:val="auto"/>
          <w:kern w:val="21"/>
          <w:sz w:val="24"/>
          <w:highlight w:val="none"/>
          <w:u w:val="single"/>
        </w:rPr>
        <w:t xml:space="preserve">                       </w:t>
      </w:r>
    </w:p>
    <w:tbl>
      <w:tblPr>
        <w:tblStyle w:val="31"/>
        <w:tblpPr w:leftFromText="180" w:rightFromText="180" w:vertAnchor="text" w:horzAnchor="margin" w:tblpXSpec="center" w:tblpY="9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D57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25219155">
            <w:pPr>
              <w:spacing w:line="34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214CD49">
            <w:pPr>
              <w:spacing w:line="34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B4AED4B">
            <w:pPr>
              <w:spacing w:line="34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2F32E087">
            <w:pPr>
              <w:spacing w:line="34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偏离说明</w:t>
            </w:r>
          </w:p>
        </w:tc>
      </w:tr>
      <w:tr w14:paraId="6B91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14:paraId="457AFEF6">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EB40098">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1  ……</w:t>
            </w:r>
          </w:p>
          <w:p w14:paraId="4874F320">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2  ……</w:t>
            </w:r>
          </w:p>
          <w:p w14:paraId="454112B2">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3  ……</w:t>
            </w:r>
          </w:p>
          <w:p w14:paraId="3C94EC6C">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4CFFEAA">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1  ……</w:t>
            </w:r>
          </w:p>
          <w:p w14:paraId="097DADA1">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2  ……</w:t>
            </w:r>
          </w:p>
          <w:p w14:paraId="75413F77">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3  ……</w:t>
            </w:r>
          </w:p>
          <w:p w14:paraId="4E75D5AA">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516125A">
            <w:pPr>
              <w:spacing w:line="300" w:lineRule="exact"/>
              <w:rPr>
                <w:rFonts w:ascii="宋体" w:hAnsi="宋体" w:cs="宋体"/>
                <w:color w:val="auto"/>
                <w:kern w:val="21"/>
                <w:szCs w:val="21"/>
                <w:highlight w:val="none"/>
              </w:rPr>
            </w:pPr>
          </w:p>
        </w:tc>
      </w:tr>
      <w:tr w14:paraId="41E4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14:paraId="0EB6796B">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D47AF35">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1  ……</w:t>
            </w:r>
          </w:p>
          <w:p w14:paraId="38B9F1D0">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2  ……</w:t>
            </w:r>
          </w:p>
          <w:p w14:paraId="0C2C8984">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3  ……</w:t>
            </w:r>
          </w:p>
          <w:p w14:paraId="6B66BCC4">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A16A523">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1  ……</w:t>
            </w:r>
          </w:p>
          <w:p w14:paraId="16ADECDD">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2  ……</w:t>
            </w:r>
          </w:p>
          <w:p w14:paraId="1F9A5769">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3  ……</w:t>
            </w:r>
          </w:p>
          <w:p w14:paraId="077E1970">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04A09AE">
            <w:pPr>
              <w:spacing w:line="300" w:lineRule="exact"/>
              <w:rPr>
                <w:rFonts w:ascii="宋体" w:hAnsi="宋体" w:cs="宋体"/>
                <w:color w:val="auto"/>
                <w:kern w:val="21"/>
                <w:szCs w:val="21"/>
                <w:highlight w:val="none"/>
              </w:rPr>
            </w:pPr>
          </w:p>
        </w:tc>
      </w:tr>
      <w:tr w14:paraId="17AE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14:paraId="0B08C3C5">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5E86AC7">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1  ……</w:t>
            </w:r>
          </w:p>
          <w:p w14:paraId="015CFBCC">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2  ……</w:t>
            </w:r>
          </w:p>
          <w:p w14:paraId="2719AA99">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3  ……</w:t>
            </w:r>
          </w:p>
          <w:p w14:paraId="12244BAD">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EB7D9C7">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1  ……</w:t>
            </w:r>
          </w:p>
          <w:p w14:paraId="1DF0CCA6">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2  ……</w:t>
            </w:r>
          </w:p>
          <w:p w14:paraId="3B02BD1F">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3  ……</w:t>
            </w:r>
          </w:p>
          <w:p w14:paraId="5F17CE3C">
            <w:pPr>
              <w:spacing w:line="34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443B979">
            <w:pPr>
              <w:spacing w:line="300" w:lineRule="exact"/>
              <w:rPr>
                <w:rFonts w:ascii="宋体" w:hAnsi="宋体" w:cs="宋体"/>
                <w:color w:val="auto"/>
                <w:kern w:val="21"/>
                <w:szCs w:val="21"/>
                <w:highlight w:val="none"/>
              </w:rPr>
            </w:pPr>
          </w:p>
        </w:tc>
      </w:tr>
    </w:tbl>
    <w:p w14:paraId="2533837D">
      <w:pPr>
        <w:pStyle w:val="9"/>
        <w:spacing w:line="400" w:lineRule="exact"/>
        <w:ind w:firstLine="0" w:firstLineChars="0"/>
        <w:contextualSpacing/>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注：</w:t>
      </w:r>
    </w:p>
    <w:p w14:paraId="4A9DF950">
      <w:pPr>
        <w:spacing w:line="360" w:lineRule="auto"/>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1、应写明竞争性磋商响应文件对商务要求的响应和偏离情况；</w:t>
      </w:r>
    </w:p>
    <w:p w14:paraId="7CEFFA64">
      <w:pPr>
        <w:spacing w:line="360" w:lineRule="auto"/>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应对照竞争性磋商文件第二章“服务需求一览表”，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14:paraId="5DDFC7AE">
      <w:pPr>
        <w:spacing w:line="360" w:lineRule="auto"/>
        <w:ind w:firstLine="3840" w:firstLineChars="1600"/>
        <w:rPr>
          <w:rFonts w:ascii="宋体" w:hAnsi="宋体" w:cs="宋体"/>
          <w:color w:val="auto"/>
          <w:kern w:val="21"/>
          <w:sz w:val="24"/>
          <w:highlight w:val="none"/>
        </w:rPr>
      </w:pPr>
    </w:p>
    <w:p w14:paraId="7EAC4124">
      <w:pPr>
        <w:spacing w:line="360" w:lineRule="auto"/>
        <w:ind w:firstLine="3840" w:firstLineChars="1600"/>
        <w:rPr>
          <w:rFonts w:ascii="宋体" w:hAnsi="宋体" w:cs="宋体"/>
          <w:color w:val="auto"/>
          <w:kern w:val="21"/>
          <w:sz w:val="24"/>
          <w:highlight w:val="none"/>
        </w:rPr>
      </w:pPr>
    </w:p>
    <w:p w14:paraId="3ACA24F7">
      <w:pPr>
        <w:spacing w:line="360" w:lineRule="auto"/>
        <w:ind w:firstLine="3840" w:firstLineChars="1600"/>
        <w:rPr>
          <w:rFonts w:ascii="宋体" w:hAnsi="宋体" w:cs="宋体"/>
          <w:color w:val="auto"/>
          <w:kern w:val="21"/>
          <w:sz w:val="24"/>
          <w:highlight w:val="none"/>
        </w:rPr>
      </w:pPr>
    </w:p>
    <w:p w14:paraId="02DF0DBA">
      <w:pPr>
        <w:spacing w:line="360" w:lineRule="auto"/>
        <w:ind w:firstLine="3840" w:firstLineChars="16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EB758C8">
      <w:pPr>
        <w:spacing w:line="360" w:lineRule="auto"/>
        <w:contextualSpacing/>
        <w:jc w:val="center"/>
        <w:rPr>
          <w:rFonts w:ascii="宋体" w:hAnsi="宋体" w:cs="宋体"/>
          <w:b/>
          <w:color w:val="auto"/>
          <w:kern w:val="21"/>
          <w:sz w:val="24"/>
          <w:highlight w:val="none"/>
        </w:rPr>
      </w:pPr>
      <w:r>
        <w:rPr>
          <w:rFonts w:hint="eastAsia" w:ascii="宋体" w:hAnsi="宋体" w:cs="宋体"/>
          <w:color w:val="auto"/>
          <w:kern w:val="21"/>
          <w:sz w:val="24"/>
          <w:highlight w:val="none"/>
          <w:lang w:val="zh-CN"/>
        </w:rPr>
        <w:t xml:space="preserve">                                                   日期：  年  月   日</w:t>
      </w:r>
    </w:p>
    <w:p w14:paraId="4B6E93BE">
      <w:pPr>
        <w:snapToGrid w:val="0"/>
        <w:spacing w:line="360" w:lineRule="auto"/>
        <w:ind w:firstLine="602" w:firstLineChars="200"/>
        <w:rPr>
          <w:rFonts w:ascii="宋体" w:hAnsi="宋体" w:cs="宋体"/>
          <w:b/>
          <w:color w:val="auto"/>
          <w:kern w:val="21"/>
          <w:sz w:val="30"/>
          <w:szCs w:val="30"/>
          <w:highlight w:val="none"/>
        </w:rPr>
      </w:pPr>
    </w:p>
    <w:p w14:paraId="42F92E9E">
      <w:pPr>
        <w:snapToGrid w:val="0"/>
        <w:spacing w:line="360" w:lineRule="auto"/>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五、磋商保证金的相关证明复印件</w:t>
      </w:r>
    </w:p>
    <w:p w14:paraId="31505989">
      <w:pPr>
        <w:snapToGrid w:val="0"/>
        <w:spacing w:line="360" w:lineRule="auto"/>
        <w:ind w:firstLine="602" w:firstLineChars="200"/>
        <w:rPr>
          <w:rFonts w:ascii="宋体" w:hAnsi="宋体" w:cs="宋体"/>
          <w:b/>
          <w:color w:val="auto"/>
          <w:kern w:val="21"/>
          <w:sz w:val="30"/>
          <w:szCs w:val="30"/>
          <w:highlight w:val="none"/>
        </w:rPr>
      </w:pPr>
    </w:p>
    <w:p w14:paraId="35191A7D">
      <w:pPr>
        <w:snapToGrid w:val="0"/>
        <w:spacing w:before="120" w:beforeLines="50" w:after="50"/>
        <w:ind w:firstLine="602" w:firstLineChars="200"/>
        <w:rPr>
          <w:rFonts w:ascii="宋体" w:hAnsi="宋体" w:cs="宋体"/>
          <w:b/>
          <w:color w:val="auto"/>
          <w:kern w:val="21"/>
          <w:sz w:val="30"/>
          <w:szCs w:val="30"/>
          <w:highlight w:val="none"/>
        </w:rPr>
      </w:pPr>
    </w:p>
    <w:p w14:paraId="31DC93F7">
      <w:pPr>
        <w:snapToGrid w:val="0"/>
        <w:spacing w:before="120" w:beforeLines="50" w:after="50"/>
        <w:ind w:firstLine="602" w:firstLineChars="200"/>
        <w:rPr>
          <w:rFonts w:ascii="宋体" w:hAnsi="宋体" w:cs="宋体"/>
          <w:b/>
          <w:color w:val="auto"/>
          <w:kern w:val="21"/>
          <w:sz w:val="30"/>
          <w:szCs w:val="30"/>
          <w:highlight w:val="none"/>
        </w:rPr>
      </w:pPr>
    </w:p>
    <w:p w14:paraId="15BB8743">
      <w:pPr>
        <w:snapToGrid w:val="0"/>
        <w:spacing w:line="360" w:lineRule="auto"/>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六、竞标人情况介绍</w:t>
      </w:r>
    </w:p>
    <w:p w14:paraId="1C26D8C2">
      <w:pPr>
        <w:snapToGrid w:val="0"/>
        <w:spacing w:line="360" w:lineRule="auto"/>
        <w:ind w:firstLine="602" w:firstLineChars="200"/>
        <w:rPr>
          <w:rFonts w:ascii="宋体" w:hAnsi="宋体" w:cs="宋体"/>
          <w:b/>
          <w:color w:val="auto"/>
          <w:kern w:val="21"/>
          <w:sz w:val="30"/>
          <w:szCs w:val="30"/>
          <w:highlight w:val="none"/>
        </w:rPr>
      </w:pPr>
    </w:p>
    <w:p w14:paraId="7D39A53A">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4E5A1DDF">
      <w:pPr>
        <w:autoSpaceDE w:val="0"/>
        <w:autoSpaceDN w:val="0"/>
        <w:spacing w:line="360" w:lineRule="auto"/>
        <w:ind w:firstLine="6480" w:firstLineChars="270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7B2588C7">
      <w:pPr>
        <w:snapToGrid w:val="0"/>
        <w:spacing w:before="120" w:beforeLines="50" w:after="50"/>
        <w:ind w:firstLine="602" w:firstLineChars="200"/>
        <w:rPr>
          <w:rFonts w:ascii="宋体" w:hAnsi="宋体" w:cs="宋体"/>
          <w:b/>
          <w:color w:val="auto"/>
          <w:kern w:val="21"/>
          <w:sz w:val="30"/>
          <w:szCs w:val="30"/>
          <w:highlight w:val="none"/>
        </w:rPr>
      </w:pPr>
    </w:p>
    <w:p w14:paraId="7F33E804">
      <w:pPr>
        <w:snapToGrid w:val="0"/>
        <w:spacing w:before="120" w:beforeLines="50" w:after="50"/>
        <w:ind w:firstLine="602" w:firstLineChars="200"/>
        <w:rPr>
          <w:rFonts w:ascii="宋体" w:hAnsi="宋体" w:cs="宋体"/>
          <w:b/>
          <w:color w:val="auto"/>
          <w:kern w:val="21"/>
          <w:sz w:val="30"/>
          <w:szCs w:val="30"/>
          <w:highlight w:val="none"/>
        </w:rPr>
      </w:pPr>
    </w:p>
    <w:p w14:paraId="545C3E5A">
      <w:pPr>
        <w:snapToGrid w:val="0"/>
        <w:spacing w:before="120" w:beforeLines="50" w:after="50"/>
        <w:ind w:firstLine="602" w:firstLineChars="200"/>
        <w:rPr>
          <w:rFonts w:ascii="宋体" w:hAnsi="宋体" w:cs="宋体"/>
          <w:b/>
          <w:color w:val="auto"/>
          <w:kern w:val="21"/>
          <w:sz w:val="30"/>
          <w:szCs w:val="30"/>
          <w:highlight w:val="none"/>
        </w:rPr>
      </w:pPr>
    </w:p>
    <w:p w14:paraId="17529218">
      <w:pPr>
        <w:snapToGrid w:val="0"/>
        <w:spacing w:before="120" w:beforeLines="50" w:after="50"/>
        <w:ind w:firstLine="602" w:firstLineChars="200"/>
        <w:rPr>
          <w:rFonts w:ascii="宋体" w:hAnsi="宋体" w:cs="宋体"/>
          <w:b/>
          <w:color w:val="auto"/>
          <w:kern w:val="21"/>
          <w:sz w:val="30"/>
          <w:szCs w:val="30"/>
          <w:highlight w:val="none"/>
        </w:rPr>
      </w:pPr>
    </w:p>
    <w:p w14:paraId="213ADE87">
      <w:pPr>
        <w:snapToGrid w:val="0"/>
        <w:spacing w:before="120" w:beforeLines="50" w:after="50"/>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七、供应商类似的业绩证明文件</w:t>
      </w:r>
    </w:p>
    <w:p w14:paraId="622ECCE1">
      <w:pPr>
        <w:snapToGrid w:val="0"/>
        <w:spacing w:before="120" w:beforeLines="50" w:after="50"/>
        <w:rPr>
          <w:rFonts w:ascii="宋体" w:hAnsi="宋体" w:cs="宋体"/>
          <w:b/>
          <w:color w:val="auto"/>
          <w:kern w:val="21"/>
          <w:sz w:val="30"/>
          <w:szCs w:val="30"/>
          <w:highlight w:val="none"/>
        </w:rPr>
      </w:pPr>
      <w:r>
        <w:rPr>
          <w:rFonts w:hint="eastAsia" w:ascii="宋体" w:hAnsi="宋体" w:cs="宋体"/>
          <w:color w:val="auto"/>
          <w:kern w:val="21"/>
          <w:highlight w:val="none"/>
        </w:rPr>
        <w:t>（供应商可自行编制业绩清单表，并按“评审标准”中的要求随表提交相应的业绩证明材料并注明所在供应商商务技术文件页码。）</w:t>
      </w:r>
    </w:p>
    <w:p w14:paraId="758DB24C">
      <w:pPr>
        <w:snapToGrid w:val="0"/>
        <w:spacing w:line="360" w:lineRule="auto"/>
        <w:ind w:firstLine="4935" w:firstLineChars="2350"/>
        <w:rPr>
          <w:rFonts w:ascii="宋体" w:hAnsi="宋体" w:cs="宋体"/>
          <w:color w:val="auto"/>
          <w:kern w:val="21"/>
          <w:szCs w:val="21"/>
          <w:highlight w:val="none"/>
        </w:rPr>
      </w:pPr>
    </w:p>
    <w:p w14:paraId="2D321990">
      <w:pPr>
        <w:snapToGrid w:val="0"/>
        <w:spacing w:line="360" w:lineRule="auto"/>
        <w:ind w:firstLine="4935" w:firstLineChars="2350"/>
        <w:rPr>
          <w:rFonts w:ascii="宋体" w:hAnsi="宋体" w:cs="宋体"/>
          <w:color w:val="auto"/>
          <w:kern w:val="21"/>
          <w:szCs w:val="21"/>
          <w:highlight w:val="none"/>
        </w:rPr>
      </w:pPr>
    </w:p>
    <w:p w14:paraId="52A1C977">
      <w:pPr>
        <w:snapToGrid w:val="0"/>
        <w:spacing w:line="360" w:lineRule="auto"/>
        <w:ind w:firstLine="4935" w:firstLineChars="2350"/>
        <w:rPr>
          <w:rFonts w:ascii="宋体" w:hAnsi="宋体" w:cs="宋体"/>
          <w:color w:val="auto"/>
          <w:kern w:val="21"/>
          <w:szCs w:val="21"/>
          <w:highlight w:val="none"/>
        </w:rPr>
      </w:pPr>
      <w:r>
        <w:rPr>
          <w:rFonts w:hint="eastAsia" w:ascii="宋体" w:hAnsi="宋体" w:cs="宋体"/>
          <w:color w:val="auto"/>
          <w:kern w:val="21"/>
          <w:szCs w:val="21"/>
          <w:highlight w:val="none"/>
        </w:rPr>
        <w:t xml:space="preserve"> </w:t>
      </w:r>
    </w:p>
    <w:p w14:paraId="7BF5E24F">
      <w:pPr>
        <w:snapToGrid w:val="0"/>
        <w:spacing w:line="360" w:lineRule="auto"/>
        <w:ind w:firstLine="4935" w:firstLineChars="2350"/>
        <w:rPr>
          <w:rFonts w:ascii="宋体" w:hAnsi="宋体" w:cs="宋体"/>
          <w:color w:val="auto"/>
          <w:kern w:val="21"/>
          <w:szCs w:val="21"/>
          <w:highlight w:val="none"/>
        </w:rPr>
      </w:pPr>
    </w:p>
    <w:p w14:paraId="3BF02F0F">
      <w:pPr>
        <w:snapToGrid w:val="0"/>
        <w:spacing w:line="360" w:lineRule="auto"/>
        <w:ind w:left="4410" w:leftChars="2100" w:firstLine="5670" w:firstLineChars="2700"/>
        <w:rPr>
          <w:rFonts w:ascii="宋体" w:hAnsi="宋体" w:cs="宋体"/>
          <w:color w:val="auto"/>
          <w:kern w:val="21"/>
          <w:sz w:val="24"/>
          <w:highlight w:val="none"/>
        </w:rPr>
      </w:pPr>
      <w:r>
        <w:rPr>
          <w:rFonts w:hint="eastAsia" w:ascii="宋体" w:hAnsi="宋体" w:cs="宋体"/>
          <w:color w:val="auto"/>
          <w:kern w:val="21"/>
          <w:szCs w:val="21"/>
          <w:highlight w:val="none"/>
        </w:rPr>
        <w:t xml:space="preserve"> </w:t>
      </w:r>
      <w:r>
        <w:rPr>
          <w:rFonts w:hint="eastAsia" w:ascii="宋体" w:hAnsi="宋体" w:cs="宋体"/>
          <w:color w:val="auto"/>
          <w:kern w:val="21"/>
          <w:sz w:val="24"/>
          <w:highlight w:val="none"/>
          <w:lang w:val="zh-CN"/>
        </w:rPr>
        <w:t>供应商名称（电子签章）：</w:t>
      </w:r>
    </w:p>
    <w:p w14:paraId="7BB6C5EB">
      <w:pPr>
        <w:spacing w:line="500" w:lineRule="exact"/>
        <w:jc w:val="center"/>
        <w:rPr>
          <w:rFonts w:ascii="宋体" w:hAnsi="宋体" w:cs="宋体"/>
          <w:color w:val="auto"/>
          <w:kern w:val="21"/>
          <w:sz w:val="32"/>
          <w:szCs w:val="32"/>
          <w:highlight w:val="none"/>
        </w:rPr>
        <w:sectPr>
          <w:pgSz w:w="11911" w:h="16838"/>
          <w:pgMar w:top="1440" w:right="1440" w:bottom="1440" w:left="1440" w:header="720" w:footer="720" w:gutter="0"/>
          <w:cols w:space="720" w:num="1"/>
        </w:sectPr>
      </w:pPr>
      <w:r>
        <w:rPr>
          <w:rFonts w:hint="eastAsia" w:ascii="宋体" w:hAnsi="宋体" w:cs="宋体"/>
          <w:color w:val="auto"/>
          <w:kern w:val="21"/>
          <w:sz w:val="24"/>
          <w:highlight w:val="none"/>
          <w:lang w:val="zh-CN"/>
        </w:rPr>
        <w:t xml:space="preserve">                                                     日期</w:t>
      </w:r>
      <w:r>
        <w:rPr>
          <w:rFonts w:hint="eastAsia" w:ascii="宋体" w:hAnsi="宋体" w:cs="宋体"/>
          <w:color w:val="auto"/>
          <w:kern w:val="21"/>
          <w:sz w:val="24"/>
          <w:highlight w:val="none"/>
        </w:rPr>
        <w:t xml:space="preserve">：  年  </w:t>
      </w:r>
      <w:r>
        <w:rPr>
          <w:rFonts w:hint="eastAsia" w:ascii="宋体" w:hAnsi="宋体" w:cs="宋体"/>
          <w:color w:val="auto"/>
          <w:kern w:val="21"/>
          <w:sz w:val="24"/>
          <w:highlight w:val="none"/>
          <w:lang w:val="zh-CN"/>
        </w:rPr>
        <w:t>月</w:t>
      </w:r>
      <w:r>
        <w:rPr>
          <w:rFonts w:hint="eastAsia" w:ascii="宋体" w:hAnsi="宋体" w:cs="宋体"/>
          <w:color w:val="auto"/>
          <w:kern w:val="21"/>
          <w:sz w:val="24"/>
          <w:highlight w:val="none"/>
        </w:rPr>
        <w:t xml:space="preserve">   </w:t>
      </w:r>
      <w:r>
        <w:rPr>
          <w:rFonts w:hint="eastAsia" w:ascii="宋体" w:hAnsi="宋体" w:cs="宋体"/>
          <w:color w:val="auto"/>
          <w:kern w:val="21"/>
          <w:sz w:val="24"/>
          <w:highlight w:val="none"/>
          <w:lang w:val="zh-CN"/>
        </w:rPr>
        <w:t>日</w:t>
      </w:r>
    </w:p>
    <w:p w14:paraId="54F647F3">
      <w:pPr>
        <w:snapToGrid w:val="0"/>
        <w:spacing w:line="360" w:lineRule="auto"/>
        <w:ind w:firstLine="602" w:firstLineChars="200"/>
        <w:rPr>
          <w:rFonts w:ascii="宋体" w:hAnsi="宋体" w:cs="宋体"/>
          <w:color w:val="auto"/>
          <w:kern w:val="21"/>
          <w:sz w:val="32"/>
          <w:szCs w:val="32"/>
          <w:highlight w:val="none"/>
        </w:rPr>
      </w:pPr>
      <w:r>
        <w:rPr>
          <w:rFonts w:hint="eastAsia" w:ascii="宋体" w:hAnsi="宋体" w:cs="宋体"/>
          <w:b/>
          <w:color w:val="auto"/>
          <w:kern w:val="21"/>
          <w:sz w:val="30"/>
          <w:szCs w:val="30"/>
          <w:highlight w:val="none"/>
        </w:rPr>
        <w:t>八、服务需求偏离表</w:t>
      </w:r>
    </w:p>
    <w:p w14:paraId="03367648">
      <w:pPr>
        <w:spacing w:line="500" w:lineRule="exact"/>
        <w:jc w:val="center"/>
        <w:rPr>
          <w:rFonts w:ascii="宋体" w:hAnsi="宋体" w:cs="宋体"/>
          <w:bCs/>
          <w:color w:val="auto"/>
          <w:kern w:val="21"/>
          <w:sz w:val="44"/>
          <w:szCs w:val="44"/>
          <w:highlight w:val="none"/>
        </w:rPr>
      </w:pPr>
      <w:r>
        <w:rPr>
          <w:rFonts w:hint="eastAsia" w:ascii="宋体" w:hAnsi="宋体" w:cs="宋体"/>
          <w:bCs/>
          <w:color w:val="auto"/>
          <w:kern w:val="21"/>
          <w:sz w:val="44"/>
          <w:szCs w:val="44"/>
          <w:highlight w:val="none"/>
        </w:rPr>
        <w:t>竞标产品服务需求偏离表</w:t>
      </w:r>
    </w:p>
    <w:p w14:paraId="4E327715">
      <w:pPr>
        <w:spacing w:line="500" w:lineRule="exact"/>
        <w:jc w:val="center"/>
        <w:rPr>
          <w:rFonts w:ascii="宋体" w:hAnsi="宋体" w:cs="宋体"/>
          <w:b/>
          <w:color w:val="auto"/>
          <w:kern w:val="21"/>
          <w:sz w:val="32"/>
          <w:szCs w:val="32"/>
          <w:highlight w:val="none"/>
        </w:rPr>
      </w:pPr>
      <w:r>
        <w:rPr>
          <w:rFonts w:hint="eastAsia" w:ascii="宋体" w:hAnsi="宋体" w:cs="宋体"/>
          <w:bCs/>
          <w:color w:val="auto"/>
          <w:kern w:val="21"/>
          <w:sz w:val="44"/>
          <w:szCs w:val="44"/>
          <w:highlight w:val="none"/>
        </w:rPr>
        <w:t>（注：按采购需求具体条款修改）</w:t>
      </w:r>
    </w:p>
    <w:p w14:paraId="6CC0BC84">
      <w:pPr>
        <w:spacing w:line="360" w:lineRule="auto"/>
        <w:contextualSpacing/>
        <w:jc w:val="left"/>
        <w:rPr>
          <w:rFonts w:ascii="宋体" w:hAnsi="宋体" w:cs="宋体"/>
          <w:color w:val="auto"/>
          <w:kern w:val="21"/>
          <w:sz w:val="24"/>
          <w:highlight w:val="none"/>
        </w:rPr>
      </w:pPr>
    </w:p>
    <w:p w14:paraId="454AC2B2">
      <w:pPr>
        <w:pStyle w:val="18"/>
        <w:spacing w:line="360" w:lineRule="auto"/>
        <w:contextualSpacing/>
        <w:rPr>
          <w:rFonts w:hAnsi="宋体" w:cs="宋体"/>
          <w:color w:val="auto"/>
          <w:kern w:val="21"/>
          <w:sz w:val="24"/>
          <w:szCs w:val="24"/>
          <w:highlight w:val="none"/>
          <w:u w:val="single"/>
        </w:rPr>
      </w:pPr>
      <w:r>
        <w:rPr>
          <w:rFonts w:hint="eastAsia" w:hAnsi="宋体" w:cs="宋体"/>
          <w:color w:val="auto"/>
          <w:kern w:val="21"/>
          <w:sz w:val="24"/>
          <w:szCs w:val="24"/>
          <w:highlight w:val="none"/>
        </w:rPr>
        <w:t>所竞分标：</w:t>
      </w:r>
      <w:r>
        <w:rPr>
          <w:rFonts w:hint="eastAsia" w:hAnsi="宋体" w:cs="宋体"/>
          <w:color w:val="auto"/>
          <w:kern w:val="21"/>
          <w:sz w:val="24"/>
          <w:szCs w:val="24"/>
          <w:highlight w:val="none"/>
          <w:u w:val="single"/>
        </w:rPr>
        <w:t xml:space="preserve">              </w:t>
      </w:r>
    </w:p>
    <w:tbl>
      <w:tblPr>
        <w:tblStyle w:val="31"/>
        <w:tblW w:w="8880" w:type="dxa"/>
        <w:tblInd w:w="93" w:type="dxa"/>
        <w:tblLayout w:type="autofit"/>
        <w:tblCellMar>
          <w:top w:w="0" w:type="dxa"/>
          <w:left w:w="108" w:type="dxa"/>
          <w:bottom w:w="0" w:type="dxa"/>
          <w:right w:w="108" w:type="dxa"/>
        </w:tblCellMar>
      </w:tblPr>
      <w:tblGrid>
        <w:gridCol w:w="1080"/>
        <w:gridCol w:w="1560"/>
        <w:gridCol w:w="1560"/>
        <w:gridCol w:w="1560"/>
        <w:gridCol w:w="1560"/>
        <w:gridCol w:w="1560"/>
      </w:tblGrid>
      <w:tr w14:paraId="3CF933E4">
        <w:tblPrEx>
          <w:tblCellMar>
            <w:top w:w="0" w:type="dxa"/>
            <w:left w:w="108" w:type="dxa"/>
            <w:bottom w:w="0" w:type="dxa"/>
            <w:right w:w="108" w:type="dxa"/>
          </w:tblCellMar>
        </w:tblPrEx>
        <w:trPr>
          <w:trHeight w:val="30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400354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项号</w:t>
            </w:r>
          </w:p>
        </w:tc>
        <w:tc>
          <w:tcPr>
            <w:tcW w:w="3120" w:type="dxa"/>
            <w:gridSpan w:val="2"/>
            <w:tcBorders>
              <w:top w:val="single" w:color="000000" w:sz="8" w:space="0"/>
              <w:left w:val="nil"/>
              <w:bottom w:val="single" w:color="000000" w:sz="8" w:space="0"/>
              <w:right w:val="single" w:color="000000" w:sz="8" w:space="0"/>
            </w:tcBorders>
            <w:noWrap w:val="0"/>
            <w:vAlign w:val="center"/>
          </w:tcPr>
          <w:p w14:paraId="00A6B7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竞争性磋商采购文件需求</w:t>
            </w:r>
          </w:p>
        </w:tc>
        <w:tc>
          <w:tcPr>
            <w:tcW w:w="3120" w:type="dxa"/>
            <w:gridSpan w:val="2"/>
            <w:tcBorders>
              <w:top w:val="single" w:color="000000" w:sz="8" w:space="0"/>
              <w:left w:val="nil"/>
              <w:bottom w:val="single" w:color="000000" w:sz="8" w:space="0"/>
              <w:right w:val="single" w:color="000000" w:sz="8" w:space="0"/>
            </w:tcBorders>
            <w:noWrap w:val="0"/>
            <w:vAlign w:val="center"/>
          </w:tcPr>
          <w:p w14:paraId="7DEE6B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响应文件承诺</w:t>
            </w:r>
          </w:p>
        </w:tc>
        <w:tc>
          <w:tcPr>
            <w:tcW w:w="1560" w:type="dxa"/>
            <w:vMerge w:val="restart"/>
            <w:tcBorders>
              <w:top w:val="single" w:color="000000" w:sz="8" w:space="0"/>
              <w:left w:val="nil"/>
              <w:bottom w:val="single" w:color="000000" w:sz="8" w:space="0"/>
              <w:right w:val="single" w:color="000000" w:sz="8" w:space="0"/>
            </w:tcBorders>
            <w:noWrap w:val="0"/>
            <w:vAlign w:val="center"/>
          </w:tcPr>
          <w:p w14:paraId="60A8DE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偏离说明</w:t>
            </w:r>
          </w:p>
        </w:tc>
      </w:tr>
      <w:tr w14:paraId="5511F66F">
        <w:tblPrEx>
          <w:tblCellMar>
            <w:top w:w="0" w:type="dxa"/>
            <w:left w:w="108" w:type="dxa"/>
            <w:bottom w:w="0" w:type="dxa"/>
            <w:right w:w="108" w:type="dxa"/>
          </w:tblCellMar>
        </w:tblPrEx>
        <w:trPr>
          <w:trHeight w:val="525"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70B581">
            <w:pPr>
              <w:jc w:val="cente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1DE8CE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1560" w:type="dxa"/>
            <w:tcBorders>
              <w:top w:val="nil"/>
              <w:left w:val="nil"/>
              <w:bottom w:val="single" w:color="000000" w:sz="8" w:space="0"/>
              <w:right w:val="single" w:color="000000" w:sz="8" w:space="0"/>
            </w:tcBorders>
            <w:noWrap w:val="0"/>
            <w:vAlign w:val="center"/>
          </w:tcPr>
          <w:p w14:paraId="65FFD6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服务要求</w:t>
            </w:r>
          </w:p>
        </w:tc>
        <w:tc>
          <w:tcPr>
            <w:tcW w:w="1560" w:type="dxa"/>
            <w:tcBorders>
              <w:top w:val="single" w:color="000000" w:sz="8" w:space="0"/>
              <w:left w:val="nil"/>
              <w:bottom w:val="single" w:color="000000" w:sz="8" w:space="0"/>
              <w:right w:val="single" w:color="000000" w:sz="8" w:space="0"/>
            </w:tcBorders>
            <w:noWrap w:val="0"/>
            <w:vAlign w:val="center"/>
          </w:tcPr>
          <w:p w14:paraId="6A47F5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1560" w:type="dxa"/>
            <w:tcBorders>
              <w:top w:val="single" w:color="000000" w:sz="8" w:space="0"/>
              <w:left w:val="nil"/>
              <w:bottom w:val="single" w:color="000000" w:sz="8" w:space="0"/>
              <w:right w:val="single" w:color="000000" w:sz="8" w:space="0"/>
            </w:tcBorders>
            <w:noWrap w:val="0"/>
            <w:vAlign w:val="center"/>
          </w:tcPr>
          <w:p w14:paraId="0DA5FD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响应的服务内容</w:t>
            </w:r>
          </w:p>
        </w:tc>
        <w:tc>
          <w:tcPr>
            <w:tcW w:w="1560" w:type="dxa"/>
            <w:vMerge w:val="continue"/>
            <w:tcBorders>
              <w:top w:val="single" w:color="000000" w:sz="8" w:space="0"/>
              <w:left w:val="nil"/>
              <w:bottom w:val="single" w:color="000000" w:sz="8" w:space="0"/>
              <w:right w:val="single" w:color="000000" w:sz="8" w:space="0"/>
            </w:tcBorders>
            <w:noWrap w:val="0"/>
            <w:vAlign w:val="center"/>
          </w:tcPr>
          <w:p w14:paraId="12834BBD">
            <w:pPr>
              <w:jc w:val="center"/>
              <w:rPr>
                <w:rFonts w:ascii="宋体" w:hAnsi="宋体" w:cs="宋体"/>
                <w:color w:val="auto"/>
                <w:szCs w:val="21"/>
                <w:highlight w:val="none"/>
              </w:rPr>
            </w:pPr>
          </w:p>
        </w:tc>
      </w:tr>
      <w:tr w14:paraId="0D7DA3CE">
        <w:tblPrEx>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noWrap w:val="0"/>
            <w:vAlign w:val="center"/>
          </w:tcPr>
          <w:p w14:paraId="6C36A3E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60" w:type="dxa"/>
            <w:vMerge w:val="restart"/>
            <w:tcBorders>
              <w:top w:val="nil"/>
              <w:left w:val="nil"/>
              <w:bottom w:val="single" w:color="000000" w:sz="8" w:space="0"/>
              <w:right w:val="single" w:color="000000" w:sz="8" w:space="0"/>
            </w:tcBorders>
            <w:noWrap w:val="0"/>
            <w:vAlign w:val="center"/>
          </w:tcPr>
          <w:p w14:paraId="415E92C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tcBorders>
              <w:top w:val="nil"/>
              <w:left w:val="nil"/>
              <w:bottom w:val="nil"/>
              <w:right w:val="single" w:color="000000" w:sz="8" w:space="0"/>
            </w:tcBorders>
            <w:noWrap w:val="0"/>
            <w:vAlign w:val="center"/>
          </w:tcPr>
          <w:p w14:paraId="5679B39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 </w:t>
            </w:r>
            <w:r>
              <w:rPr>
                <w:rStyle w:val="91"/>
                <w:rFonts w:hint="default"/>
                <w:color w:val="auto"/>
                <w:highlight w:val="none"/>
                <w:lang w:bidi="ar"/>
              </w:rPr>
              <w:t xml:space="preserve"> ……</w:t>
            </w:r>
          </w:p>
        </w:tc>
        <w:tc>
          <w:tcPr>
            <w:tcW w:w="1560" w:type="dxa"/>
            <w:vMerge w:val="restart"/>
            <w:tcBorders>
              <w:top w:val="nil"/>
              <w:left w:val="nil"/>
              <w:bottom w:val="single" w:color="000000" w:sz="8" w:space="0"/>
              <w:right w:val="single" w:color="000000" w:sz="8" w:space="0"/>
            </w:tcBorders>
            <w:noWrap w:val="0"/>
            <w:vAlign w:val="center"/>
          </w:tcPr>
          <w:p w14:paraId="08162F4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tcBorders>
              <w:top w:val="nil"/>
              <w:left w:val="nil"/>
              <w:bottom w:val="nil"/>
              <w:right w:val="single" w:color="000000" w:sz="8" w:space="0"/>
            </w:tcBorders>
            <w:noWrap w:val="0"/>
            <w:vAlign w:val="center"/>
          </w:tcPr>
          <w:p w14:paraId="565437D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 </w:t>
            </w:r>
            <w:r>
              <w:rPr>
                <w:rStyle w:val="91"/>
                <w:rFonts w:hint="default"/>
                <w:color w:val="auto"/>
                <w:highlight w:val="none"/>
                <w:lang w:bidi="ar"/>
              </w:rPr>
              <w:t xml:space="preserve"> ……</w:t>
            </w:r>
          </w:p>
        </w:tc>
        <w:tc>
          <w:tcPr>
            <w:tcW w:w="1560" w:type="dxa"/>
            <w:vMerge w:val="restart"/>
            <w:tcBorders>
              <w:top w:val="nil"/>
              <w:left w:val="nil"/>
              <w:bottom w:val="single" w:color="000000" w:sz="8" w:space="0"/>
              <w:right w:val="single" w:color="000000" w:sz="8" w:space="0"/>
            </w:tcBorders>
            <w:noWrap w:val="0"/>
            <w:vAlign w:val="center"/>
          </w:tcPr>
          <w:p w14:paraId="2BFEEF47">
            <w:pPr>
              <w:rPr>
                <w:rFonts w:ascii="宋体" w:hAnsi="宋体" w:cs="宋体"/>
                <w:color w:val="auto"/>
                <w:szCs w:val="21"/>
                <w:highlight w:val="none"/>
              </w:rPr>
            </w:pPr>
          </w:p>
        </w:tc>
      </w:tr>
      <w:tr w14:paraId="7C1F4AC7">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14:paraId="391510CA">
            <w:pPr>
              <w:rPr>
                <w:rFonts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noWrap w:val="0"/>
            <w:vAlign w:val="center"/>
          </w:tcPr>
          <w:p w14:paraId="5D9A8CBF">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1B135938">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3128AA7D">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0375BB4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42775AA4">
            <w:pPr>
              <w:rPr>
                <w:rFonts w:ascii="宋体" w:hAnsi="宋体" w:cs="宋体"/>
                <w:color w:val="auto"/>
                <w:szCs w:val="21"/>
                <w:highlight w:val="none"/>
              </w:rPr>
            </w:pPr>
          </w:p>
        </w:tc>
      </w:tr>
      <w:tr w14:paraId="32E4DEBE">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14:paraId="651B441D">
            <w:pPr>
              <w:rPr>
                <w:rFonts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noWrap w:val="0"/>
            <w:vAlign w:val="center"/>
          </w:tcPr>
          <w:p w14:paraId="63053479">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2279011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04705BD0">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3E18147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76F0F967">
            <w:pPr>
              <w:rPr>
                <w:rFonts w:ascii="宋体" w:hAnsi="宋体" w:cs="宋体"/>
                <w:color w:val="auto"/>
                <w:szCs w:val="21"/>
                <w:highlight w:val="none"/>
              </w:rPr>
            </w:pPr>
          </w:p>
        </w:tc>
      </w:tr>
      <w:tr w14:paraId="45C108EE">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14:paraId="68C73985">
            <w:pPr>
              <w:rPr>
                <w:rFonts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noWrap w:val="0"/>
            <w:vAlign w:val="center"/>
          </w:tcPr>
          <w:p w14:paraId="0F559473">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34AB71F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noWrap w:val="0"/>
            <w:vAlign w:val="center"/>
          </w:tcPr>
          <w:p w14:paraId="3FC58623">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51A7C19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noWrap w:val="0"/>
            <w:vAlign w:val="center"/>
          </w:tcPr>
          <w:p w14:paraId="0AEECD26">
            <w:pPr>
              <w:rPr>
                <w:rFonts w:ascii="宋体" w:hAnsi="宋体" w:cs="宋体"/>
                <w:color w:val="auto"/>
                <w:szCs w:val="21"/>
                <w:highlight w:val="none"/>
              </w:rPr>
            </w:pPr>
          </w:p>
        </w:tc>
      </w:tr>
      <w:tr w14:paraId="5907A545">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14:paraId="1EB73256">
            <w:pPr>
              <w:rPr>
                <w:rFonts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noWrap w:val="0"/>
            <w:vAlign w:val="center"/>
          </w:tcPr>
          <w:p w14:paraId="0B59A72A">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19E94E8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7AE81135">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334B16F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5E21A94C">
            <w:pPr>
              <w:rPr>
                <w:rFonts w:ascii="宋体" w:hAnsi="宋体" w:cs="宋体"/>
                <w:color w:val="auto"/>
                <w:szCs w:val="21"/>
                <w:highlight w:val="none"/>
              </w:rPr>
            </w:pPr>
          </w:p>
        </w:tc>
      </w:tr>
      <w:tr w14:paraId="537BE580">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14:paraId="0E40BF22">
            <w:pPr>
              <w:rPr>
                <w:rFonts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noWrap w:val="0"/>
            <w:vAlign w:val="center"/>
          </w:tcPr>
          <w:p w14:paraId="056CB949">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5E8AD2D9">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15A2D228">
            <w:pPr>
              <w:rPr>
                <w:rFonts w:ascii="宋体" w:hAnsi="宋体" w:cs="宋体"/>
                <w:color w:val="auto"/>
                <w:szCs w:val="21"/>
                <w:highlight w:val="none"/>
              </w:rPr>
            </w:pPr>
          </w:p>
        </w:tc>
        <w:tc>
          <w:tcPr>
            <w:tcW w:w="1560" w:type="dxa"/>
            <w:tcBorders>
              <w:top w:val="nil"/>
              <w:left w:val="nil"/>
              <w:bottom w:val="nil"/>
              <w:right w:val="single" w:color="000000" w:sz="8" w:space="0"/>
            </w:tcBorders>
            <w:noWrap w:val="0"/>
            <w:vAlign w:val="center"/>
          </w:tcPr>
          <w:p w14:paraId="6EFF303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3 </w:t>
            </w:r>
            <w:r>
              <w:rPr>
                <w:rStyle w:val="91"/>
                <w:rFonts w:hint="default"/>
                <w:color w:val="auto"/>
                <w:highlight w:val="none"/>
                <w:lang w:bidi="ar"/>
              </w:rPr>
              <w:t xml:space="preserve"> ……</w:t>
            </w:r>
          </w:p>
        </w:tc>
        <w:tc>
          <w:tcPr>
            <w:tcW w:w="1560" w:type="dxa"/>
            <w:vMerge w:val="continue"/>
            <w:tcBorders>
              <w:top w:val="nil"/>
              <w:left w:val="nil"/>
              <w:bottom w:val="single" w:color="000000" w:sz="8" w:space="0"/>
              <w:right w:val="single" w:color="000000" w:sz="8" w:space="0"/>
            </w:tcBorders>
            <w:noWrap w:val="0"/>
            <w:vAlign w:val="center"/>
          </w:tcPr>
          <w:p w14:paraId="33CAD336">
            <w:pPr>
              <w:rPr>
                <w:rFonts w:ascii="宋体" w:hAnsi="宋体" w:cs="宋体"/>
                <w:color w:val="auto"/>
                <w:szCs w:val="21"/>
                <w:highlight w:val="none"/>
              </w:rPr>
            </w:pPr>
          </w:p>
        </w:tc>
      </w:tr>
      <w:tr w14:paraId="6A606287">
        <w:tblPrEx>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noWrap w:val="0"/>
            <w:vAlign w:val="center"/>
          </w:tcPr>
          <w:p w14:paraId="027C0303">
            <w:pPr>
              <w:rPr>
                <w:rFonts w:ascii="宋体" w:hAnsi="宋体" w:cs="宋体"/>
                <w:color w:val="auto"/>
                <w:szCs w:val="21"/>
                <w:highlight w:val="none"/>
              </w:rPr>
            </w:pPr>
          </w:p>
        </w:tc>
        <w:tc>
          <w:tcPr>
            <w:tcW w:w="1560" w:type="dxa"/>
            <w:vMerge w:val="continue"/>
            <w:tcBorders>
              <w:top w:val="nil"/>
              <w:left w:val="nil"/>
              <w:bottom w:val="single" w:color="000000" w:sz="8" w:space="0"/>
              <w:right w:val="single" w:color="000000" w:sz="8" w:space="0"/>
            </w:tcBorders>
            <w:noWrap w:val="0"/>
            <w:vAlign w:val="center"/>
          </w:tcPr>
          <w:p w14:paraId="22DA6678">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259CC6E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noWrap w:val="0"/>
            <w:vAlign w:val="center"/>
          </w:tcPr>
          <w:p w14:paraId="260E73AE">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0944269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vMerge w:val="continue"/>
            <w:tcBorders>
              <w:top w:val="nil"/>
              <w:left w:val="nil"/>
              <w:bottom w:val="single" w:color="000000" w:sz="8" w:space="0"/>
              <w:right w:val="single" w:color="000000" w:sz="8" w:space="0"/>
            </w:tcBorders>
            <w:noWrap w:val="0"/>
            <w:vAlign w:val="center"/>
          </w:tcPr>
          <w:p w14:paraId="1FE5E35C">
            <w:pPr>
              <w:rPr>
                <w:rFonts w:ascii="宋体" w:hAnsi="宋体" w:cs="宋体"/>
                <w:color w:val="auto"/>
                <w:szCs w:val="21"/>
                <w:highlight w:val="none"/>
              </w:rPr>
            </w:pPr>
          </w:p>
        </w:tc>
      </w:tr>
      <w:tr w14:paraId="6474AAA3">
        <w:tblPrEx>
          <w:tblCellMar>
            <w:top w:w="0" w:type="dxa"/>
            <w:left w:w="108" w:type="dxa"/>
            <w:bottom w:w="0" w:type="dxa"/>
            <w:right w:w="108" w:type="dxa"/>
          </w:tblCellMar>
        </w:tblPrEx>
        <w:trPr>
          <w:trHeight w:val="905" w:hRule="atLeast"/>
        </w:trPr>
        <w:tc>
          <w:tcPr>
            <w:tcW w:w="1080" w:type="dxa"/>
            <w:tcBorders>
              <w:top w:val="nil"/>
              <w:left w:val="single" w:color="000000" w:sz="8" w:space="0"/>
              <w:bottom w:val="single" w:color="000000" w:sz="8" w:space="0"/>
              <w:right w:val="single" w:color="000000" w:sz="8" w:space="0"/>
            </w:tcBorders>
            <w:noWrap w:val="0"/>
            <w:vAlign w:val="center"/>
          </w:tcPr>
          <w:p w14:paraId="1ABDC73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560" w:type="dxa"/>
            <w:tcBorders>
              <w:top w:val="nil"/>
              <w:left w:val="nil"/>
              <w:bottom w:val="single" w:color="000000" w:sz="8" w:space="0"/>
              <w:right w:val="single" w:color="000000" w:sz="8" w:space="0"/>
            </w:tcBorders>
            <w:noWrap w:val="0"/>
            <w:vAlign w:val="center"/>
          </w:tcPr>
          <w:p w14:paraId="0D6AB125">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6C1FEAB9">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center"/>
          </w:tcPr>
          <w:p w14:paraId="61973710">
            <w:pPr>
              <w:rPr>
                <w:rFonts w:ascii="宋体" w:hAnsi="宋体" w:cs="宋体"/>
                <w:color w:val="auto"/>
                <w:szCs w:val="21"/>
                <w:highlight w:val="none"/>
              </w:rPr>
            </w:pPr>
          </w:p>
        </w:tc>
        <w:tc>
          <w:tcPr>
            <w:tcW w:w="1560" w:type="dxa"/>
            <w:tcBorders>
              <w:top w:val="nil"/>
              <w:left w:val="nil"/>
              <w:bottom w:val="single" w:color="000000" w:sz="8" w:space="0"/>
              <w:right w:val="single" w:color="000000" w:sz="8" w:space="0"/>
            </w:tcBorders>
            <w:noWrap w:val="0"/>
            <w:vAlign w:val="top"/>
          </w:tcPr>
          <w:p w14:paraId="51787F98">
            <w:pPr>
              <w:rPr>
                <w:rFonts w:ascii="宋体" w:hAnsi="宋体" w:cs="宋体"/>
                <w:color w:val="auto"/>
                <w:szCs w:val="21"/>
                <w:highlight w:val="none"/>
              </w:rPr>
            </w:pPr>
          </w:p>
        </w:tc>
        <w:tc>
          <w:tcPr>
            <w:tcW w:w="0" w:type="auto"/>
            <w:tcBorders>
              <w:top w:val="nil"/>
              <w:left w:val="nil"/>
              <w:bottom w:val="single" w:color="000000" w:sz="8" w:space="0"/>
              <w:right w:val="single" w:color="000000" w:sz="8" w:space="0"/>
            </w:tcBorders>
            <w:noWrap/>
            <w:vAlign w:val="center"/>
          </w:tcPr>
          <w:p w14:paraId="53F62DA0">
            <w:pPr>
              <w:rPr>
                <w:rFonts w:ascii="宋体" w:hAnsi="宋体" w:cs="宋体"/>
                <w:color w:val="auto"/>
                <w:sz w:val="22"/>
                <w:szCs w:val="22"/>
                <w:highlight w:val="none"/>
              </w:rPr>
            </w:pPr>
          </w:p>
        </w:tc>
      </w:tr>
    </w:tbl>
    <w:p w14:paraId="7335C656">
      <w:pPr>
        <w:pStyle w:val="15"/>
        <w:spacing w:after="0" w:line="360" w:lineRule="auto"/>
        <w:contextualSpacing/>
        <w:rPr>
          <w:rFonts w:ascii="宋体" w:hAnsi="宋体" w:cs="宋体"/>
          <w:color w:val="auto"/>
          <w:kern w:val="21"/>
          <w:sz w:val="21"/>
          <w:szCs w:val="21"/>
          <w:highlight w:val="none"/>
        </w:rPr>
      </w:pPr>
      <w:r>
        <w:rPr>
          <w:rFonts w:hint="eastAsia" w:ascii="宋体" w:hAnsi="宋体" w:cs="宋体"/>
          <w:color w:val="auto"/>
          <w:kern w:val="21"/>
          <w:sz w:val="21"/>
          <w:szCs w:val="21"/>
          <w:highlight w:val="none"/>
        </w:rPr>
        <w:t>注：</w:t>
      </w:r>
    </w:p>
    <w:p w14:paraId="1C08706E">
      <w:pPr>
        <w:snapToGrid w:val="0"/>
        <w:spacing w:line="360" w:lineRule="auto"/>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1、应写明竞争性磋商响应文件对技术要求的响应和偏离情况；</w:t>
      </w:r>
    </w:p>
    <w:p w14:paraId="070C7EB0">
      <w:pPr>
        <w:snapToGrid w:val="0"/>
        <w:spacing w:line="360" w:lineRule="auto"/>
        <w:ind w:firstLine="420" w:firstLineChars="200"/>
        <w:rPr>
          <w:rFonts w:ascii="宋体" w:hAnsi="宋体" w:cs="宋体"/>
          <w:b/>
          <w:color w:val="auto"/>
          <w:kern w:val="21"/>
          <w:sz w:val="30"/>
          <w:szCs w:val="30"/>
          <w:highlight w:val="none"/>
        </w:rPr>
      </w:pPr>
      <w:r>
        <w:rPr>
          <w:rFonts w:hint="eastAsia" w:ascii="宋体" w:hAnsi="宋体" w:cs="宋体"/>
          <w:color w:val="auto"/>
          <w:kern w:val="21"/>
          <w:szCs w:val="21"/>
          <w:highlight w:val="none"/>
        </w:rPr>
        <w:t>2、应对照竞争性磋商文件</w:t>
      </w:r>
      <w:r>
        <w:rPr>
          <w:rFonts w:hint="eastAsia" w:ascii="宋体" w:hAnsi="宋体" w:cs="宋体"/>
          <w:color w:val="auto"/>
          <w:kern w:val="21"/>
          <w:highlight w:val="none"/>
        </w:rPr>
        <w:t>第二章“服务需求一览表”</w:t>
      </w:r>
      <w:r>
        <w:rPr>
          <w:rFonts w:hint="eastAsia" w:ascii="宋体" w:hAnsi="宋体" w:cs="宋体"/>
          <w:color w:val="auto"/>
          <w:kern w:val="21"/>
          <w:szCs w:val="21"/>
          <w:highlight w:val="none"/>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14:paraId="27C06F7D">
      <w:pPr>
        <w:snapToGrid w:val="0"/>
        <w:spacing w:line="360" w:lineRule="auto"/>
        <w:ind w:firstLine="602" w:firstLineChars="200"/>
        <w:rPr>
          <w:rFonts w:ascii="宋体" w:hAnsi="宋体" w:cs="宋体"/>
          <w:b/>
          <w:color w:val="auto"/>
          <w:kern w:val="21"/>
          <w:sz w:val="30"/>
          <w:szCs w:val="30"/>
          <w:highlight w:val="none"/>
        </w:rPr>
      </w:pPr>
    </w:p>
    <w:p w14:paraId="1E9EB6D4">
      <w:pPr>
        <w:snapToGrid w:val="0"/>
        <w:spacing w:line="360" w:lineRule="auto"/>
        <w:ind w:firstLine="602" w:firstLineChars="200"/>
        <w:rPr>
          <w:rFonts w:ascii="宋体" w:hAnsi="宋体" w:cs="宋体"/>
          <w:b/>
          <w:color w:val="auto"/>
          <w:kern w:val="21"/>
          <w:sz w:val="30"/>
          <w:szCs w:val="30"/>
          <w:highlight w:val="none"/>
        </w:rPr>
      </w:pPr>
    </w:p>
    <w:p w14:paraId="57051E07">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7F4366A1">
      <w:pPr>
        <w:autoSpaceDE w:val="0"/>
        <w:autoSpaceDN w:val="0"/>
        <w:spacing w:line="360" w:lineRule="auto"/>
        <w:ind w:firstLine="6480" w:firstLineChars="270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2360F38C">
      <w:pPr>
        <w:adjustRightInd w:val="0"/>
        <w:snapToGrid w:val="0"/>
        <w:spacing w:line="520" w:lineRule="exact"/>
        <w:jc w:val="center"/>
        <w:rPr>
          <w:rFonts w:ascii="宋体" w:hAnsi="宋体" w:cs="宋体"/>
          <w:bCs/>
          <w:color w:val="auto"/>
          <w:kern w:val="21"/>
          <w:sz w:val="44"/>
          <w:szCs w:val="44"/>
          <w:highlight w:val="none"/>
        </w:rPr>
      </w:pPr>
    </w:p>
    <w:p w14:paraId="22EDCA55">
      <w:pPr>
        <w:adjustRightInd w:val="0"/>
        <w:snapToGrid w:val="0"/>
        <w:spacing w:line="520" w:lineRule="exact"/>
        <w:jc w:val="center"/>
        <w:rPr>
          <w:rFonts w:ascii="宋体" w:hAnsi="宋体" w:cs="宋体"/>
          <w:bCs/>
          <w:color w:val="auto"/>
          <w:kern w:val="21"/>
          <w:sz w:val="44"/>
          <w:szCs w:val="44"/>
          <w:highlight w:val="none"/>
        </w:rPr>
      </w:pPr>
    </w:p>
    <w:p w14:paraId="5CC4F8E6">
      <w:pPr>
        <w:adjustRightInd w:val="0"/>
        <w:snapToGrid w:val="0"/>
        <w:spacing w:line="520" w:lineRule="exact"/>
        <w:jc w:val="center"/>
        <w:rPr>
          <w:rFonts w:ascii="宋体" w:hAnsi="宋体" w:cs="宋体"/>
          <w:bCs/>
          <w:color w:val="auto"/>
          <w:kern w:val="21"/>
          <w:sz w:val="44"/>
          <w:szCs w:val="44"/>
          <w:highlight w:val="none"/>
        </w:rPr>
      </w:pPr>
    </w:p>
    <w:p w14:paraId="4154FF8B">
      <w:pPr>
        <w:adjustRightInd w:val="0"/>
        <w:snapToGrid w:val="0"/>
        <w:spacing w:line="520" w:lineRule="exact"/>
        <w:jc w:val="center"/>
        <w:rPr>
          <w:rFonts w:ascii="宋体" w:hAnsi="宋体" w:cs="宋体"/>
          <w:bCs/>
          <w:color w:val="auto"/>
          <w:kern w:val="21"/>
          <w:sz w:val="44"/>
          <w:szCs w:val="44"/>
          <w:highlight w:val="none"/>
        </w:rPr>
      </w:pPr>
    </w:p>
    <w:p w14:paraId="52CCA8F0">
      <w:pPr>
        <w:pStyle w:val="2"/>
        <w:rPr>
          <w:rFonts w:ascii="宋体" w:hAnsi="宋体" w:cs="宋体"/>
          <w:bCs/>
          <w:color w:val="auto"/>
          <w:kern w:val="21"/>
          <w:sz w:val="44"/>
          <w:szCs w:val="44"/>
          <w:highlight w:val="none"/>
        </w:rPr>
      </w:pPr>
    </w:p>
    <w:p w14:paraId="4A8E3B3D">
      <w:pPr>
        <w:rPr>
          <w:color w:val="auto"/>
          <w:highlight w:val="none"/>
        </w:rPr>
      </w:pPr>
    </w:p>
    <w:p w14:paraId="1451EB72">
      <w:pPr>
        <w:snapToGrid w:val="0"/>
        <w:spacing w:line="360" w:lineRule="auto"/>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九、技术服务方案</w:t>
      </w:r>
    </w:p>
    <w:p w14:paraId="4A2CE2D5">
      <w:pPr>
        <w:autoSpaceDE w:val="0"/>
        <w:autoSpaceDN w:val="0"/>
        <w:spacing w:line="360" w:lineRule="auto"/>
        <w:jc w:val="center"/>
        <w:rPr>
          <w:rFonts w:ascii="宋体" w:hAnsi="宋体" w:cs="宋体"/>
          <w:color w:val="auto"/>
          <w:kern w:val="21"/>
          <w:sz w:val="24"/>
          <w:highlight w:val="none"/>
        </w:rPr>
      </w:pPr>
      <w:r>
        <w:rPr>
          <w:rFonts w:hint="eastAsia" w:ascii="宋体" w:hAnsi="宋体" w:cs="宋体"/>
          <w:color w:val="auto"/>
          <w:kern w:val="21"/>
          <w:sz w:val="24"/>
          <w:highlight w:val="none"/>
        </w:rPr>
        <w:t>（由供应商根据采购需求及采购文件要求编制）</w:t>
      </w:r>
    </w:p>
    <w:p w14:paraId="1A745721">
      <w:pPr>
        <w:spacing w:line="500" w:lineRule="exact"/>
        <w:rPr>
          <w:rFonts w:ascii="宋体" w:hAnsi="宋体" w:cs="宋体"/>
          <w:color w:val="auto"/>
          <w:kern w:val="21"/>
          <w:sz w:val="32"/>
          <w:szCs w:val="32"/>
          <w:highlight w:val="none"/>
        </w:rPr>
      </w:pPr>
    </w:p>
    <w:p w14:paraId="05285871">
      <w:pPr>
        <w:spacing w:line="500" w:lineRule="exact"/>
        <w:rPr>
          <w:rFonts w:ascii="宋体" w:hAnsi="宋体" w:cs="宋体"/>
          <w:color w:val="auto"/>
          <w:kern w:val="21"/>
          <w:sz w:val="32"/>
          <w:szCs w:val="32"/>
          <w:highlight w:val="none"/>
        </w:rPr>
      </w:pPr>
    </w:p>
    <w:p w14:paraId="3B47DAD2">
      <w:pPr>
        <w:spacing w:line="500" w:lineRule="exact"/>
        <w:rPr>
          <w:rFonts w:ascii="宋体" w:hAnsi="宋体" w:cs="宋体"/>
          <w:color w:val="auto"/>
          <w:kern w:val="21"/>
          <w:sz w:val="32"/>
          <w:szCs w:val="32"/>
          <w:highlight w:val="none"/>
        </w:rPr>
      </w:pPr>
    </w:p>
    <w:p w14:paraId="146A1117">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125B40D9">
      <w:pPr>
        <w:autoSpaceDE w:val="0"/>
        <w:autoSpaceDN w:val="0"/>
        <w:spacing w:line="360" w:lineRule="auto"/>
        <w:ind w:firstLine="6480" w:firstLineChars="2700"/>
        <w:rPr>
          <w:rFonts w:ascii="宋体" w:hAnsi="宋体" w:cs="宋体"/>
          <w:b/>
          <w:bCs/>
          <w:color w:val="auto"/>
          <w:kern w:val="21"/>
          <w:sz w:val="24"/>
          <w:highlight w:val="none"/>
        </w:rPr>
      </w:pPr>
      <w:r>
        <w:rPr>
          <w:rFonts w:hint="eastAsia" w:ascii="宋体" w:hAnsi="宋体" w:cs="宋体"/>
          <w:color w:val="auto"/>
          <w:kern w:val="21"/>
          <w:sz w:val="24"/>
          <w:highlight w:val="none"/>
          <w:lang w:val="zh-CN"/>
        </w:rPr>
        <w:t>日期：  年  月   日</w:t>
      </w:r>
    </w:p>
    <w:p w14:paraId="2607DD25">
      <w:pPr>
        <w:spacing w:line="500" w:lineRule="exact"/>
        <w:rPr>
          <w:rFonts w:ascii="宋体" w:hAnsi="宋体" w:cs="宋体"/>
          <w:color w:val="auto"/>
          <w:kern w:val="21"/>
          <w:sz w:val="32"/>
          <w:szCs w:val="32"/>
          <w:highlight w:val="none"/>
        </w:rPr>
      </w:pPr>
    </w:p>
    <w:p w14:paraId="19A6DC6C">
      <w:pPr>
        <w:snapToGrid w:val="0"/>
        <w:spacing w:before="120" w:beforeLines="50" w:after="50"/>
        <w:ind w:left="143" w:leftChars="68" w:firstLine="596" w:firstLineChars="198"/>
        <w:rPr>
          <w:rFonts w:ascii="宋体" w:hAnsi="宋体" w:cs="宋体"/>
          <w:b/>
          <w:color w:val="auto"/>
          <w:kern w:val="21"/>
          <w:sz w:val="30"/>
          <w:szCs w:val="30"/>
          <w:highlight w:val="none"/>
        </w:rPr>
      </w:pPr>
    </w:p>
    <w:p w14:paraId="54CF395C">
      <w:pPr>
        <w:snapToGrid w:val="0"/>
        <w:spacing w:before="120" w:beforeLines="50" w:after="50"/>
        <w:ind w:left="143" w:leftChars="68" w:firstLine="596" w:firstLineChars="198"/>
        <w:rPr>
          <w:rFonts w:ascii="宋体" w:hAnsi="宋体" w:cs="宋体"/>
          <w:b/>
          <w:color w:val="auto"/>
          <w:kern w:val="21"/>
          <w:sz w:val="30"/>
          <w:szCs w:val="30"/>
          <w:highlight w:val="none"/>
        </w:rPr>
      </w:pPr>
    </w:p>
    <w:p w14:paraId="574DB7B0">
      <w:pPr>
        <w:snapToGrid w:val="0"/>
        <w:spacing w:before="120" w:beforeLines="50" w:after="50"/>
        <w:ind w:left="143" w:leftChars="68" w:firstLine="596" w:firstLineChars="198"/>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十、售后服务方案</w:t>
      </w:r>
    </w:p>
    <w:p w14:paraId="7D576FC7">
      <w:pPr>
        <w:snapToGrid w:val="0"/>
        <w:spacing w:before="120" w:beforeLines="50" w:after="50"/>
        <w:ind w:left="143" w:leftChars="68" w:firstLine="420" w:firstLineChars="200"/>
        <w:jc w:val="center"/>
        <w:rPr>
          <w:rFonts w:ascii="宋体" w:hAnsi="宋体" w:cs="宋体"/>
          <w:color w:val="auto"/>
          <w:kern w:val="21"/>
          <w:highlight w:val="none"/>
        </w:rPr>
      </w:pPr>
      <w:r>
        <w:rPr>
          <w:rFonts w:hint="eastAsia" w:ascii="宋体" w:hAnsi="宋体" w:cs="宋体"/>
          <w:color w:val="auto"/>
          <w:kern w:val="21"/>
          <w:highlight w:val="none"/>
        </w:rPr>
        <w:t>（由竞标人按本项目竞争性磋商采购文件第二章“服务需求一览表”中商务条款部分的售后服务要求自行编制，其中要包含售后服务承诺书。）</w:t>
      </w:r>
    </w:p>
    <w:p w14:paraId="50862299">
      <w:pPr>
        <w:pStyle w:val="18"/>
        <w:spacing w:line="440" w:lineRule="exact"/>
        <w:ind w:firstLine="396" w:firstLineChars="198"/>
        <w:rPr>
          <w:rFonts w:hAnsi="宋体" w:cs="宋体"/>
          <w:color w:val="auto"/>
          <w:kern w:val="21"/>
          <w:highlight w:val="none"/>
        </w:rPr>
      </w:pPr>
    </w:p>
    <w:p w14:paraId="142C9F16">
      <w:pPr>
        <w:keepNext/>
        <w:keepLines/>
        <w:adjustRightInd w:val="0"/>
        <w:snapToGrid w:val="0"/>
        <w:rPr>
          <w:rFonts w:ascii="宋体" w:hAnsi="宋体" w:cs="宋体"/>
          <w:color w:val="auto"/>
          <w:kern w:val="21"/>
          <w:highlight w:val="none"/>
        </w:rPr>
      </w:pPr>
    </w:p>
    <w:p w14:paraId="40AF41E5">
      <w:pPr>
        <w:spacing w:line="500" w:lineRule="exact"/>
        <w:rPr>
          <w:rFonts w:ascii="宋体" w:hAnsi="宋体" w:cs="宋体"/>
          <w:color w:val="auto"/>
          <w:kern w:val="21"/>
          <w:sz w:val="32"/>
          <w:szCs w:val="32"/>
          <w:highlight w:val="none"/>
        </w:rPr>
      </w:pPr>
    </w:p>
    <w:p w14:paraId="4E889344">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3F05241C">
      <w:pPr>
        <w:snapToGrid w:val="0"/>
        <w:spacing w:line="360" w:lineRule="auto"/>
        <w:ind w:firstLine="6120" w:firstLineChars="255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481D0BA6">
      <w:pPr>
        <w:snapToGrid w:val="0"/>
        <w:spacing w:line="360" w:lineRule="auto"/>
        <w:ind w:firstLine="602" w:firstLineChars="200"/>
        <w:rPr>
          <w:rFonts w:ascii="宋体" w:hAnsi="宋体" w:cs="宋体"/>
          <w:b/>
          <w:color w:val="auto"/>
          <w:kern w:val="21"/>
          <w:sz w:val="30"/>
          <w:szCs w:val="30"/>
          <w:highlight w:val="none"/>
        </w:rPr>
      </w:pPr>
    </w:p>
    <w:p w14:paraId="44A4E8AA">
      <w:pPr>
        <w:snapToGrid w:val="0"/>
        <w:spacing w:line="360" w:lineRule="auto"/>
        <w:ind w:firstLine="602" w:firstLineChars="200"/>
        <w:rPr>
          <w:rFonts w:ascii="宋体" w:hAnsi="宋体" w:cs="宋体"/>
          <w:b/>
          <w:color w:val="auto"/>
          <w:kern w:val="21"/>
          <w:sz w:val="30"/>
          <w:szCs w:val="30"/>
          <w:highlight w:val="none"/>
        </w:rPr>
      </w:pPr>
    </w:p>
    <w:p w14:paraId="7F877069">
      <w:pPr>
        <w:snapToGrid w:val="0"/>
        <w:spacing w:line="360" w:lineRule="auto"/>
        <w:ind w:firstLine="602" w:firstLineChars="200"/>
        <w:rPr>
          <w:rFonts w:ascii="宋体" w:hAnsi="宋体" w:cs="宋体"/>
          <w:b/>
          <w:color w:val="auto"/>
          <w:kern w:val="21"/>
          <w:sz w:val="30"/>
          <w:szCs w:val="30"/>
          <w:highlight w:val="none"/>
        </w:rPr>
      </w:pPr>
    </w:p>
    <w:p w14:paraId="7319241A">
      <w:pPr>
        <w:snapToGrid w:val="0"/>
        <w:spacing w:line="360" w:lineRule="auto"/>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十一、项目实施人员一览表</w:t>
      </w:r>
    </w:p>
    <w:p w14:paraId="6343C8E6">
      <w:pPr>
        <w:spacing w:line="360" w:lineRule="auto"/>
        <w:jc w:val="center"/>
        <w:rPr>
          <w:rFonts w:ascii="宋体" w:hAnsi="宋体" w:cs="宋体"/>
          <w:b/>
          <w:bCs/>
          <w:color w:val="auto"/>
          <w:kern w:val="21"/>
          <w:sz w:val="24"/>
          <w:highlight w:val="none"/>
        </w:rPr>
      </w:pPr>
      <w:r>
        <w:rPr>
          <w:rFonts w:hint="eastAsia" w:ascii="宋体" w:hAnsi="宋体" w:cs="宋体"/>
          <w:color w:val="auto"/>
          <w:kern w:val="21"/>
          <w:sz w:val="24"/>
          <w:highlight w:val="none"/>
        </w:rPr>
        <w:t>（由供应商根据采购需求及采购文件要求自行编制）</w:t>
      </w:r>
    </w:p>
    <w:p w14:paraId="7B3457EC">
      <w:pPr>
        <w:snapToGrid w:val="0"/>
        <w:spacing w:line="360" w:lineRule="auto"/>
        <w:ind w:firstLine="602" w:firstLineChars="200"/>
        <w:rPr>
          <w:rFonts w:ascii="宋体" w:hAnsi="宋体" w:cs="宋体"/>
          <w:b/>
          <w:color w:val="auto"/>
          <w:kern w:val="21"/>
          <w:sz w:val="30"/>
          <w:szCs w:val="30"/>
          <w:highlight w:val="none"/>
        </w:rPr>
      </w:pPr>
    </w:p>
    <w:p w14:paraId="1C1FF21F">
      <w:pPr>
        <w:snapToGrid w:val="0"/>
        <w:spacing w:line="360" w:lineRule="auto"/>
        <w:ind w:firstLine="602" w:firstLineChars="200"/>
        <w:rPr>
          <w:rFonts w:ascii="宋体" w:hAnsi="宋体" w:cs="宋体"/>
          <w:b/>
          <w:color w:val="auto"/>
          <w:kern w:val="21"/>
          <w:sz w:val="30"/>
          <w:szCs w:val="30"/>
          <w:highlight w:val="none"/>
        </w:rPr>
      </w:pPr>
    </w:p>
    <w:p w14:paraId="5008442D">
      <w:pPr>
        <w:autoSpaceDE w:val="0"/>
        <w:autoSpaceDN w:val="0"/>
        <w:spacing w:line="360" w:lineRule="auto"/>
        <w:ind w:firstLine="6505" w:firstLineChars="2700"/>
        <w:rPr>
          <w:rFonts w:ascii="宋体" w:hAnsi="宋体" w:cs="宋体"/>
          <w:b/>
          <w:bCs/>
          <w:color w:val="auto"/>
          <w:kern w:val="21"/>
          <w:sz w:val="24"/>
          <w:highlight w:val="none"/>
        </w:rPr>
      </w:pPr>
    </w:p>
    <w:p w14:paraId="100CC8B7">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12960BD4">
      <w:pPr>
        <w:autoSpaceDE w:val="0"/>
        <w:autoSpaceDN w:val="0"/>
        <w:spacing w:line="360" w:lineRule="auto"/>
        <w:ind w:firstLine="6480" w:firstLineChars="270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3C793E57">
      <w:pPr>
        <w:snapToGrid w:val="0"/>
        <w:spacing w:line="360" w:lineRule="auto"/>
        <w:ind w:firstLine="602" w:firstLineChars="2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十二、服务需求、商务条款要求提供的其他材料</w:t>
      </w:r>
    </w:p>
    <w:p w14:paraId="71FE2763">
      <w:pPr>
        <w:autoSpaceDE w:val="0"/>
        <w:autoSpaceDN w:val="0"/>
        <w:spacing w:line="360" w:lineRule="auto"/>
        <w:ind w:left="4335" w:leftChars="1950" w:hanging="240" w:hangingChars="100"/>
        <w:rPr>
          <w:rFonts w:ascii="宋体" w:hAnsi="宋体" w:cs="宋体"/>
          <w:color w:val="auto"/>
          <w:kern w:val="21"/>
          <w:sz w:val="24"/>
          <w:highlight w:val="none"/>
        </w:rPr>
      </w:pPr>
    </w:p>
    <w:p w14:paraId="2F61B354">
      <w:pPr>
        <w:autoSpaceDE w:val="0"/>
        <w:autoSpaceDN w:val="0"/>
        <w:spacing w:line="360" w:lineRule="auto"/>
        <w:ind w:left="4335" w:leftChars="1950" w:hanging="240" w:hangingChars="100"/>
        <w:rPr>
          <w:rFonts w:ascii="宋体" w:hAnsi="宋体" w:cs="宋体"/>
          <w:color w:val="auto"/>
          <w:kern w:val="21"/>
          <w:sz w:val="24"/>
          <w:highlight w:val="none"/>
        </w:rPr>
      </w:pPr>
    </w:p>
    <w:p w14:paraId="74B43558">
      <w:pPr>
        <w:autoSpaceDE w:val="0"/>
        <w:autoSpaceDN w:val="0"/>
        <w:spacing w:line="360" w:lineRule="auto"/>
        <w:ind w:left="4335" w:leftChars="1950" w:hanging="240" w:hangingChars="100"/>
        <w:rPr>
          <w:rFonts w:ascii="宋体" w:hAnsi="宋体" w:cs="宋体"/>
          <w:color w:val="auto"/>
          <w:kern w:val="21"/>
          <w:sz w:val="24"/>
          <w:highlight w:val="none"/>
        </w:rPr>
      </w:pPr>
    </w:p>
    <w:p w14:paraId="623EE1EC">
      <w:pPr>
        <w:autoSpaceDE w:val="0"/>
        <w:autoSpaceDN w:val="0"/>
        <w:spacing w:line="360" w:lineRule="auto"/>
        <w:ind w:left="4335" w:leftChars="1950" w:hanging="240" w:hangingChars="100"/>
        <w:rPr>
          <w:rFonts w:ascii="宋体" w:hAnsi="宋体" w:cs="宋体"/>
          <w:color w:val="auto"/>
          <w:kern w:val="21"/>
          <w:sz w:val="24"/>
          <w:highlight w:val="none"/>
        </w:rPr>
      </w:pPr>
    </w:p>
    <w:p w14:paraId="06ACD4D7">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0EC6BBBF">
      <w:pPr>
        <w:autoSpaceDE w:val="0"/>
        <w:autoSpaceDN w:val="0"/>
        <w:spacing w:line="360" w:lineRule="auto"/>
        <w:ind w:firstLine="6480" w:firstLineChars="270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783A528F">
      <w:pPr>
        <w:autoSpaceDE w:val="0"/>
        <w:autoSpaceDN w:val="0"/>
        <w:spacing w:line="360" w:lineRule="auto"/>
        <w:ind w:firstLine="6505" w:firstLineChars="2700"/>
        <w:rPr>
          <w:rFonts w:ascii="宋体" w:hAnsi="宋体" w:cs="宋体"/>
          <w:b/>
          <w:bCs/>
          <w:color w:val="auto"/>
          <w:kern w:val="21"/>
          <w:sz w:val="24"/>
          <w:highlight w:val="none"/>
        </w:rPr>
        <w:sectPr>
          <w:pgSz w:w="11911" w:h="16838"/>
          <w:pgMar w:top="1440" w:right="1440" w:bottom="1440" w:left="1440" w:header="720" w:footer="720" w:gutter="0"/>
          <w:cols w:space="720" w:num="1"/>
        </w:sectPr>
      </w:pPr>
    </w:p>
    <w:p w14:paraId="008A8D3A">
      <w:pPr>
        <w:autoSpaceDE w:val="0"/>
        <w:autoSpaceDN w:val="0"/>
        <w:spacing w:line="360" w:lineRule="auto"/>
        <w:ind w:firstLine="6505" w:firstLineChars="2700"/>
        <w:rPr>
          <w:rFonts w:ascii="宋体" w:hAnsi="宋体" w:cs="宋体"/>
          <w:b/>
          <w:bCs/>
          <w:color w:val="auto"/>
          <w:kern w:val="21"/>
          <w:sz w:val="24"/>
          <w:highlight w:val="none"/>
        </w:rPr>
      </w:pPr>
    </w:p>
    <w:p w14:paraId="0A528FF2">
      <w:pPr>
        <w:pStyle w:val="4"/>
        <w:jc w:val="center"/>
        <w:rPr>
          <w:rFonts w:ascii="宋体" w:hAnsi="宋体" w:cs="宋体"/>
          <w:color w:val="auto"/>
          <w:kern w:val="21"/>
          <w:highlight w:val="none"/>
        </w:rPr>
      </w:pPr>
      <w:bookmarkStart w:id="87" w:name="_Toc21090"/>
      <w:bookmarkStart w:id="88" w:name="_Toc80205941"/>
      <w:bookmarkStart w:id="89" w:name="_Toc5028"/>
      <w:r>
        <w:rPr>
          <w:rFonts w:hint="eastAsia" w:ascii="宋体" w:hAnsi="宋体" w:cs="宋体"/>
          <w:color w:val="auto"/>
          <w:kern w:val="21"/>
          <w:highlight w:val="none"/>
        </w:rPr>
        <w:t>第四节 报价文件格式</w:t>
      </w:r>
      <w:bookmarkEnd w:id="87"/>
      <w:bookmarkEnd w:id="88"/>
      <w:bookmarkEnd w:id="89"/>
    </w:p>
    <w:p w14:paraId="094F8050">
      <w:pPr>
        <w:snapToGrid w:val="0"/>
        <w:spacing w:before="120" w:beforeLines="50" w:after="50"/>
        <w:rPr>
          <w:rFonts w:ascii="宋体" w:hAnsi="宋体" w:cs="宋体"/>
          <w:bCs/>
          <w:color w:val="auto"/>
          <w:kern w:val="21"/>
          <w:sz w:val="32"/>
          <w:szCs w:val="20"/>
          <w:highlight w:val="none"/>
        </w:rPr>
      </w:pPr>
      <w:r>
        <w:rPr>
          <w:rFonts w:hint="eastAsia" w:ascii="宋体" w:hAnsi="宋体" w:cs="宋体"/>
          <w:color w:val="auto"/>
          <w:kern w:val="21"/>
          <w:sz w:val="24"/>
          <w:highlight w:val="none"/>
        </w:rPr>
        <w:t xml:space="preserve">                                                    </w:t>
      </w:r>
      <w:r>
        <w:rPr>
          <w:rFonts w:hint="eastAsia" w:ascii="宋体" w:hAnsi="宋体" w:cs="宋体"/>
          <w:bCs/>
          <w:color w:val="auto"/>
          <w:kern w:val="21"/>
          <w:highlight w:val="none"/>
        </w:rPr>
        <w:t>全流程电子文件</w:t>
      </w:r>
    </w:p>
    <w:p w14:paraId="75473A01">
      <w:pPr>
        <w:snapToGrid w:val="0"/>
        <w:spacing w:before="120" w:beforeLines="50" w:after="50"/>
        <w:rPr>
          <w:rFonts w:ascii="宋体" w:hAnsi="宋体" w:cs="宋体"/>
          <w:color w:val="auto"/>
          <w:kern w:val="21"/>
          <w:sz w:val="24"/>
          <w:szCs w:val="20"/>
          <w:highlight w:val="none"/>
        </w:rPr>
      </w:pPr>
    </w:p>
    <w:p w14:paraId="79B5BDBA">
      <w:pPr>
        <w:snapToGrid w:val="0"/>
        <w:spacing w:before="120" w:beforeLines="50" w:after="50"/>
        <w:rPr>
          <w:rFonts w:ascii="宋体" w:hAnsi="宋体" w:cs="宋体"/>
          <w:color w:val="auto"/>
          <w:kern w:val="21"/>
          <w:sz w:val="24"/>
          <w:szCs w:val="20"/>
          <w:highlight w:val="none"/>
        </w:rPr>
      </w:pPr>
    </w:p>
    <w:p w14:paraId="016A97E4">
      <w:pPr>
        <w:snapToGrid w:val="0"/>
        <w:spacing w:before="120" w:beforeLines="50" w:after="50"/>
        <w:rPr>
          <w:rFonts w:ascii="宋体" w:hAnsi="宋体" w:cs="宋体"/>
          <w:color w:val="auto"/>
          <w:kern w:val="21"/>
          <w:sz w:val="24"/>
          <w:szCs w:val="20"/>
          <w:highlight w:val="none"/>
        </w:rPr>
      </w:pPr>
    </w:p>
    <w:p w14:paraId="4E966FEA">
      <w:pPr>
        <w:snapToGrid w:val="0"/>
        <w:spacing w:before="120" w:beforeLines="50" w:after="50"/>
        <w:jc w:val="center"/>
        <w:rPr>
          <w:rFonts w:ascii="宋体" w:hAnsi="宋体" w:cs="宋体"/>
          <w:bCs/>
          <w:color w:val="auto"/>
          <w:kern w:val="21"/>
          <w:sz w:val="44"/>
          <w:szCs w:val="44"/>
          <w:highlight w:val="none"/>
        </w:rPr>
      </w:pPr>
      <w:r>
        <w:rPr>
          <w:rFonts w:hint="eastAsia" w:ascii="宋体" w:hAnsi="宋体" w:cs="宋体"/>
          <w:bCs/>
          <w:color w:val="auto"/>
          <w:kern w:val="21"/>
          <w:sz w:val="44"/>
          <w:szCs w:val="44"/>
          <w:highlight w:val="none"/>
        </w:rPr>
        <w:t>报  价  文  件（封面）</w:t>
      </w:r>
    </w:p>
    <w:p w14:paraId="68509220">
      <w:pPr>
        <w:snapToGrid w:val="0"/>
        <w:spacing w:before="120" w:beforeLines="50" w:after="50"/>
        <w:rPr>
          <w:rFonts w:ascii="宋体" w:hAnsi="宋体" w:cs="宋体"/>
          <w:bCs/>
          <w:color w:val="auto"/>
          <w:kern w:val="21"/>
          <w:sz w:val="24"/>
          <w:szCs w:val="20"/>
          <w:highlight w:val="none"/>
        </w:rPr>
      </w:pPr>
    </w:p>
    <w:p w14:paraId="776C0E28">
      <w:pPr>
        <w:snapToGrid w:val="0"/>
        <w:spacing w:before="120" w:beforeLines="50" w:after="50"/>
        <w:rPr>
          <w:rFonts w:ascii="宋体" w:hAnsi="宋体" w:cs="宋体"/>
          <w:bCs/>
          <w:color w:val="auto"/>
          <w:kern w:val="21"/>
          <w:sz w:val="24"/>
          <w:szCs w:val="20"/>
          <w:highlight w:val="none"/>
        </w:rPr>
      </w:pPr>
    </w:p>
    <w:p w14:paraId="48A5290A">
      <w:pPr>
        <w:snapToGrid w:val="0"/>
        <w:spacing w:before="120" w:beforeLines="50" w:after="50"/>
        <w:rPr>
          <w:rFonts w:ascii="宋体" w:hAnsi="宋体" w:cs="宋体"/>
          <w:bCs/>
          <w:color w:val="auto"/>
          <w:kern w:val="21"/>
          <w:sz w:val="24"/>
          <w:szCs w:val="20"/>
          <w:highlight w:val="none"/>
        </w:rPr>
      </w:pPr>
    </w:p>
    <w:p w14:paraId="0BC03F35">
      <w:pPr>
        <w:snapToGrid w:val="0"/>
        <w:spacing w:before="120" w:beforeLines="50" w:after="50"/>
        <w:rPr>
          <w:rFonts w:ascii="宋体" w:hAnsi="宋体" w:cs="宋体"/>
          <w:bCs/>
          <w:color w:val="auto"/>
          <w:kern w:val="21"/>
          <w:sz w:val="24"/>
          <w:szCs w:val="20"/>
          <w:highlight w:val="none"/>
        </w:rPr>
      </w:pPr>
    </w:p>
    <w:p w14:paraId="1D13B558">
      <w:pPr>
        <w:snapToGrid w:val="0"/>
        <w:spacing w:before="120" w:beforeLines="50" w:after="50"/>
        <w:rPr>
          <w:rFonts w:ascii="宋体" w:hAnsi="宋体" w:cs="宋体"/>
          <w:bCs/>
          <w:color w:val="auto"/>
          <w:kern w:val="21"/>
          <w:sz w:val="24"/>
          <w:szCs w:val="20"/>
          <w:highlight w:val="none"/>
        </w:rPr>
      </w:pPr>
    </w:p>
    <w:p w14:paraId="09473423">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项目名称：</w:t>
      </w:r>
    </w:p>
    <w:p w14:paraId="7B2E1939">
      <w:pPr>
        <w:snapToGrid w:val="0"/>
        <w:spacing w:before="120" w:beforeLines="50" w:after="50"/>
        <w:ind w:firstLine="720" w:firstLineChars="225"/>
        <w:rPr>
          <w:rFonts w:ascii="宋体" w:hAnsi="宋体" w:cs="宋体"/>
          <w:bCs/>
          <w:color w:val="auto"/>
          <w:kern w:val="21"/>
          <w:sz w:val="32"/>
          <w:szCs w:val="32"/>
          <w:highlight w:val="none"/>
        </w:rPr>
      </w:pPr>
    </w:p>
    <w:p w14:paraId="1E7DEC53">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项目编号：</w:t>
      </w:r>
    </w:p>
    <w:p w14:paraId="0833368B">
      <w:pPr>
        <w:snapToGrid w:val="0"/>
        <w:spacing w:before="120" w:beforeLines="50" w:after="50"/>
        <w:ind w:firstLine="720" w:firstLineChars="225"/>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 xml:space="preserve"> </w:t>
      </w:r>
    </w:p>
    <w:p w14:paraId="363190EC">
      <w:pPr>
        <w:snapToGrid w:val="0"/>
        <w:spacing w:before="120" w:beforeLines="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所竞分标（如有则填写，无分标时填写“无”或者留空）：</w:t>
      </w:r>
    </w:p>
    <w:p w14:paraId="0A7CA791">
      <w:pPr>
        <w:snapToGrid w:val="0"/>
        <w:spacing w:before="120" w:beforeLines="50" w:after="50"/>
        <w:ind w:firstLine="720" w:firstLineChars="225"/>
        <w:rPr>
          <w:rFonts w:ascii="宋体" w:hAnsi="宋体" w:cs="宋体"/>
          <w:bCs/>
          <w:color w:val="auto"/>
          <w:kern w:val="21"/>
          <w:sz w:val="32"/>
          <w:szCs w:val="32"/>
          <w:highlight w:val="none"/>
        </w:rPr>
      </w:pPr>
    </w:p>
    <w:p w14:paraId="3B89D7EF">
      <w:pPr>
        <w:pStyle w:val="8"/>
        <w:snapToGrid w:val="0"/>
        <w:spacing w:before="50" w:after="50"/>
        <w:ind w:firstLine="640" w:firstLineChars="200"/>
        <w:rPr>
          <w:rFonts w:ascii="宋体" w:hAnsi="宋体" w:cs="宋体"/>
          <w:bCs/>
          <w:color w:val="auto"/>
          <w:kern w:val="21"/>
          <w:sz w:val="32"/>
          <w:szCs w:val="32"/>
          <w:highlight w:val="none"/>
        </w:rPr>
      </w:pPr>
      <w:r>
        <w:rPr>
          <w:rFonts w:hint="eastAsia" w:ascii="宋体" w:hAnsi="宋体" w:cs="宋体"/>
          <w:bCs/>
          <w:color w:val="auto"/>
          <w:kern w:val="21"/>
          <w:sz w:val="32"/>
          <w:szCs w:val="32"/>
          <w:highlight w:val="none"/>
        </w:rPr>
        <w:t>供应商名称：</w:t>
      </w:r>
    </w:p>
    <w:p w14:paraId="3F3495AC">
      <w:pPr>
        <w:pStyle w:val="8"/>
        <w:snapToGrid w:val="0"/>
        <w:spacing w:before="50" w:after="50"/>
        <w:ind w:firstLine="720" w:firstLineChars="225"/>
        <w:rPr>
          <w:rFonts w:ascii="宋体" w:hAnsi="宋体" w:cs="宋体"/>
          <w:bCs/>
          <w:color w:val="auto"/>
          <w:kern w:val="21"/>
          <w:sz w:val="32"/>
          <w:szCs w:val="32"/>
          <w:highlight w:val="none"/>
        </w:rPr>
      </w:pPr>
    </w:p>
    <w:p w14:paraId="56D7DBBD">
      <w:pPr>
        <w:pStyle w:val="8"/>
        <w:snapToGrid w:val="0"/>
        <w:spacing w:before="50" w:after="50"/>
        <w:ind w:firstLine="720" w:firstLineChars="225"/>
        <w:rPr>
          <w:rFonts w:ascii="宋体" w:hAnsi="宋体" w:cs="宋体"/>
          <w:bCs/>
          <w:color w:val="auto"/>
          <w:kern w:val="21"/>
          <w:sz w:val="32"/>
          <w:szCs w:val="32"/>
          <w:highlight w:val="none"/>
        </w:rPr>
      </w:pPr>
    </w:p>
    <w:p w14:paraId="19C2928E">
      <w:pPr>
        <w:pStyle w:val="8"/>
        <w:snapToGrid w:val="0"/>
        <w:spacing w:before="50" w:after="50"/>
        <w:ind w:firstLine="1280" w:firstLineChars="400"/>
        <w:rPr>
          <w:rFonts w:ascii="宋体" w:hAnsi="宋体" w:cs="宋体"/>
          <w:bCs/>
          <w:color w:val="auto"/>
          <w:kern w:val="21"/>
          <w:sz w:val="32"/>
          <w:szCs w:val="32"/>
          <w:highlight w:val="none"/>
        </w:rPr>
      </w:pPr>
    </w:p>
    <w:p w14:paraId="2F392A5D">
      <w:pPr>
        <w:snapToGrid w:val="0"/>
        <w:spacing w:before="120" w:beforeLines="50" w:after="50"/>
        <w:jc w:val="center"/>
        <w:rPr>
          <w:rFonts w:ascii="宋体" w:hAnsi="宋体" w:cs="宋体"/>
          <w:color w:val="auto"/>
          <w:kern w:val="21"/>
          <w:sz w:val="32"/>
          <w:szCs w:val="32"/>
          <w:highlight w:val="none"/>
        </w:rPr>
      </w:pPr>
      <w:r>
        <w:rPr>
          <w:rFonts w:hint="eastAsia" w:ascii="宋体" w:hAnsi="宋体" w:cs="宋体"/>
          <w:color w:val="auto"/>
          <w:kern w:val="21"/>
          <w:sz w:val="32"/>
          <w:szCs w:val="32"/>
          <w:highlight w:val="none"/>
        </w:rPr>
        <w:t>年    月    日</w:t>
      </w:r>
    </w:p>
    <w:p w14:paraId="4E8118A0">
      <w:pPr>
        <w:snapToGrid w:val="0"/>
        <w:spacing w:before="120" w:beforeLines="50" w:after="50" w:line="400" w:lineRule="exact"/>
        <w:jc w:val="center"/>
        <w:rPr>
          <w:rFonts w:ascii="宋体" w:hAnsi="宋体" w:cs="宋体"/>
          <w:b/>
          <w:bCs/>
          <w:color w:val="auto"/>
          <w:kern w:val="21"/>
          <w:sz w:val="32"/>
          <w:szCs w:val="32"/>
          <w:highlight w:val="none"/>
        </w:rPr>
      </w:pPr>
      <w:r>
        <w:rPr>
          <w:rFonts w:hint="eastAsia" w:ascii="宋体" w:hAnsi="宋体" w:cs="宋体"/>
          <w:color w:val="auto"/>
          <w:kern w:val="21"/>
          <w:sz w:val="24"/>
          <w:highlight w:val="none"/>
        </w:rPr>
        <w:br w:type="page"/>
      </w:r>
      <w:r>
        <w:rPr>
          <w:rFonts w:hint="eastAsia" w:ascii="宋体" w:hAnsi="宋体" w:cs="宋体"/>
          <w:b/>
          <w:bCs/>
          <w:color w:val="auto"/>
          <w:kern w:val="21"/>
          <w:sz w:val="32"/>
          <w:szCs w:val="32"/>
          <w:highlight w:val="none"/>
        </w:rPr>
        <w:t>报价文件目录</w:t>
      </w:r>
    </w:p>
    <w:p w14:paraId="04900B42">
      <w:pPr>
        <w:rPr>
          <w:rFonts w:ascii="宋体" w:hAnsi="宋体" w:cs="宋体"/>
          <w:color w:val="auto"/>
          <w:kern w:val="21"/>
          <w:highlight w:val="none"/>
        </w:rPr>
      </w:pPr>
    </w:p>
    <w:p w14:paraId="0859DCEC">
      <w:pPr>
        <w:rPr>
          <w:rFonts w:ascii="宋体" w:hAnsi="宋体" w:cs="宋体"/>
          <w:color w:val="auto"/>
          <w:kern w:val="21"/>
          <w:sz w:val="24"/>
          <w:highlight w:val="none"/>
        </w:rPr>
      </w:pPr>
      <w:r>
        <w:rPr>
          <w:rFonts w:hint="eastAsia" w:ascii="宋体" w:hAnsi="宋体" w:cs="宋体"/>
          <w:color w:val="auto"/>
          <w:kern w:val="21"/>
          <w:sz w:val="24"/>
          <w:highlight w:val="none"/>
        </w:rPr>
        <w:t>一、响应函………………………………………………………（页码）</w:t>
      </w:r>
    </w:p>
    <w:p w14:paraId="0D0C96FB">
      <w:pPr>
        <w:rPr>
          <w:rFonts w:ascii="宋体" w:hAnsi="宋体" w:cs="宋体"/>
          <w:color w:val="auto"/>
          <w:kern w:val="21"/>
          <w:sz w:val="24"/>
          <w:highlight w:val="none"/>
        </w:rPr>
      </w:pPr>
      <w:r>
        <w:rPr>
          <w:rFonts w:hint="eastAsia" w:ascii="宋体" w:hAnsi="宋体" w:cs="宋体"/>
          <w:color w:val="auto"/>
          <w:kern w:val="21"/>
          <w:sz w:val="24"/>
          <w:highlight w:val="none"/>
        </w:rPr>
        <w:t>二、响应报价表…………………………………………………（页码）</w:t>
      </w:r>
    </w:p>
    <w:p w14:paraId="335FDC55">
      <w:pPr>
        <w:spacing w:line="360" w:lineRule="auto"/>
        <w:rPr>
          <w:rFonts w:ascii="宋体" w:hAnsi="宋体" w:cs="宋体"/>
          <w:color w:val="auto"/>
          <w:kern w:val="21"/>
          <w:sz w:val="24"/>
          <w:highlight w:val="none"/>
        </w:rPr>
      </w:pPr>
      <w:r>
        <w:rPr>
          <w:rFonts w:hint="eastAsia" w:ascii="宋体" w:hAnsi="宋体" w:cs="宋体"/>
          <w:color w:val="auto"/>
          <w:kern w:val="21"/>
          <w:sz w:val="24"/>
          <w:highlight w:val="none"/>
        </w:rPr>
        <w:t>三、中小企业声明函……………………………………………（页码）</w:t>
      </w:r>
    </w:p>
    <w:p w14:paraId="32E5F194">
      <w:pPr>
        <w:snapToGrid w:val="0"/>
        <w:spacing w:before="120" w:beforeLines="50" w:after="50" w:line="360" w:lineRule="auto"/>
        <w:ind w:left="142" w:firstLine="640" w:firstLineChars="200"/>
        <w:jc w:val="left"/>
        <w:rPr>
          <w:rFonts w:ascii="宋体" w:hAnsi="宋体" w:cs="宋体"/>
          <w:color w:val="auto"/>
          <w:kern w:val="21"/>
          <w:sz w:val="32"/>
          <w:szCs w:val="32"/>
          <w:highlight w:val="none"/>
        </w:rPr>
      </w:pPr>
    </w:p>
    <w:p w14:paraId="6BC512F6">
      <w:pPr>
        <w:snapToGrid w:val="0"/>
        <w:spacing w:before="120" w:beforeLines="50" w:after="50" w:line="360" w:lineRule="auto"/>
        <w:ind w:left="142" w:firstLine="480" w:firstLineChars="200"/>
        <w:jc w:val="left"/>
        <w:rPr>
          <w:rFonts w:ascii="宋体" w:hAnsi="宋体" w:cs="宋体"/>
          <w:color w:val="auto"/>
          <w:kern w:val="21"/>
          <w:sz w:val="24"/>
          <w:highlight w:val="none"/>
        </w:rPr>
      </w:pPr>
      <w:r>
        <w:rPr>
          <w:rFonts w:hint="eastAsia" w:ascii="宋体" w:hAnsi="宋体" w:cs="宋体"/>
          <w:color w:val="auto"/>
          <w:kern w:val="21"/>
          <w:sz w:val="24"/>
          <w:highlight w:val="none"/>
        </w:rPr>
        <w:br w:type="page"/>
      </w:r>
      <w:r>
        <w:rPr>
          <w:rFonts w:hint="eastAsia" w:ascii="宋体" w:hAnsi="宋体" w:cs="宋体"/>
          <w:b/>
          <w:bCs/>
          <w:color w:val="auto"/>
          <w:kern w:val="21"/>
          <w:sz w:val="32"/>
          <w:szCs w:val="32"/>
          <w:highlight w:val="none"/>
        </w:rPr>
        <w:t>一、响应函</w:t>
      </w:r>
      <w:r>
        <w:rPr>
          <w:rFonts w:hint="eastAsia" w:ascii="宋体" w:hAnsi="宋体" w:cs="宋体"/>
          <w:b/>
          <w:bCs/>
          <w:color w:val="auto"/>
          <w:kern w:val="21"/>
          <w:sz w:val="32"/>
          <w:szCs w:val="32"/>
          <w:highlight w:val="none"/>
        </w:rPr>
        <w:tab/>
      </w:r>
      <w:r>
        <w:rPr>
          <w:rFonts w:hint="eastAsia" w:ascii="宋体" w:hAnsi="宋体" w:cs="宋体"/>
          <w:b/>
          <w:bCs/>
          <w:color w:val="auto"/>
          <w:kern w:val="21"/>
          <w:sz w:val="32"/>
          <w:szCs w:val="32"/>
          <w:highlight w:val="none"/>
        </w:rPr>
        <w:t xml:space="preserve"> </w:t>
      </w:r>
    </w:p>
    <w:p w14:paraId="7D59FDD2">
      <w:pPr>
        <w:pStyle w:val="18"/>
        <w:spacing w:line="500" w:lineRule="exact"/>
        <w:jc w:val="center"/>
        <w:rPr>
          <w:rFonts w:hAnsi="宋体" w:cs="宋体"/>
          <w:b/>
          <w:bCs/>
          <w:color w:val="auto"/>
          <w:kern w:val="21"/>
          <w:sz w:val="30"/>
          <w:szCs w:val="30"/>
          <w:highlight w:val="none"/>
        </w:rPr>
      </w:pPr>
      <w:r>
        <w:rPr>
          <w:rFonts w:hint="eastAsia" w:hAnsi="宋体" w:cs="宋体"/>
          <w:b/>
          <w:bCs/>
          <w:color w:val="auto"/>
          <w:kern w:val="21"/>
          <w:sz w:val="30"/>
          <w:szCs w:val="30"/>
          <w:highlight w:val="none"/>
        </w:rPr>
        <w:t>响应函</w:t>
      </w:r>
    </w:p>
    <w:p w14:paraId="7F701829">
      <w:pPr>
        <w:pStyle w:val="18"/>
        <w:spacing w:line="500" w:lineRule="exact"/>
        <w:rPr>
          <w:rFonts w:hAnsi="宋体" w:cs="宋体"/>
          <w:color w:val="auto"/>
          <w:kern w:val="21"/>
          <w:sz w:val="32"/>
          <w:highlight w:val="none"/>
        </w:rPr>
      </w:pPr>
    </w:p>
    <w:p w14:paraId="502A2C27">
      <w:pPr>
        <w:pStyle w:val="18"/>
        <w:spacing w:line="360" w:lineRule="auto"/>
        <w:rPr>
          <w:rFonts w:hAnsi="宋体" w:cs="宋体"/>
          <w:color w:val="auto"/>
          <w:kern w:val="21"/>
          <w:sz w:val="24"/>
          <w:szCs w:val="24"/>
          <w:highlight w:val="none"/>
        </w:rPr>
      </w:pPr>
      <w:r>
        <w:rPr>
          <w:rFonts w:hint="eastAsia" w:hAnsi="宋体" w:cs="宋体"/>
          <w:color w:val="auto"/>
          <w:kern w:val="21"/>
          <w:sz w:val="24"/>
          <w:szCs w:val="24"/>
          <w:highlight w:val="none"/>
        </w:rPr>
        <w:t>致：</w:t>
      </w:r>
      <w:r>
        <w:rPr>
          <w:rFonts w:hint="eastAsia" w:hAnsi="宋体" w:cs="宋体"/>
          <w:color w:val="auto"/>
          <w:kern w:val="21"/>
          <w:sz w:val="24"/>
          <w:szCs w:val="24"/>
          <w:highlight w:val="none"/>
          <w:u w:val="single"/>
        </w:rPr>
        <w:t>广西壮族自治区通信产业服务有限公司</w:t>
      </w:r>
    </w:p>
    <w:p w14:paraId="0C655D64">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我方已仔细阅读了贵方组织的</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项目（项目编号：</w:t>
      </w:r>
      <w:r>
        <w:rPr>
          <w:rFonts w:hint="eastAsia" w:hAnsi="宋体" w:cs="宋体"/>
          <w:color w:val="auto"/>
          <w:kern w:val="21"/>
          <w:sz w:val="24"/>
          <w:szCs w:val="24"/>
          <w:highlight w:val="none"/>
          <w:u w:val="single"/>
        </w:rPr>
        <w:t>　　　　　　　　　</w:t>
      </w:r>
      <w:r>
        <w:rPr>
          <w:rFonts w:hint="eastAsia" w:hAnsi="宋体" w:cs="宋体"/>
          <w:color w:val="auto"/>
          <w:kern w:val="21"/>
          <w:sz w:val="24"/>
          <w:szCs w:val="24"/>
          <w:highlight w:val="none"/>
        </w:rPr>
        <w:t xml:space="preserve">）的竞争性磋商采购文件的全部内容，现正式递交下述文件参加贵方组织的本次政府采购活动： </w:t>
      </w:r>
    </w:p>
    <w:p w14:paraId="1BEC4E06">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一、首次报价文件电子版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份（包含按“第三章 供应商须知”提交的全部文件）；</w:t>
      </w:r>
    </w:p>
    <w:p w14:paraId="5C4E0B81">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二、资格证明文件电子版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份（包含按“第三章 供应商须知”提交的全部文件）；技术文件电子版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份（包含按“第三章 供应商须知”提交的全部文件）；商务文件电子版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份（包含按“第三章 供应商须知”提交的全部文件）；（商务技术文件已合并装订成册）</w:t>
      </w:r>
    </w:p>
    <w:p w14:paraId="6582AD3A">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据此函，签字人兹宣布：</w:t>
      </w:r>
    </w:p>
    <w:p w14:paraId="5502F86E">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1、我方愿意以（大写）人民币</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元）的竞标总报价，服务期：</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，提供本项目竞争性磋商采购文件第二章“服务需求一览表”中相应的采购内容。</w:t>
      </w:r>
    </w:p>
    <w:p w14:paraId="0D9209AB">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2D413AAD">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3、我方在此声明，所递交的响应文件及有关资料内容完整、真实和准确。</w:t>
      </w:r>
    </w:p>
    <w:p w14:paraId="16E8D904">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4、如本项目采购内容涉及须符合国家强制规定的，我方承诺我方本次竞标均符合国家有关强制规定。</w:t>
      </w:r>
    </w:p>
    <w:p w14:paraId="02CDC666">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1B872D85">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6、我方已详细审核竞争性磋商文件，我方知道必须放弃提出含糊不清或误解问题的权利。</w:t>
      </w:r>
    </w:p>
    <w:p w14:paraId="71A08419">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7、我方承诺满足竞争性磋商文件第六章“合同文本”的条款，承担完成合同的责任和义务。</w:t>
      </w:r>
    </w:p>
    <w:p w14:paraId="452C7AAC">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8、我方同意应贵方要求提供与本竞标有关的任何数据或资料。若贵方需要，我方愿意提供我方</w:t>
      </w:r>
      <w:r>
        <w:rPr>
          <w:rFonts w:hint="eastAsia" w:hAnsi="宋体" w:cs="宋体"/>
          <w:color w:val="auto"/>
          <w:kern w:val="21"/>
          <w:sz w:val="24"/>
          <w:szCs w:val="24"/>
          <w:highlight w:val="none"/>
          <w:lang w:eastAsia="zh-CN"/>
        </w:rPr>
        <w:t>做出</w:t>
      </w:r>
      <w:r>
        <w:rPr>
          <w:rFonts w:hint="eastAsia" w:hAnsi="宋体" w:cs="宋体"/>
          <w:color w:val="auto"/>
          <w:kern w:val="21"/>
          <w:sz w:val="24"/>
          <w:szCs w:val="24"/>
          <w:highlight w:val="none"/>
        </w:rPr>
        <w:t>的一切承诺的证明材料。</w:t>
      </w:r>
    </w:p>
    <w:p w14:paraId="4BA53DA8">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9、我方完全理解贵方不一定接受响应报价最低的竞标人为成交供应商的行为。</w:t>
      </w:r>
    </w:p>
    <w:p w14:paraId="63171794">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4FF9A60">
      <w:pPr>
        <w:pStyle w:val="18"/>
        <w:tabs>
          <w:tab w:val="left" w:pos="945"/>
        </w:tabs>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（1）提供虚假材料谋取中标、成交的；</w:t>
      </w:r>
    </w:p>
    <w:p w14:paraId="625EDE99">
      <w:pPr>
        <w:pStyle w:val="18"/>
        <w:tabs>
          <w:tab w:val="left" w:pos="945"/>
        </w:tabs>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（2）采取不正当手段诋毁、排挤其他供应商的；</w:t>
      </w:r>
    </w:p>
    <w:p w14:paraId="3B761500">
      <w:pPr>
        <w:pStyle w:val="18"/>
        <w:tabs>
          <w:tab w:val="left" w:pos="945"/>
        </w:tabs>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（3）与采购人、其他供应商或者采购代理机构恶意串通的；</w:t>
      </w:r>
    </w:p>
    <w:p w14:paraId="45415829">
      <w:pPr>
        <w:pStyle w:val="18"/>
        <w:tabs>
          <w:tab w:val="left" w:pos="945"/>
        </w:tabs>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（4）向采购人、采购代理机构行贿或者提供其他不正当利益的；</w:t>
      </w:r>
    </w:p>
    <w:p w14:paraId="4BFC1980">
      <w:pPr>
        <w:pStyle w:val="18"/>
        <w:tabs>
          <w:tab w:val="left" w:pos="945"/>
        </w:tabs>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（5）在采购过程中与采购人进行协商谈判的；</w:t>
      </w:r>
    </w:p>
    <w:p w14:paraId="42A3230C">
      <w:pPr>
        <w:pStyle w:val="18"/>
        <w:tabs>
          <w:tab w:val="left" w:pos="945"/>
        </w:tabs>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（6）拒绝有关部门监督检查或提供虚假情况的。</w:t>
      </w:r>
    </w:p>
    <w:p w14:paraId="25D11EF7">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11.与本磋商有关的一切正式往来信函请寄：</w:t>
      </w:r>
    </w:p>
    <w:p w14:paraId="746B53F6">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地址：</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 xml:space="preserve"> </w:t>
      </w:r>
    </w:p>
    <w:p w14:paraId="7D032462">
      <w:pPr>
        <w:pStyle w:val="18"/>
        <w:spacing w:line="360" w:lineRule="auto"/>
        <w:ind w:firstLine="480" w:firstLineChars="200"/>
        <w:rPr>
          <w:rFonts w:hAnsi="宋体" w:cs="宋体"/>
          <w:color w:val="auto"/>
          <w:kern w:val="21"/>
          <w:sz w:val="24"/>
          <w:szCs w:val="24"/>
          <w:highlight w:val="none"/>
          <w:u w:val="single"/>
        </w:rPr>
      </w:pPr>
      <w:r>
        <w:rPr>
          <w:rFonts w:hint="eastAsia" w:hAnsi="宋体" w:cs="宋体"/>
          <w:color w:val="auto"/>
          <w:kern w:val="21"/>
          <w:sz w:val="24"/>
          <w:szCs w:val="24"/>
          <w:highlight w:val="none"/>
        </w:rPr>
        <w:t>电话：</w:t>
      </w:r>
      <w:r>
        <w:rPr>
          <w:rFonts w:hint="eastAsia" w:hAnsi="宋体" w:cs="宋体"/>
          <w:color w:val="auto"/>
          <w:kern w:val="21"/>
          <w:sz w:val="24"/>
          <w:szCs w:val="24"/>
          <w:highlight w:val="none"/>
          <w:u w:val="single"/>
        </w:rPr>
        <w:t xml:space="preserve">                                      　　　　　　　　　</w:t>
      </w:r>
    </w:p>
    <w:p w14:paraId="1C269066">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传真：</w:t>
      </w:r>
      <w:r>
        <w:rPr>
          <w:rFonts w:hint="eastAsia" w:hAnsi="宋体" w:cs="宋体"/>
          <w:color w:val="auto"/>
          <w:kern w:val="21"/>
          <w:sz w:val="24"/>
          <w:szCs w:val="24"/>
          <w:highlight w:val="none"/>
          <w:u w:val="single"/>
        </w:rPr>
        <w:t>　　　　　　　　　　　　　　　　　　　　　　　　　　　　</w:t>
      </w:r>
    </w:p>
    <w:p w14:paraId="24AE6286">
      <w:pPr>
        <w:pStyle w:val="18"/>
        <w:spacing w:line="360" w:lineRule="auto"/>
        <w:ind w:firstLine="480" w:firstLineChars="200"/>
        <w:rPr>
          <w:rFonts w:hAnsi="宋体" w:cs="宋体"/>
          <w:color w:val="auto"/>
          <w:kern w:val="21"/>
          <w:sz w:val="24"/>
          <w:szCs w:val="24"/>
          <w:highlight w:val="none"/>
          <w:u w:val="single"/>
        </w:rPr>
      </w:pPr>
      <w:r>
        <w:rPr>
          <w:rFonts w:hint="eastAsia" w:hAnsi="宋体" w:cs="宋体"/>
          <w:color w:val="auto"/>
          <w:kern w:val="21"/>
          <w:sz w:val="24"/>
          <w:szCs w:val="24"/>
          <w:highlight w:val="none"/>
        </w:rPr>
        <w:t>邮政编码：</w:t>
      </w:r>
      <w:r>
        <w:rPr>
          <w:rFonts w:hint="eastAsia" w:hAnsi="宋体" w:cs="宋体"/>
          <w:color w:val="auto"/>
          <w:kern w:val="21"/>
          <w:sz w:val="24"/>
          <w:szCs w:val="24"/>
          <w:highlight w:val="none"/>
          <w:u w:val="single"/>
        </w:rPr>
        <w:t xml:space="preserve">                                                    </w:t>
      </w:r>
    </w:p>
    <w:p w14:paraId="77BD5448">
      <w:pPr>
        <w:pStyle w:val="18"/>
        <w:spacing w:line="360" w:lineRule="auto"/>
        <w:ind w:firstLine="480" w:firstLineChars="200"/>
        <w:rPr>
          <w:rFonts w:hAnsi="宋体" w:cs="宋体"/>
          <w:color w:val="auto"/>
          <w:kern w:val="21"/>
          <w:sz w:val="24"/>
          <w:szCs w:val="24"/>
          <w:highlight w:val="none"/>
          <w:u w:val="single"/>
        </w:rPr>
      </w:pPr>
      <w:r>
        <w:rPr>
          <w:rFonts w:hint="eastAsia" w:hAnsi="宋体" w:cs="宋体"/>
          <w:color w:val="auto"/>
          <w:kern w:val="21"/>
          <w:sz w:val="24"/>
          <w:szCs w:val="24"/>
          <w:highlight w:val="none"/>
        </w:rPr>
        <w:t>开户名称：</w:t>
      </w:r>
      <w:r>
        <w:rPr>
          <w:rFonts w:hint="eastAsia" w:hAnsi="宋体" w:cs="宋体"/>
          <w:color w:val="auto"/>
          <w:kern w:val="21"/>
          <w:sz w:val="24"/>
          <w:szCs w:val="24"/>
          <w:highlight w:val="none"/>
          <w:u w:val="single"/>
        </w:rPr>
        <w:t xml:space="preserve">                                                    </w:t>
      </w:r>
    </w:p>
    <w:p w14:paraId="45F78CC5">
      <w:pPr>
        <w:pStyle w:val="18"/>
        <w:spacing w:line="360" w:lineRule="auto"/>
        <w:ind w:firstLine="480" w:firstLineChars="200"/>
        <w:rPr>
          <w:rFonts w:hAnsi="宋体" w:cs="宋体"/>
          <w:color w:val="auto"/>
          <w:kern w:val="21"/>
          <w:sz w:val="24"/>
          <w:szCs w:val="24"/>
          <w:highlight w:val="none"/>
          <w:u w:val="single"/>
        </w:rPr>
      </w:pPr>
      <w:r>
        <w:rPr>
          <w:rFonts w:hint="eastAsia" w:hAnsi="宋体" w:cs="宋体"/>
          <w:color w:val="auto"/>
          <w:kern w:val="21"/>
          <w:sz w:val="24"/>
          <w:szCs w:val="24"/>
          <w:highlight w:val="none"/>
        </w:rPr>
        <w:t>开户银行：</w:t>
      </w:r>
      <w:r>
        <w:rPr>
          <w:rFonts w:hint="eastAsia" w:hAnsi="宋体" w:cs="宋体"/>
          <w:color w:val="auto"/>
          <w:kern w:val="21"/>
          <w:sz w:val="24"/>
          <w:szCs w:val="24"/>
          <w:highlight w:val="none"/>
          <w:u w:val="single"/>
        </w:rPr>
        <w:t xml:space="preserve">                                                    </w:t>
      </w:r>
    </w:p>
    <w:p w14:paraId="4769F738">
      <w:pPr>
        <w:pStyle w:val="18"/>
        <w:spacing w:line="360" w:lineRule="auto"/>
        <w:ind w:firstLine="480" w:firstLineChars="200"/>
        <w:rPr>
          <w:rFonts w:hAnsi="宋体" w:cs="宋体"/>
          <w:color w:val="auto"/>
          <w:kern w:val="21"/>
          <w:sz w:val="24"/>
          <w:szCs w:val="24"/>
          <w:highlight w:val="none"/>
          <w:u w:val="single"/>
        </w:rPr>
      </w:pPr>
      <w:r>
        <w:rPr>
          <w:rFonts w:hint="eastAsia" w:hAnsi="宋体" w:cs="宋体"/>
          <w:color w:val="auto"/>
          <w:kern w:val="21"/>
          <w:sz w:val="24"/>
          <w:szCs w:val="24"/>
          <w:highlight w:val="none"/>
        </w:rPr>
        <w:t>银行账号：</w:t>
      </w:r>
      <w:r>
        <w:rPr>
          <w:rFonts w:hint="eastAsia" w:hAnsi="宋体" w:cs="宋体"/>
          <w:color w:val="auto"/>
          <w:kern w:val="21"/>
          <w:sz w:val="24"/>
          <w:szCs w:val="24"/>
          <w:highlight w:val="none"/>
          <w:u w:val="single"/>
        </w:rPr>
        <w:t xml:space="preserve">                                                    </w:t>
      </w:r>
    </w:p>
    <w:p w14:paraId="208649D6">
      <w:pPr>
        <w:pStyle w:val="16"/>
        <w:tabs>
          <w:tab w:val="left" w:pos="939"/>
        </w:tabs>
        <w:spacing w:line="360" w:lineRule="auto"/>
        <w:ind w:left="0" w:leftChars="0" w:firstLine="480" w:firstLineChars="200"/>
        <w:rPr>
          <w:rFonts w:ascii="宋体" w:hAnsi="宋体" w:cs="宋体"/>
          <w:color w:val="auto"/>
          <w:kern w:val="21"/>
          <w:sz w:val="24"/>
          <w:highlight w:val="none"/>
        </w:rPr>
      </w:pPr>
      <w:r>
        <w:rPr>
          <w:rFonts w:hint="eastAsia" w:ascii="宋体" w:hAnsi="宋体" w:cs="宋体"/>
          <w:color w:val="auto"/>
          <w:kern w:val="21"/>
          <w:sz w:val="24"/>
          <w:highlight w:val="none"/>
        </w:rPr>
        <w:t>特此承诺。</w:t>
      </w:r>
    </w:p>
    <w:p w14:paraId="0F503A28">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792B8ED4">
      <w:pPr>
        <w:pStyle w:val="18"/>
        <w:spacing w:line="500" w:lineRule="exact"/>
        <w:ind w:firstLine="6360" w:firstLineChars="2650"/>
        <w:rPr>
          <w:rFonts w:hAnsi="宋体" w:cs="宋体"/>
          <w:color w:val="auto"/>
          <w:kern w:val="21"/>
          <w:sz w:val="24"/>
          <w:highlight w:val="none"/>
        </w:rPr>
      </w:pPr>
      <w:r>
        <w:rPr>
          <w:rFonts w:hint="eastAsia" w:hAnsi="宋体" w:cs="宋体"/>
          <w:color w:val="auto"/>
          <w:kern w:val="21"/>
          <w:sz w:val="24"/>
          <w:highlight w:val="none"/>
          <w:lang w:val="zh-CN"/>
        </w:rPr>
        <w:t>日期</w:t>
      </w:r>
      <w:r>
        <w:rPr>
          <w:rFonts w:hint="eastAsia" w:hAnsi="宋体" w:cs="宋体"/>
          <w:color w:val="auto"/>
          <w:kern w:val="21"/>
          <w:sz w:val="24"/>
          <w:highlight w:val="none"/>
        </w:rPr>
        <w:t xml:space="preserve">：  </w:t>
      </w:r>
      <w:r>
        <w:rPr>
          <w:rFonts w:hint="eastAsia" w:hAnsi="宋体" w:cs="宋体"/>
          <w:color w:val="auto"/>
          <w:kern w:val="21"/>
          <w:sz w:val="24"/>
          <w:highlight w:val="none"/>
          <w:lang w:val="zh-CN"/>
        </w:rPr>
        <w:t>年</w:t>
      </w:r>
      <w:r>
        <w:rPr>
          <w:rFonts w:hint="eastAsia" w:hAnsi="宋体" w:cs="宋体"/>
          <w:color w:val="auto"/>
          <w:kern w:val="21"/>
          <w:sz w:val="24"/>
          <w:highlight w:val="none"/>
        </w:rPr>
        <w:t xml:space="preserve">  </w:t>
      </w:r>
      <w:r>
        <w:rPr>
          <w:rFonts w:hint="eastAsia" w:hAnsi="宋体" w:cs="宋体"/>
          <w:color w:val="auto"/>
          <w:kern w:val="21"/>
          <w:sz w:val="24"/>
          <w:highlight w:val="none"/>
          <w:lang w:val="zh-CN"/>
        </w:rPr>
        <w:t>月</w:t>
      </w:r>
      <w:r>
        <w:rPr>
          <w:rFonts w:hint="eastAsia" w:hAnsi="宋体" w:cs="宋体"/>
          <w:color w:val="auto"/>
          <w:kern w:val="21"/>
          <w:sz w:val="24"/>
          <w:highlight w:val="none"/>
        </w:rPr>
        <w:t xml:space="preserve">   </w:t>
      </w:r>
      <w:r>
        <w:rPr>
          <w:rFonts w:hint="eastAsia" w:hAnsi="宋体" w:cs="宋体"/>
          <w:color w:val="auto"/>
          <w:kern w:val="21"/>
          <w:sz w:val="24"/>
          <w:highlight w:val="none"/>
          <w:lang w:val="zh-CN"/>
        </w:rPr>
        <w:t>日</w:t>
      </w:r>
    </w:p>
    <w:p w14:paraId="56FED10E">
      <w:pPr>
        <w:autoSpaceDE w:val="0"/>
        <w:autoSpaceDN w:val="0"/>
        <w:spacing w:line="360" w:lineRule="auto"/>
        <w:ind w:firstLine="6480" w:firstLineChars="2700"/>
        <w:rPr>
          <w:rFonts w:ascii="宋体" w:hAnsi="宋体" w:cs="宋体"/>
          <w:color w:val="auto"/>
          <w:kern w:val="21"/>
          <w:sz w:val="24"/>
          <w:highlight w:val="none"/>
          <w:lang w:val="zh-CN"/>
        </w:rPr>
      </w:pPr>
    </w:p>
    <w:p w14:paraId="40ED9E6C">
      <w:pPr>
        <w:spacing w:line="520" w:lineRule="exact"/>
        <w:jc w:val="center"/>
        <w:rPr>
          <w:rFonts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br w:type="page"/>
      </w:r>
      <w:r>
        <w:rPr>
          <w:rFonts w:hint="eastAsia" w:ascii="宋体" w:hAnsi="宋体" w:cs="宋体"/>
          <w:b/>
          <w:bCs/>
          <w:color w:val="auto"/>
          <w:kern w:val="21"/>
          <w:sz w:val="32"/>
          <w:szCs w:val="32"/>
          <w:highlight w:val="none"/>
        </w:rPr>
        <w:t>二、响应报价表</w:t>
      </w:r>
    </w:p>
    <w:p w14:paraId="30C6CBE1">
      <w:pPr>
        <w:snapToGrid w:val="0"/>
        <w:spacing w:before="50" w:after="50" w:line="360" w:lineRule="auto"/>
        <w:rPr>
          <w:rFonts w:ascii="宋体" w:hAnsi="宋体" w:cs="宋体"/>
          <w:color w:val="auto"/>
          <w:kern w:val="21"/>
          <w:sz w:val="24"/>
          <w:highlight w:val="none"/>
        </w:rPr>
      </w:pPr>
    </w:p>
    <w:p w14:paraId="6B239141">
      <w:pPr>
        <w:snapToGrid w:val="0"/>
        <w:spacing w:before="50" w:after="50" w:line="360" w:lineRule="auto"/>
        <w:rPr>
          <w:rFonts w:ascii="宋体" w:hAnsi="宋体" w:cs="宋体"/>
          <w:color w:val="auto"/>
          <w:kern w:val="21"/>
          <w:sz w:val="24"/>
          <w:highlight w:val="none"/>
          <w:u w:val="single"/>
        </w:rPr>
      </w:pPr>
      <w:r>
        <w:rPr>
          <w:rFonts w:hint="eastAsia" w:ascii="宋体" w:hAnsi="宋体" w:cs="宋体"/>
          <w:color w:val="auto"/>
          <w:kern w:val="21"/>
          <w:sz w:val="24"/>
          <w:highlight w:val="none"/>
        </w:rPr>
        <w:t>项目名称：</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项目编号：</w:t>
      </w:r>
      <w:r>
        <w:rPr>
          <w:rFonts w:hint="eastAsia" w:ascii="宋体" w:hAnsi="宋体" w:cs="宋体"/>
          <w:color w:val="auto"/>
          <w:kern w:val="21"/>
          <w:sz w:val="24"/>
          <w:highlight w:val="none"/>
          <w:u w:val="single"/>
        </w:rPr>
        <w:t xml:space="preserve">                  </w:t>
      </w:r>
    </w:p>
    <w:p w14:paraId="3437F888">
      <w:pPr>
        <w:snapToGrid w:val="0"/>
        <w:spacing w:before="50" w:after="50" w:line="360" w:lineRule="auto"/>
        <w:rPr>
          <w:rFonts w:ascii="宋体" w:hAnsi="宋体" w:cs="宋体"/>
          <w:color w:val="auto"/>
          <w:kern w:val="21"/>
          <w:sz w:val="24"/>
          <w:highlight w:val="none"/>
          <w:u w:val="single"/>
        </w:rPr>
      </w:pPr>
      <w:r>
        <w:rPr>
          <w:rFonts w:hint="eastAsia" w:ascii="宋体" w:hAnsi="宋体" w:cs="宋体"/>
          <w:color w:val="auto"/>
          <w:kern w:val="21"/>
          <w:sz w:val="24"/>
          <w:highlight w:val="none"/>
        </w:rPr>
        <w:t>供应商名称：</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w:t>
      </w:r>
    </w:p>
    <w:tbl>
      <w:tblPr>
        <w:tblStyle w:val="31"/>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16"/>
        <w:gridCol w:w="2325"/>
        <w:gridCol w:w="1125"/>
        <w:gridCol w:w="1436"/>
        <w:gridCol w:w="1564"/>
        <w:gridCol w:w="994"/>
      </w:tblGrid>
      <w:tr w14:paraId="3490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D4577CD">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序号</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ADEEECA">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标的名称</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48610399">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具体服务内容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786BFE">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数量①</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7B90CB44">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单价</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元</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②</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40EAD777">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单项合价（元）</w:t>
            </w:r>
          </w:p>
          <w:p w14:paraId="151992B9">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③</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①×②</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30D947D6">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备注</w:t>
            </w:r>
          </w:p>
        </w:tc>
      </w:tr>
      <w:tr w14:paraId="7729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873AF6B">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1</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0D28B2D0">
            <w:pPr>
              <w:spacing w:line="360" w:lineRule="auto"/>
              <w:jc w:val="center"/>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lang w:eastAsia="zh-CN"/>
              </w:rPr>
              <w:t>2025年“数据要素×”大赛广西分赛</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04B2802C">
            <w:pPr>
              <w:spacing w:line="360" w:lineRule="auto"/>
              <w:jc w:val="center"/>
              <w:rPr>
                <w:rFonts w:ascii="宋体" w:hAnsi="宋体" w:cs="宋体"/>
                <w:color w:val="auto"/>
                <w:kern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81D4112">
            <w:pPr>
              <w:spacing w:line="360" w:lineRule="auto"/>
              <w:jc w:val="center"/>
              <w:rPr>
                <w:rFonts w:ascii="宋体" w:hAnsi="宋体" w:cs="宋体"/>
                <w:color w:val="auto"/>
                <w:kern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5C81E0D5">
            <w:pPr>
              <w:spacing w:line="360" w:lineRule="auto"/>
              <w:jc w:val="left"/>
              <w:rPr>
                <w:rFonts w:ascii="宋体" w:hAnsi="宋体" w:cs="宋体"/>
                <w:color w:val="auto"/>
                <w:kern w:val="21"/>
                <w:szCs w:val="21"/>
                <w:highlight w:val="none"/>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14:paraId="3D4E0D6E">
            <w:pPr>
              <w:spacing w:line="360" w:lineRule="auto"/>
              <w:jc w:val="left"/>
              <w:rPr>
                <w:rFonts w:ascii="宋体" w:hAnsi="宋体" w:cs="宋体"/>
                <w:color w:val="auto"/>
                <w:kern w:val="21"/>
                <w:szCs w:val="21"/>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2DA7803C">
            <w:pPr>
              <w:spacing w:line="360" w:lineRule="auto"/>
              <w:jc w:val="center"/>
              <w:rPr>
                <w:rFonts w:ascii="宋体" w:hAnsi="宋体" w:cs="宋体"/>
                <w:color w:val="auto"/>
                <w:kern w:val="21"/>
                <w:szCs w:val="21"/>
                <w:highlight w:val="none"/>
              </w:rPr>
            </w:pPr>
          </w:p>
        </w:tc>
      </w:tr>
      <w:tr w14:paraId="1A2E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72C728C4">
            <w:pPr>
              <w:spacing w:line="360" w:lineRule="auto"/>
              <w:rPr>
                <w:rFonts w:ascii="宋体" w:hAnsi="宋体" w:cs="宋体"/>
                <w:color w:val="auto"/>
                <w:kern w:val="21"/>
                <w:szCs w:val="21"/>
                <w:highlight w:val="none"/>
              </w:rPr>
            </w:pPr>
            <w:r>
              <w:rPr>
                <w:rFonts w:hint="eastAsia" w:ascii="宋体" w:hAnsi="宋体" w:cs="宋体"/>
                <w:color w:val="auto"/>
                <w:kern w:val="21"/>
                <w:szCs w:val="21"/>
                <w:highlight w:val="none"/>
              </w:rPr>
              <w:t xml:space="preserve">报价合计（包含税费等所有费用）：（大写）人民币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元）</w:t>
            </w:r>
          </w:p>
        </w:tc>
      </w:tr>
    </w:tbl>
    <w:p w14:paraId="3746D3B6">
      <w:pPr>
        <w:snapToGrid w:val="0"/>
        <w:spacing w:before="50" w:after="50"/>
        <w:ind w:firstLine="480" w:firstLineChars="200"/>
        <w:jc w:val="left"/>
        <w:rPr>
          <w:rFonts w:ascii="宋体" w:hAnsi="宋体" w:cs="宋体"/>
          <w:color w:val="auto"/>
          <w:kern w:val="21"/>
          <w:sz w:val="24"/>
          <w:highlight w:val="none"/>
          <w:lang w:val="zh-CN"/>
        </w:rPr>
      </w:pPr>
    </w:p>
    <w:p w14:paraId="4823D3B8">
      <w:pPr>
        <w:snapToGrid w:val="0"/>
        <w:spacing w:line="360" w:lineRule="auto"/>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 xml:space="preserve">注： </w:t>
      </w:r>
    </w:p>
    <w:p w14:paraId="5916F203">
      <w:pPr>
        <w:snapToGrid w:val="0"/>
        <w:spacing w:line="360" w:lineRule="auto"/>
        <w:ind w:firstLine="480" w:firstLineChars="200"/>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1、供应商需按本表格式填写，不得自行更改，也不得留空。</w:t>
      </w:r>
    </w:p>
    <w:p w14:paraId="0DE6F63C">
      <w:pPr>
        <w:snapToGrid w:val="0"/>
        <w:spacing w:line="360" w:lineRule="auto"/>
        <w:ind w:firstLine="480" w:firstLineChars="200"/>
        <w:jc w:val="left"/>
        <w:rPr>
          <w:rFonts w:ascii="宋体" w:hAnsi="宋体" w:cs="宋体"/>
          <w:b/>
          <w:color w:val="auto"/>
          <w:kern w:val="21"/>
          <w:sz w:val="24"/>
          <w:highlight w:val="none"/>
          <w:lang w:val="zh-CN"/>
        </w:rPr>
      </w:pPr>
      <w:r>
        <w:rPr>
          <w:rFonts w:hint="eastAsia" w:ascii="宋体" w:hAnsi="宋体" w:cs="宋体"/>
          <w:color w:val="auto"/>
          <w:kern w:val="21"/>
          <w:sz w:val="24"/>
          <w:highlight w:val="none"/>
          <w:lang w:val="zh-CN"/>
        </w:rPr>
        <w:t>2、如为联合体响应的，“供应商名称”处必须列明联合体各方名称，并标注联合体牵头人名称，且盖章处须加盖联合体牵头人公章，</w:t>
      </w:r>
      <w:r>
        <w:rPr>
          <w:rFonts w:hint="eastAsia" w:ascii="宋体" w:hAnsi="宋体" w:cs="宋体"/>
          <w:b/>
          <w:color w:val="auto"/>
          <w:kern w:val="21"/>
          <w:sz w:val="24"/>
          <w:highlight w:val="none"/>
          <w:lang w:val="zh-CN"/>
        </w:rPr>
        <w:t>否则其响应作无效响应处理。</w:t>
      </w:r>
    </w:p>
    <w:p w14:paraId="6F2C800D">
      <w:pPr>
        <w:snapToGrid w:val="0"/>
        <w:spacing w:line="360" w:lineRule="auto"/>
        <w:ind w:firstLine="480" w:firstLineChars="200"/>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3、特别提示：采购机构将对项目名称和项目编号，成交供应商名称、地址和成交金额，主要成交标的的名称、服务范围、服务要求、服务时间、服务标准等予以公示。</w:t>
      </w:r>
    </w:p>
    <w:p w14:paraId="0155AFB5">
      <w:pPr>
        <w:snapToGrid w:val="0"/>
        <w:spacing w:line="360" w:lineRule="auto"/>
        <w:ind w:firstLine="480" w:firstLineChars="200"/>
        <w:jc w:val="left"/>
        <w:rPr>
          <w:rFonts w:ascii="宋体" w:hAnsi="宋体" w:cs="宋体"/>
          <w:color w:val="auto"/>
          <w:kern w:val="21"/>
          <w:sz w:val="24"/>
          <w:highlight w:val="none"/>
          <w:lang w:val="zh-CN"/>
        </w:rPr>
      </w:pPr>
      <w:r>
        <w:rPr>
          <w:rFonts w:hint="eastAsia" w:ascii="宋体" w:hAnsi="宋体" w:cs="宋体"/>
          <w:color w:val="auto"/>
          <w:kern w:val="21"/>
          <w:sz w:val="24"/>
          <w:szCs w:val="22"/>
          <w:highlight w:val="none"/>
          <w:lang w:val="en-US" w:eastAsia="zh-CN"/>
        </w:rPr>
        <w:t>4</w:t>
      </w:r>
      <w:r>
        <w:rPr>
          <w:rFonts w:hint="eastAsia" w:ascii="宋体" w:hAnsi="宋体" w:cs="宋体"/>
          <w:color w:val="auto"/>
          <w:kern w:val="21"/>
          <w:sz w:val="24"/>
          <w:szCs w:val="22"/>
          <w:highlight w:val="none"/>
          <w:lang w:val="zh-CN"/>
        </w:rPr>
        <w:t>、</w:t>
      </w:r>
      <w:r>
        <w:rPr>
          <w:rFonts w:hint="eastAsia" w:ascii="宋体" w:hAnsi="宋体" w:cs="宋体"/>
          <w:color w:val="auto"/>
          <w:kern w:val="21"/>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154DDB">
      <w:pPr>
        <w:autoSpaceDE w:val="0"/>
        <w:autoSpaceDN w:val="0"/>
        <w:spacing w:line="360" w:lineRule="auto"/>
        <w:ind w:left="4335" w:leftChars="1950" w:hanging="240" w:hangingChars="100"/>
        <w:rPr>
          <w:rFonts w:ascii="宋体" w:hAnsi="宋体" w:cs="宋体"/>
          <w:color w:val="auto"/>
          <w:kern w:val="21"/>
          <w:sz w:val="24"/>
          <w:highlight w:val="none"/>
        </w:rPr>
      </w:pPr>
    </w:p>
    <w:p w14:paraId="14EEFC86">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53BECD16">
      <w:pPr>
        <w:pStyle w:val="18"/>
        <w:spacing w:line="500" w:lineRule="exact"/>
        <w:ind w:firstLine="6360" w:firstLineChars="2650"/>
        <w:rPr>
          <w:rFonts w:hAnsi="宋体" w:cs="宋体"/>
          <w:color w:val="auto"/>
          <w:kern w:val="21"/>
          <w:sz w:val="24"/>
          <w:highlight w:val="none"/>
          <w:lang w:val="zh-CN"/>
        </w:rPr>
      </w:pPr>
      <w:r>
        <w:rPr>
          <w:rFonts w:hint="eastAsia" w:hAnsi="宋体" w:cs="宋体"/>
          <w:color w:val="auto"/>
          <w:kern w:val="21"/>
          <w:sz w:val="24"/>
          <w:highlight w:val="none"/>
          <w:lang w:val="zh-CN"/>
        </w:rPr>
        <w:t>日期：  年  月   日</w:t>
      </w:r>
    </w:p>
    <w:p w14:paraId="0B313B99">
      <w:pPr>
        <w:keepNext/>
        <w:keepLines/>
        <w:adjustRightInd w:val="0"/>
        <w:snapToGrid w:val="0"/>
        <w:rPr>
          <w:rFonts w:ascii="宋体" w:hAnsi="宋体" w:cs="宋体"/>
          <w:b/>
          <w:color w:val="auto"/>
          <w:kern w:val="21"/>
          <w:sz w:val="30"/>
          <w:szCs w:val="30"/>
          <w:highlight w:val="none"/>
        </w:rPr>
      </w:pPr>
      <w:r>
        <w:rPr>
          <w:rFonts w:hint="eastAsia" w:ascii="宋体" w:hAnsi="宋体" w:cs="宋体"/>
          <w:color w:val="auto"/>
          <w:kern w:val="21"/>
          <w:highlight w:val="none"/>
          <w:lang w:val="zh-CN"/>
        </w:rPr>
        <w:br w:type="page"/>
      </w:r>
      <w:r>
        <w:rPr>
          <w:rFonts w:hint="eastAsia" w:ascii="宋体" w:hAnsi="宋体" w:cs="宋体"/>
          <w:b/>
          <w:color w:val="auto"/>
          <w:kern w:val="21"/>
          <w:sz w:val="30"/>
          <w:szCs w:val="30"/>
          <w:highlight w:val="none"/>
        </w:rPr>
        <w:t>三、中小企业声明函</w:t>
      </w:r>
    </w:p>
    <w:p w14:paraId="0738004B">
      <w:pPr>
        <w:spacing w:line="300" w:lineRule="auto"/>
        <w:rPr>
          <w:rFonts w:ascii="宋体" w:hAnsi="宋体" w:cs="宋体"/>
          <w:color w:val="auto"/>
          <w:kern w:val="21"/>
          <w:sz w:val="44"/>
          <w:szCs w:val="44"/>
          <w:highlight w:val="none"/>
        </w:rPr>
      </w:pPr>
    </w:p>
    <w:p w14:paraId="7AC46021">
      <w:pPr>
        <w:spacing w:line="300" w:lineRule="auto"/>
        <w:jc w:val="center"/>
        <w:rPr>
          <w:rFonts w:ascii="宋体" w:hAnsi="宋体" w:cs="宋体"/>
          <w:color w:val="auto"/>
          <w:kern w:val="21"/>
          <w:sz w:val="44"/>
          <w:szCs w:val="44"/>
          <w:highlight w:val="none"/>
        </w:rPr>
      </w:pPr>
      <w:r>
        <w:rPr>
          <w:rFonts w:hint="eastAsia" w:ascii="宋体" w:hAnsi="宋体" w:cs="宋体"/>
          <w:color w:val="auto"/>
          <w:kern w:val="21"/>
          <w:sz w:val="44"/>
          <w:szCs w:val="44"/>
          <w:highlight w:val="none"/>
        </w:rPr>
        <w:t>中小企业声明函（工程、服务）</w:t>
      </w:r>
    </w:p>
    <w:p w14:paraId="7EE57AB2">
      <w:pPr>
        <w:pStyle w:val="9"/>
        <w:ind w:firstLine="0" w:firstLineChars="0"/>
        <w:rPr>
          <w:rFonts w:ascii="宋体" w:hAnsi="宋体" w:eastAsia="宋体" w:cs="宋体"/>
          <w:color w:val="auto"/>
          <w:kern w:val="21"/>
          <w:sz w:val="21"/>
          <w:szCs w:val="21"/>
          <w:highlight w:val="none"/>
        </w:rPr>
      </w:pPr>
      <w:bookmarkStart w:id="90" w:name="_Toc44229899"/>
      <w:bookmarkStart w:id="91" w:name="_Toc35611516"/>
      <w:bookmarkStart w:id="92" w:name="_Toc31723070"/>
      <w:bookmarkStart w:id="93" w:name="_Toc35611438"/>
      <w:bookmarkStart w:id="94" w:name="_Toc31728084"/>
    </w:p>
    <w:p w14:paraId="5AD905B2">
      <w:pPr>
        <w:pStyle w:val="9"/>
        <w:ind w:firstLine="0" w:firstLineChars="0"/>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说明：</w:t>
      </w:r>
    </w:p>
    <w:p w14:paraId="2155920A">
      <w:pPr>
        <w:pStyle w:val="9"/>
        <w:ind w:firstLine="420" w:firstLineChars="200"/>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1、本声明函主要供参加政府采购活动的中小企业填写，非中小企业无需填写。</w:t>
      </w:r>
    </w:p>
    <w:p w14:paraId="01C1D5C1">
      <w:pPr>
        <w:pStyle w:val="9"/>
        <w:ind w:firstLine="420" w:firstLineChars="200"/>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2、小型、微型企业提供中型企业提供的货物的，视同为中型企业。</w:t>
      </w:r>
    </w:p>
    <w:p w14:paraId="48407CEF">
      <w:pPr>
        <w:pStyle w:val="9"/>
        <w:ind w:firstLine="420" w:firstLineChars="200"/>
        <w:rPr>
          <w:rFonts w:ascii="宋体" w:hAnsi="宋体" w:eastAsia="宋体" w:cs="宋体"/>
          <w:color w:val="auto"/>
          <w:kern w:val="21"/>
          <w:sz w:val="21"/>
          <w:szCs w:val="21"/>
          <w:highlight w:val="none"/>
        </w:rPr>
      </w:pPr>
    </w:p>
    <w:p w14:paraId="5FD52F52">
      <w:pPr>
        <w:pStyle w:val="9"/>
        <w:ind w:firstLine="420" w:firstLineChars="200"/>
        <w:rPr>
          <w:rFonts w:ascii="宋体" w:hAnsi="宋体" w:eastAsia="宋体" w:cs="宋体"/>
          <w:color w:val="auto"/>
          <w:kern w:val="21"/>
          <w:sz w:val="21"/>
          <w:szCs w:val="21"/>
          <w:highlight w:val="none"/>
        </w:rPr>
      </w:pPr>
    </w:p>
    <w:p w14:paraId="4A57C527">
      <w:pPr>
        <w:pStyle w:val="2"/>
        <w:spacing w:line="360" w:lineRule="auto"/>
        <w:ind w:left="-426" w:leftChars="-203" w:right="142" w:firstLine="420" w:firstLineChars="200"/>
        <w:contextualSpacing/>
        <w:rPr>
          <w:rFonts w:ascii="宋体" w:hAnsi="宋体" w:cs="宋体"/>
          <w:color w:val="auto"/>
          <w:kern w:val="21"/>
          <w:highlight w:val="none"/>
        </w:rPr>
      </w:pPr>
      <w:r>
        <w:rPr>
          <w:rFonts w:hint="eastAsia" w:ascii="宋体" w:hAnsi="宋体" w:cs="宋体"/>
          <w:color w:val="auto"/>
          <w:kern w:val="21"/>
          <w:highlight w:val="none"/>
        </w:rPr>
        <w:t>本公司（联合体）郑重声明，根据《政府采购促进中小企业发展管理办法》（财库﹝2020﹞46号）的规定，本公司（联合体）参加</w:t>
      </w:r>
      <w:r>
        <w:rPr>
          <w:rFonts w:hint="eastAsia" w:ascii="宋体" w:hAnsi="宋体" w:cs="宋体"/>
          <w:color w:val="auto"/>
          <w:kern w:val="21"/>
          <w:highlight w:val="none"/>
          <w:u w:val="single"/>
        </w:rPr>
        <w:t>（单位名称）</w:t>
      </w:r>
      <w:r>
        <w:rPr>
          <w:rFonts w:hint="eastAsia" w:ascii="宋体" w:hAnsi="宋体" w:cs="宋体"/>
          <w:color w:val="auto"/>
          <w:kern w:val="21"/>
          <w:highlight w:val="none"/>
        </w:rPr>
        <w:t>的</w:t>
      </w:r>
      <w:r>
        <w:rPr>
          <w:rFonts w:hint="eastAsia" w:ascii="宋体" w:hAnsi="宋体" w:cs="宋体"/>
          <w:color w:val="auto"/>
          <w:kern w:val="21"/>
          <w:highlight w:val="none"/>
          <w:u w:val="single"/>
        </w:rPr>
        <w:t>（项目名称）</w:t>
      </w:r>
      <w:r>
        <w:rPr>
          <w:rFonts w:hint="eastAsia" w:ascii="宋体" w:hAnsi="宋体" w:cs="宋体"/>
          <w:color w:val="auto"/>
          <w:kern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2CF040">
      <w:pPr>
        <w:tabs>
          <w:tab w:val="left" w:pos="1384"/>
          <w:tab w:val="left" w:pos="4562"/>
          <w:tab w:val="left" w:pos="6803"/>
        </w:tabs>
        <w:spacing w:line="360" w:lineRule="auto"/>
        <w:ind w:left="-426" w:right="-58" w:firstLine="655"/>
        <w:contextualSpacing/>
        <w:rPr>
          <w:rFonts w:ascii="宋体" w:hAnsi="宋体" w:cs="宋体"/>
          <w:color w:val="auto"/>
          <w:kern w:val="21"/>
          <w:szCs w:val="21"/>
          <w:highlight w:val="none"/>
        </w:rPr>
      </w:pPr>
      <w:r>
        <w:rPr>
          <w:rFonts w:hint="eastAsia" w:ascii="宋体" w:hAnsi="宋体" w:cs="宋体"/>
          <w:color w:val="auto"/>
          <w:kern w:val="21"/>
          <w:szCs w:val="21"/>
          <w:highlight w:val="none"/>
        </w:rPr>
        <w:t>1.</w:t>
      </w:r>
      <w:r>
        <w:rPr>
          <w:rFonts w:hint="eastAsia" w:ascii="宋体" w:hAnsi="宋体" w:cs="宋体"/>
          <w:color w:val="auto"/>
          <w:kern w:val="21"/>
          <w:szCs w:val="21"/>
          <w:highlight w:val="none"/>
          <w:u w:val="single"/>
        </w:rPr>
        <w:t>（标的名称）</w:t>
      </w:r>
      <w:r>
        <w:rPr>
          <w:rFonts w:hint="eastAsia" w:ascii="宋体" w:hAnsi="宋体" w:cs="宋体"/>
          <w:color w:val="auto"/>
          <w:kern w:val="21"/>
          <w:szCs w:val="21"/>
          <w:highlight w:val="none"/>
        </w:rPr>
        <w:t>，属于</w:t>
      </w:r>
      <w:r>
        <w:rPr>
          <w:rFonts w:hint="eastAsia" w:ascii="宋体" w:hAnsi="宋体" w:cs="宋体"/>
          <w:color w:val="auto"/>
          <w:kern w:val="21"/>
          <w:szCs w:val="21"/>
          <w:highlight w:val="none"/>
          <w:u w:val="single"/>
        </w:rPr>
        <w:t>（采购文件中明确的所属行业）</w:t>
      </w:r>
      <w:r>
        <w:rPr>
          <w:rFonts w:hint="eastAsia" w:ascii="宋体" w:hAnsi="宋体" w:cs="宋体"/>
          <w:color w:val="auto"/>
          <w:kern w:val="21"/>
          <w:szCs w:val="21"/>
          <w:highlight w:val="none"/>
        </w:rPr>
        <w:t>行业；承建（承接）企业为</w:t>
      </w:r>
      <w:r>
        <w:rPr>
          <w:rFonts w:hint="eastAsia" w:ascii="宋体" w:hAnsi="宋体" w:cs="宋体"/>
          <w:color w:val="auto"/>
          <w:kern w:val="21"/>
          <w:szCs w:val="21"/>
          <w:highlight w:val="none"/>
          <w:u w:val="single"/>
        </w:rPr>
        <w:t>（企业名称）</w:t>
      </w:r>
      <w:r>
        <w:rPr>
          <w:rFonts w:hint="eastAsia" w:ascii="宋体" w:hAnsi="宋体" w:cs="宋体"/>
          <w:color w:val="auto"/>
          <w:kern w:val="21"/>
          <w:szCs w:val="21"/>
          <w:highlight w:val="none"/>
        </w:rPr>
        <w:t>，从业人员</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人，营业收入为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万元，资产总额为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万元，属于</w:t>
      </w:r>
      <w:r>
        <w:rPr>
          <w:rFonts w:hint="eastAsia" w:ascii="宋体" w:hAnsi="宋体" w:cs="宋体"/>
          <w:color w:val="auto"/>
          <w:kern w:val="21"/>
          <w:szCs w:val="21"/>
          <w:highlight w:val="none"/>
          <w:u w:val="single"/>
        </w:rPr>
        <w:t>（中型企业、小型企业、微型企业）</w:t>
      </w:r>
      <w:r>
        <w:rPr>
          <w:rFonts w:hint="eastAsia" w:ascii="宋体" w:hAnsi="宋体" w:cs="宋体"/>
          <w:color w:val="auto"/>
          <w:kern w:val="21"/>
          <w:szCs w:val="21"/>
          <w:highlight w:val="none"/>
        </w:rPr>
        <w:t>；</w:t>
      </w:r>
    </w:p>
    <w:p w14:paraId="6F2194E5">
      <w:pPr>
        <w:tabs>
          <w:tab w:val="left" w:pos="1065"/>
          <w:tab w:val="left" w:pos="6477"/>
        </w:tabs>
        <w:spacing w:line="360" w:lineRule="auto"/>
        <w:ind w:left="-426" w:right="-58" w:firstLine="655"/>
        <w:contextualSpacing/>
        <w:rPr>
          <w:rFonts w:ascii="宋体" w:hAnsi="宋体" w:cs="宋体"/>
          <w:color w:val="auto"/>
          <w:kern w:val="21"/>
          <w:szCs w:val="21"/>
          <w:highlight w:val="none"/>
        </w:rPr>
      </w:pPr>
      <w:r>
        <w:rPr>
          <w:rFonts w:hint="eastAsia" w:ascii="宋体" w:hAnsi="宋体" w:cs="宋体"/>
          <w:color w:val="auto"/>
          <w:kern w:val="21"/>
          <w:szCs w:val="21"/>
          <w:highlight w:val="none"/>
        </w:rPr>
        <w:t>2.</w:t>
      </w:r>
      <w:r>
        <w:rPr>
          <w:rFonts w:hint="eastAsia" w:ascii="宋体" w:hAnsi="宋体" w:cs="宋体"/>
          <w:color w:val="auto"/>
          <w:kern w:val="21"/>
          <w:szCs w:val="21"/>
          <w:highlight w:val="none"/>
          <w:u w:val="single"/>
        </w:rPr>
        <w:t>（标的名称）</w:t>
      </w:r>
      <w:r>
        <w:rPr>
          <w:rFonts w:hint="eastAsia" w:ascii="宋体" w:hAnsi="宋体" w:cs="宋体"/>
          <w:color w:val="auto"/>
          <w:kern w:val="21"/>
          <w:szCs w:val="21"/>
          <w:highlight w:val="none"/>
        </w:rPr>
        <w:t>，属于</w:t>
      </w:r>
      <w:r>
        <w:rPr>
          <w:rFonts w:hint="eastAsia" w:ascii="宋体" w:hAnsi="宋体" w:cs="宋体"/>
          <w:color w:val="auto"/>
          <w:kern w:val="21"/>
          <w:szCs w:val="21"/>
          <w:highlight w:val="none"/>
          <w:u w:val="single"/>
        </w:rPr>
        <w:t>（采购文件中明确的所属行业）</w:t>
      </w:r>
      <w:r>
        <w:rPr>
          <w:rFonts w:hint="eastAsia" w:ascii="宋体" w:hAnsi="宋体" w:cs="宋体"/>
          <w:color w:val="auto"/>
          <w:kern w:val="21"/>
          <w:szCs w:val="21"/>
          <w:highlight w:val="none"/>
        </w:rPr>
        <w:t>行业；承建（承接）企业为</w:t>
      </w:r>
      <w:r>
        <w:rPr>
          <w:rFonts w:hint="eastAsia" w:ascii="宋体" w:hAnsi="宋体" w:cs="宋体"/>
          <w:color w:val="auto"/>
          <w:kern w:val="21"/>
          <w:szCs w:val="21"/>
          <w:highlight w:val="none"/>
          <w:u w:val="single"/>
        </w:rPr>
        <w:t>（企业名称）</w:t>
      </w:r>
      <w:r>
        <w:rPr>
          <w:rFonts w:hint="eastAsia" w:ascii="宋体" w:hAnsi="宋体" w:cs="宋体"/>
          <w:color w:val="auto"/>
          <w:kern w:val="21"/>
          <w:szCs w:val="21"/>
          <w:highlight w:val="none"/>
        </w:rPr>
        <w:t>，从业人员</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人，营业收入为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万元，资产总额为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万元，属于</w:t>
      </w:r>
      <w:r>
        <w:rPr>
          <w:rFonts w:hint="eastAsia" w:ascii="宋体" w:hAnsi="宋体" w:cs="宋体"/>
          <w:color w:val="auto"/>
          <w:kern w:val="21"/>
          <w:szCs w:val="21"/>
          <w:highlight w:val="none"/>
          <w:u w:val="single"/>
        </w:rPr>
        <w:t>（中型企业、小型企业、微型企业）</w:t>
      </w:r>
      <w:r>
        <w:rPr>
          <w:rFonts w:hint="eastAsia" w:ascii="宋体" w:hAnsi="宋体" w:cs="宋体"/>
          <w:color w:val="auto"/>
          <w:kern w:val="21"/>
          <w:szCs w:val="21"/>
          <w:highlight w:val="none"/>
        </w:rPr>
        <w:t>；</w:t>
      </w:r>
    </w:p>
    <w:p w14:paraId="032FE595">
      <w:pPr>
        <w:pStyle w:val="2"/>
        <w:spacing w:line="360" w:lineRule="auto"/>
        <w:ind w:left="142" w:right="142"/>
        <w:contextualSpacing/>
        <w:rPr>
          <w:rFonts w:ascii="宋体" w:hAnsi="宋体" w:cs="宋体"/>
          <w:color w:val="auto"/>
          <w:kern w:val="21"/>
          <w:highlight w:val="none"/>
        </w:rPr>
      </w:pPr>
      <w:r>
        <w:rPr>
          <w:rFonts w:hint="eastAsia" w:ascii="宋体" w:hAnsi="宋体" w:cs="宋体"/>
          <w:color w:val="auto"/>
          <w:kern w:val="21"/>
          <w:highlight w:val="none"/>
        </w:rPr>
        <w:t xml:space="preserve">…… </w:t>
      </w:r>
    </w:p>
    <w:p w14:paraId="4C7A4C4D">
      <w:pPr>
        <w:pStyle w:val="2"/>
        <w:spacing w:line="360" w:lineRule="auto"/>
        <w:ind w:left="-405" w:leftChars="-193" w:right="142" w:firstLine="396" w:firstLineChars="189"/>
        <w:contextualSpacing/>
        <w:rPr>
          <w:rFonts w:ascii="宋体" w:hAnsi="宋体" w:cs="宋体"/>
          <w:color w:val="auto"/>
          <w:kern w:val="21"/>
          <w:highlight w:val="none"/>
        </w:rPr>
      </w:pPr>
      <w:r>
        <w:rPr>
          <w:rFonts w:hint="eastAsia" w:ascii="宋体" w:hAnsi="宋体" w:cs="宋体"/>
          <w:color w:val="auto"/>
          <w:kern w:val="21"/>
          <w:highlight w:val="none"/>
        </w:rPr>
        <w:t>以上企业，不属于大企业的分支机构，不存在控股股东为大企业的情形，也不存在与大企业的负责人为同一人的情形。</w:t>
      </w:r>
    </w:p>
    <w:p w14:paraId="73AFA75C">
      <w:pPr>
        <w:pStyle w:val="2"/>
        <w:spacing w:line="360" w:lineRule="auto"/>
        <w:ind w:left="-426" w:right="142" w:firstLine="567"/>
        <w:contextualSpacing/>
        <w:rPr>
          <w:rFonts w:ascii="宋体" w:hAnsi="宋体" w:cs="宋体"/>
          <w:color w:val="auto"/>
          <w:kern w:val="21"/>
          <w:highlight w:val="none"/>
        </w:rPr>
      </w:pPr>
      <w:r>
        <w:rPr>
          <w:rFonts w:hint="eastAsia" w:ascii="宋体" w:hAnsi="宋体" w:cs="宋体"/>
          <w:color w:val="auto"/>
          <w:kern w:val="21"/>
          <w:highlight w:val="none"/>
        </w:rPr>
        <w:t>本企业对上述声明内容的真实性负责。如有虚假，将依法承担相应责任。</w:t>
      </w:r>
    </w:p>
    <w:p w14:paraId="3F25BE22">
      <w:pPr>
        <w:pStyle w:val="18"/>
        <w:spacing w:line="360" w:lineRule="auto"/>
        <w:ind w:firstLine="400" w:firstLineChars="200"/>
        <w:rPr>
          <w:rFonts w:hAnsi="宋体" w:cs="宋体"/>
          <w:color w:val="auto"/>
          <w:kern w:val="21"/>
          <w:highlight w:val="none"/>
        </w:rPr>
      </w:pPr>
    </w:p>
    <w:p w14:paraId="518313BB">
      <w:pPr>
        <w:pStyle w:val="18"/>
        <w:spacing w:line="360" w:lineRule="auto"/>
        <w:ind w:firstLine="400" w:firstLineChars="200"/>
        <w:rPr>
          <w:rFonts w:hAnsi="宋体" w:cs="宋体"/>
          <w:color w:val="auto"/>
          <w:kern w:val="21"/>
          <w:highlight w:val="none"/>
        </w:rPr>
      </w:pPr>
    </w:p>
    <w:p w14:paraId="4BD72D9F">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1D76C277">
      <w:pPr>
        <w:snapToGrid w:val="0"/>
        <w:spacing w:line="360" w:lineRule="auto"/>
        <w:ind w:firstLine="5160" w:firstLineChars="2150"/>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日期：  年  月   日</w:t>
      </w:r>
    </w:p>
    <w:p w14:paraId="2C701611">
      <w:pPr>
        <w:pStyle w:val="18"/>
        <w:spacing w:line="360" w:lineRule="auto"/>
        <w:ind w:firstLine="400" w:firstLineChars="200"/>
        <w:rPr>
          <w:rFonts w:hAnsi="宋体" w:cs="宋体"/>
          <w:color w:val="auto"/>
          <w:kern w:val="21"/>
          <w:highlight w:val="none"/>
        </w:rPr>
      </w:pPr>
    </w:p>
    <w:p w14:paraId="4237D138">
      <w:pPr>
        <w:snapToGrid w:val="0"/>
        <w:spacing w:line="360" w:lineRule="auto"/>
        <w:jc w:val="left"/>
        <w:rPr>
          <w:rFonts w:ascii="宋体" w:hAnsi="宋体" w:cs="宋体"/>
          <w:color w:val="auto"/>
          <w:kern w:val="21"/>
          <w:sz w:val="20"/>
          <w:highlight w:val="none"/>
        </w:rPr>
      </w:pPr>
      <w:r>
        <w:rPr>
          <w:rFonts w:hint="eastAsia" w:ascii="宋体" w:hAnsi="宋体" w:cs="宋体"/>
          <w:color w:val="auto"/>
          <w:kern w:val="21"/>
          <w:sz w:val="20"/>
          <w:highlight w:val="none"/>
        </w:rPr>
        <w:t>注：</w:t>
      </w:r>
    </w:p>
    <w:p w14:paraId="38004C3B">
      <w:pPr>
        <w:snapToGrid w:val="0"/>
        <w:spacing w:line="360" w:lineRule="auto"/>
        <w:ind w:firstLine="400" w:firstLineChars="200"/>
        <w:jc w:val="left"/>
        <w:rPr>
          <w:rFonts w:ascii="宋体" w:hAnsi="宋体" w:cs="宋体"/>
          <w:color w:val="auto"/>
          <w:kern w:val="21"/>
          <w:sz w:val="20"/>
          <w:highlight w:val="none"/>
        </w:rPr>
      </w:pPr>
      <w:r>
        <w:rPr>
          <w:rFonts w:hint="eastAsia" w:ascii="宋体" w:hAnsi="宋体" w:cs="宋体"/>
          <w:color w:val="auto"/>
          <w:kern w:val="21"/>
          <w:sz w:val="20"/>
          <w:highlight w:val="none"/>
        </w:rPr>
        <w:t>1、从业人员、营业收入、资产总额填报上一年度数据，无上一年度数据的新成立企业可不填报。</w:t>
      </w:r>
    </w:p>
    <w:p w14:paraId="587F5A07">
      <w:pPr>
        <w:snapToGrid w:val="0"/>
        <w:spacing w:line="360" w:lineRule="auto"/>
        <w:ind w:firstLine="400" w:firstLineChars="200"/>
        <w:rPr>
          <w:rFonts w:ascii="宋体" w:hAnsi="宋体" w:cs="宋体"/>
          <w:color w:val="auto"/>
          <w:kern w:val="21"/>
          <w:sz w:val="32"/>
          <w:szCs w:val="32"/>
          <w:highlight w:val="none"/>
        </w:rPr>
        <w:sectPr>
          <w:pgSz w:w="11911" w:h="16838"/>
          <w:pgMar w:top="1440" w:right="1440" w:bottom="1440" w:left="1440" w:header="720" w:footer="720" w:gutter="0"/>
          <w:cols w:space="720" w:num="1"/>
        </w:sectPr>
      </w:pPr>
      <w:bookmarkStart w:id="95" w:name="_Toc101775077"/>
      <w:r>
        <w:rPr>
          <w:rFonts w:hint="eastAsia" w:ascii="宋体" w:hAnsi="宋体" w:cs="宋体"/>
          <w:color w:val="auto"/>
          <w:kern w:val="21"/>
          <w:sz w:val="20"/>
          <w:highlight w:val="none"/>
        </w:rPr>
        <w:t>2、请根据自己的真实情况出具《中小企业声明函》。依法享受中小企业优惠政策的，采购人或者采购代理机构在公告中标/成交结果时，同时公告其《中小企业声明函》，接受社会监督。</w:t>
      </w:r>
      <w:bookmarkEnd w:id="95"/>
    </w:p>
    <w:bookmarkEnd w:id="90"/>
    <w:bookmarkEnd w:id="91"/>
    <w:bookmarkEnd w:id="92"/>
    <w:bookmarkEnd w:id="93"/>
    <w:bookmarkEnd w:id="94"/>
    <w:p w14:paraId="23CD7016">
      <w:pPr>
        <w:pStyle w:val="4"/>
        <w:jc w:val="center"/>
        <w:rPr>
          <w:rFonts w:ascii="宋体" w:hAnsi="宋体" w:cs="宋体"/>
          <w:b w:val="0"/>
          <w:color w:val="auto"/>
          <w:kern w:val="21"/>
          <w:highlight w:val="none"/>
        </w:rPr>
      </w:pPr>
      <w:bookmarkStart w:id="96" w:name="_Toc19848"/>
      <w:bookmarkStart w:id="97" w:name="_Toc29848"/>
      <w:bookmarkStart w:id="98" w:name="_Toc80205942"/>
      <w:r>
        <w:rPr>
          <w:rFonts w:hint="eastAsia" w:ascii="宋体" w:hAnsi="宋体" w:cs="宋体"/>
          <w:color w:val="auto"/>
          <w:kern w:val="21"/>
          <w:highlight w:val="none"/>
        </w:rPr>
        <w:t>第五节 其他文书、文件格式</w:t>
      </w:r>
      <w:bookmarkEnd w:id="96"/>
      <w:bookmarkEnd w:id="97"/>
      <w:bookmarkEnd w:id="98"/>
    </w:p>
    <w:p w14:paraId="00BDF731">
      <w:pPr>
        <w:spacing w:line="520" w:lineRule="exact"/>
        <w:rPr>
          <w:rFonts w:ascii="宋体" w:hAnsi="宋体" w:cs="宋体"/>
          <w:color w:val="auto"/>
          <w:kern w:val="21"/>
          <w:sz w:val="24"/>
          <w:highlight w:val="none"/>
        </w:rPr>
      </w:pPr>
    </w:p>
    <w:p w14:paraId="7E1EB23E">
      <w:pPr>
        <w:spacing w:line="520" w:lineRule="exact"/>
        <w:jc w:val="center"/>
        <w:rPr>
          <w:rFonts w:ascii="宋体" w:hAnsi="宋体" w:cs="宋体"/>
          <w:color w:val="auto"/>
          <w:kern w:val="21"/>
          <w:sz w:val="32"/>
          <w:szCs w:val="32"/>
          <w:highlight w:val="none"/>
        </w:rPr>
      </w:pPr>
      <w:r>
        <w:rPr>
          <w:rFonts w:hint="eastAsia" w:ascii="宋体" w:hAnsi="宋体" w:cs="宋体"/>
          <w:color w:val="auto"/>
          <w:kern w:val="21"/>
          <w:sz w:val="44"/>
          <w:szCs w:val="44"/>
          <w:highlight w:val="none"/>
        </w:rPr>
        <w:t>残疾人福利性单位声明函</w:t>
      </w:r>
    </w:p>
    <w:p w14:paraId="7342FE70">
      <w:pPr>
        <w:spacing w:line="520" w:lineRule="exact"/>
        <w:rPr>
          <w:rFonts w:ascii="宋体" w:hAnsi="宋体" w:cs="宋体"/>
          <w:color w:val="auto"/>
          <w:kern w:val="21"/>
          <w:sz w:val="32"/>
          <w:szCs w:val="32"/>
          <w:highlight w:val="none"/>
        </w:rPr>
      </w:pPr>
    </w:p>
    <w:p w14:paraId="7FEB2D6B">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单位的</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项目采购活动由本单位提供服务。</w:t>
      </w:r>
    </w:p>
    <w:p w14:paraId="1EEA0CE7">
      <w:pPr>
        <w:spacing w:line="360" w:lineRule="auto"/>
        <w:ind w:firstLine="480" w:firstLineChars="200"/>
        <w:contextualSpacing/>
        <w:rPr>
          <w:rFonts w:ascii="宋体" w:hAnsi="宋体" w:cs="宋体"/>
          <w:color w:val="auto"/>
          <w:kern w:val="21"/>
          <w:sz w:val="24"/>
          <w:highlight w:val="none"/>
        </w:rPr>
      </w:pPr>
      <w:r>
        <w:rPr>
          <w:rFonts w:hint="eastAsia" w:ascii="宋体" w:hAnsi="宋体" w:cs="宋体"/>
          <w:color w:val="auto"/>
          <w:kern w:val="21"/>
          <w:sz w:val="24"/>
          <w:highlight w:val="none"/>
        </w:rPr>
        <w:t>本单位对上述声明的真实性负责。如有虚假，将依法承担相应责任。</w:t>
      </w:r>
    </w:p>
    <w:p w14:paraId="021FEE16">
      <w:pPr>
        <w:spacing w:line="360" w:lineRule="auto"/>
        <w:contextualSpacing/>
        <w:rPr>
          <w:rFonts w:ascii="宋体" w:hAnsi="宋体" w:cs="宋体"/>
          <w:color w:val="auto"/>
          <w:kern w:val="21"/>
          <w:sz w:val="24"/>
          <w:highlight w:val="none"/>
        </w:rPr>
      </w:pPr>
    </w:p>
    <w:p w14:paraId="164A6D55">
      <w:pPr>
        <w:spacing w:line="360" w:lineRule="auto"/>
        <w:contextualSpacing/>
        <w:rPr>
          <w:rFonts w:ascii="宋体" w:hAnsi="宋体" w:cs="宋体"/>
          <w:color w:val="auto"/>
          <w:kern w:val="21"/>
          <w:sz w:val="24"/>
          <w:highlight w:val="none"/>
        </w:rPr>
      </w:pPr>
    </w:p>
    <w:p w14:paraId="5D52166E">
      <w:pPr>
        <w:spacing w:line="360" w:lineRule="auto"/>
        <w:contextualSpacing/>
        <w:rPr>
          <w:rFonts w:ascii="宋体" w:hAnsi="宋体" w:cs="宋体"/>
          <w:color w:val="auto"/>
          <w:kern w:val="21"/>
          <w:sz w:val="24"/>
          <w:highlight w:val="none"/>
        </w:rPr>
      </w:pPr>
    </w:p>
    <w:p w14:paraId="75498B30">
      <w:pPr>
        <w:spacing w:line="360" w:lineRule="auto"/>
        <w:ind w:firstLine="2400" w:firstLineChars="1000"/>
        <w:contextualSpacing/>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7C4AF7B9">
      <w:pPr>
        <w:spacing w:line="360" w:lineRule="auto"/>
        <w:ind w:firstLine="4320" w:firstLineChars="1800"/>
        <w:contextualSpacing/>
        <w:rPr>
          <w:rFonts w:ascii="宋体" w:hAnsi="宋体" w:cs="宋体"/>
          <w:color w:val="auto"/>
          <w:kern w:val="21"/>
          <w:sz w:val="24"/>
          <w:highlight w:val="none"/>
        </w:rPr>
      </w:pPr>
      <w:r>
        <w:rPr>
          <w:rFonts w:hint="eastAsia" w:ascii="宋体" w:hAnsi="宋体" w:cs="宋体"/>
          <w:color w:val="auto"/>
          <w:kern w:val="21"/>
          <w:sz w:val="24"/>
          <w:highlight w:val="none"/>
        </w:rPr>
        <w:t>日  期：     年   月   日</w:t>
      </w:r>
    </w:p>
    <w:p w14:paraId="37DE7C16">
      <w:pPr>
        <w:spacing w:line="360" w:lineRule="auto"/>
        <w:contextualSpacing/>
        <w:rPr>
          <w:rFonts w:ascii="宋体" w:hAnsi="宋体" w:cs="宋体"/>
          <w:color w:val="auto"/>
          <w:kern w:val="21"/>
          <w:sz w:val="24"/>
          <w:highlight w:val="none"/>
        </w:rPr>
      </w:pPr>
    </w:p>
    <w:p w14:paraId="73A045EC">
      <w:pPr>
        <w:spacing w:line="360" w:lineRule="auto"/>
        <w:contextualSpacing/>
        <w:rPr>
          <w:rFonts w:ascii="宋体" w:hAnsi="宋体" w:cs="宋体"/>
          <w:color w:val="auto"/>
          <w:kern w:val="21"/>
          <w:sz w:val="24"/>
          <w:highlight w:val="none"/>
        </w:rPr>
      </w:pPr>
    </w:p>
    <w:p w14:paraId="38D1A753">
      <w:pPr>
        <w:spacing w:line="360" w:lineRule="auto"/>
        <w:contextualSpacing/>
        <w:rPr>
          <w:rFonts w:ascii="宋体" w:hAnsi="宋体" w:cs="宋体"/>
          <w:color w:val="auto"/>
          <w:kern w:val="21"/>
          <w:sz w:val="24"/>
          <w:highlight w:val="none"/>
        </w:rPr>
      </w:pPr>
    </w:p>
    <w:p w14:paraId="1F8146A6">
      <w:pPr>
        <w:spacing w:line="360" w:lineRule="auto"/>
        <w:contextualSpacing/>
        <w:rPr>
          <w:rFonts w:ascii="宋体" w:hAnsi="宋体" w:cs="宋体"/>
          <w:color w:val="auto"/>
          <w:kern w:val="21"/>
          <w:sz w:val="24"/>
          <w:highlight w:val="none"/>
        </w:rPr>
      </w:pPr>
      <w:r>
        <w:rPr>
          <w:rFonts w:hint="eastAsia" w:ascii="宋体" w:hAnsi="宋体" w:cs="宋体"/>
          <w:color w:val="auto"/>
          <w:kern w:val="21"/>
          <w:sz w:val="24"/>
          <w:highlight w:val="none"/>
        </w:rPr>
        <w:t>注：请根据自己的真实情况出具《残疾人福利性单位声明函》。依法享受中小企业优惠政策的，采购人或者采购代理机构在公告中标/成交结果时，同时公告其《残疾人福利性单位声明函》，接受社会监督。</w:t>
      </w:r>
    </w:p>
    <w:p w14:paraId="7430CADC">
      <w:pPr>
        <w:spacing w:line="520" w:lineRule="exact"/>
        <w:jc w:val="center"/>
        <w:rPr>
          <w:rFonts w:ascii="宋体" w:hAnsi="宋体" w:cs="宋体"/>
          <w:color w:val="auto"/>
          <w:kern w:val="21"/>
          <w:sz w:val="24"/>
          <w:highlight w:val="none"/>
        </w:rPr>
      </w:pPr>
    </w:p>
    <w:p w14:paraId="626249C9">
      <w:pPr>
        <w:spacing w:line="520" w:lineRule="exact"/>
        <w:jc w:val="center"/>
        <w:rPr>
          <w:rFonts w:ascii="宋体" w:hAnsi="宋体" w:cs="宋体"/>
          <w:color w:val="auto"/>
          <w:kern w:val="21"/>
          <w:sz w:val="24"/>
          <w:highlight w:val="none"/>
        </w:rPr>
      </w:pPr>
    </w:p>
    <w:p w14:paraId="0916E473">
      <w:pPr>
        <w:spacing w:line="520" w:lineRule="exact"/>
        <w:jc w:val="center"/>
        <w:rPr>
          <w:rFonts w:ascii="宋体" w:hAnsi="宋体" w:cs="宋体"/>
          <w:color w:val="auto"/>
          <w:kern w:val="21"/>
          <w:sz w:val="24"/>
          <w:highlight w:val="none"/>
        </w:rPr>
      </w:pPr>
    </w:p>
    <w:p w14:paraId="30DA9B5C">
      <w:pPr>
        <w:spacing w:line="520" w:lineRule="exact"/>
        <w:jc w:val="center"/>
        <w:rPr>
          <w:rFonts w:ascii="宋体" w:hAnsi="宋体" w:cs="宋体"/>
          <w:color w:val="auto"/>
          <w:kern w:val="21"/>
          <w:sz w:val="24"/>
          <w:highlight w:val="none"/>
        </w:rPr>
      </w:pPr>
    </w:p>
    <w:p w14:paraId="24FD4012">
      <w:pPr>
        <w:spacing w:line="520" w:lineRule="exact"/>
        <w:jc w:val="center"/>
        <w:rPr>
          <w:rFonts w:ascii="宋体" w:hAnsi="宋体" w:cs="宋体"/>
          <w:color w:val="auto"/>
          <w:kern w:val="21"/>
          <w:sz w:val="24"/>
          <w:highlight w:val="none"/>
        </w:rPr>
      </w:pPr>
    </w:p>
    <w:p w14:paraId="565DA3EE">
      <w:pPr>
        <w:spacing w:line="520" w:lineRule="exact"/>
        <w:jc w:val="center"/>
        <w:rPr>
          <w:rFonts w:ascii="宋体" w:hAnsi="宋体" w:cs="宋体"/>
          <w:color w:val="auto"/>
          <w:kern w:val="21"/>
          <w:sz w:val="24"/>
          <w:highlight w:val="none"/>
        </w:rPr>
      </w:pPr>
    </w:p>
    <w:p w14:paraId="354007BB">
      <w:pPr>
        <w:spacing w:line="520" w:lineRule="exact"/>
        <w:jc w:val="center"/>
        <w:rPr>
          <w:rFonts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br w:type="page"/>
      </w:r>
      <w:r>
        <w:rPr>
          <w:rFonts w:hint="eastAsia" w:ascii="宋体" w:hAnsi="宋体" w:cs="宋体"/>
          <w:b/>
          <w:bCs/>
          <w:color w:val="auto"/>
          <w:kern w:val="21"/>
          <w:sz w:val="32"/>
          <w:szCs w:val="32"/>
          <w:highlight w:val="none"/>
        </w:rPr>
        <w:t>最后报价表</w:t>
      </w:r>
    </w:p>
    <w:p w14:paraId="280B0559">
      <w:pPr>
        <w:snapToGrid w:val="0"/>
        <w:spacing w:before="50" w:after="50" w:line="360" w:lineRule="auto"/>
        <w:rPr>
          <w:rFonts w:ascii="宋体" w:hAnsi="宋体" w:cs="宋体"/>
          <w:color w:val="auto"/>
          <w:kern w:val="21"/>
          <w:sz w:val="24"/>
          <w:highlight w:val="none"/>
        </w:rPr>
      </w:pPr>
    </w:p>
    <w:p w14:paraId="7E586250">
      <w:pPr>
        <w:snapToGrid w:val="0"/>
        <w:spacing w:before="50" w:after="50" w:line="360" w:lineRule="auto"/>
        <w:rPr>
          <w:rFonts w:ascii="宋体" w:hAnsi="宋体" w:cs="宋体"/>
          <w:color w:val="auto"/>
          <w:kern w:val="21"/>
          <w:sz w:val="24"/>
          <w:highlight w:val="none"/>
        </w:rPr>
      </w:pPr>
      <w:r>
        <w:rPr>
          <w:rFonts w:hint="eastAsia" w:ascii="宋体" w:hAnsi="宋体" w:cs="宋体"/>
          <w:color w:val="auto"/>
          <w:kern w:val="21"/>
          <w:sz w:val="24"/>
          <w:highlight w:val="none"/>
        </w:rPr>
        <w:t>项目名称：</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项目编号：</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w:t>
      </w:r>
    </w:p>
    <w:p w14:paraId="55088F85">
      <w:pPr>
        <w:snapToGrid w:val="0"/>
        <w:spacing w:before="50" w:after="50" w:line="360" w:lineRule="auto"/>
        <w:rPr>
          <w:rFonts w:ascii="宋体" w:hAnsi="宋体" w:cs="宋体"/>
          <w:color w:val="auto"/>
          <w:kern w:val="21"/>
          <w:sz w:val="24"/>
          <w:highlight w:val="none"/>
        </w:rPr>
      </w:pPr>
      <w:r>
        <w:rPr>
          <w:rFonts w:hint="eastAsia" w:ascii="宋体" w:hAnsi="宋体" w:cs="宋体"/>
          <w:color w:val="auto"/>
          <w:kern w:val="21"/>
          <w:sz w:val="24"/>
          <w:highlight w:val="none"/>
        </w:rPr>
        <w:t>供应商名称：</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w:t>
      </w:r>
    </w:p>
    <w:p w14:paraId="1D783BE9">
      <w:pPr>
        <w:snapToGrid w:val="0"/>
        <w:spacing w:before="50" w:after="50" w:line="360" w:lineRule="auto"/>
        <w:rPr>
          <w:rFonts w:ascii="宋体" w:hAnsi="宋体" w:cs="宋体"/>
          <w:color w:val="auto"/>
          <w:kern w:val="21"/>
          <w:sz w:val="24"/>
          <w:highlight w:val="none"/>
        </w:rPr>
      </w:pPr>
      <w:r>
        <w:rPr>
          <w:rFonts w:hint="eastAsia" w:ascii="宋体" w:hAnsi="宋体" w:cs="宋体"/>
          <w:color w:val="auto"/>
          <w:kern w:val="21"/>
          <w:sz w:val="24"/>
          <w:highlight w:val="none"/>
        </w:rPr>
        <w:t xml:space="preserve"> </w:t>
      </w:r>
    </w:p>
    <w:tbl>
      <w:tblPr>
        <w:tblStyle w:val="31"/>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98"/>
        <w:gridCol w:w="2685"/>
        <w:gridCol w:w="1081"/>
        <w:gridCol w:w="1238"/>
        <w:gridCol w:w="1609"/>
        <w:gridCol w:w="949"/>
      </w:tblGrid>
      <w:tr w14:paraId="21C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4806DF8">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序号</w:t>
            </w:r>
          </w:p>
        </w:tc>
        <w:tc>
          <w:tcPr>
            <w:tcW w:w="1898" w:type="dxa"/>
            <w:tcBorders>
              <w:top w:val="single" w:color="auto" w:sz="4" w:space="0"/>
              <w:left w:val="single" w:color="auto" w:sz="4" w:space="0"/>
              <w:bottom w:val="single" w:color="auto" w:sz="4" w:space="0"/>
              <w:right w:val="single" w:color="auto" w:sz="4" w:space="0"/>
            </w:tcBorders>
            <w:noWrap w:val="0"/>
            <w:vAlign w:val="center"/>
          </w:tcPr>
          <w:p w14:paraId="58D1DA6C">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标的名称</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ABDCA70">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具体服务内容</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57DE00A">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数量①</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808A70">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单价</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元</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②</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956EC09">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单项合价（元）</w:t>
            </w:r>
          </w:p>
          <w:p w14:paraId="790720B5">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③</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①×②</w:t>
            </w:r>
          </w:p>
        </w:tc>
        <w:tc>
          <w:tcPr>
            <w:tcW w:w="949" w:type="dxa"/>
            <w:tcBorders>
              <w:top w:val="single" w:color="auto" w:sz="4" w:space="0"/>
              <w:left w:val="single" w:color="auto" w:sz="4" w:space="0"/>
              <w:bottom w:val="single" w:color="auto" w:sz="4" w:space="0"/>
              <w:right w:val="single" w:color="auto" w:sz="4" w:space="0"/>
            </w:tcBorders>
            <w:noWrap w:val="0"/>
            <w:vAlign w:val="center"/>
          </w:tcPr>
          <w:p w14:paraId="0B9B788C">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备注</w:t>
            </w:r>
          </w:p>
        </w:tc>
      </w:tr>
      <w:tr w14:paraId="075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4804B66">
            <w:pPr>
              <w:spacing w:line="36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14:paraId="3FA56486">
            <w:pPr>
              <w:spacing w:line="360" w:lineRule="auto"/>
              <w:jc w:val="center"/>
              <w:rPr>
                <w:rFonts w:hint="eastAsia" w:ascii="宋体" w:hAnsi="宋体" w:eastAsia="宋体" w:cs="宋体"/>
                <w:color w:val="auto"/>
                <w:kern w:val="21"/>
                <w:szCs w:val="21"/>
                <w:highlight w:val="none"/>
                <w:lang w:eastAsia="zh-CN"/>
              </w:rPr>
            </w:pPr>
            <w:r>
              <w:rPr>
                <w:rFonts w:hint="eastAsia" w:ascii="宋体" w:hAnsi="宋体" w:cs="宋体"/>
                <w:color w:val="auto"/>
                <w:kern w:val="21"/>
                <w:szCs w:val="21"/>
                <w:highlight w:val="none"/>
                <w:lang w:eastAsia="zh-CN"/>
              </w:rPr>
              <w:t>2025年“数据要素×”大赛广西分赛</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04D9C8A6">
            <w:pPr>
              <w:spacing w:line="360" w:lineRule="auto"/>
              <w:jc w:val="center"/>
              <w:rPr>
                <w:rFonts w:ascii="宋体" w:hAnsi="宋体" w:cs="宋体"/>
                <w:color w:val="auto"/>
                <w:kern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E069F3F">
            <w:pPr>
              <w:spacing w:line="360" w:lineRule="auto"/>
              <w:jc w:val="center"/>
              <w:rPr>
                <w:rFonts w:ascii="宋体" w:hAnsi="宋体" w:cs="宋体"/>
                <w:color w:val="auto"/>
                <w:kern w:val="21"/>
                <w:szCs w:val="21"/>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DEFF2BE">
            <w:pPr>
              <w:spacing w:line="360" w:lineRule="auto"/>
              <w:jc w:val="left"/>
              <w:rPr>
                <w:rFonts w:ascii="宋体" w:hAnsi="宋体" w:cs="宋体"/>
                <w:color w:val="auto"/>
                <w:kern w:val="21"/>
                <w:szCs w:val="21"/>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115F8B0">
            <w:pPr>
              <w:spacing w:line="360" w:lineRule="auto"/>
              <w:jc w:val="left"/>
              <w:rPr>
                <w:rFonts w:ascii="宋体" w:hAnsi="宋体" w:cs="宋体"/>
                <w:color w:val="auto"/>
                <w:kern w:val="21"/>
                <w:szCs w:val="21"/>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center"/>
          </w:tcPr>
          <w:p w14:paraId="338CEB70">
            <w:pPr>
              <w:spacing w:line="360" w:lineRule="auto"/>
              <w:jc w:val="center"/>
              <w:rPr>
                <w:rFonts w:ascii="宋体" w:hAnsi="宋体" w:cs="宋体"/>
                <w:color w:val="auto"/>
                <w:kern w:val="21"/>
                <w:szCs w:val="21"/>
                <w:highlight w:val="none"/>
              </w:rPr>
            </w:pPr>
          </w:p>
        </w:tc>
      </w:tr>
      <w:tr w14:paraId="1FAD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73A768C6">
            <w:pPr>
              <w:spacing w:line="360" w:lineRule="auto"/>
              <w:rPr>
                <w:rFonts w:ascii="宋体" w:hAnsi="宋体" w:cs="宋体"/>
                <w:color w:val="auto"/>
                <w:kern w:val="21"/>
                <w:szCs w:val="21"/>
                <w:highlight w:val="none"/>
              </w:rPr>
            </w:pPr>
            <w:r>
              <w:rPr>
                <w:rFonts w:hint="eastAsia" w:ascii="宋体" w:hAnsi="宋体" w:cs="宋体"/>
                <w:color w:val="auto"/>
                <w:kern w:val="21"/>
                <w:szCs w:val="21"/>
                <w:highlight w:val="none"/>
              </w:rPr>
              <w:t xml:space="preserve">报价合计（包含税费等所有费用）：（大写）人民币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元）</w:t>
            </w:r>
          </w:p>
        </w:tc>
      </w:tr>
    </w:tbl>
    <w:p w14:paraId="533BC4BE">
      <w:pPr>
        <w:snapToGrid w:val="0"/>
        <w:spacing w:before="50" w:after="50" w:line="360" w:lineRule="auto"/>
        <w:rPr>
          <w:rFonts w:ascii="宋体" w:hAnsi="宋体" w:cs="宋体"/>
          <w:color w:val="auto"/>
          <w:kern w:val="21"/>
          <w:sz w:val="24"/>
          <w:highlight w:val="none"/>
          <w:u w:val="single"/>
        </w:rPr>
      </w:pPr>
      <w:r>
        <w:rPr>
          <w:rFonts w:hint="eastAsia" w:ascii="宋体" w:hAnsi="宋体" w:cs="宋体"/>
          <w:color w:val="auto"/>
          <w:kern w:val="21"/>
          <w:sz w:val="24"/>
          <w:highlight w:val="none"/>
        </w:rPr>
        <w:t xml:space="preserve">                 </w:t>
      </w:r>
    </w:p>
    <w:p w14:paraId="0728BDDC">
      <w:pPr>
        <w:snapToGrid w:val="0"/>
        <w:spacing w:before="50" w:after="50" w:line="560" w:lineRule="exact"/>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 xml:space="preserve">注： </w:t>
      </w:r>
    </w:p>
    <w:p w14:paraId="7D1673CB">
      <w:pPr>
        <w:snapToGrid w:val="0"/>
        <w:spacing w:before="50" w:after="50" w:line="560" w:lineRule="exact"/>
        <w:ind w:firstLine="480" w:firstLineChars="200"/>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1、供应商需按本表格式填写，不得自行更改，也不得留空。</w:t>
      </w:r>
    </w:p>
    <w:p w14:paraId="5250DF43">
      <w:pPr>
        <w:snapToGrid w:val="0"/>
        <w:spacing w:before="50" w:after="50" w:line="560" w:lineRule="exact"/>
        <w:ind w:firstLine="480" w:firstLineChars="200"/>
        <w:jc w:val="left"/>
        <w:rPr>
          <w:rFonts w:ascii="宋体" w:hAnsi="宋体" w:cs="宋体"/>
          <w:b/>
          <w:color w:val="auto"/>
          <w:kern w:val="21"/>
          <w:sz w:val="24"/>
          <w:highlight w:val="none"/>
          <w:lang w:val="zh-CN"/>
        </w:rPr>
      </w:pPr>
      <w:r>
        <w:rPr>
          <w:rFonts w:hint="eastAsia" w:ascii="宋体" w:hAnsi="宋体" w:cs="宋体"/>
          <w:color w:val="auto"/>
          <w:kern w:val="21"/>
          <w:sz w:val="24"/>
          <w:highlight w:val="none"/>
          <w:lang w:val="zh-CN"/>
        </w:rPr>
        <w:t>2、如为联合体响应的，“供应商名称”处必须列明联合体各方名称，并标注联合体牵头人名称，且盖章处须加盖联合体牵头人公章，</w:t>
      </w:r>
      <w:r>
        <w:rPr>
          <w:rFonts w:hint="eastAsia" w:ascii="宋体" w:hAnsi="宋体" w:cs="宋体"/>
          <w:b/>
          <w:color w:val="auto"/>
          <w:kern w:val="21"/>
          <w:sz w:val="24"/>
          <w:highlight w:val="none"/>
          <w:lang w:val="zh-CN"/>
        </w:rPr>
        <w:t>否则其响应作无效响应处理。</w:t>
      </w:r>
    </w:p>
    <w:p w14:paraId="6D79FA15">
      <w:pPr>
        <w:snapToGrid w:val="0"/>
        <w:spacing w:before="50" w:after="50" w:line="560" w:lineRule="exact"/>
        <w:ind w:firstLine="480" w:firstLineChars="200"/>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3、特别提示：采购机构将对项目名称和项目编号，成交供应商名称、地址和成交金额，主要成交标的的名称、服务范围、服务要求、服务时间、服务标准等予以公示。</w:t>
      </w:r>
    </w:p>
    <w:p w14:paraId="203B4C57">
      <w:pPr>
        <w:snapToGrid w:val="0"/>
        <w:spacing w:line="560" w:lineRule="exact"/>
        <w:ind w:firstLine="480" w:firstLineChars="200"/>
        <w:jc w:val="left"/>
        <w:rPr>
          <w:rFonts w:ascii="宋体" w:hAnsi="宋体" w:cs="宋体"/>
          <w:color w:val="auto"/>
          <w:kern w:val="21"/>
          <w:sz w:val="24"/>
          <w:highlight w:val="none"/>
          <w:lang w:val="zh-CN"/>
        </w:rPr>
      </w:pPr>
      <w:r>
        <w:rPr>
          <w:rFonts w:hint="eastAsia" w:ascii="宋体" w:hAnsi="宋体" w:cs="宋体"/>
          <w:color w:val="auto"/>
          <w:kern w:val="21"/>
          <w:sz w:val="24"/>
          <w:highlight w:val="none"/>
          <w:lang w:val="zh-CN"/>
        </w:rPr>
        <w:t>4、供应商须提前做好最后报价的相关准备并在规定的时间内通过“广西政府采购云平台”递交附件（最后报价表）</w:t>
      </w:r>
    </w:p>
    <w:p w14:paraId="34EA303C">
      <w:pPr>
        <w:autoSpaceDE w:val="0"/>
        <w:autoSpaceDN w:val="0"/>
        <w:spacing w:line="360" w:lineRule="auto"/>
        <w:ind w:left="4335" w:leftChars="1950" w:hanging="240" w:hangingChars="100"/>
        <w:rPr>
          <w:rFonts w:ascii="宋体" w:hAnsi="宋体" w:cs="宋体"/>
          <w:color w:val="auto"/>
          <w:kern w:val="21"/>
          <w:sz w:val="24"/>
          <w:highlight w:val="none"/>
        </w:rPr>
      </w:pPr>
    </w:p>
    <w:p w14:paraId="282E83FF">
      <w:pPr>
        <w:autoSpaceDE w:val="0"/>
        <w:autoSpaceDN w:val="0"/>
        <w:spacing w:line="360" w:lineRule="auto"/>
        <w:ind w:left="4335" w:leftChars="1950" w:hanging="240" w:hangingChars="100"/>
        <w:rPr>
          <w:rFonts w:ascii="宋体" w:hAnsi="宋体" w:cs="宋体"/>
          <w:color w:val="auto"/>
          <w:kern w:val="21"/>
          <w:sz w:val="24"/>
          <w:highlight w:val="none"/>
        </w:rPr>
      </w:pPr>
      <w:r>
        <w:rPr>
          <w:rFonts w:hint="eastAsia" w:ascii="宋体" w:hAnsi="宋体" w:cs="宋体"/>
          <w:color w:val="auto"/>
          <w:kern w:val="21"/>
          <w:sz w:val="24"/>
          <w:highlight w:val="none"/>
        </w:rPr>
        <w:t>供应商名称（电子签章）：</w:t>
      </w:r>
    </w:p>
    <w:p w14:paraId="160D63CA">
      <w:pPr>
        <w:pStyle w:val="18"/>
        <w:spacing w:line="500" w:lineRule="exact"/>
        <w:ind w:firstLine="6360" w:firstLineChars="2650"/>
        <w:rPr>
          <w:rFonts w:hAnsi="宋体" w:cs="宋体"/>
          <w:color w:val="auto"/>
          <w:kern w:val="21"/>
          <w:sz w:val="24"/>
          <w:highlight w:val="none"/>
        </w:rPr>
      </w:pPr>
      <w:r>
        <w:rPr>
          <w:rFonts w:hint="eastAsia" w:hAnsi="宋体" w:cs="宋体"/>
          <w:color w:val="auto"/>
          <w:kern w:val="21"/>
          <w:sz w:val="24"/>
          <w:highlight w:val="none"/>
          <w:lang w:val="zh-CN"/>
        </w:rPr>
        <w:t>日期</w:t>
      </w:r>
      <w:r>
        <w:rPr>
          <w:rFonts w:hint="eastAsia" w:hAnsi="宋体" w:cs="宋体"/>
          <w:color w:val="auto"/>
          <w:kern w:val="21"/>
          <w:sz w:val="24"/>
          <w:highlight w:val="none"/>
        </w:rPr>
        <w:t xml:space="preserve">：  </w:t>
      </w:r>
      <w:r>
        <w:rPr>
          <w:rFonts w:hint="eastAsia" w:hAnsi="宋体" w:cs="宋体"/>
          <w:color w:val="auto"/>
          <w:kern w:val="21"/>
          <w:sz w:val="24"/>
          <w:highlight w:val="none"/>
          <w:lang w:val="zh-CN"/>
        </w:rPr>
        <w:t>年</w:t>
      </w:r>
      <w:r>
        <w:rPr>
          <w:rFonts w:hint="eastAsia" w:hAnsi="宋体" w:cs="宋体"/>
          <w:color w:val="auto"/>
          <w:kern w:val="21"/>
          <w:sz w:val="24"/>
          <w:highlight w:val="none"/>
        </w:rPr>
        <w:t xml:space="preserve">  </w:t>
      </w:r>
      <w:r>
        <w:rPr>
          <w:rFonts w:hint="eastAsia" w:hAnsi="宋体" w:cs="宋体"/>
          <w:color w:val="auto"/>
          <w:kern w:val="21"/>
          <w:sz w:val="24"/>
          <w:highlight w:val="none"/>
          <w:lang w:val="zh-CN"/>
        </w:rPr>
        <w:t>月</w:t>
      </w:r>
      <w:r>
        <w:rPr>
          <w:rFonts w:hint="eastAsia" w:hAnsi="宋体" w:cs="宋体"/>
          <w:color w:val="auto"/>
          <w:kern w:val="21"/>
          <w:sz w:val="24"/>
          <w:highlight w:val="none"/>
        </w:rPr>
        <w:t xml:space="preserve">   </w:t>
      </w:r>
      <w:r>
        <w:rPr>
          <w:rFonts w:hint="eastAsia" w:hAnsi="宋体" w:cs="宋体"/>
          <w:color w:val="auto"/>
          <w:kern w:val="21"/>
          <w:sz w:val="24"/>
          <w:highlight w:val="none"/>
          <w:lang w:val="zh-CN"/>
        </w:rPr>
        <w:t>日</w:t>
      </w:r>
    </w:p>
    <w:p w14:paraId="020621E6">
      <w:pPr>
        <w:keepNext/>
        <w:keepLines/>
        <w:adjustRightInd w:val="0"/>
        <w:snapToGrid w:val="0"/>
        <w:rPr>
          <w:rFonts w:ascii="宋体" w:hAnsi="宋体" w:cs="宋体"/>
          <w:color w:val="auto"/>
          <w:kern w:val="21"/>
          <w:highlight w:val="none"/>
        </w:rPr>
      </w:pPr>
      <w:r>
        <w:rPr>
          <w:rFonts w:hint="eastAsia" w:ascii="宋体" w:hAnsi="宋体" w:cs="宋体"/>
          <w:color w:val="auto"/>
          <w:kern w:val="21"/>
          <w:highlight w:val="none"/>
        </w:rPr>
        <w:br w:type="page"/>
      </w:r>
    </w:p>
    <w:p w14:paraId="336A4810">
      <w:pPr>
        <w:spacing w:line="520" w:lineRule="exact"/>
        <w:jc w:val="center"/>
        <w:rPr>
          <w:rFonts w:ascii="宋体" w:hAnsi="宋体" w:cs="宋体"/>
          <w:color w:val="auto"/>
          <w:kern w:val="21"/>
          <w:sz w:val="24"/>
          <w:highlight w:val="none"/>
        </w:rPr>
      </w:pPr>
    </w:p>
    <w:p w14:paraId="790BDF81">
      <w:pPr>
        <w:spacing w:line="520" w:lineRule="exact"/>
        <w:jc w:val="center"/>
        <w:rPr>
          <w:rFonts w:ascii="宋体" w:hAnsi="宋体" w:cs="宋体"/>
          <w:color w:val="auto"/>
          <w:kern w:val="21"/>
          <w:sz w:val="24"/>
          <w:highlight w:val="none"/>
        </w:rPr>
      </w:pPr>
    </w:p>
    <w:p w14:paraId="6F0B20F6">
      <w:pPr>
        <w:spacing w:line="520" w:lineRule="exact"/>
        <w:jc w:val="center"/>
        <w:rPr>
          <w:rFonts w:ascii="宋体" w:hAnsi="宋体" w:cs="宋体"/>
          <w:color w:val="auto"/>
          <w:kern w:val="21"/>
          <w:sz w:val="24"/>
          <w:highlight w:val="none"/>
        </w:rPr>
      </w:pPr>
    </w:p>
    <w:p w14:paraId="4393A1F0">
      <w:pPr>
        <w:spacing w:line="520" w:lineRule="exact"/>
        <w:jc w:val="center"/>
        <w:rPr>
          <w:rFonts w:ascii="宋体" w:hAnsi="宋体" w:cs="宋体"/>
          <w:color w:val="auto"/>
          <w:kern w:val="21"/>
          <w:sz w:val="24"/>
          <w:highlight w:val="none"/>
        </w:rPr>
      </w:pPr>
    </w:p>
    <w:p w14:paraId="12023DA1">
      <w:pPr>
        <w:spacing w:line="520" w:lineRule="exact"/>
        <w:jc w:val="center"/>
        <w:rPr>
          <w:rFonts w:ascii="宋体" w:hAnsi="宋体" w:cs="宋体"/>
          <w:color w:val="auto"/>
          <w:kern w:val="21"/>
          <w:sz w:val="24"/>
          <w:highlight w:val="none"/>
        </w:rPr>
      </w:pPr>
    </w:p>
    <w:p w14:paraId="4310025A">
      <w:pPr>
        <w:spacing w:line="520" w:lineRule="exact"/>
        <w:jc w:val="center"/>
        <w:rPr>
          <w:rFonts w:ascii="宋体" w:hAnsi="宋体" w:cs="宋体"/>
          <w:color w:val="auto"/>
          <w:kern w:val="21"/>
          <w:sz w:val="24"/>
          <w:highlight w:val="none"/>
        </w:rPr>
      </w:pPr>
    </w:p>
    <w:p w14:paraId="64314BF9">
      <w:pPr>
        <w:spacing w:line="520" w:lineRule="exact"/>
        <w:jc w:val="center"/>
        <w:rPr>
          <w:rFonts w:ascii="宋体" w:hAnsi="宋体" w:cs="宋体"/>
          <w:color w:val="auto"/>
          <w:kern w:val="21"/>
          <w:sz w:val="24"/>
          <w:highlight w:val="none"/>
        </w:rPr>
      </w:pPr>
    </w:p>
    <w:p w14:paraId="42095B2B">
      <w:pPr>
        <w:spacing w:line="520" w:lineRule="exact"/>
        <w:jc w:val="center"/>
        <w:rPr>
          <w:rFonts w:ascii="宋体" w:hAnsi="宋体" w:cs="宋体"/>
          <w:color w:val="auto"/>
          <w:kern w:val="21"/>
          <w:sz w:val="24"/>
          <w:highlight w:val="none"/>
        </w:rPr>
      </w:pPr>
    </w:p>
    <w:p w14:paraId="419AF7D4">
      <w:pPr>
        <w:spacing w:line="520" w:lineRule="exact"/>
        <w:jc w:val="center"/>
        <w:rPr>
          <w:rFonts w:ascii="宋体" w:hAnsi="宋体" w:cs="宋体"/>
          <w:color w:val="auto"/>
          <w:kern w:val="21"/>
          <w:sz w:val="24"/>
          <w:highlight w:val="none"/>
        </w:rPr>
      </w:pPr>
    </w:p>
    <w:p w14:paraId="75038301">
      <w:pPr>
        <w:pStyle w:val="3"/>
        <w:jc w:val="center"/>
        <w:rPr>
          <w:rFonts w:hint="eastAsia" w:ascii="宋体" w:hAnsi="宋体" w:cs="宋体"/>
          <w:color w:val="auto"/>
          <w:kern w:val="21"/>
          <w:highlight w:val="none"/>
        </w:rPr>
      </w:pPr>
      <w:bookmarkStart w:id="99" w:name="_Toc11409"/>
      <w:bookmarkStart w:id="100" w:name="_Toc18493"/>
      <w:r>
        <w:rPr>
          <w:rFonts w:hint="eastAsia" w:ascii="宋体" w:hAnsi="宋体" w:cs="宋体"/>
          <w:color w:val="auto"/>
          <w:kern w:val="21"/>
          <w:highlight w:val="none"/>
        </w:rPr>
        <w:t>第六章 合同文本</w:t>
      </w:r>
    </w:p>
    <w:p w14:paraId="3186F245">
      <w:pPr>
        <w:pStyle w:val="3"/>
        <w:jc w:val="left"/>
        <w:rPr>
          <w:rFonts w:ascii="宋体" w:hAnsi="宋体" w:cs="宋体"/>
          <w:b w:val="0"/>
          <w:bCs w:val="0"/>
          <w:color w:val="auto"/>
          <w:kern w:val="21"/>
          <w:highlight w:val="none"/>
        </w:rPr>
      </w:pPr>
      <w:r>
        <w:rPr>
          <w:rFonts w:hint="eastAsia" w:ascii="宋体" w:hAnsi="宋体" w:cs="宋体"/>
          <w:b w:val="0"/>
          <w:bCs w:val="0"/>
          <w:color w:val="auto"/>
          <w:kern w:val="21"/>
          <w:highlight w:val="none"/>
        </w:rPr>
        <w:br w:type="page"/>
      </w:r>
      <w:bookmarkEnd w:id="99"/>
      <w:r>
        <w:rPr>
          <w:rFonts w:hint="eastAsia" w:ascii="宋体" w:hAnsi="宋体" w:cs="宋体"/>
          <w:color w:val="auto"/>
          <w:kern w:val="21"/>
          <w:sz w:val="24"/>
          <w:highlight w:val="none"/>
        </w:rPr>
        <w:t>“广西政府采购云平台”合同编号：</w:t>
      </w:r>
      <w:bookmarkEnd w:id="100"/>
    </w:p>
    <w:p w14:paraId="34A13572">
      <w:pPr>
        <w:spacing w:line="360" w:lineRule="auto"/>
        <w:jc w:val="center"/>
        <w:rPr>
          <w:rFonts w:ascii="宋体" w:hAnsi="宋体" w:cs="宋体"/>
          <w:b/>
          <w:bCs/>
          <w:color w:val="auto"/>
          <w:kern w:val="21"/>
          <w:sz w:val="52"/>
          <w:highlight w:val="none"/>
        </w:rPr>
      </w:pPr>
      <w:r>
        <w:rPr>
          <w:rFonts w:hint="eastAsia" w:ascii="宋体" w:hAnsi="宋体" w:cs="宋体"/>
          <w:b/>
          <w:bCs/>
          <w:color w:val="auto"/>
          <w:kern w:val="21"/>
          <w:sz w:val="52"/>
          <w:highlight w:val="none"/>
        </w:rPr>
        <w:t>广西壮族自治区政府采购</w:t>
      </w:r>
    </w:p>
    <w:p w14:paraId="30E9CA5F">
      <w:pPr>
        <w:spacing w:line="360" w:lineRule="auto"/>
        <w:ind w:firstLine="420" w:firstLineChars="200"/>
        <w:rPr>
          <w:rFonts w:ascii="宋体" w:hAnsi="宋体" w:cs="宋体"/>
          <w:color w:val="auto"/>
          <w:kern w:val="21"/>
          <w:highlight w:val="none"/>
        </w:rPr>
      </w:pPr>
    </w:p>
    <w:p w14:paraId="43288B6B">
      <w:pPr>
        <w:spacing w:line="360" w:lineRule="auto"/>
        <w:ind w:firstLine="420" w:firstLineChars="200"/>
        <w:rPr>
          <w:rFonts w:ascii="宋体" w:hAnsi="宋体" w:cs="宋体"/>
          <w:color w:val="auto"/>
          <w:kern w:val="21"/>
          <w:highlight w:val="none"/>
        </w:rPr>
      </w:pPr>
      <w:r>
        <w:rPr>
          <w:rFonts w:hint="eastAsia" w:ascii="宋体" w:hAnsi="宋体" w:cs="宋体"/>
          <w:color w:val="auto"/>
          <w:kern w:val="21"/>
          <w:highlight w:val="none"/>
        </w:rPr>
        <w:t xml:space="preserve">                                                 </w:t>
      </w:r>
    </w:p>
    <w:p w14:paraId="518E3C5F">
      <w:pPr>
        <w:spacing w:line="360" w:lineRule="auto"/>
        <w:jc w:val="center"/>
        <w:rPr>
          <w:rFonts w:ascii="宋体" w:hAnsi="宋体" w:cs="宋体"/>
          <w:b/>
          <w:bCs/>
          <w:color w:val="auto"/>
          <w:kern w:val="21"/>
          <w:sz w:val="44"/>
          <w:highlight w:val="none"/>
        </w:rPr>
      </w:pPr>
      <w:r>
        <w:rPr>
          <w:rFonts w:hint="eastAsia" w:ascii="宋体" w:hAnsi="宋体" w:cs="宋体"/>
          <w:b/>
          <w:bCs/>
          <w:color w:val="auto"/>
          <w:kern w:val="21"/>
          <w:sz w:val="44"/>
          <w:highlight w:val="none"/>
          <w:u w:val="single"/>
        </w:rPr>
        <w:t xml:space="preserve">         （项目名称）         </w:t>
      </w:r>
      <w:r>
        <w:rPr>
          <w:rFonts w:hint="eastAsia" w:ascii="宋体" w:hAnsi="宋体" w:cs="宋体"/>
          <w:b/>
          <w:bCs/>
          <w:color w:val="auto"/>
          <w:kern w:val="21"/>
          <w:sz w:val="44"/>
          <w:highlight w:val="none"/>
        </w:rPr>
        <w:t>合同</w:t>
      </w:r>
    </w:p>
    <w:p w14:paraId="4C91CE54">
      <w:pPr>
        <w:spacing w:line="360" w:lineRule="auto"/>
        <w:jc w:val="center"/>
        <w:rPr>
          <w:rFonts w:ascii="宋体" w:hAnsi="宋体" w:cs="宋体"/>
          <w:b/>
          <w:bCs/>
          <w:color w:val="auto"/>
          <w:kern w:val="21"/>
          <w:sz w:val="44"/>
          <w:highlight w:val="none"/>
        </w:rPr>
      </w:pPr>
    </w:p>
    <w:p w14:paraId="128D55B4">
      <w:pPr>
        <w:spacing w:line="360" w:lineRule="auto"/>
        <w:ind w:firstLine="3507" w:firstLineChars="794"/>
        <w:rPr>
          <w:rFonts w:ascii="宋体" w:hAnsi="宋体" w:cs="宋体"/>
          <w:b/>
          <w:bCs/>
          <w:color w:val="auto"/>
          <w:kern w:val="21"/>
          <w:sz w:val="44"/>
          <w:highlight w:val="none"/>
        </w:rPr>
      </w:pPr>
    </w:p>
    <w:p w14:paraId="762B5C5E">
      <w:pPr>
        <w:spacing w:line="360" w:lineRule="auto"/>
        <w:ind w:firstLine="3507" w:firstLineChars="794"/>
        <w:rPr>
          <w:rFonts w:ascii="宋体" w:hAnsi="宋体" w:cs="宋体"/>
          <w:b/>
          <w:bCs/>
          <w:color w:val="auto"/>
          <w:kern w:val="21"/>
          <w:sz w:val="44"/>
          <w:highlight w:val="none"/>
        </w:rPr>
      </w:pPr>
    </w:p>
    <w:p w14:paraId="02EC093D">
      <w:pPr>
        <w:ind w:firstLine="1995" w:firstLineChars="552"/>
        <w:rPr>
          <w:rFonts w:ascii="宋体" w:hAnsi="宋体" w:cs="宋体"/>
          <w:b/>
          <w:color w:val="auto"/>
          <w:kern w:val="21"/>
          <w:sz w:val="36"/>
          <w:szCs w:val="36"/>
          <w:highlight w:val="none"/>
        </w:rPr>
      </w:pPr>
      <w:r>
        <w:rPr>
          <w:rFonts w:hint="eastAsia" w:ascii="宋体" w:hAnsi="宋体" w:cs="宋体"/>
          <w:b/>
          <w:color w:val="auto"/>
          <w:kern w:val="21"/>
          <w:sz w:val="36"/>
          <w:szCs w:val="36"/>
          <w:highlight w:val="none"/>
        </w:rPr>
        <w:t>采购项目编号：</w:t>
      </w:r>
      <w:r>
        <w:rPr>
          <w:rFonts w:hint="eastAsia" w:ascii="宋体" w:hAnsi="宋体" w:cs="宋体"/>
          <w:b/>
          <w:color w:val="auto"/>
          <w:kern w:val="21"/>
          <w:sz w:val="36"/>
          <w:szCs w:val="36"/>
          <w:highlight w:val="none"/>
          <w:u w:val="single"/>
        </w:rPr>
        <w:t xml:space="preserve">                     </w:t>
      </w:r>
    </w:p>
    <w:p w14:paraId="19BDBC6E">
      <w:pPr>
        <w:ind w:firstLine="1995" w:firstLineChars="552"/>
        <w:rPr>
          <w:rFonts w:ascii="宋体" w:hAnsi="宋体" w:cs="宋体"/>
          <w:b/>
          <w:color w:val="auto"/>
          <w:kern w:val="21"/>
          <w:sz w:val="36"/>
          <w:szCs w:val="36"/>
          <w:highlight w:val="none"/>
        </w:rPr>
      </w:pPr>
      <w:r>
        <w:rPr>
          <w:rFonts w:hint="eastAsia" w:ascii="宋体" w:hAnsi="宋体" w:cs="宋体"/>
          <w:b/>
          <w:color w:val="auto"/>
          <w:kern w:val="21"/>
          <w:sz w:val="36"/>
          <w:szCs w:val="36"/>
          <w:highlight w:val="none"/>
        </w:rPr>
        <w:t>采购计划编号：</w:t>
      </w:r>
      <w:r>
        <w:rPr>
          <w:rFonts w:hint="eastAsia" w:ascii="宋体" w:hAnsi="宋体" w:cs="宋体"/>
          <w:b/>
          <w:color w:val="auto"/>
          <w:kern w:val="21"/>
          <w:sz w:val="36"/>
          <w:szCs w:val="36"/>
          <w:highlight w:val="none"/>
          <w:u w:val="single"/>
        </w:rPr>
        <w:t xml:space="preserve">                     </w:t>
      </w:r>
    </w:p>
    <w:p w14:paraId="4B798623">
      <w:pPr>
        <w:ind w:firstLine="1308" w:firstLineChars="545"/>
        <w:rPr>
          <w:rFonts w:ascii="宋体" w:hAnsi="宋体" w:cs="宋体"/>
          <w:color w:val="auto"/>
          <w:kern w:val="21"/>
          <w:sz w:val="24"/>
          <w:highlight w:val="none"/>
        </w:rPr>
      </w:pPr>
    </w:p>
    <w:p w14:paraId="2D9FF1A9">
      <w:pPr>
        <w:ind w:firstLine="1995" w:firstLineChars="552"/>
        <w:rPr>
          <w:rFonts w:ascii="宋体" w:hAnsi="宋体" w:cs="宋体"/>
          <w:b/>
          <w:color w:val="auto"/>
          <w:kern w:val="21"/>
          <w:sz w:val="36"/>
          <w:szCs w:val="36"/>
          <w:highlight w:val="none"/>
          <w:u w:val="single"/>
        </w:rPr>
      </w:pPr>
    </w:p>
    <w:p w14:paraId="30793A9F">
      <w:pPr>
        <w:ind w:firstLine="1995" w:firstLineChars="552"/>
        <w:rPr>
          <w:rFonts w:ascii="宋体" w:hAnsi="宋体" w:cs="宋体"/>
          <w:b/>
          <w:color w:val="auto"/>
          <w:kern w:val="21"/>
          <w:sz w:val="36"/>
          <w:szCs w:val="36"/>
          <w:highlight w:val="none"/>
          <w:u w:val="single"/>
        </w:rPr>
      </w:pPr>
    </w:p>
    <w:p w14:paraId="7654CBF0">
      <w:pPr>
        <w:tabs>
          <w:tab w:val="left" w:pos="7200"/>
        </w:tabs>
        <w:spacing w:line="360" w:lineRule="auto"/>
        <w:ind w:firstLine="1995" w:firstLineChars="552"/>
        <w:rPr>
          <w:rFonts w:ascii="宋体" w:hAnsi="宋体" w:cs="宋体"/>
          <w:b/>
          <w:color w:val="auto"/>
          <w:kern w:val="21"/>
          <w:sz w:val="36"/>
          <w:szCs w:val="36"/>
          <w:highlight w:val="none"/>
          <w:u w:val="single"/>
        </w:rPr>
      </w:pPr>
      <w:r>
        <w:rPr>
          <w:rFonts w:hint="eastAsia" w:ascii="宋体" w:hAnsi="宋体" w:cs="宋体"/>
          <w:b/>
          <w:color w:val="auto"/>
          <w:kern w:val="21"/>
          <w:sz w:val="36"/>
          <w:szCs w:val="36"/>
          <w:highlight w:val="none"/>
        </w:rPr>
        <w:t>采购人：</w:t>
      </w:r>
      <w:r>
        <w:rPr>
          <w:rFonts w:hint="eastAsia" w:ascii="宋体" w:hAnsi="宋体" w:cs="宋体"/>
          <w:b/>
          <w:color w:val="auto"/>
          <w:kern w:val="21"/>
          <w:sz w:val="36"/>
          <w:szCs w:val="36"/>
          <w:highlight w:val="none"/>
          <w:u w:val="single"/>
        </w:rPr>
        <w:t xml:space="preserve">                       </w:t>
      </w:r>
    </w:p>
    <w:p w14:paraId="4A37E91E">
      <w:pPr>
        <w:tabs>
          <w:tab w:val="left" w:pos="7380"/>
        </w:tabs>
        <w:spacing w:line="360" w:lineRule="auto"/>
        <w:ind w:firstLine="1995" w:firstLineChars="552"/>
        <w:rPr>
          <w:rFonts w:ascii="宋体" w:hAnsi="宋体" w:cs="宋体"/>
          <w:b/>
          <w:bCs/>
          <w:color w:val="auto"/>
          <w:kern w:val="21"/>
          <w:sz w:val="44"/>
          <w:highlight w:val="none"/>
        </w:rPr>
      </w:pPr>
      <w:r>
        <w:rPr>
          <w:rFonts w:hint="eastAsia" w:ascii="宋体" w:hAnsi="宋体" w:cs="宋体"/>
          <w:b/>
          <w:color w:val="auto"/>
          <w:kern w:val="21"/>
          <w:sz w:val="36"/>
          <w:szCs w:val="36"/>
          <w:highlight w:val="none"/>
        </w:rPr>
        <w:t>成交供应商：</w:t>
      </w:r>
      <w:r>
        <w:rPr>
          <w:rFonts w:hint="eastAsia" w:ascii="宋体" w:hAnsi="宋体" w:cs="宋体"/>
          <w:b/>
          <w:color w:val="auto"/>
          <w:kern w:val="21"/>
          <w:sz w:val="36"/>
          <w:szCs w:val="36"/>
          <w:highlight w:val="none"/>
          <w:u w:val="single"/>
        </w:rPr>
        <w:t xml:space="preserve">                   </w:t>
      </w:r>
    </w:p>
    <w:p w14:paraId="750845F2">
      <w:pPr>
        <w:tabs>
          <w:tab w:val="left" w:pos="7380"/>
        </w:tabs>
        <w:spacing w:line="360" w:lineRule="auto"/>
        <w:rPr>
          <w:rFonts w:ascii="宋体" w:hAnsi="宋体" w:cs="宋体"/>
          <w:b/>
          <w:bCs/>
          <w:color w:val="auto"/>
          <w:kern w:val="21"/>
          <w:sz w:val="44"/>
          <w:highlight w:val="none"/>
        </w:rPr>
      </w:pPr>
    </w:p>
    <w:p w14:paraId="4508AF18">
      <w:pPr>
        <w:jc w:val="center"/>
        <w:rPr>
          <w:rFonts w:ascii="宋体" w:hAnsi="宋体" w:cs="宋体"/>
          <w:b/>
          <w:color w:val="auto"/>
          <w:kern w:val="21"/>
          <w:sz w:val="36"/>
          <w:szCs w:val="36"/>
          <w:highlight w:val="none"/>
        </w:rPr>
      </w:pPr>
      <w:r>
        <w:rPr>
          <w:rFonts w:hint="eastAsia" w:ascii="宋体" w:hAnsi="宋体" w:cs="宋体"/>
          <w:b/>
          <w:bCs/>
          <w:color w:val="auto"/>
          <w:kern w:val="21"/>
          <w:sz w:val="44"/>
          <w:highlight w:val="none"/>
        </w:rPr>
        <w:br w:type="page"/>
      </w:r>
      <w:r>
        <w:rPr>
          <w:rFonts w:hint="eastAsia" w:ascii="宋体" w:hAnsi="宋体" w:cs="宋体"/>
          <w:b/>
          <w:color w:val="auto"/>
          <w:kern w:val="21"/>
          <w:sz w:val="36"/>
          <w:szCs w:val="36"/>
          <w:highlight w:val="none"/>
          <w:lang w:bidi="ar"/>
        </w:rPr>
        <w:t>目  录</w:t>
      </w:r>
    </w:p>
    <w:p w14:paraId="35870413">
      <w:pPr>
        <w:spacing w:line="360" w:lineRule="auto"/>
        <w:ind w:left="359" w:leftChars="171" w:firstLine="198" w:firstLineChars="71"/>
        <w:rPr>
          <w:rFonts w:ascii="宋体" w:hAnsi="宋体" w:cs="宋体"/>
          <w:color w:val="auto"/>
          <w:kern w:val="21"/>
          <w:sz w:val="28"/>
          <w:szCs w:val="28"/>
          <w:highlight w:val="none"/>
        </w:rPr>
      </w:pPr>
      <w:r>
        <w:rPr>
          <w:rFonts w:hint="eastAsia" w:ascii="宋体" w:hAnsi="宋体" w:cs="宋体"/>
          <w:color w:val="auto"/>
          <w:kern w:val="21"/>
          <w:sz w:val="28"/>
          <w:szCs w:val="28"/>
          <w:highlight w:val="none"/>
          <w:lang w:bidi="ar"/>
        </w:rPr>
        <w:tab/>
      </w:r>
    </w:p>
    <w:p w14:paraId="29DC2775">
      <w:pPr>
        <w:spacing w:line="360" w:lineRule="auto"/>
        <w:rPr>
          <w:rFonts w:ascii="宋体" w:hAnsi="宋体" w:cs="宋体"/>
          <w:b/>
          <w:color w:val="auto"/>
          <w:kern w:val="21"/>
          <w:sz w:val="30"/>
          <w:szCs w:val="30"/>
          <w:highlight w:val="none"/>
        </w:rPr>
      </w:pPr>
      <w:r>
        <w:rPr>
          <w:rFonts w:hint="eastAsia" w:ascii="宋体" w:hAnsi="宋体" w:cs="宋体"/>
          <w:b/>
          <w:color w:val="auto"/>
          <w:kern w:val="21"/>
          <w:sz w:val="30"/>
          <w:szCs w:val="30"/>
          <w:highlight w:val="none"/>
          <w:lang w:bidi="ar"/>
        </w:rPr>
        <w:t xml:space="preserve">一、广西壮族自治区政府采购合同书 </w:t>
      </w:r>
    </w:p>
    <w:p w14:paraId="4ED40D76">
      <w:pPr>
        <w:spacing w:line="360" w:lineRule="auto"/>
        <w:rPr>
          <w:rFonts w:ascii="宋体" w:hAnsi="宋体" w:cs="宋体"/>
          <w:b/>
          <w:color w:val="auto"/>
          <w:kern w:val="21"/>
          <w:sz w:val="30"/>
          <w:szCs w:val="30"/>
          <w:highlight w:val="none"/>
        </w:rPr>
      </w:pPr>
      <w:r>
        <w:rPr>
          <w:rFonts w:hint="eastAsia" w:ascii="宋体" w:hAnsi="宋体" w:cs="宋体"/>
          <w:b/>
          <w:color w:val="auto"/>
          <w:kern w:val="21"/>
          <w:sz w:val="30"/>
          <w:szCs w:val="30"/>
          <w:highlight w:val="none"/>
          <w:lang w:bidi="ar"/>
        </w:rPr>
        <w:t>二、合同附件</w:t>
      </w:r>
    </w:p>
    <w:p w14:paraId="2BA53191">
      <w:pPr>
        <w:pStyle w:val="26"/>
        <w:spacing w:line="360" w:lineRule="auto"/>
        <w:ind w:firstLine="560" w:firstLineChars="200"/>
        <w:rPr>
          <w:color w:val="auto"/>
          <w:kern w:val="21"/>
          <w:sz w:val="28"/>
          <w:szCs w:val="28"/>
          <w:highlight w:val="none"/>
        </w:rPr>
      </w:pPr>
      <w:r>
        <w:rPr>
          <w:rFonts w:hint="eastAsia"/>
          <w:color w:val="auto"/>
          <w:kern w:val="21"/>
          <w:sz w:val="28"/>
          <w:szCs w:val="28"/>
          <w:highlight w:val="none"/>
        </w:rPr>
        <w:t>附件1：成交通知书</w:t>
      </w:r>
    </w:p>
    <w:p w14:paraId="17C631C2">
      <w:pPr>
        <w:pStyle w:val="26"/>
        <w:spacing w:line="360" w:lineRule="auto"/>
        <w:ind w:firstLine="560" w:firstLineChars="200"/>
        <w:rPr>
          <w:color w:val="auto"/>
          <w:kern w:val="21"/>
          <w:sz w:val="28"/>
          <w:szCs w:val="28"/>
          <w:highlight w:val="none"/>
        </w:rPr>
      </w:pPr>
      <w:r>
        <w:rPr>
          <w:rFonts w:hint="eastAsia"/>
          <w:color w:val="auto"/>
          <w:kern w:val="21"/>
          <w:sz w:val="28"/>
          <w:szCs w:val="28"/>
          <w:highlight w:val="none"/>
        </w:rPr>
        <w:t>附件2：项目采购需求</w:t>
      </w:r>
    </w:p>
    <w:p w14:paraId="54A4CB86">
      <w:pPr>
        <w:spacing w:line="360" w:lineRule="auto"/>
        <w:ind w:firstLine="560" w:firstLineChars="200"/>
        <w:rPr>
          <w:rFonts w:ascii="宋体" w:hAnsi="宋体" w:cs="宋体"/>
          <w:color w:val="auto"/>
          <w:kern w:val="21"/>
          <w:sz w:val="28"/>
          <w:szCs w:val="28"/>
          <w:highlight w:val="none"/>
          <w:lang w:bidi="ar"/>
        </w:rPr>
      </w:pPr>
      <w:r>
        <w:rPr>
          <w:rFonts w:hint="eastAsia" w:ascii="宋体" w:hAnsi="宋体" w:cs="宋体"/>
          <w:color w:val="auto"/>
          <w:kern w:val="21"/>
          <w:sz w:val="28"/>
          <w:szCs w:val="28"/>
          <w:highlight w:val="none"/>
          <w:lang w:bidi="ar"/>
        </w:rPr>
        <w:t>附件3：资格声明函</w:t>
      </w:r>
    </w:p>
    <w:p w14:paraId="160C520B">
      <w:pPr>
        <w:spacing w:line="360" w:lineRule="auto"/>
        <w:ind w:firstLine="560" w:firstLineChars="200"/>
        <w:rPr>
          <w:rFonts w:ascii="宋体" w:hAnsi="宋体" w:cs="宋体"/>
          <w:color w:val="auto"/>
          <w:kern w:val="21"/>
          <w:sz w:val="28"/>
          <w:szCs w:val="28"/>
          <w:highlight w:val="none"/>
          <w:lang w:bidi="ar"/>
        </w:rPr>
      </w:pPr>
      <w:r>
        <w:rPr>
          <w:rFonts w:hint="eastAsia" w:ascii="宋体" w:hAnsi="宋体" w:cs="宋体"/>
          <w:color w:val="auto"/>
          <w:kern w:val="21"/>
          <w:sz w:val="28"/>
          <w:szCs w:val="28"/>
          <w:highlight w:val="none"/>
          <w:lang w:bidi="ar"/>
        </w:rPr>
        <w:t>附件4：第一次报价</w:t>
      </w:r>
    </w:p>
    <w:p w14:paraId="01DEEB24">
      <w:pPr>
        <w:spacing w:line="360" w:lineRule="auto"/>
        <w:ind w:firstLine="560" w:firstLineChars="200"/>
        <w:rPr>
          <w:rFonts w:ascii="宋体" w:hAnsi="宋体" w:cs="宋体"/>
          <w:color w:val="auto"/>
          <w:kern w:val="21"/>
          <w:sz w:val="28"/>
          <w:szCs w:val="28"/>
          <w:highlight w:val="none"/>
        </w:rPr>
      </w:pPr>
      <w:r>
        <w:rPr>
          <w:rFonts w:hint="eastAsia" w:ascii="宋体" w:hAnsi="宋体" w:cs="宋体"/>
          <w:color w:val="auto"/>
          <w:kern w:val="21"/>
          <w:sz w:val="28"/>
          <w:szCs w:val="28"/>
          <w:highlight w:val="none"/>
          <w:lang w:bidi="ar"/>
        </w:rPr>
        <w:t>附件5：商务条款偏离表、服务需求偏离表</w:t>
      </w:r>
    </w:p>
    <w:p w14:paraId="104946BE">
      <w:pPr>
        <w:pStyle w:val="26"/>
        <w:spacing w:line="360" w:lineRule="auto"/>
        <w:ind w:firstLine="560" w:firstLineChars="200"/>
        <w:rPr>
          <w:color w:val="auto"/>
          <w:kern w:val="21"/>
          <w:sz w:val="28"/>
          <w:szCs w:val="28"/>
          <w:highlight w:val="none"/>
        </w:rPr>
      </w:pPr>
      <w:r>
        <w:rPr>
          <w:rFonts w:hint="eastAsia"/>
          <w:color w:val="auto"/>
          <w:kern w:val="21"/>
          <w:sz w:val="28"/>
          <w:szCs w:val="28"/>
          <w:highlight w:val="none"/>
        </w:rPr>
        <w:t>附件6：最后报价</w:t>
      </w:r>
    </w:p>
    <w:p w14:paraId="0FC24ADA">
      <w:pPr>
        <w:pStyle w:val="26"/>
        <w:spacing w:line="360" w:lineRule="auto"/>
        <w:ind w:firstLine="560" w:firstLineChars="200"/>
        <w:rPr>
          <w:color w:val="auto"/>
          <w:kern w:val="21"/>
          <w:sz w:val="28"/>
          <w:szCs w:val="28"/>
          <w:highlight w:val="none"/>
        </w:rPr>
      </w:pPr>
      <w:r>
        <w:rPr>
          <w:rFonts w:hint="eastAsia"/>
          <w:color w:val="auto"/>
          <w:kern w:val="21"/>
          <w:sz w:val="28"/>
          <w:szCs w:val="28"/>
          <w:highlight w:val="none"/>
        </w:rPr>
        <w:t>附件7：售后服务承诺</w:t>
      </w:r>
    </w:p>
    <w:p w14:paraId="7252E8CD">
      <w:pPr>
        <w:snapToGrid w:val="0"/>
        <w:spacing w:line="360" w:lineRule="exact"/>
        <w:jc w:val="center"/>
        <w:rPr>
          <w:rFonts w:ascii="宋体" w:hAnsi="宋体" w:cs="宋体"/>
          <w:color w:val="auto"/>
          <w:kern w:val="21"/>
          <w:sz w:val="28"/>
          <w:szCs w:val="28"/>
          <w:highlight w:val="none"/>
        </w:rPr>
      </w:pPr>
      <w:r>
        <w:rPr>
          <w:rFonts w:hint="eastAsia" w:ascii="宋体" w:hAnsi="宋体" w:cs="宋体"/>
          <w:color w:val="auto"/>
          <w:kern w:val="21"/>
          <w:sz w:val="28"/>
          <w:szCs w:val="28"/>
          <w:highlight w:val="none"/>
          <w:lang w:bidi="ar"/>
        </w:rPr>
        <w:t xml:space="preserve"> </w:t>
      </w:r>
    </w:p>
    <w:p w14:paraId="7F348FB4">
      <w:pPr>
        <w:pStyle w:val="18"/>
        <w:spacing w:line="480" w:lineRule="auto"/>
        <w:ind w:right="420"/>
        <w:jc w:val="center"/>
        <w:rPr>
          <w:rFonts w:hAnsi="宋体" w:cs="宋体"/>
          <w:b/>
          <w:bCs/>
          <w:color w:val="auto"/>
          <w:kern w:val="21"/>
          <w:sz w:val="32"/>
          <w:szCs w:val="32"/>
          <w:highlight w:val="none"/>
        </w:rPr>
      </w:pPr>
      <w:r>
        <w:rPr>
          <w:rFonts w:hint="eastAsia" w:hAnsi="宋体" w:cs="宋体"/>
          <w:b/>
          <w:bCs/>
          <w:color w:val="auto"/>
          <w:kern w:val="21"/>
          <w:sz w:val="32"/>
          <w:szCs w:val="32"/>
          <w:highlight w:val="none"/>
        </w:rPr>
        <w:br w:type="page"/>
      </w:r>
      <w:r>
        <w:rPr>
          <w:rFonts w:hint="eastAsia" w:hAnsi="宋体" w:cs="宋体"/>
          <w:b/>
          <w:bCs/>
          <w:color w:val="auto"/>
          <w:kern w:val="21"/>
          <w:sz w:val="32"/>
          <w:szCs w:val="32"/>
          <w:highlight w:val="none"/>
        </w:rPr>
        <w:t>广西壮族自治区政府采购合同（格式）</w:t>
      </w:r>
    </w:p>
    <w:p w14:paraId="0B6FA314">
      <w:pPr>
        <w:snapToGrid w:val="0"/>
        <w:spacing w:line="400" w:lineRule="exact"/>
        <w:ind w:right="480" w:firstLine="5985" w:firstLineChars="2850"/>
        <w:rPr>
          <w:rFonts w:ascii="宋体" w:hAnsi="宋体" w:cs="宋体"/>
          <w:bCs/>
          <w:color w:val="auto"/>
          <w:kern w:val="21"/>
          <w:szCs w:val="21"/>
          <w:highlight w:val="none"/>
          <w:u w:val="single"/>
        </w:rPr>
      </w:pPr>
      <w:r>
        <w:rPr>
          <w:rFonts w:hint="eastAsia" w:ascii="宋体" w:hAnsi="宋体" w:cs="宋体"/>
          <w:bCs/>
          <w:color w:val="auto"/>
          <w:kern w:val="21"/>
          <w:szCs w:val="21"/>
          <w:highlight w:val="none"/>
        </w:rPr>
        <w:t>合同编号：</w:t>
      </w:r>
    </w:p>
    <w:p w14:paraId="77CD09DA">
      <w:pPr>
        <w:snapToGrid w:val="0"/>
        <w:spacing w:line="400" w:lineRule="exact"/>
        <w:rPr>
          <w:rFonts w:ascii="宋体" w:hAnsi="宋体" w:cs="宋体"/>
          <w:color w:val="auto"/>
          <w:kern w:val="21"/>
          <w:szCs w:val="21"/>
          <w:highlight w:val="none"/>
        </w:rPr>
      </w:pPr>
    </w:p>
    <w:p w14:paraId="203C7D01">
      <w:pPr>
        <w:snapToGrid w:val="0"/>
        <w:spacing w:line="400" w:lineRule="exact"/>
        <w:rPr>
          <w:rFonts w:ascii="宋体" w:hAnsi="宋体" w:cs="宋体"/>
          <w:color w:val="auto"/>
          <w:kern w:val="21"/>
          <w:szCs w:val="21"/>
          <w:highlight w:val="none"/>
          <w:u w:val="single"/>
        </w:rPr>
      </w:pPr>
      <w:r>
        <w:rPr>
          <w:rFonts w:hint="eastAsia" w:ascii="宋体" w:hAnsi="宋体" w:cs="宋体"/>
          <w:color w:val="auto"/>
          <w:kern w:val="21"/>
          <w:szCs w:val="21"/>
          <w:highlight w:val="none"/>
        </w:rPr>
        <w:t>采购单位（甲方）</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  采 购 计 划 号</w:t>
      </w:r>
      <w:r>
        <w:rPr>
          <w:rFonts w:hint="eastAsia" w:ascii="宋体" w:hAnsi="宋体" w:cs="宋体"/>
          <w:color w:val="auto"/>
          <w:kern w:val="21"/>
          <w:szCs w:val="21"/>
          <w:highlight w:val="none"/>
          <w:u w:val="single"/>
        </w:rPr>
        <w:t xml:space="preserve">                        </w:t>
      </w:r>
    </w:p>
    <w:p w14:paraId="577BC10F">
      <w:pPr>
        <w:snapToGrid w:val="0"/>
        <w:spacing w:line="400" w:lineRule="exact"/>
        <w:rPr>
          <w:rFonts w:ascii="宋体" w:hAnsi="宋体" w:cs="宋体"/>
          <w:color w:val="auto"/>
          <w:kern w:val="21"/>
          <w:szCs w:val="21"/>
          <w:highlight w:val="none"/>
          <w:u w:val="single"/>
        </w:rPr>
      </w:pPr>
      <w:r>
        <w:rPr>
          <w:rFonts w:hint="eastAsia" w:ascii="宋体" w:hAnsi="宋体" w:cs="宋体"/>
          <w:color w:val="auto"/>
          <w:kern w:val="21"/>
          <w:szCs w:val="21"/>
          <w:highlight w:val="none"/>
        </w:rPr>
        <w:t>供 应 商（乙方）</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  项目名称编号</w:t>
      </w:r>
      <w:r>
        <w:rPr>
          <w:rFonts w:hint="eastAsia" w:ascii="宋体" w:hAnsi="宋体" w:cs="宋体"/>
          <w:color w:val="auto"/>
          <w:kern w:val="21"/>
          <w:szCs w:val="21"/>
          <w:highlight w:val="none"/>
          <w:u w:val="single"/>
        </w:rPr>
        <w:t xml:space="preserve">                          </w:t>
      </w:r>
    </w:p>
    <w:p w14:paraId="0D7944A2">
      <w:pPr>
        <w:snapToGrid w:val="0"/>
        <w:spacing w:line="400" w:lineRule="exact"/>
        <w:rPr>
          <w:rFonts w:ascii="宋体" w:hAnsi="宋体" w:cs="宋体"/>
          <w:color w:val="auto"/>
          <w:kern w:val="21"/>
          <w:szCs w:val="21"/>
          <w:highlight w:val="none"/>
          <w:u w:val="single"/>
        </w:rPr>
      </w:pPr>
      <w:r>
        <w:rPr>
          <w:rFonts w:hint="eastAsia" w:ascii="宋体" w:hAnsi="宋体" w:cs="宋体"/>
          <w:color w:val="auto"/>
          <w:kern w:val="21"/>
          <w:szCs w:val="21"/>
          <w:highlight w:val="none"/>
        </w:rPr>
        <w:t xml:space="preserve">签  订  地  点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  签 订 时 间</w:t>
      </w:r>
      <w:r>
        <w:rPr>
          <w:rFonts w:hint="eastAsia" w:ascii="宋体" w:hAnsi="宋体" w:cs="宋体"/>
          <w:color w:val="auto"/>
          <w:kern w:val="21"/>
          <w:szCs w:val="21"/>
          <w:highlight w:val="none"/>
          <w:u w:val="single"/>
        </w:rPr>
        <w:t xml:space="preserve">                           </w:t>
      </w:r>
    </w:p>
    <w:p w14:paraId="255F92C2">
      <w:pPr>
        <w:spacing w:line="400" w:lineRule="exact"/>
        <w:ind w:firstLine="420" w:firstLineChars="200"/>
        <w:rPr>
          <w:rFonts w:ascii="宋体" w:hAnsi="宋体" w:cs="宋体"/>
          <w:color w:val="auto"/>
          <w:kern w:val="21"/>
          <w:szCs w:val="21"/>
          <w:highlight w:val="none"/>
        </w:rPr>
      </w:pPr>
    </w:p>
    <w:p w14:paraId="68C510C2">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根据《中华人民共和国政府采购法》、《中华人民共和国民法典》等法律、法规规定，按照采购文件规定条款和乙方响应文件及其承诺，甲乙双方签订本合同。</w:t>
      </w:r>
    </w:p>
    <w:p w14:paraId="26E02B1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bookmarkStart w:id="101" w:name="_Toc101775080"/>
      <w:r>
        <w:rPr>
          <w:rFonts w:hint="eastAsia" w:ascii="宋体" w:hAnsi="宋体" w:eastAsia="宋体" w:cs="宋体"/>
          <w:b/>
          <w:color w:val="auto"/>
          <w:kern w:val="21"/>
          <w:szCs w:val="21"/>
          <w:highlight w:val="none"/>
        </w:rPr>
        <w:t>第一条  合同标的</w:t>
      </w:r>
      <w:bookmarkEnd w:id="101"/>
    </w:p>
    <w:p w14:paraId="5782A6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1"/>
          <w:szCs w:val="21"/>
          <w:highlight w:val="none"/>
        </w:rPr>
      </w:pPr>
      <w:r>
        <w:rPr>
          <w:rFonts w:hint="eastAsia" w:ascii="宋体" w:hAnsi="宋体" w:eastAsia="宋体" w:cs="宋体"/>
          <w:bCs/>
          <w:color w:val="auto"/>
          <w:kern w:val="21"/>
          <w:szCs w:val="21"/>
          <w:highlight w:val="none"/>
        </w:rPr>
        <w:t>本合同所涉及的乙方应提供的服务</w:t>
      </w:r>
      <w:r>
        <w:rPr>
          <w:rFonts w:hint="eastAsia" w:ascii="宋体" w:hAnsi="宋体" w:cs="宋体"/>
          <w:bCs/>
          <w:color w:val="auto"/>
          <w:kern w:val="21"/>
          <w:szCs w:val="21"/>
          <w:highlight w:val="none"/>
          <w:lang w:val="en-US" w:eastAsia="zh-CN"/>
        </w:rPr>
        <w:t>和服务成果</w:t>
      </w:r>
      <w:r>
        <w:rPr>
          <w:rFonts w:hint="eastAsia" w:ascii="宋体" w:hAnsi="宋体" w:eastAsia="宋体" w:cs="宋体"/>
          <w:bCs/>
          <w:color w:val="auto"/>
          <w:kern w:val="21"/>
          <w:szCs w:val="21"/>
          <w:highlight w:val="none"/>
        </w:rPr>
        <w:t>内容详见附件2《项目采购需求》中所列内容。</w:t>
      </w:r>
    </w:p>
    <w:p w14:paraId="1DD398D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r>
        <w:rPr>
          <w:rFonts w:hint="eastAsia" w:ascii="宋体" w:hAnsi="宋体" w:eastAsia="宋体" w:cs="宋体"/>
          <w:b/>
          <w:color w:val="auto"/>
          <w:kern w:val="21"/>
          <w:szCs w:val="21"/>
          <w:highlight w:val="none"/>
        </w:rPr>
        <w:t>第二条　合同金额</w:t>
      </w:r>
    </w:p>
    <w:p w14:paraId="1149E9C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kern w:val="21"/>
          <w:szCs w:val="21"/>
          <w:highlight w:val="none"/>
        </w:rPr>
      </w:pPr>
      <w:r>
        <w:rPr>
          <w:rFonts w:hint="eastAsia" w:ascii="宋体" w:hAnsi="宋体" w:eastAsia="宋体" w:cs="宋体"/>
          <w:b/>
          <w:color w:val="auto"/>
          <w:kern w:val="21"/>
          <w:szCs w:val="21"/>
          <w:highlight w:val="none"/>
        </w:rPr>
        <w:t>本项目合同金额（大写）人民币</w:t>
      </w:r>
      <w:r>
        <w:rPr>
          <w:rFonts w:hint="eastAsia" w:ascii="宋体" w:hAnsi="宋体" w:eastAsia="宋体" w:cs="宋体"/>
          <w:color w:val="auto"/>
          <w:kern w:val="21"/>
          <w:szCs w:val="21"/>
          <w:highlight w:val="none"/>
          <w:u w:val="single"/>
        </w:rPr>
        <w:t xml:space="preserve">                    </w:t>
      </w:r>
      <w:r>
        <w:rPr>
          <w:rFonts w:hint="eastAsia" w:ascii="宋体" w:hAnsi="宋体" w:eastAsia="宋体" w:cs="宋体"/>
          <w:b/>
          <w:color w:val="auto"/>
          <w:kern w:val="21"/>
          <w:szCs w:val="21"/>
          <w:highlight w:val="none"/>
        </w:rPr>
        <w:t xml:space="preserve"> (</w:t>
      </w:r>
      <w:r>
        <w:rPr>
          <w:rFonts w:hint="eastAsia" w:ascii="宋体" w:hAnsi="宋体" w:eastAsia="宋体" w:cs="宋体"/>
          <w:color w:val="auto"/>
          <w:kern w:val="21"/>
          <w:szCs w:val="21"/>
          <w:highlight w:val="none"/>
        </w:rPr>
        <w:t>￥</w:t>
      </w:r>
      <w:r>
        <w:rPr>
          <w:rFonts w:hint="eastAsia" w:ascii="宋体" w:hAnsi="宋体" w:eastAsia="宋体" w:cs="宋体"/>
          <w:color w:val="auto"/>
          <w:kern w:val="21"/>
          <w:szCs w:val="21"/>
          <w:highlight w:val="none"/>
          <w:u w:val="single"/>
        </w:rPr>
        <w:t xml:space="preserve">        元 )</w:t>
      </w:r>
      <w:r>
        <w:rPr>
          <w:rFonts w:hint="eastAsia" w:ascii="宋体" w:hAnsi="宋体" w:eastAsia="宋体" w:cs="宋体"/>
          <w:color w:val="auto"/>
          <w:kern w:val="21"/>
          <w:szCs w:val="21"/>
          <w:highlight w:val="none"/>
        </w:rPr>
        <w:t>（详见附件6《最后报价》）。</w:t>
      </w:r>
    </w:p>
    <w:p w14:paraId="38EE41D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bookmarkStart w:id="102" w:name="_Toc101775084"/>
      <w:r>
        <w:rPr>
          <w:rFonts w:hint="eastAsia" w:ascii="宋体" w:hAnsi="宋体" w:eastAsia="宋体" w:cs="宋体"/>
          <w:b/>
          <w:color w:val="auto"/>
          <w:kern w:val="21"/>
          <w:szCs w:val="21"/>
          <w:highlight w:val="none"/>
        </w:rPr>
        <w:t>第三条　</w:t>
      </w:r>
      <w:r>
        <w:rPr>
          <w:rFonts w:hint="eastAsia" w:ascii="宋体" w:hAnsi="宋体" w:cs="宋体"/>
          <w:b/>
          <w:color w:val="auto"/>
          <w:kern w:val="21"/>
          <w:szCs w:val="21"/>
          <w:highlight w:val="none"/>
          <w:lang w:val="en-US" w:eastAsia="zh-CN"/>
        </w:rPr>
        <w:t>服务</w:t>
      </w:r>
      <w:r>
        <w:rPr>
          <w:rFonts w:hint="eastAsia" w:ascii="宋体" w:hAnsi="宋体" w:eastAsia="宋体" w:cs="宋体"/>
          <w:b/>
          <w:color w:val="auto"/>
          <w:kern w:val="21"/>
          <w:szCs w:val="21"/>
          <w:highlight w:val="none"/>
        </w:rPr>
        <w:t>期限</w:t>
      </w:r>
      <w:bookmarkEnd w:id="102"/>
    </w:p>
    <w:p w14:paraId="7D57A7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1"/>
          <w:szCs w:val="21"/>
          <w:highlight w:val="none"/>
        </w:rPr>
      </w:pPr>
      <w:bookmarkStart w:id="103" w:name="_Toc101775085"/>
      <w:r>
        <w:rPr>
          <w:rFonts w:hint="eastAsia" w:ascii="宋体" w:hAnsi="宋体" w:cs="宋体"/>
          <w:bCs/>
          <w:color w:val="auto"/>
          <w:kern w:val="21"/>
          <w:szCs w:val="21"/>
          <w:highlight w:val="none"/>
          <w:lang w:val="en-US" w:eastAsia="zh-CN"/>
        </w:rPr>
        <w:t>1.服务</w:t>
      </w:r>
      <w:r>
        <w:rPr>
          <w:rFonts w:hint="eastAsia" w:ascii="宋体" w:hAnsi="宋体" w:eastAsia="宋体" w:cs="宋体"/>
          <w:bCs/>
          <w:color w:val="auto"/>
          <w:kern w:val="21"/>
          <w:szCs w:val="21"/>
          <w:highlight w:val="none"/>
        </w:rPr>
        <w:t>期限：</w:t>
      </w:r>
      <w:r>
        <w:rPr>
          <w:rFonts w:hint="eastAsia" w:ascii="宋体" w:hAnsi="宋体" w:cs="宋体"/>
          <w:bCs/>
          <w:color w:val="auto"/>
          <w:kern w:val="21"/>
          <w:szCs w:val="21"/>
          <w:highlight w:val="none"/>
          <w:u w:val="single"/>
          <w:lang w:val="en-US" w:eastAsia="zh-CN"/>
        </w:rPr>
        <w:t>乙方应自合同签订之日起6个月内完成全部服务内容、提交全部服务成果</w:t>
      </w:r>
      <w:r>
        <w:rPr>
          <w:rFonts w:hint="eastAsia" w:ascii="宋体" w:hAnsi="宋体" w:eastAsia="宋体" w:cs="宋体"/>
          <w:bCs/>
          <w:color w:val="auto"/>
          <w:kern w:val="21"/>
          <w:szCs w:val="21"/>
          <w:highlight w:val="none"/>
          <w:u w:val="single"/>
        </w:rPr>
        <w:t>。</w:t>
      </w:r>
    </w:p>
    <w:p w14:paraId="72BED8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1"/>
          <w:szCs w:val="21"/>
          <w:highlight w:val="none"/>
        </w:rPr>
      </w:pPr>
      <w:r>
        <w:rPr>
          <w:rFonts w:hint="eastAsia" w:ascii="宋体" w:hAnsi="宋体" w:cs="宋体"/>
          <w:bCs/>
          <w:color w:val="auto"/>
          <w:kern w:val="21"/>
          <w:szCs w:val="21"/>
          <w:highlight w:val="none"/>
          <w:lang w:val="en-US" w:eastAsia="zh-CN"/>
        </w:rPr>
        <w:t>2.</w:t>
      </w:r>
      <w:r>
        <w:rPr>
          <w:rFonts w:hint="eastAsia" w:ascii="宋体" w:hAnsi="宋体" w:eastAsia="宋体" w:cs="宋体"/>
          <w:bCs/>
          <w:color w:val="auto"/>
          <w:kern w:val="21"/>
          <w:szCs w:val="21"/>
          <w:highlight w:val="none"/>
        </w:rPr>
        <w:t>服务的地点：</w:t>
      </w:r>
      <w:bookmarkEnd w:id="103"/>
      <w:r>
        <w:rPr>
          <w:rFonts w:hint="eastAsia" w:ascii="宋体" w:hAnsi="宋体" w:eastAsia="宋体" w:cs="宋体"/>
          <w:bCs/>
          <w:color w:val="auto"/>
          <w:kern w:val="21"/>
          <w:szCs w:val="21"/>
          <w:highlight w:val="none"/>
          <w:u w:val="single"/>
        </w:rPr>
        <w:t>甲方指定地点。</w:t>
      </w:r>
    </w:p>
    <w:p w14:paraId="0E8B36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cs="宋体"/>
          <w:color w:val="auto"/>
          <w:kern w:val="21"/>
          <w:szCs w:val="21"/>
          <w:highlight w:val="none"/>
          <w:lang w:val="en-US" w:eastAsia="zh-CN"/>
        </w:rPr>
        <w:t>3.</w:t>
      </w:r>
      <w:r>
        <w:rPr>
          <w:rFonts w:hint="eastAsia" w:ascii="宋体" w:hAnsi="宋体" w:eastAsia="宋体" w:cs="宋体"/>
          <w:color w:val="auto"/>
          <w:kern w:val="21"/>
          <w:szCs w:val="21"/>
          <w:highlight w:val="none"/>
        </w:rPr>
        <w:t>乙方所提供的服务</w:t>
      </w:r>
      <w:r>
        <w:rPr>
          <w:rFonts w:hint="eastAsia" w:ascii="宋体" w:hAnsi="宋体" w:cs="宋体"/>
          <w:color w:val="auto"/>
          <w:kern w:val="21"/>
          <w:szCs w:val="21"/>
          <w:highlight w:val="none"/>
          <w:lang w:val="en-US" w:eastAsia="zh-CN"/>
        </w:rPr>
        <w:t>及服务成果</w:t>
      </w:r>
      <w:r>
        <w:rPr>
          <w:rFonts w:hint="eastAsia" w:ascii="宋体" w:hAnsi="宋体" w:eastAsia="宋体" w:cs="宋体"/>
          <w:color w:val="auto"/>
          <w:kern w:val="21"/>
          <w:szCs w:val="21"/>
          <w:highlight w:val="none"/>
        </w:rPr>
        <w:t>必须与采购文件和承诺相一致且符合</w:t>
      </w:r>
      <w:r>
        <w:rPr>
          <w:rFonts w:hint="eastAsia" w:ascii="宋体" w:hAnsi="宋体" w:cs="宋体"/>
          <w:color w:val="auto"/>
          <w:kern w:val="21"/>
          <w:szCs w:val="21"/>
          <w:highlight w:val="none"/>
          <w:lang w:val="en-US" w:eastAsia="zh-CN"/>
        </w:rPr>
        <w:t>国家、地方及行业</w:t>
      </w:r>
      <w:r>
        <w:rPr>
          <w:rFonts w:hint="eastAsia" w:ascii="宋体" w:hAnsi="宋体" w:eastAsia="宋体" w:cs="宋体"/>
          <w:color w:val="auto"/>
          <w:kern w:val="21"/>
          <w:szCs w:val="21"/>
          <w:highlight w:val="none"/>
        </w:rPr>
        <w:t>相应的服务规范及标准。</w:t>
      </w:r>
      <w:r>
        <w:rPr>
          <w:rFonts w:hint="eastAsia" w:ascii="宋体" w:hAnsi="宋体" w:eastAsia="宋体" w:cs="宋体"/>
          <w:color w:val="auto"/>
          <w:szCs w:val="21"/>
          <w:highlight w:val="none"/>
        </w:rPr>
        <w:t>有国家强制性标准的，还必须符合国家强制性标准的规定，没有国家强制性标准但有其他强制性标准的，必须符合其他强制性标准的规定</w:t>
      </w:r>
      <w:r>
        <w:rPr>
          <w:rFonts w:hint="eastAsia" w:ascii="宋体" w:hAnsi="宋体" w:eastAsia="宋体" w:cs="宋体"/>
          <w:color w:val="auto"/>
          <w:kern w:val="21"/>
          <w:szCs w:val="21"/>
          <w:highlight w:val="none"/>
        </w:rPr>
        <w:t>。</w:t>
      </w:r>
    </w:p>
    <w:p w14:paraId="2F28A6DB">
      <w:pPr>
        <w:widowControl/>
        <w:spacing w:line="380" w:lineRule="exact"/>
        <w:ind w:firstLine="420" w:firstLineChars="200"/>
        <w:jc w:val="left"/>
        <w:rPr>
          <w:rFonts w:ascii="宋体" w:hAnsi="宋体" w:cs="宋体"/>
          <w:color w:val="auto"/>
          <w:szCs w:val="21"/>
        </w:rPr>
      </w:pPr>
      <w:bookmarkStart w:id="104" w:name="_Toc101775087"/>
      <w:r>
        <w:rPr>
          <w:rFonts w:hint="eastAsia" w:asciiTheme="minorEastAsia" w:hAnsiTheme="minorEastAsia" w:eastAsiaTheme="minorEastAsia" w:cstheme="minorEastAsia"/>
          <w:b w:val="0"/>
          <w:bCs/>
          <w:color w:val="auto"/>
          <w:szCs w:val="21"/>
          <w:lang w:val="en-US" w:eastAsia="zh-CN"/>
        </w:rPr>
        <w:t>4.</w:t>
      </w:r>
      <w:r>
        <w:rPr>
          <w:rFonts w:hint="eastAsia" w:asciiTheme="minorEastAsia" w:hAnsiTheme="minorEastAsia" w:eastAsiaTheme="minorEastAsia" w:cstheme="minorEastAsia"/>
          <w:b w:val="0"/>
          <w:bCs/>
          <w:color w:val="auto"/>
          <w:szCs w:val="21"/>
        </w:rPr>
        <w:t>没</w:t>
      </w:r>
      <w:r>
        <w:rPr>
          <w:rFonts w:hint="eastAsia" w:ascii="宋体" w:hAnsi="宋体" w:cs="宋体"/>
          <w:color w:val="auto"/>
          <w:szCs w:val="21"/>
        </w:rPr>
        <w:t>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乙方的保密义务持续有效，不因为本合同履行终止、解除或者无效而解除。</w:t>
      </w:r>
    </w:p>
    <w:p w14:paraId="7C958A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kern w:val="21"/>
          <w:szCs w:val="21"/>
          <w:highlight w:val="none"/>
        </w:rPr>
      </w:pPr>
      <w:r>
        <w:rPr>
          <w:rFonts w:hint="eastAsia" w:ascii="宋体" w:hAnsi="宋体" w:cs="宋体"/>
          <w:color w:val="auto"/>
          <w:szCs w:val="21"/>
          <w:lang w:val="en-US" w:eastAsia="zh-CN"/>
        </w:rPr>
        <w:t>5.</w:t>
      </w:r>
      <w:r>
        <w:rPr>
          <w:rFonts w:hint="eastAsia" w:ascii="宋体" w:hAnsi="宋体" w:cs="仿宋_GB2312"/>
          <w:color w:val="auto"/>
          <w:szCs w:val="21"/>
          <w:lang w:bidi="ar"/>
        </w:rPr>
        <w:t>甲方拥有乙方交付的本项目服务成果之全部有形和无形知识产权和随附权益及其衍生权利。</w:t>
      </w:r>
      <w:r>
        <w:rPr>
          <w:rFonts w:hint="eastAsia" w:ascii="宋体" w:hAnsi="宋体" w:eastAsia="宋体" w:cs="宋体"/>
          <w:b/>
          <w:color w:val="auto"/>
          <w:kern w:val="21"/>
          <w:szCs w:val="21"/>
          <w:highlight w:val="none"/>
        </w:rPr>
        <w:t>第四条　售后服务、质保期</w:t>
      </w:r>
      <w:bookmarkEnd w:id="104"/>
    </w:p>
    <w:p w14:paraId="59677F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1</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乙方应按照国家有关法律法规和“三包”规定以及采购文件、响应文件和本合同所附的《服务承诺》，为甲方提供售后服务。</w:t>
      </w:r>
    </w:p>
    <w:p w14:paraId="48A70A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u w:val="single"/>
        </w:rPr>
      </w:pPr>
      <w:r>
        <w:rPr>
          <w:rFonts w:hint="eastAsia" w:ascii="宋体" w:hAnsi="宋体" w:eastAsia="宋体" w:cs="宋体"/>
          <w:color w:val="auto"/>
          <w:kern w:val="21"/>
          <w:szCs w:val="21"/>
          <w:highlight w:val="none"/>
        </w:rPr>
        <w:t>2</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乙方提供的服务承诺、质保期及其他具体约定事项：见合同附件。</w:t>
      </w:r>
    </w:p>
    <w:p w14:paraId="5215C33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kern w:val="21"/>
          <w:szCs w:val="21"/>
          <w:highlight w:val="none"/>
        </w:rPr>
      </w:pPr>
      <w:bookmarkStart w:id="105" w:name="_Toc101775088"/>
      <w:r>
        <w:rPr>
          <w:rFonts w:hint="eastAsia" w:ascii="宋体" w:hAnsi="宋体" w:eastAsia="宋体" w:cs="宋体"/>
          <w:b/>
          <w:color w:val="auto"/>
          <w:kern w:val="21"/>
          <w:szCs w:val="21"/>
          <w:highlight w:val="none"/>
        </w:rPr>
        <w:t>第五条　付款方式</w:t>
      </w:r>
      <w:bookmarkEnd w:id="105"/>
    </w:p>
    <w:p w14:paraId="76346F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bookmarkStart w:id="106" w:name="_Toc101775090"/>
      <w:r>
        <w:rPr>
          <w:rFonts w:hint="eastAsia" w:ascii="宋体" w:hAnsi="宋体" w:eastAsia="宋体" w:cs="宋体"/>
          <w:color w:val="auto"/>
          <w:kern w:val="21"/>
          <w:szCs w:val="21"/>
          <w:highlight w:val="none"/>
        </w:rPr>
        <w:t>在合同签订之日起10个工作日内</w:t>
      </w:r>
      <w:r>
        <w:rPr>
          <w:rFonts w:hint="eastAsia" w:ascii="宋体" w:hAnsi="宋体" w:eastAsia="宋体" w:cs="宋体"/>
          <w:color w:val="auto"/>
          <w:kern w:val="21"/>
          <w:szCs w:val="21"/>
          <w:highlight w:val="none"/>
          <w:lang w:val="en-US" w:eastAsia="zh-CN"/>
        </w:rPr>
        <w:t>甲方</w:t>
      </w:r>
      <w:r>
        <w:rPr>
          <w:rFonts w:hint="eastAsia" w:ascii="宋体" w:hAnsi="宋体" w:eastAsia="宋体" w:cs="宋体"/>
          <w:color w:val="auto"/>
          <w:kern w:val="21"/>
          <w:szCs w:val="21"/>
          <w:highlight w:val="none"/>
        </w:rPr>
        <w:t>向</w:t>
      </w:r>
      <w:r>
        <w:rPr>
          <w:rFonts w:hint="eastAsia" w:ascii="宋体" w:hAnsi="宋体" w:eastAsia="宋体" w:cs="宋体"/>
          <w:color w:val="auto"/>
          <w:kern w:val="21"/>
          <w:szCs w:val="21"/>
          <w:highlight w:val="none"/>
          <w:lang w:val="en-US" w:eastAsia="zh-CN"/>
        </w:rPr>
        <w:t>乙方</w:t>
      </w:r>
      <w:r>
        <w:rPr>
          <w:rFonts w:hint="eastAsia" w:ascii="宋体" w:hAnsi="宋体" w:eastAsia="宋体" w:cs="宋体"/>
          <w:color w:val="auto"/>
          <w:kern w:val="21"/>
          <w:szCs w:val="21"/>
          <w:highlight w:val="none"/>
        </w:rPr>
        <w:t>支付合同总金额的50%作为预付款；</w:t>
      </w:r>
      <w:r>
        <w:rPr>
          <w:rFonts w:hint="eastAsia" w:ascii="宋体" w:hAnsi="宋体" w:cs="宋体"/>
          <w:color w:val="auto"/>
          <w:kern w:val="21"/>
          <w:szCs w:val="21"/>
          <w:highlight w:val="none"/>
          <w:lang w:val="en-US" w:eastAsia="zh-CN"/>
        </w:rPr>
        <w:t>剩</w:t>
      </w:r>
      <w:r>
        <w:rPr>
          <w:rFonts w:hint="eastAsia" w:ascii="宋体" w:hAnsi="宋体" w:eastAsia="宋体" w:cs="宋体"/>
          <w:color w:val="auto"/>
          <w:kern w:val="21"/>
          <w:szCs w:val="21"/>
          <w:highlight w:val="none"/>
        </w:rPr>
        <w:t>余款项在</w:t>
      </w:r>
      <w:r>
        <w:rPr>
          <w:rFonts w:hint="eastAsia" w:ascii="宋体" w:hAnsi="宋体" w:eastAsia="宋体" w:cs="宋体"/>
          <w:color w:val="auto"/>
          <w:kern w:val="21"/>
          <w:szCs w:val="21"/>
          <w:highlight w:val="none"/>
          <w:lang w:val="en-US" w:eastAsia="zh-CN"/>
        </w:rPr>
        <w:t>乙方</w:t>
      </w:r>
      <w:r>
        <w:rPr>
          <w:rFonts w:hint="eastAsia" w:ascii="宋体" w:hAnsi="宋体" w:eastAsia="宋体" w:cs="宋体"/>
          <w:color w:val="auto"/>
          <w:kern w:val="21"/>
          <w:szCs w:val="21"/>
          <w:highlight w:val="none"/>
        </w:rPr>
        <w:t>完成全部服务内容、提交全部服务成果并经</w:t>
      </w:r>
      <w:r>
        <w:rPr>
          <w:rFonts w:hint="eastAsia" w:ascii="宋体" w:hAnsi="宋体" w:eastAsia="宋体" w:cs="宋体"/>
          <w:color w:val="auto"/>
          <w:kern w:val="21"/>
          <w:szCs w:val="21"/>
          <w:highlight w:val="none"/>
          <w:lang w:val="en-US" w:eastAsia="zh-CN"/>
        </w:rPr>
        <w:t>甲方</w:t>
      </w:r>
      <w:r>
        <w:rPr>
          <w:rFonts w:hint="eastAsia" w:ascii="宋体" w:hAnsi="宋体" w:eastAsia="宋体" w:cs="宋体"/>
          <w:color w:val="auto"/>
          <w:kern w:val="21"/>
          <w:szCs w:val="21"/>
          <w:highlight w:val="none"/>
        </w:rPr>
        <w:t>验收合格后的10个工作日内一次性结清</w:t>
      </w:r>
      <w:r>
        <w:rPr>
          <w:rFonts w:hint="eastAsia" w:ascii="宋体" w:hAnsi="宋体" w:cs="宋体"/>
          <w:color w:val="auto"/>
          <w:kern w:val="21"/>
          <w:szCs w:val="21"/>
          <w:highlight w:val="none"/>
          <w:lang w:eastAsia="zh-CN"/>
        </w:rPr>
        <w:t>。</w:t>
      </w:r>
      <w:r>
        <w:rPr>
          <w:rFonts w:hint="eastAsia" w:ascii="宋体" w:hAnsi="宋体" w:eastAsia="宋体" w:cs="宋体"/>
          <w:color w:val="auto"/>
          <w:kern w:val="21"/>
          <w:szCs w:val="21"/>
          <w:highlight w:val="none"/>
        </w:rPr>
        <w:t>每次付款前</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lang w:val="en-US" w:eastAsia="zh-CN"/>
        </w:rPr>
        <w:t>乙方</w:t>
      </w:r>
      <w:r>
        <w:rPr>
          <w:rFonts w:hint="eastAsia" w:ascii="宋体" w:hAnsi="宋体" w:eastAsia="宋体" w:cs="宋体"/>
          <w:color w:val="auto"/>
          <w:kern w:val="21"/>
          <w:szCs w:val="21"/>
          <w:highlight w:val="none"/>
        </w:rPr>
        <w:t>需</w:t>
      </w:r>
      <w:r>
        <w:rPr>
          <w:rFonts w:hint="eastAsia" w:ascii="宋体" w:hAnsi="宋体" w:cs="宋体"/>
          <w:color w:val="auto"/>
          <w:kern w:val="21"/>
          <w:szCs w:val="21"/>
          <w:highlight w:val="none"/>
          <w:lang w:val="en-US" w:eastAsia="zh-CN"/>
        </w:rPr>
        <w:t>向甲方</w:t>
      </w:r>
      <w:r>
        <w:rPr>
          <w:rFonts w:hint="eastAsia" w:ascii="宋体" w:hAnsi="宋体" w:eastAsia="宋体" w:cs="宋体"/>
          <w:color w:val="auto"/>
          <w:kern w:val="21"/>
          <w:szCs w:val="21"/>
          <w:highlight w:val="none"/>
        </w:rPr>
        <w:t>提供请款函及</w:t>
      </w:r>
      <w:r>
        <w:rPr>
          <w:rFonts w:hint="eastAsia" w:ascii="宋体" w:hAnsi="宋体" w:cs="宋体"/>
          <w:color w:val="auto"/>
          <w:kern w:val="21"/>
          <w:szCs w:val="21"/>
          <w:highlight w:val="none"/>
          <w:lang w:val="en-US" w:eastAsia="zh-CN"/>
        </w:rPr>
        <w:t>等额合法有效</w:t>
      </w:r>
      <w:r>
        <w:rPr>
          <w:rFonts w:hint="eastAsia" w:ascii="宋体" w:hAnsi="宋体" w:eastAsia="宋体" w:cs="宋体"/>
          <w:color w:val="auto"/>
          <w:kern w:val="21"/>
          <w:szCs w:val="21"/>
          <w:highlight w:val="none"/>
        </w:rPr>
        <w:t>发票</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lang w:val="en-US" w:eastAsia="zh-CN"/>
        </w:rPr>
        <w:t>否则甲方有权顺延付款且无需承担任何逾期付款责任</w:t>
      </w:r>
      <w:r>
        <w:rPr>
          <w:rFonts w:hint="eastAsia" w:ascii="宋体" w:hAnsi="宋体" w:eastAsia="宋体" w:cs="宋体"/>
          <w:color w:val="auto"/>
          <w:kern w:val="21"/>
          <w:szCs w:val="21"/>
          <w:highlight w:val="none"/>
        </w:rPr>
        <w:t>。</w:t>
      </w:r>
      <w:r>
        <w:rPr>
          <w:rFonts w:hint="eastAsia" w:ascii="宋体" w:hAnsi="宋体" w:eastAsia="宋体" w:cs="宋体"/>
          <w:color w:val="auto"/>
          <w:kern w:val="21"/>
          <w:szCs w:val="21"/>
          <w:highlight w:val="none"/>
          <w:lang w:val="en-US" w:eastAsia="zh-CN"/>
        </w:rPr>
        <w:t>乙方</w:t>
      </w:r>
      <w:r>
        <w:rPr>
          <w:rFonts w:hint="eastAsia" w:ascii="宋体" w:hAnsi="宋体" w:eastAsia="宋体" w:cs="宋体"/>
          <w:color w:val="auto"/>
          <w:kern w:val="21"/>
          <w:szCs w:val="21"/>
          <w:highlight w:val="none"/>
        </w:rPr>
        <w:t>未在规定时间内</w:t>
      </w:r>
      <w:r>
        <w:rPr>
          <w:rFonts w:hint="eastAsia" w:ascii="宋体" w:hAnsi="宋体" w:cs="宋体"/>
          <w:color w:val="auto"/>
          <w:kern w:val="21"/>
          <w:szCs w:val="21"/>
          <w:highlight w:val="none"/>
          <w:lang w:val="en-US" w:eastAsia="zh-CN"/>
        </w:rPr>
        <w:t>提供任一服务或</w:t>
      </w:r>
      <w:r>
        <w:rPr>
          <w:rFonts w:hint="eastAsia" w:ascii="宋体" w:hAnsi="宋体" w:eastAsia="宋体" w:cs="宋体"/>
          <w:color w:val="auto"/>
          <w:kern w:val="21"/>
          <w:szCs w:val="21"/>
          <w:highlight w:val="none"/>
        </w:rPr>
        <w:t>完成</w:t>
      </w:r>
      <w:r>
        <w:rPr>
          <w:rFonts w:hint="eastAsia" w:ascii="宋体" w:hAnsi="宋体" w:cs="宋体"/>
          <w:color w:val="auto"/>
          <w:kern w:val="21"/>
          <w:szCs w:val="21"/>
          <w:highlight w:val="none"/>
          <w:lang w:val="en-US" w:eastAsia="zh-CN"/>
        </w:rPr>
        <w:t>任一</w:t>
      </w:r>
      <w:r>
        <w:rPr>
          <w:rFonts w:hint="eastAsia" w:ascii="宋体" w:hAnsi="宋体" w:eastAsia="宋体" w:cs="宋体"/>
          <w:color w:val="auto"/>
          <w:kern w:val="21"/>
          <w:szCs w:val="21"/>
          <w:highlight w:val="none"/>
        </w:rPr>
        <w:t>任务，或经抽查发现服务质量不符合</w:t>
      </w:r>
      <w:r>
        <w:rPr>
          <w:rFonts w:hint="eastAsia" w:ascii="宋体" w:hAnsi="宋体" w:cs="宋体"/>
          <w:color w:val="auto"/>
          <w:kern w:val="21"/>
          <w:szCs w:val="21"/>
          <w:highlight w:val="none"/>
          <w:lang w:val="en-US" w:eastAsia="zh-CN"/>
        </w:rPr>
        <w:t>采购文件规定、合同约定或甲方</w:t>
      </w:r>
      <w:r>
        <w:rPr>
          <w:rFonts w:hint="eastAsia" w:ascii="宋体" w:hAnsi="宋体" w:eastAsia="宋体" w:cs="宋体"/>
          <w:color w:val="auto"/>
          <w:kern w:val="21"/>
          <w:szCs w:val="21"/>
          <w:highlight w:val="none"/>
        </w:rPr>
        <w:t>要求的，</w:t>
      </w:r>
      <w:r>
        <w:rPr>
          <w:rFonts w:hint="eastAsia" w:ascii="宋体" w:hAnsi="宋体" w:cs="宋体"/>
          <w:color w:val="auto"/>
          <w:kern w:val="21"/>
          <w:szCs w:val="21"/>
          <w:highlight w:val="none"/>
          <w:lang w:val="en-US" w:eastAsia="zh-CN"/>
        </w:rPr>
        <w:t>甲方有权</w:t>
      </w:r>
      <w:r>
        <w:rPr>
          <w:rFonts w:hint="eastAsia" w:ascii="宋体" w:hAnsi="宋体" w:eastAsia="宋体" w:cs="宋体"/>
          <w:color w:val="auto"/>
          <w:kern w:val="21"/>
          <w:szCs w:val="21"/>
          <w:highlight w:val="none"/>
        </w:rPr>
        <w:t>按照合同约定扣减相应费用。</w:t>
      </w:r>
    </w:p>
    <w:p w14:paraId="27DB053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u w:val="single"/>
        </w:rPr>
      </w:pPr>
      <w:r>
        <w:rPr>
          <w:rFonts w:hint="eastAsia" w:ascii="宋体" w:hAnsi="宋体" w:eastAsia="宋体" w:cs="宋体"/>
          <w:b/>
          <w:color w:val="auto"/>
          <w:kern w:val="21"/>
          <w:szCs w:val="21"/>
          <w:highlight w:val="none"/>
        </w:rPr>
        <w:t>第六条　履约保证金</w:t>
      </w:r>
      <w:bookmarkEnd w:id="106"/>
    </w:p>
    <w:p w14:paraId="0A0D76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bookmarkStart w:id="107" w:name="_Toc101775092"/>
      <w:r>
        <w:rPr>
          <w:rFonts w:hint="eastAsia" w:ascii="宋体" w:hAnsi="宋体" w:eastAsia="宋体" w:cs="宋体"/>
          <w:color w:val="auto"/>
          <w:kern w:val="21"/>
          <w:szCs w:val="21"/>
          <w:highlight w:val="none"/>
        </w:rPr>
        <w:t>不收取。</w:t>
      </w:r>
    </w:p>
    <w:p w14:paraId="04824F9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r>
        <w:rPr>
          <w:rFonts w:hint="eastAsia" w:ascii="宋体" w:hAnsi="宋体" w:eastAsia="宋体" w:cs="宋体"/>
          <w:b/>
          <w:color w:val="auto"/>
          <w:kern w:val="21"/>
          <w:szCs w:val="21"/>
          <w:highlight w:val="none"/>
        </w:rPr>
        <w:t>第七条  税费</w:t>
      </w:r>
    </w:p>
    <w:p w14:paraId="1E674F1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r>
        <w:rPr>
          <w:rFonts w:hint="eastAsia" w:ascii="宋体" w:hAnsi="宋体" w:eastAsia="宋体" w:cs="宋体"/>
          <w:b/>
          <w:color w:val="auto"/>
          <w:kern w:val="21"/>
          <w:szCs w:val="21"/>
          <w:highlight w:val="none"/>
        </w:rPr>
        <w:t>本合同执行中相关的一切税费均由乙方负担。</w:t>
      </w:r>
      <w:bookmarkEnd w:id="107"/>
    </w:p>
    <w:p w14:paraId="47A95EF6">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 w:val="21"/>
          <w:highlight w:val="none"/>
        </w:rPr>
      </w:pPr>
      <w:bookmarkStart w:id="108" w:name="_Toc101775093"/>
      <w:r>
        <w:rPr>
          <w:rFonts w:hint="eastAsia" w:ascii="宋体" w:hAnsi="宋体" w:eastAsia="宋体" w:cs="宋体"/>
          <w:b/>
          <w:color w:val="auto"/>
          <w:kern w:val="21"/>
          <w:sz w:val="21"/>
          <w:highlight w:val="none"/>
        </w:rPr>
        <w:t>第八条  验收</w:t>
      </w:r>
      <w:bookmarkEnd w:id="108"/>
    </w:p>
    <w:p w14:paraId="0C25BDCF">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1</w:t>
      </w:r>
      <w:r>
        <w:rPr>
          <w:rFonts w:hint="eastAsia" w:ascii="宋体" w:hAnsi="宋体" w:eastAsia="宋体" w:cs="宋体"/>
          <w:color w:val="auto"/>
          <w:kern w:val="21"/>
          <w:sz w:val="21"/>
          <w:highlight w:val="none"/>
          <w:lang w:val="en-US" w:eastAsia="zh-CN"/>
        </w:rPr>
        <w:t>.</w:t>
      </w:r>
      <w:r>
        <w:rPr>
          <w:rFonts w:hint="eastAsia"/>
          <w:color w:val="auto"/>
          <w:sz w:val="21"/>
        </w:rPr>
        <w:t>乙方提供不符合采购文件、响应文件和本合同规定的</w:t>
      </w:r>
      <w:r>
        <w:rPr>
          <w:rFonts w:hint="eastAsia"/>
          <w:color w:val="auto"/>
          <w:sz w:val="21"/>
          <w:lang w:val="en-US" w:eastAsia="zh-CN"/>
        </w:rPr>
        <w:t>服务或</w:t>
      </w:r>
      <w:r>
        <w:rPr>
          <w:rFonts w:hint="eastAsia"/>
          <w:color w:val="auto"/>
          <w:sz w:val="21"/>
        </w:rPr>
        <w:t>服务成果，甲方有权拒绝接受。</w:t>
      </w:r>
      <w:r>
        <w:rPr>
          <w:rFonts w:hint="eastAsia" w:ascii="宋体" w:hAnsi="宋体" w:eastAsia="宋体" w:cs="宋体"/>
          <w:color w:val="auto"/>
          <w:kern w:val="21"/>
          <w:sz w:val="21"/>
          <w:highlight w:val="none"/>
        </w:rPr>
        <w:t>甲方对乙方提供的服务或提交的服务成果依据采购文件上的服务及服务成果要求和国家有关质量标准进行现场初步验收，符合采购文件技术要求的，给予签收，初步验收不合格的不予签收。</w:t>
      </w:r>
      <w:r>
        <w:rPr>
          <w:rFonts w:hint="eastAsia" w:ascii="宋体" w:hAnsi="宋体" w:eastAsia="宋体" w:cs="宋体"/>
          <w:bCs/>
          <w:color w:val="auto"/>
          <w:kern w:val="21"/>
          <w:sz w:val="21"/>
          <w:highlight w:val="none"/>
        </w:rPr>
        <w:t>甲方应当在服务期满、乙方完成全部服务并收到乙方提交的全部服务成果后七个工作日内进行验收</w:t>
      </w:r>
      <w:r>
        <w:rPr>
          <w:rFonts w:hint="eastAsia" w:ascii="宋体" w:hAnsi="宋体" w:eastAsia="宋体" w:cs="宋体"/>
          <w:color w:val="auto"/>
          <w:kern w:val="21"/>
          <w:sz w:val="21"/>
          <w:highlight w:val="none"/>
        </w:rPr>
        <w:t>。</w:t>
      </w:r>
      <w:r>
        <w:rPr>
          <w:rFonts w:hint="eastAsia" w:ascii="宋体" w:hAnsi="宋体" w:eastAsia="宋体" w:cs="宋体"/>
          <w:color w:val="auto"/>
          <w:sz w:val="21"/>
          <w:highlight w:val="none"/>
        </w:rPr>
        <w:t>甲方对验收有异议的，在验收后</w:t>
      </w:r>
      <w:r>
        <w:rPr>
          <w:rFonts w:hint="eastAsia" w:ascii="宋体" w:hAnsi="宋体" w:eastAsia="宋体" w:cs="宋体"/>
          <w:color w:val="auto"/>
          <w:sz w:val="21"/>
          <w:highlight w:val="none"/>
          <w:u w:val="single"/>
        </w:rPr>
        <w:t xml:space="preserve"> 五 </w:t>
      </w:r>
      <w:r>
        <w:rPr>
          <w:rFonts w:hint="eastAsia" w:ascii="宋体" w:hAnsi="宋体" w:eastAsia="宋体" w:cs="宋体"/>
          <w:color w:val="auto"/>
          <w:sz w:val="21"/>
          <w:highlight w:val="none"/>
        </w:rPr>
        <w:t>个工作日内以书面形式向乙方提出</w:t>
      </w:r>
      <w:r>
        <w:rPr>
          <w:rFonts w:hint="eastAsia" w:hAnsi="宋体" w:cs="宋体"/>
          <w:color w:val="auto"/>
          <w:sz w:val="21"/>
          <w:highlight w:val="none"/>
          <w:lang w:eastAsia="zh-CN"/>
        </w:rPr>
        <w:t>，</w:t>
      </w:r>
      <w:r>
        <w:rPr>
          <w:rFonts w:hint="eastAsia" w:ascii="宋体" w:hAnsi="宋体" w:eastAsia="宋体" w:cs="宋体"/>
          <w:color w:val="auto"/>
          <w:sz w:val="21"/>
          <w:highlight w:val="none"/>
        </w:rPr>
        <w:t>乙方应自收到甲方书面异议后</w:t>
      </w:r>
      <w:r>
        <w:rPr>
          <w:rFonts w:hint="eastAsia" w:ascii="宋体" w:hAnsi="宋体" w:eastAsia="宋体" w:cs="宋体"/>
          <w:color w:val="auto"/>
          <w:sz w:val="21"/>
          <w:highlight w:val="none"/>
          <w:u w:val="single"/>
        </w:rPr>
        <w:t xml:space="preserve"> 2 </w:t>
      </w:r>
      <w:r>
        <w:rPr>
          <w:rFonts w:hint="eastAsia" w:ascii="宋体" w:hAnsi="宋体" w:eastAsia="宋体" w:cs="宋体"/>
          <w:color w:val="auto"/>
          <w:sz w:val="21"/>
          <w:highlight w:val="none"/>
        </w:rPr>
        <w:t>日内予以解决，否则甲方有权不签署验收单，因此导致逾期</w:t>
      </w:r>
      <w:r>
        <w:rPr>
          <w:rFonts w:hint="eastAsia" w:hAnsi="宋体" w:cs="宋体"/>
          <w:color w:val="auto"/>
          <w:sz w:val="21"/>
          <w:highlight w:val="none"/>
          <w:lang w:val="en-US" w:eastAsia="zh-CN"/>
        </w:rPr>
        <w:t>提供服务或逾期提交服务成果</w:t>
      </w:r>
      <w:r>
        <w:rPr>
          <w:rFonts w:hint="eastAsia" w:ascii="宋体" w:hAnsi="宋体" w:eastAsia="宋体" w:cs="宋体"/>
          <w:color w:val="auto"/>
          <w:sz w:val="21"/>
          <w:highlight w:val="none"/>
        </w:rPr>
        <w:t>的，由乙方按照本合同约定承担逾期</w:t>
      </w:r>
      <w:r>
        <w:rPr>
          <w:rFonts w:hint="eastAsia" w:hAnsi="宋体" w:cs="宋体"/>
          <w:color w:val="auto"/>
          <w:sz w:val="21"/>
          <w:highlight w:val="none"/>
          <w:lang w:val="en-US" w:eastAsia="zh-CN"/>
        </w:rPr>
        <w:t>提供服务或逾期交付服务成果</w:t>
      </w:r>
      <w:r>
        <w:rPr>
          <w:rFonts w:hint="eastAsia" w:ascii="宋体" w:hAnsi="宋体" w:eastAsia="宋体" w:cs="宋体"/>
          <w:color w:val="auto"/>
          <w:sz w:val="21"/>
          <w:highlight w:val="none"/>
        </w:rPr>
        <w:t>的违约责任。</w:t>
      </w:r>
    </w:p>
    <w:p w14:paraId="3DC5C0FB">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2</w:t>
      </w:r>
      <w:r>
        <w:rPr>
          <w:rFonts w:hint="eastAsia" w:ascii="宋体" w:hAnsi="宋体" w:eastAsia="宋体" w:cs="宋体"/>
          <w:color w:val="auto"/>
          <w:kern w:val="21"/>
          <w:sz w:val="21"/>
          <w:highlight w:val="none"/>
          <w:lang w:val="en-US" w:eastAsia="zh-CN"/>
        </w:rPr>
        <w:t>.</w:t>
      </w:r>
      <w:r>
        <w:rPr>
          <w:rFonts w:hint="eastAsia" w:ascii="宋体" w:hAnsi="宋体" w:eastAsia="宋体" w:cs="宋体"/>
          <w:color w:val="auto"/>
          <w:kern w:val="21"/>
          <w:sz w:val="21"/>
          <w:highlight w:val="none"/>
        </w:rPr>
        <w:t>乙方提交服务成果前应对提交的服务成果作出全面检查和对验收文件进行整理，并列出清单，作为甲方验收和使用的技术条件依据，检验的结果应随服务成果交给甲方。</w:t>
      </w:r>
    </w:p>
    <w:p w14:paraId="381B6689">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宋体" w:hAnsi="宋体" w:eastAsia="宋体" w:cs="宋体"/>
          <w:color w:val="auto"/>
          <w:kern w:val="21"/>
          <w:sz w:val="21"/>
          <w:highlight w:val="none"/>
        </w:rPr>
        <w:t>3</w:t>
      </w:r>
      <w:r>
        <w:rPr>
          <w:rFonts w:hint="eastAsia" w:ascii="宋体" w:hAnsi="宋体" w:eastAsia="宋体" w:cs="宋体"/>
          <w:color w:val="auto"/>
          <w:kern w:val="21"/>
          <w:sz w:val="21"/>
          <w:highlight w:val="none"/>
          <w:lang w:val="en-US" w:eastAsia="zh-CN"/>
        </w:rPr>
        <w:t>.</w:t>
      </w:r>
      <w:r>
        <w:rPr>
          <w:rFonts w:hint="eastAsia" w:ascii="宋体" w:hAnsi="宋体" w:eastAsia="宋体" w:cs="宋体"/>
          <w:color w:val="auto"/>
          <w:kern w:val="21"/>
          <w:sz w:val="21"/>
          <w:highlight w:val="none"/>
        </w:rPr>
        <w:t>对技术复杂的服务，甲方应请国家认可的专业检测机构参与验收工作，并由其出具质量检测报告。</w:t>
      </w:r>
    </w:p>
    <w:p w14:paraId="0E6823AE">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w:t>
      </w:r>
      <w:r>
        <w:rPr>
          <w:rFonts w:hint="eastAsia" w:asciiTheme="minorEastAsia" w:hAnsiTheme="minorEastAsia" w:eastAsiaTheme="minorEastAsia" w:cstheme="minorEastAsia"/>
          <w:color w:val="auto"/>
          <w:kern w:val="21"/>
          <w:sz w:val="21"/>
          <w:szCs w:val="21"/>
          <w:highlight w:val="none"/>
          <w:lang w:val="en-US" w:eastAsia="zh-CN"/>
        </w:rPr>
        <w:t>.</w:t>
      </w:r>
      <w:r>
        <w:rPr>
          <w:rFonts w:hint="eastAsia" w:asciiTheme="minorEastAsia" w:hAnsiTheme="minorEastAsia" w:eastAsiaTheme="minorEastAsia" w:cstheme="minorEastAsia"/>
          <w:color w:val="auto"/>
          <w:kern w:val="21"/>
          <w:sz w:val="21"/>
          <w:szCs w:val="21"/>
          <w:highlight w:val="none"/>
        </w:rPr>
        <w:t>验收时乙方必须在现场，验收完毕后做出验收结果报告；验收费用由乙方负责。</w:t>
      </w:r>
    </w:p>
    <w:p w14:paraId="494C227B">
      <w:pPr>
        <w:pStyle w:val="18"/>
        <w:snapToGrid w:val="0"/>
        <w:spacing w:before="120" w:after="120" w:line="380" w:lineRule="exact"/>
        <w:ind w:firstLine="420" w:firstLineChars="200"/>
        <w:rPr>
          <w:rFonts w:hint="eastAsia" w:asciiTheme="minorEastAsia" w:hAnsiTheme="minorEastAsia" w:eastAsiaTheme="minorEastAsia" w:cstheme="minorEastAsia"/>
          <w:color w:val="auto"/>
          <w:sz w:val="21"/>
          <w:szCs w:val="21"/>
        </w:rPr>
      </w:pPr>
      <w:bookmarkStart w:id="109" w:name="_Toc101775094"/>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甲方在初步验收或者最终验收过程中如发现乙方提供的</w:t>
      </w:r>
      <w:r>
        <w:rPr>
          <w:rFonts w:hint="eastAsia" w:asciiTheme="minorEastAsia" w:hAnsiTheme="minorEastAsia" w:eastAsiaTheme="minorEastAsia" w:cstheme="minorEastAsia"/>
          <w:color w:val="auto"/>
          <w:sz w:val="21"/>
          <w:szCs w:val="21"/>
          <w:lang w:val="en-US" w:eastAsia="zh-CN"/>
        </w:rPr>
        <w:t>服务或提交的</w:t>
      </w:r>
      <w:r>
        <w:rPr>
          <w:rFonts w:hint="eastAsia" w:asciiTheme="minorEastAsia" w:hAnsiTheme="minorEastAsia" w:eastAsiaTheme="minorEastAsia" w:cstheme="minorEastAsia"/>
          <w:color w:val="auto"/>
          <w:sz w:val="21"/>
          <w:szCs w:val="21"/>
        </w:rPr>
        <w:t>服务成果不满足采购文件、响应文件</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本合同</w:t>
      </w:r>
      <w:r>
        <w:rPr>
          <w:rFonts w:hint="eastAsia" w:asciiTheme="minorEastAsia" w:hAnsiTheme="minorEastAsia" w:eastAsiaTheme="minorEastAsia" w:cstheme="minorEastAsia"/>
          <w:color w:val="auto"/>
          <w:sz w:val="21"/>
          <w:szCs w:val="21"/>
          <w:lang w:val="en-US" w:eastAsia="zh-CN"/>
        </w:rPr>
        <w:t>约定</w:t>
      </w:r>
      <w:r>
        <w:rPr>
          <w:rFonts w:hint="eastAsia" w:asciiTheme="minorEastAsia" w:hAnsiTheme="minorEastAsia" w:eastAsiaTheme="minorEastAsia" w:cstheme="minorEastAsia"/>
          <w:color w:val="auto"/>
          <w:sz w:val="21"/>
          <w:szCs w:val="21"/>
        </w:rPr>
        <w:t>的，可暂缓向乙方付款，直到乙方及时完善并提交相应的</w:t>
      </w:r>
      <w:r>
        <w:rPr>
          <w:rFonts w:hint="eastAsia" w:asciiTheme="minorEastAsia" w:hAnsiTheme="minorEastAsia" w:eastAsiaTheme="minorEastAsia" w:cstheme="minorEastAsia"/>
          <w:color w:val="auto"/>
          <w:sz w:val="21"/>
          <w:szCs w:val="21"/>
          <w:lang w:val="en-US" w:eastAsia="zh-CN"/>
        </w:rPr>
        <w:t>服务或</w:t>
      </w:r>
      <w:r>
        <w:rPr>
          <w:rFonts w:hint="eastAsia" w:asciiTheme="minorEastAsia" w:hAnsiTheme="minorEastAsia" w:eastAsiaTheme="minorEastAsia" w:cstheme="minorEastAsia"/>
          <w:color w:val="auto"/>
          <w:sz w:val="21"/>
          <w:szCs w:val="21"/>
        </w:rPr>
        <w:t>服务成果且经甲方验收合格后，方可办理付款。</w:t>
      </w:r>
    </w:p>
    <w:p w14:paraId="6D002D67">
      <w:pPr>
        <w:spacing w:line="380" w:lineRule="exact"/>
        <w:ind w:firstLine="48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验收合格并不使甲方丧失因质量问题而向乙方索赔和求偿的权利，同时不解除乙方对于服务或服务成果质量缺陷或瑕疵负有的相应保证责任。</w:t>
      </w:r>
    </w:p>
    <w:p w14:paraId="5C5DD07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r>
        <w:rPr>
          <w:rFonts w:hint="eastAsia" w:ascii="宋体" w:hAnsi="宋体" w:eastAsia="宋体" w:cs="宋体"/>
          <w:b/>
          <w:color w:val="auto"/>
          <w:kern w:val="21"/>
          <w:szCs w:val="21"/>
          <w:highlight w:val="none"/>
        </w:rPr>
        <w:t>第九条　违约责任</w:t>
      </w:r>
      <w:bookmarkEnd w:id="109"/>
    </w:p>
    <w:p w14:paraId="7F422D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1</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 xml:space="preserve">乙方所提供的服务或提交的服务成果质量不合格的，应在甲方要求期限内更换，未在甲方要求期限内更换的按逾期提供服务或逾期提交服务成果处罚；因质量问题甲方不同意接收的或特殊情况甲方同意接收的，乙方应向甲方支付合同总金额 5% 违约金并赔偿甲方因此产生的全部经济损失。                                       </w:t>
      </w:r>
    </w:p>
    <w:p w14:paraId="1EBC15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2</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甲方无故延期接收服务成果、乙方逾期提供服务或逾期提交服务成果的，</w:t>
      </w:r>
      <w:r>
        <w:rPr>
          <w:rFonts w:hint="eastAsia" w:ascii="宋体" w:hAnsi="宋体" w:cs="宋体"/>
          <w:color w:val="auto"/>
          <w:kern w:val="21"/>
          <w:szCs w:val="21"/>
          <w:highlight w:val="none"/>
          <w:lang w:val="en-US" w:eastAsia="zh-CN"/>
        </w:rPr>
        <w:t>自逾期之日起，</w:t>
      </w:r>
      <w:r>
        <w:rPr>
          <w:rFonts w:hint="eastAsia" w:ascii="宋体" w:hAnsi="宋体" w:eastAsia="宋体" w:cs="宋体"/>
          <w:color w:val="auto"/>
          <w:kern w:val="21"/>
          <w:szCs w:val="21"/>
          <w:highlight w:val="none"/>
        </w:rPr>
        <w:t>每天向对方偿付合同总金额3‰违约金，超过</w:t>
      </w:r>
      <w:r>
        <w:rPr>
          <w:rFonts w:hint="eastAsia" w:ascii="宋体" w:hAnsi="宋体" w:eastAsia="宋体" w:cs="宋体"/>
          <w:color w:val="auto"/>
          <w:kern w:val="21"/>
          <w:szCs w:val="21"/>
          <w:highlight w:val="none"/>
          <w:u w:val="single"/>
        </w:rPr>
        <w:t xml:space="preserve"> 10 </w:t>
      </w:r>
      <w:r>
        <w:rPr>
          <w:rFonts w:hint="eastAsia" w:ascii="宋体" w:hAnsi="宋体" w:eastAsia="宋体" w:cs="宋体"/>
          <w:color w:val="auto"/>
          <w:kern w:val="21"/>
          <w:szCs w:val="21"/>
          <w:highlight w:val="none"/>
        </w:rPr>
        <w:t>天对方有权解除合同，违约方承担因此给对方造成的全部经济损失</w:t>
      </w:r>
      <w:bookmarkStart w:id="110" w:name="_Hlk149742774"/>
      <w:r>
        <w:rPr>
          <w:rFonts w:hint="eastAsia" w:ascii="宋体" w:hAnsi="宋体" w:eastAsia="宋体" w:cs="宋体"/>
          <w:color w:val="auto"/>
          <w:kern w:val="21"/>
          <w:szCs w:val="21"/>
          <w:highlight w:val="none"/>
        </w:rPr>
        <w:t>。</w:t>
      </w:r>
      <w:r>
        <w:rPr>
          <w:rFonts w:hint="eastAsia" w:ascii="宋体" w:hAnsi="宋体" w:eastAsia="宋体" w:cs="宋体"/>
          <w:color w:val="auto"/>
          <w:szCs w:val="21"/>
          <w:highlight w:val="none"/>
        </w:rPr>
        <w:t>如甲方因此</w:t>
      </w:r>
      <w:r>
        <w:rPr>
          <w:rFonts w:hint="eastAsia" w:ascii="宋体" w:hAnsi="宋体" w:cs="宋体"/>
          <w:color w:val="auto"/>
          <w:szCs w:val="21"/>
          <w:lang w:val="en-US" w:eastAsia="zh-CN"/>
        </w:rPr>
        <w:t>或因乙方出现的其他违约行为</w:t>
      </w:r>
      <w:r>
        <w:rPr>
          <w:rFonts w:hint="eastAsia" w:ascii="宋体" w:hAnsi="宋体" w:eastAsia="宋体" w:cs="宋体"/>
          <w:color w:val="auto"/>
          <w:szCs w:val="21"/>
          <w:highlight w:val="none"/>
        </w:rPr>
        <w:t>解除合同的，</w:t>
      </w:r>
      <w:bookmarkStart w:id="111" w:name="_Hlk151131545"/>
      <w:r>
        <w:rPr>
          <w:rFonts w:hint="eastAsia" w:ascii="宋体" w:hAnsi="宋体" w:eastAsia="宋体" w:cs="宋体"/>
          <w:color w:val="auto"/>
          <w:szCs w:val="21"/>
          <w:highlight w:val="none"/>
        </w:rPr>
        <w:t>乙方应当自收到甲方解除合同通知之日起</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日内退还甲方已经支付的全部款项，并向甲方一次性支付合同总金额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的违约金</w:t>
      </w:r>
      <w:bookmarkEnd w:id="110"/>
      <w:bookmarkEnd w:id="111"/>
      <w:r>
        <w:rPr>
          <w:rFonts w:hint="eastAsia" w:ascii="宋体" w:hAnsi="宋体" w:eastAsia="宋体" w:cs="宋体"/>
          <w:color w:val="auto"/>
          <w:kern w:val="21"/>
          <w:szCs w:val="21"/>
          <w:highlight w:val="none"/>
        </w:rPr>
        <w:t>；甲方无故逾期支付服务成果款的，</w:t>
      </w:r>
      <w:r>
        <w:rPr>
          <w:rFonts w:hint="eastAsia" w:ascii="宋体" w:hAnsi="宋体" w:cs="宋体"/>
          <w:color w:val="auto"/>
          <w:kern w:val="21"/>
          <w:szCs w:val="21"/>
          <w:highlight w:val="none"/>
          <w:lang w:val="en-US" w:eastAsia="zh-CN"/>
        </w:rPr>
        <w:t>自逾期之日起，</w:t>
      </w:r>
      <w:r>
        <w:rPr>
          <w:rFonts w:hint="eastAsia" w:ascii="宋体" w:hAnsi="宋体" w:eastAsia="宋体" w:cs="宋体"/>
          <w:color w:val="auto"/>
          <w:kern w:val="21"/>
          <w:szCs w:val="21"/>
          <w:highlight w:val="none"/>
        </w:rPr>
        <w:t>每天向乙方偿付逾期应付但尚未支付服务成果款额</w:t>
      </w:r>
      <w:r>
        <w:rPr>
          <w:rFonts w:hint="eastAsia" w:ascii="宋体" w:hAnsi="宋体" w:eastAsia="宋体" w:cs="宋体"/>
          <w:color w:val="auto"/>
          <w:kern w:val="21"/>
          <w:szCs w:val="21"/>
          <w:highlight w:val="none"/>
          <w:u w:val="single"/>
        </w:rPr>
        <w:t xml:space="preserve">3‰ </w:t>
      </w:r>
      <w:r>
        <w:rPr>
          <w:rFonts w:hint="eastAsia" w:ascii="宋体" w:hAnsi="宋体" w:eastAsia="宋体" w:cs="宋体"/>
          <w:color w:val="auto"/>
          <w:kern w:val="21"/>
          <w:szCs w:val="21"/>
          <w:highlight w:val="none"/>
        </w:rPr>
        <w:t>滞纳金，但该滞纳金</w:t>
      </w:r>
      <w:r>
        <w:rPr>
          <w:rFonts w:hint="eastAsia" w:ascii="宋体" w:hAnsi="宋体" w:eastAsia="宋体" w:cs="宋体"/>
          <w:color w:val="auto"/>
          <w:szCs w:val="21"/>
          <w:highlight w:val="none"/>
        </w:rPr>
        <w:t>累计不得超过甲方逾期应付但尚未支付服务成果款额的</w:t>
      </w:r>
      <w:r>
        <w:rPr>
          <w:rFonts w:hint="eastAsia" w:ascii="宋体" w:hAnsi="宋体" w:eastAsia="宋体" w:cs="宋体"/>
          <w:color w:val="auto"/>
          <w:kern w:val="21"/>
          <w:szCs w:val="21"/>
          <w:highlight w:val="none"/>
          <w:u w:val="single"/>
        </w:rPr>
        <w:t xml:space="preserve"> 5% </w:t>
      </w:r>
      <w:r>
        <w:rPr>
          <w:rFonts w:hint="eastAsia" w:ascii="宋体" w:hAnsi="宋体" w:eastAsia="宋体" w:cs="宋体"/>
          <w:color w:val="auto"/>
          <w:kern w:val="21"/>
          <w:szCs w:val="21"/>
          <w:highlight w:val="none"/>
        </w:rPr>
        <w:t>。</w:t>
      </w:r>
    </w:p>
    <w:p w14:paraId="45EC93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3</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highlight w:val="none"/>
        </w:rPr>
        <w:t>乙方</w:t>
      </w:r>
      <w:r>
        <w:rPr>
          <w:rFonts w:hint="eastAsia" w:ascii="宋体" w:hAnsi="宋体" w:cs="宋体"/>
          <w:color w:val="auto"/>
          <w:highlight w:val="none"/>
          <w:lang w:val="en-US" w:eastAsia="zh-CN"/>
        </w:rPr>
        <w:t>或乙方人员</w:t>
      </w:r>
      <w:r>
        <w:rPr>
          <w:rFonts w:hint="eastAsia" w:ascii="宋体" w:hAnsi="宋体" w:eastAsia="宋体" w:cs="宋体"/>
          <w:color w:val="auto"/>
          <w:highlight w:val="none"/>
        </w:rPr>
        <w:t>如出现业务数据、涉密数据泄漏等违反保密义务的行为，甲方有权解除合同，且乙方应按合同总金额的10%向甲方支付违约金，并赔偿甲方因此产生的全部经济损失。</w:t>
      </w:r>
    </w:p>
    <w:p w14:paraId="24F78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4</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乙方未按本合同和响应文件中规定的服务承诺提供售后服务的，乙方应按合同</w:t>
      </w:r>
      <w:r>
        <w:rPr>
          <w:rFonts w:hint="eastAsia" w:ascii="宋体" w:hAnsi="宋体" w:cs="宋体"/>
          <w:color w:val="auto"/>
          <w:kern w:val="21"/>
          <w:szCs w:val="21"/>
          <w:highlight w:val="none"/>
          <w:lang w:val="en-US" w:eastAsia="zh-CN"/>
        </w:rPr>
        <w:t>总</w:t>
      </w:r>
      <w:r>
        <w:rPr>
          <w:rFonts w:hint="eastAsia" w:ascii="宋体" w:hAnsi="宋体" w:eastAsia="宋体" w:cs="宋体"/>
          <w:color w:val="auto"/>
          <w:kern w:val="21"/>
          <w:szCs w:val="21"/>
          <w:highlight w:val="none"/>
        </w:rPr>
        <w:t>金额</w:t>
      </w:r>
      <w:r>
        <w:rPr>
          <w:rFonts w:hint="eastAsia" w:ascii="宋体" w:hAnsi="宋体" w:cs="宋体"/>
          <w:color w:val="auto"/>
          <w:kern w:val="21"/>
          <w:szCs w:val="21"/>
          <w:highlight w:val="none"/>
          <w:lang w:val="en-US" w:eastAsia="zh-CN"/>
        </w:rPr>
        <w:t>的</w:t>
      </w:r>
      <w:r>
        <w:rPr>
          <w:rFonts w:hint="eastAsia" w:ascii="宋体" w:hAnsi="宋体" w:eastAsia="宋体" w:cs="宋体"/>
          <w:color w:val="auto"/>
          <w:kern w:val="21"/>
          <w:szCs w:val="21"/>
          <w:highlight w:val="none"/>
          <w:u w:val="single"/>
        </w:rPr>
        <w:t xml:space="preserve"> 5%</w:t>
      </w:r>
      <w:r>
        <w:rPr>
          <w:rFonts w:hint="eastAsia" w:ascii="宋体" w:hAnsi="宋体" w:eastAsia="宋体" w:cs="宋体"/>
          <w:color w:val="auto"/>
          <w:kern w:val="21"/>
          <w:szCs w:val="21"/>
          <w:highlight w:val="none"/>
        </w:rPr>
        <w:t>向甲方支付违约金。</w:t>
      </w:r>
    </w:p>
    <w:p w14:paraId="127EF9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5</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乙方提供的服务或提交的服务成果在质量保证期内，因乙方和其他质量原因造成的问题，由乙方负责在甲方要求期限内解决</w:t>
      </w:r>
      <w:r>
        <w:rPr>
          <w:rFonts w:hint="eastAsia" w:ascii="宋体" w:hAnsi="宋体" w:cs="宋体"/>
          <w:color w:val="auto"/>
          <w:kern w:val="21"/>
          <w:szCs w:val="21"/>
          <w:highlight w:val="none"/>
          <w:lang w:val="en-US" w:eastAsia="zh-CN"/>
        </w:rPr>
        <w:t>并承担由此产生的全部费用</w:t>
      </w:r>
      <w:r>
        <w:rPr>
          <w:rFonts w:hint="eastAsia" w:ascii="宋体" w:hAnsi="宋体" w:eastAsia="宋体" w:cs="宋体"/>
          <w:color w:val="auto"/>
          <w:kern w:val="21"/>
          <w:szCs w:val="21"/>
          <w:highlight w:val="none"/>
        </w:rPr>
        <w:t>。</w:t>
      </w:r>
    </w:p>
    <w:p w14:paraId="7E73A6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6</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szCs w:val="21"/>
          <w:highlight w:val="none"/>
        </w:rPr>
        <w:t>甲乙双方有其他</w:t>
      </w:r>
      <w:r>
        <w:rPr>
          <w:rFonts w:hint="eastAsia" w:ascii="宋体" w:hAnsi="宋体" w:eastAsia="宋体" w:cs="宋体"/>
          <w:color w:val="auto"/>
          <w:kern w:val="21"/>
          <w:szCs w:val="21"/>
          <w:highlight w:val="none"/>
        </w:rPr>
        <w:t>违约行为（如乙方擅自</w:t>
      </w:r>
      <w:r>
        <w:rPr>
          <w:rFonts w:hint="eastAsia" w:ascii="宋体" w:hAnsi="宋体" w:eastAsia="宋体" w:cs="宋体"/>
          <w:color w:val="auto"/>
          <w:kern w:val="21"/>
          <w:highlight w:val="none"/>
        </w:rPr>
        <w:t>全部或部分转让其应履行的合同义务</w:t>
      </w:r>
      <w:r>
        <w:rPr>
          <w:rFonts w:hint="eastAsia" w:ascii="宋体" w:hAnsi="宋体" w:eastAsia="宋体" w:cs="宋体"/>
          <w:color w:val="auto"/>
          <w:kern w:val="21"/>
          <w:szCs w:val="21"/>
          <w:highlight w:val="none"/>
        </w:rPr>
        <w:t>）的，</w:t>
      </w:r>
      <w:r>
        <w:rPr>
          <w:rFonts w:hint="eastAsia" w:ascii="宋体" w:hAnsi="宋体" w:eastAsia="宋体" w:cs="宋体"/>
          <w:color w:val="auto"/>
          <w:szCs w:val="21"/>
          <w:highlight w:val="none"/>
        </w:rPr>
        <w:t>由违约方</w:t>
      </w:r>
      <w:r>
        <w:rPr>
          <w:rFonts w:hint="eastAsia" w:ascii="宋体" w:hAnsi="宋体" w:eastAsia="宋体" w:cs="宋体"/>
          <w:color w:val="auto"/>
          <w:kern w:val="21"/>
          <w:szCs w:val="21"/>
          <w:highlight w:val="none"/>
        </w:rPr>
        <w:t>按合同总金额的5%</w:t>
      </w:r>
      <w:r>
        <w:rPr>
          <w:rFonts w:hint="eastAsia" w:ascii="宋体" w:hAnsi="宋体" w:eastAsia="宋体" w:cs="宋体"/>
          <w:color w:val="auto"/>
          <w:szCs w:val="21"/>
          <w:highlight w:val="none"/>
        </w:rPr>
        <w:t>向守约方支付</w:t>
      </w:r>
      <w:r>
        <w:rPr>
          <w:rFonts w:hint="eastAsia" w:ascii="宋体" w:hAnsi="宋体" w:eastAsia="宋体" w:cs="宋体"/>
          <w:color w:val="auto"/>
          <w:kern w:val="21"/>
          <w:szCs w:val="21"/>
          <w:highlight w:val="none"/>
        </w:rPr>
        <w:t>违约金</w:t>
      </w:r>
      <w:r>
        <w:rPr>
          <w:rFonts w:hint="eastAsia" w:ascii="宋体" w:hAnsi="宋体" w:eastAsia="宋体" w:cs="宋体"/>
          <w:color w:val="auto"/>
          <w:szCs w:val="21"/>
          <w:highlight w:val="none"/>
        </w:rPr>
        <w:t>并赔偿守约方因此产生的全部经济损失</w:t>
      </w:r>
      <w:r>
        <w:rPr>
          <w:rFonts w:hint="eastAsia" w:ascii="宋体" w:hAnsi="宋体" w:eastAsia="宋体" w:cs="宋体"/>
          <w:color w:val="auto"/>
          <w:kern w:val="21"/>
          <w:szCs w:val="21"/>
          <w:highlight w:val="none"/>
        </w:rPr>
        <w:t>。</w:t>
      </w:r>
    </w:p>
    <w:p w14:paraId="0D9A0041">
      <w:pPr>
        <w:snapToGrid w:val="0"/>
        <w:spacing w:line="380" w:lineRule="exact"/>
        <w:ind w:firstLine="420" w:firstLineChars="200"/>
        <w:rPr>
          <w:rFonts w:ascii="宋体" w:hAnsi="宋体" w:cs="宋体"/>
          <w:color w:val="auto"/>
          <w:szCs w:val="21"/>
        </w:rPr>
      </w:pPr>
      <w:r>
        <w:rPr>
          <w:rFonts w:hint="eastAsia" w:ascii="宋体" w:hAnsi="宋体" w:eastAsia="宋体" w:cs="宋体"/>
          <w:color w:val="auto"/>
          <w:kern w:val="21"/>
          <w:szCs w:val="21"/>
          <w:highlight w:val="none"/>
        </w:rPr>
        <w:t>7</w:t>
      </w:r>
      <w:r>
        <w:rPr>
          <w:rFonts w:hint="eastAsia" w:ascii="宋体" w:hAnsi="宋体" w:eastAsia="宋体" w:cs="宋体"/>
          <w:color w:val="auto"/>
          <w:kern w:val="21"/>
          <w:szCs w:val="21"/>
          <w:highlight w:val="none"/>
          <w:lang w:val="en-US" w:eastAsia="zh-CN"/>
        </w:rPr>
        <w:t>.</w:t>
      </w:r>
      <w:r>
        <w:rPr>
          <w:rFonts w:hint="eastAsia" w:ascii="宋体" w:hAnsi="宋体" w:cs="Helvetica Neue"/>
          <w:color w:val="auto"/>
          <w:szCs w:val="21"/>
          <w:lang w:bidi="ar"/>
        </w:rPr>
        <w:t>如乙方提供的服务或服务成果侵犯了第三方合法权益而引发的任何纠纷或诉讼，均由乙方负责交涉并承担全部责任，同时乙方应当赔偿因此给甲方造成的全部损失（包括但不限于行政罚款、诉讼费、侵权赔偿、律师费、差旅费等）。</w:t>
      </w:r>
    </w:p>
    <w:p w14:paraId="04A2A8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cs="宋体"/>
          <w:color w:val="auto"/>
          <w:kern w:val="21"/>
          <w:szCs w:val="21"/>
          <w:highlight w:val="none"/>
          <w:lang w:val="en-US" w:eastAsia="zh-CN"/>
        </w:rPr>
        <w:t>8.</w:t>
      </w:r>
      <w:r>
        <w:rPr>
          <w:rFonts w:hint="eastAsia" w:ascii="宋体" w:hAnsi="宋体" w:eastAsia="宋体" w:cs="宋体"/>
          <w:color w:val="auto"/>
          <w:kern w:val="21"/>
          <w:szCs w:val="21"/>
          <w:highlight w:val="none"/>
        </w:rPr>
        <w:t>乙方支付的违约金不足以弥补甲方损失的，还应继续承担赔偿责任。</w:t>
      </w:r>
    </w:p>
    <w:p w14:paraId="5A1C22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kern w:val="21"/>
          <w:szCs w:val="21"/>
          <w:highlight w:val="none"/>
          <w:lang w:val="en-US" w:eastAsia="zh-CN"/>
        </w:rPr>
        <w:t>9</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szCs w:val="21"/>
          <w:highlight w:val="none"/>
        </w:rPr>
        <w:t>本合同中约定乙方应承担的赔偿金、违约金等款项，甲方可从应付款项中直接扣除，不足部分甲方有权继续追索。</w:t>
      </w:r>
    </w:p>
    <w:p w14:paraId="370F3BB5">
      <w:pPr>
        <w:snapToGrid w:val="0"/>
        <w:spacing w:line="380" w:lineRule="exact"/>
        <w:ind w:firstLine="420" w:firstLineChars="200"/>
        <w:rPr>
          <w:rFonts w:ascii="宋体" w:hAnsi="宋体"/>
          <w:color w:val="auto"/>
          <w:szCs w:val="21"/>
        </w:rPr>
      </w:pPr>
      <w:r>
        <w:rPr>
          <w:rFonts w:hint="eastAsia" w:ascii="宋体" w:hAnsi="宋体" w:cs="宋体"/>
          <w:color w:val="auto"/>
          <w:szCs w:val="21"/>
          <w:highlight w:val="none"/>
          <w:lang w:val="en-US" w:eastAsia="zh-CN"/>
        </w:rPr>
        <w:t>10.任</w:t>
      </w:r>
      <w:r>
        <w:rPr>
          <w:rFonts w:hint="eastAsia" w:ascii="宋体" w:hAnsi="宋体"/>
          <w:color w:val="auto"/>
          <w:szCs w:val="21"/>
        </w:rPr>
        <w:t>何一方按照本合同约定要求违约方支付违约金的同时，仍有权要求违约方继续履行合同、采取补救措施，并有权按照己方实际损失情况要求违约方赔偿损失；任何一方按照本合同约定要求解除本合同的同时，仍有权要求违约方支付违约金和按照己方实际损失情况要求违约方赔偿损失；且守约方行使的任何权利救济方式均不视为其放弃了其他法定或者约定的权利救济方式。</w:t>
      </w:r>
    </w:p>
    <w:p w14:paraId="307D24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除相应的违约责任外，违约方还应承担守约方为实现债权和担保权利而支付的全部费用（包括但不限于：诉讼费用、财产保全费用、财产保全保险担保费用、调查取证费用、公证费用、律师费用、差旅费用等）。</w:t>
      </w:r>
    </w:p>
    <w:p w14:paraId="3739D84C">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 w:val="21"/>
          <w:highlight w:val="none"/>
        </w:rPr>
      </w:pPr>
      <w:bookmarkStart w:id="112" w:name="_Toc101775095"/>
      <w:r>
        <w:rPr>
          <w:rFonts w:hint="eastAsia" w:ascii="宋体" w:hAnsi="宋体" w:eastAsia="宋体" w:cs="宋体"/>
          <w:b/>
          <w:color w:val="auto"/>
          <w:kern w:val="21"/>
          <w:sz w:val="21"/>
          <w:highlight w:val="none"/>
        </w:rPr>
        <w:t>第十条 不可抗力事件处理</w:t>
      </w:r>
      <w:bookmarkEnd w:id="112"/>
    </w:p>
    <w:p w14:paraId="18E18F19">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1</w:t>
      </w:r>
      <w:r>
        <w:rPr>
          <w:rFonts w:hint="eastAsia" w:ascii="宋体" w:hAnsi="宋体" w:eastAsia="宋体" w:cs="宋体"/>
          <w:color w:val="auto"/>
          <w:kern w:val="21"/>
          <w:sz w:val="21"/>
          <w:highlight w:val="none"/>
          <w:lang w:val="en-US" w:eastAsia="zh-CN"/>
        </w:rPr>
        <w:t>.</w:t>
      </w:r>
      <w:r>
        <w:rPr>
          <w:rFonts w:hint="eastAsia" w:ascii="宋体" w:hAnsi="宋体" w:eastAsia="宋体" w:cs="宋体"/>
          <w:color w:val="auto"/>
          <w:kern w:val="21"/>
          <w:sz w:val="21"/>
          <w:highlight w:val="none"/>
        </w:rPr>
        <w:t>在合同有效期内，任何一方因不可抗力事件导致不能履行合同，则合同履行期可延长，其延长期与不可抗力影响期相同。</w:t>
      </w:r>
    </w:p>
    <w:p w14:paraId="005FA6E8">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2</w:t>
      </w:r>
      <w:r>
        <w:rPr>
          <w:rFonts w:hint="eastAsia" w:ascii="宋体" w:hAnsi="宋体" w:eastAsia="宋体" w:cs="宋体"/>
          <w:color w:val="auto"/>
          <w:kern w:val="21"/>
          <w:sz w:val="21"/>
          <w:highlight w:val="none"/>
          <w:lang w:val="en-US" w:eastAsia="zh-CN"/>
        </w:rPr>
        <w:t>.</w:t>
      </w:r>
      <w:r>
        <w:rPr>
          <w:rFonts w:hint="eastAsia" w:ascii="宋体" w:hAnsi="宋体" w:eastAsia="宋体" w:cs="宋体"/>
          <w:color w:val="auto"/>
          <w:kern w:val="21"/>
          <w:sz w:val="21"/>
          <w:highlight w:val="none"/>
        </w:rPr>
        <w:t>不可抗力事件发生后，应立即书面通知对方，并寄送有关权威机构出具的证明。</w:t>
      </w:r>
    </w:p>
    <w:p w14:paraId="55C9A192">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3</w:t>
      </w:r>
      <w:r>
        <w:rPr>
          <w:rFonts w:hint="eastAsia" w:ascii="宋体" w:hAnsi="宋体" w:eastAsia="宋体" w:cs="宋体"/>
          <w:color w:val="auto"/>
          <w:kern w:val="21"/>
          <w:sz w:val="21"/>
          <w:highlight w:val="none"/>
          <w:lang w:val="en-US" w:eastAsia="zh-CN"/>
        </w:rPr>
        <w:t>.</w:t>
      </w:r>
      <w:r>
        <w:rPr>
          <w:rFonts w:hint="eastAsia" w:ascii="宋体" w:hAnsi="宋体" w:eastAsia="宋体" w:cs="宋体"/>
          <w:color w:val="auto"/>
          <w:kern w:val="21"/>
          <w:sz w:val="21"/>
          <w:highlight w:val="none"/>
        </w:rPr>
        <w:t>不可抗力事件延续一百二十天以上，双方应通过友好协商，确定是否继续履行合同。</w:t>
      </w:r>
      <w:r>
        <w:rPr>
          <w:rFonts w:hint="eastAsia" w:ascii="宋体" w:hAnsi="宋体" w:eastAsia="宋体" w:cs="宋体"/>
          <w:color w:val="auto"/>
          <w:sz w:val="21"/>
          <w:highlight w:val="none"/>
        </w:rPr>
        <w:t>在双方协商一致的基础上决定终止本合同的，有关费用以实际履行部分进行结算。</w:t>
      </w:r>
    </w:p>
    <w:p w14:paraId="1A0770D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kern w:val="21"/>
          <w:szCs w:val="21"/>
          <w:highlight w:val="none"/>
        </w:rPr>
      </w:pPr>
      <w:bookmarkStart w:id="113" w:name="_Toc101775096"/>
      <w:r>
        <w:rPr>
          <w:rFonts w:hint="eastAsia" w:ascii="宋体" w:hAnsi="宋体" w:eastAsia="宋体" w:cs="宋体"/>
          <w:b/>
          <w:color w:val="auto"/>
          <w:kern w:val="21"/>
          <w:szCs w:val="21"/>
          <w:highlight w:val="none"/>
        </w:rPr>
        <w:t>第十一条  合同争议解决</w:t>
      </w:r>
      <w:bookmarkEnd w:id="113"/>
    </w:p>
    <w:p w14:paraId="319362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1</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因服务或服务成果质量问题发生争议的，应由甲乙双方共同邀请国家认可的有资质的质量检测机构对服务或服务成果质量进行鉴定。鉴定结果为服务或服务成果质量符合合同约定标准的，鉴定费由甲方承担；鉴定结果为服务或服务成果质量不符合合同约定标准的，鉴定费由乙方承担。一方对服务或服务成果质量有异议，但另一方不配合进行检测的，对服务或服务成果质量有异议的一方有权自行选择有相应检测资质的检测部门进行质量确认，并按前述约定确定检测费承担主体。</w:t>
      </w:r>
    </w:p>
    <w:p w14:paraId="32EC11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2</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因履行本合同引起的或与本合同有关的争议，甲乙双方应首先通过友好协商解决，如果协商不能解决</w:t>
      </w:r>
      <w:r>
        <w:rPr>
          <w:rFonts w:hint="eastAsia" w:ascii="宋体" w:hAnsi="宋体" w:eastAsia="宋体" w:cs="宋体"/>
          <w:color w:val="auto"/>
          <w:kern w:val="21"/>
          <w:highlight w:val="none"/>
        </w:rPr>
        <w:t>，应向甲方所在地有管辖权的人民法院提起诉讼</w:t>
      </w:r>
      <w:r>
        <w:rPr>
          <w:rFonts w:hint="eastAsia" w:ascii="宋体" w:hAnsi="宋体" w:eastAsia="宋体" w:cs="宋体"/>
          <w:color w:val="auto"/>
          <w:kern w:val="21"/>
          <w:szCs w:val="21"/>
          <w:highlight w:val="none"/>
        </w:rPr>
        <w:t>。</w:t>
      </w:r>
    </w:p>
    <w:p w14:paraId="5D00F8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3</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诉讼期间，除争议条款外，本合同继续履行。</w:t>
      </w:r>
    </w:p>
    <w:p w14:paraId="58307609">
      <w:pPr>
        <w:pStyle w:val="1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 w:val="21"/>
          <w:highlight w:val="none"/>
        </w:rPr>
      </w:pPr>
      <w:bookmarkStart w:id="114" w:name="_Toc101775097"/>
      <w:r>
        <w:rPr>
          <w:rFonts w:hint="eastAsia" w:ascii="宋体" w:hAnsi="宋体" w:eastAsia="宋体" w:cs="宋体"/>
          <w:b/>
          <w:color w:val="auto"/>
          <w:kern w:val="21"/>
          <w:sz w:val="21"/>
          <w:highlight w:val="none"/>
        </w:rPr>
        <w:t>第十二条</w:t>
      </w:r>
      <w:bookmarkEnd w:id="114"/>
      <w:bookmarkStart w:id="115" w:name="_Toc101775098"/>
      <w:r>
        <w:rPr>
          <w:rFonts w:hint="eastAsia" w:ascii="宋体" w:hAnsi="宋体" w:eastAsia="宋体" w:cs="宋体"/>
          <w:b/>
          <w:color w:val="auto"/>
          <w:kern w:val="21"/>
          <w:sz w:val="21"/>
          <w:highlight w:val="none"/>
        </w:rPr>
        <w:t xml:space="preserve">  合同生效及其他</w:t>
      </w:r>
      <w:bookmarkEnd w:id="115"/>
    </w:p>
    <w:p w14:paraId="3C88E4B3">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1"/>
          <w:sz w:val="21"/>
          <w:highlight w:val="none"/>
        </w:rPr>
      </w:pPr>
      <w:r>
        <w:rPr>
          <w:rFonts w:hint="eastAsia" w:ascii="宋体" w:hAnsi="宋体" w:eastAsia="宋体" w:cs="宋体"/>
          <w:bCs/>
          <w:color w:val="auto"/>
          <w:kern w:val="21"/>
          <w:sz w:val="21"/>
          <w:highlight w:val="none"/>
        </w:rPr>
        <w:t>1</w:t>
      </w:r>
      <w:r>
        <w:rPr>
          <w:rFonts w:hint="eastAsia" w:ascii="宋体" w:hAnsi="宋体" w:eastAsia="宋体" w:cs="宋体"/>
          <w:bCs/>
          <w:color w:val="auto"/>
          <w:kern w:val="21"/>
          <w:sz w:val="21"/>
          <w:highlight w:val="none"/>
          <w:lang w:val="en-US" w:eastAsia="zh-CN"/>
        </w:rPr>
        <w:t>.</w:t>
      </w:r>
      <w:r>
        <w:rPr>
          <w:rFonts w:hint="eastAsia" w:ascii="宋体" w:hAnsi="宋体" w:eastAsia="宋体" w:cs="宋体"/>
          <w:bCs/>
          <w:color w:val="auto"/>
          <w:kern w:val="21"/>
          <w:sz w:val="21"/>
          <w:highlight w:val="none"/>
        </w:rPr>
        <w:t>本合同经双方法定代表人（负责人）或授权代表签字并加盖单位公章后生效。</w:t>
      </w:r>
    </w:p>
    <w:p w14:paraId="08F884AB">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1"/>
          <w:sz w:val="21"/>
          <w:highlight w:val="none"/>
        </w:rPr>
      </w:pPr>
      <w:r>
        <w:rPr>
          <w:rFonts w:hint="eastAsia" w:ascii="宋体" w:hAnsi="宋体" w:eastAsia="宋体" w:cs="宋体"/>
          <w:bCs/>
          <w:color w:val="auto"/>
          <w:kern w:val="21"/>
          <w:sz w:val="21"/>
          <w:highlight w:val="none"/>
        </w:rPr>
        <w:t>2</w:t>
      </w:r>
      <w:r>
        <w:rPr>
          <w:rFonts w:hint="eastAsia" w:ascii="宋体" w:hAnsi="宋体" w:eastAsia="宋体" w:cs="宋体"/>
          <w:bCs/>
          <w:color w:val="auto"/>
          <w:kern w:val="21"/>
          <w:sz w:val="21"/>
          <w:highlight w:val="none"/>
          <w:lang w:val="en-US" w:eastAsia="zh-CN"/>
        </w:rPr>
        <w:t>.</w:t>
      </w:r>
      <w:r>
        <w:rPr>
          <w:rFonts w:hint="eastAsia" w:ascii="宋体" w:hAnsi="宋体" w:eastAsia="宋体" w:cs="宋体"/>
          <w:bCs/>
          <w:color w:val="auto"/>
          <w:kern w:val="21"/>
          <w:sz w:val="21"/>
          <w:highlight w:val="none"/>
        </w:rPr>
        <w:t>本合同执行中涉及采购资金和采购内容修改或补充的，须经财政部门审批，并签订书面补充协议报财政部门备案，方可作为主合同不可分割的一部分。</w:t>
      </w:r>
    </w:p>
    <w:p w14:paraId="1AF2DEDC">
      <w:pPr>
        <w:pStyle w:val="74"/>
        <w:keepNext w:val="0"/>
        <w:keepLines w:val="0"/>
        <w:pageBreakBefore w:val="0"/>
        <w:widowControl w:val="0"/>
        <w:tabs>
          <w:tab w:val="left" w:pos="1309"/>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21"/>
          <w:szCs w:val="21"/>
          <w:highlight w:val="none"/>
        </w:rPr>
        <w:t>3</w:t>
      </w:r>
      <w:r>
        <w:rPr>
          <w:rFonts w:hint="eastAsia" w:ascii="宋体" w:hAnsi="宋体" w:eastAsia="宋体" w:cs="宋体"/>
          <w:bCs/>
          <w:color w:val="auto"/>
          <w:kern w:val="21"/>
          <w:szCs w:val="21"/>
          <w:highlight w:val="none"/>
          <w:lang w:val="en-US" w:eastAsia="zh-CN"/>
        </w:rPr>
        <w:t>.</w:t>
      </w:r>
      <w:r>
        <w:rPr>
          <w:rFonts w:hint="eastAsia" w:ascii="宋体" w:hAnsi="宋体" w:eastAsia="宋体" w:cs="宋体"/>
          <w:bCs/>
          <w:color w:val="auto"/>
          <w:szCs w:val="21"/>
          <w:highlight w:val="none"/>
        </w:rPr>
        <w:t>甲乙双方确认本合同列明的地址作为文书送达地址，该地址适用于包括双方合同履行过程中的各类通知、协议等文件以及就合同发生争议进入民事诉讼程序后的一审、二审、再审和执行程序等阶段法律文书的送达。地址需要变更时应当提前五个工作日书面通知对方。甲乙双方确认</w:t>
      </w:r>
      <w:r>
        <w:rPr>
          <w:rFonts w:hint="eastAsia" w:ascii="宋体" w:hAnsi="宋体" w:eastAsia="宋体" w:cs="宋体"/>
          <w:bCs/>
          <w:color w:val="auto"/>
          <w:szCs w:val="21"/>
          <w:highlight w:val="none"/>
          <w:lang w:val="en-US" w:eastAsia="zh-CN"/>
        </w:rPr>
        <w:t>各自联系方式</w:t>
      </w:r>
      <w:r>
        <w:rPr>
          <w:rFonts w:hint="eastAsia" w:ascii="宋体" w:hAnsi="宋体" w:eastAsia="宋体" w:cs="宋体"/>
          <w:bCs/>
          <w:color w:val="auto"/>
          <w:szCs w:val="21"/>
          <w:highlight w:val="none"/>
        </w:rPr>
        <w:t>相关信息如下：</w:t>
      </w:r>
    </w:p>
    <w:p w14:paraId="2C419913">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（1）甲方联系方式</w:t>
      </w:r>
    </w:p>
    <w:p w14:paraId="3D36FAC5">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邮寄地址：</w:t>
      </w:r>
    </w:p>
    <w:p w14:paraId="5C44C2E7">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联系人：</w:t>
      </w:r>
    </w:p>
    <w:p w14:paraId="1EC12562">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电话：</w:t>
      </w:r>
    </w:p>
    <w:p w14:paraId="5AAEBA85">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电子邮箱：</w:t>
      </w:r>
    </w:p>
    <w:p w14:paraId="751D4F10">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（2）乙方联系方式</w:t>
      </w:r>
    </w:p>
    <w:p w14:paraId="1483545E">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邮寄地址：</w:t>
      </w:r>
    </w:p>
    <w:p w14:paraId="7208C065">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联系人：</w:t>
      </w:r>
    </w:p>
    <w:p w14:paraId="07F72D23">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电话：</w:t>
      </w:r>
    </w:p>
    <w:p w14:paraId="6BA1EB3F">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电子邮箱：</w:t>
      </w:r>
    </w:p>
    <w:p w14:paraId="5A90A13E">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（3）通过电子邮箱及其他电子方式送达时，发出之日即视为有效送达。通过快递等方式送达时，对方签收之日视为有效送达；</w:t>
      </w:r>
      <w:r>
        <w:rPr>
          <w:rFonts w:hint="eastAsia" w:ascii="宋体" w:hAnsi="宋体" w:eastAsia="宋体" w:cs="宋体"/>
          <w:bCs/>
          <w:color w:val="auto"/>
          <w:szCs w:val="21"/>
          <w:highlight w:val="none"/>
        </w:rPr>
        <w:t>因提供或者确认的地址不准确、地址变更后未及时依程序告知对方或受送达方拒绝签收等原因，导致文书未能被实际接收的，邮寄送达的，以文书退回之日视为送达之日</w:t>
      </w:r>
      <w:r>
        <w:rPr>
          <w:rFonts w:hint="eastAsia" w:ascii="宋体" w:hAnsi="宋体" w:eastAsia="宋体" w:cs="宋体"/>
          <w:color w:val="auto"/>
          <w:spacing w:val="10"/>
          <w:szCs w:val="21"/>
          <w:highlight w:val="none"/>
        </w:rPr>
        <w:t>。</w:t>
      </w:r>
    </w:p>
    <w:p w14:paraId="18097770">
      <w:pPr>
        <w:keepNext w:val="0"/>
        <w:keepLines w:val="0"/>
        <w:pageBreakBefore w:val="0"/>
        <w:widowControl w:val="0"/>
        <w:kinsoku/>
        <w:wordWrap/>
        <w:overflowPunct/>
        <w:topLinePunct w:val="0"/>
        <w:autoSpaceDE/>
        <w:autoSpaceDN/>
        <w:bidi w:val="0"/>
        <w:adjustRightInd/>
        <w:snapToGrid/>
        <w:spacing w:line="400" w:lineRule="exact"/>
        <w:ind w:firstLine="46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（4）本联系方式条款为独立条款，不受合同整体或其他条款的效力影响，始终有效。</w:t>
      </w:r>
    </w:p>
    <w:p w14:paraId="2ABE5A55">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1"/>
          <w:sz w:val="21"/>
          <w:highlight w:val="none"/>
        </w:rPr>
      </w:pPr>
      <w:r>
        <w:rPr>
          <w:rFonts w:hint="eastAsia" w:ascii="宋体" w:hAnsi="宋体" w:eastAsia="宋体" w:cs="宋体"/>
          <w:bCs/>
          <w:color w:val="auto"/>
          <w:kern w:val="21"/>
          <w:sz w:val="21"/>
          <w:highlight w:val="none"/>
        </w:rPr>
        <w:t>4</w:t>
      </w:r>
      <w:r>
        <w:rPr>
          <w:rFonts w:hint="eastAsia" w:ascii="宋体" w:hAnsi="宋体" w:eastAsia="宋体" w:cs="宋体"/>
          <w:bCs/>
          <w:color w:val="auto"/>
          <w:kern w:val="21"/>
          <w:sz w:val="21"/>
          <w:highlight w:val="none"/>
          <w:lang w:val="en-US" w:eastAsia="zh-CN"/>
        </w:rPr>
        <w:t>.</w:t>
      </w:r>
      <w:r>
        <w:rPr>
          <w:rFonts w:hint="eastAsia" w:ascii="宋体" w:hAnsi="宋体" w:eastAsia="宋体" w:cs="宋体"/>
          <w:bCs/>
          <w:color w:val="auto"/>
          <w:kern w:val="21"/>
          <w:sz w:val="21"/>
          <w:highlight w:val="none"/>
        </w:rPr>
        <w:t>本合同未尽事宜，遵照《中华人民共和国民法典》有关规定执行。</w:t>
      </w:r>
    </w:p>
    <w:p w14:paraId="316B8FA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bookmarkStart w:id="116" w:name="_Toc101775099"/>
      <w:r>
        <w:rPr>
          <w:rFonts w:hint="eastAsia" w:ascii="宋体" w:hAnsi="宋体" w:eastAsia="宋体" w:cs="宋体"/>
          <w:b/>
          <w:color w:val="auto"/>
          <w:kern w:val="21"/>
          <w:szCs w:val="21"/>
          <w:highlight w:val="none"/>
        </w:rPr>
        <w:t>第十三条　合同的变更、终止与转让</w:t>
      </w:r>
      <w:bookmarkEnd w:id="116"/>
    </w:p>
    <w:p w14:paraId="58DB26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1</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除《中华人民共和国政府采购法》第五十条规定的情形外，本合同一经签订，甲乙双方不得擅自变更、中止或终止。</w:t>
      </w:r>
    </w:p>
    <w:p w14:paraId="74731668">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kern w:val="21"/>
          <w:sz w:val="21"/>
          <w:highlight w:val="none"/>
        </w:rPr>
      </w:pPr>
      <w:r>
        <w:rPr>
          <w:rFonts w:hint="eastAsia" w:ascii="宋体" w:hAnsi="宋体" w:eastAsia="宋体" w:cs="宋体"/>
          <w:color w:val="auto"/>
          <w:kern w:val="21"/>
          <w:sz w:val="21"/>
          <w:highlight w:val="none"/>
        </w:rPr>
        <w:t>2</w:t>
      </w:r>
      <w:r>
        <w:rPr>
          <w:rFonts w:hint="eastAsia" w:ascii="宋体" w:hAnsi="宋体" w:eastAsia="宋体" w:cs="宋体"/>
          <w:color w:val="auto"/>
          <w:kern w:val="21"/>
          <w:sz w:val="21"/>
          <w:highlight w:val="none"/>
          <w:lang w:val="en-US" w:eastAsia="zh-CN"/>
        </w:rPr>
        <w:t>.</w:t>
      </w:r>
      <w:r>
        <w:rPr>
          <w:rFonts w:hint="eastAsia" w:ascii="宋体" w:hAnsi="宋体" w:eastAsia="宋体" w:cs="宋体"/>
          <w:color w:val="auto"/>
          <w:kern w:val="21"/>
          <w:sz w:val="21"/>
          <w:highlight w:val="none"/>
        </w:rPr>
        <w:t>乙方不得擅自全部或部分转让其应履行的合同义务。</w:t>
      </w:r>
    </w:p>
    <w:p w14:paraId="5DCC621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bookmarkStart w:id="117" w:name="_Toc101775100"/>
      <w:r>
        <w:rPr>
          <w:rFonts w:hint="eastAsia" w:ascii="宋体" w:hAnsi="宋体" w:eastAsia="宋体" w:cs="宋体"/>
          <w:b/>
          <w:color w:val="auto"/>
          <w:kern w:val="21"/>
          <w:szCs w:val="21"/>
          <w:highlight w:val="none"/>
        </w:rPr>
        <w:t>第十四条 数据安全保密</w:t>
      </w:r>
    </w:p>
    <w:p w14:paraId="2BCAD4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1</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highlight w:val="none"/>
        </w:rPr>
        <w:t>乙方</w:t>
      </w:r>
      <w:r>
        <w:rPr>
          <w:rFonts w:hint="eastAsia" w:ascii="宋体" w:hAnsi="宋体" w:cs="宋体"/>
          <w:color w:val="auto"/>
          <w:highlight w:val="none"/>
          <w:lang w:val="en-US" w:eastAsia="zh-CN"/>
        </w:rPr>
        <w:t>及乙方人员</w:t>
      </w:r>
      <w:r>
        <w:rPr>
          <w:rFonts w:hint="eastAsia" w:ascii="宋体" w:hAnsi="宋体" w:eastAsia="宋体" w:cs="宋体"/>
          <w:color w:val="auto"/>
          <w:highlight w:val="none"/>
        </w:rPr>
        <w:t>必须严格遵守</w:t>
      </w:r>
      <w:r>
        <w:rPr>
          <w:rFonts w:hint="eastAsia" w:ascii="宋体" w:hAnsi="宋体" w:cs="宋体"/>
          <w:color w:val="auto"/>
          <w:highlight w:val="none"/>
          <w:lang w:val="en-US" w:eastAsia="zh-CN"/>
        </w:rPr>
        <w:t>甲方</w:t>
      </w:r>
      <w:r>
        <w:rPr>
          <w:rFonts w:hint="eastAsia" w:ascii="宋体" w:hAnsi="宋体" w:eastAsia="宋体" w:cs="宋体"/>
          <w:color w:val="auto"/>
          <w:highlight w:val="none"/>
        </w:rPr>
        <w:t>各项管理规定，在任何情况下，禁止复制、传播、引用及所接触到的</w:t>
      </w:r>
      <w:r>
        <w:rPr>
          <w:rFonts w:hint="eastAsia" w:ascii="宋体" w:hAnsi="宋体" w:cs="宋体"/>
          <w:color w:val="auto"/>
          <w:highlight w:val="none"/>
          <w:lang w:val="en-US" w:eastAsia="zh-CN"/>
        </w:rPr>
        <w:t>甲方</w:t>
      </w:r>
      <w:r>
        <w:rPr>
          <w:rFonts w:hint="eastAsia" w:ascii="宋体" w:hAnsi="宋体" w:eastAsia="宋体" w:cs="宋体"/>
          <w:color w:val="auto"/>
          <w:highlight w:val="none"/>
        </w:rPr>
        <w:t>各类业务数据、工作措施等信息，如出现业务数据、涉密数据泄漏，甲方</w:t>
      </w:r>
      <w:r>
        <w:rPr>
          <w:rFonts w:hint="eastAsia" w:ascii="宋体" w:hAnsi="宋体" w:cs="宋体"/>
          <w:color w:val="auto"/>
          <w:highlight w:val="none"/>
          <w:lang w:val="en-US" w:eastAsia="zh-CN"/>
        </w:rPr>
        <w:t>有权</w:t>
      </w:r>
      <w:r>
        <w:rPr>
          <w:rFonts w:hint="eastAsia" w:ascii="宋体" w:hAnsi="宋体" w:eastAsia="宋体" w:cs="宋体"/>
          <w:color w:val="auto"/>
          <w:highlight w:val="none"/>
        </w:rPr>
        <w:t>终止</w:t>
      </w:r>
      <w:r>
        <w:rPr>
          <w:rFonts w:hint="eastAsia" w:ascii="宋体" w:hAnsi="宋体" w:cs="宋体"/>
          <w:color w:val="auto"/>
          <w:highlight w:val="none"/>
          <w:lang w:val="en-US" w:eastAsia="zh-CN"/>
        </w:rPr>
        <w:t>本</w:t>
      </w:r>
      <w:r>
        <w:rPr>
          <w:rFonts w:hint="eastAsia" w:ascii="宋体" w:hAnsi="宋体" w:eastAsia="宋体" w:cs="宋体"/>
          <w:color w:val="auto"/>
          <w:highlight w:val="none"/>
        </w:rPr>
        <w:t>合同，并将追究乙方</w:t>
      </w:r>
      <w:r>
        <w:rPr>
          <w:rFonts w:hint="eastAsia" w:ascii="宋体" w:hAnsi="宋体" w:cs="宋体"/>
          <w:color w:val="auto"/>
          <w:highlight w:val="none"/>
          <w:lang w:val="en-US" w:eastAsia="zh-CN"/>
        </w:rPr>
        <w:t>相应违约责任及</w:t>
      </w:r>
      <w:r>
        <w:rPr>
          <w:rFonts w:hint="eastAsia" w:ascii="宋体" w:hAnsi="宋体" w:eastAsia="宋体" w:cs="宋体"/>
          <w:color w:val="auto"/>
          <w:highlight w:val="none"/>
        </w:rPr>
        <w:t>相关法律责任。</w:t>
      </w:r>
    </w:p>
    <w:p w14:paraId="64D8F4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2</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乙方承诺仅为本合同目的使用所获取网络和数据信息，不为任何其他目的使用已获取的信息。</w:t>
      </w:r>
    </w:p>
    <w:p w14:paraId="30D613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3</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甲方同意乙方有权向其职员透露或使其接触保密信息或其中的任何部分，范围是这些职员应是参与项目建设或运维的项目组人员，且是这些项目组人员为完成本合同项下工作所需的内容。</w:t>
      </w:r>
    </w:p>
    <w:p w14:paraId="22043D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4</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未经甲方的事先书面批准，乙方不得以任何形式或任何方式将保密信息或其中的任何部分披露或透露给任何第三方。</w:t>
      </w:r>
    </w:p>
    <w:p w14:paraId="75F037A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kern w:val="21"/>
          <w:szCs w:val="21"/>
          <w:highlight w:val="none"/>
        </w:rPr>
      </w:pPr>
      <w:r>
        <w:rPr>
          <w:rFonts w:hint="eastAsia" w:ascii="宋体" w:hAnsi="宋体" w:eastAsia="宋体" w:cs="宋体"/>
          <w:b/>
          <w:color w:val="auto"/>
          <w:kern w:val="21"/>
          <w:szCs w:val="21"/>
          <w:highlight w:val="none"/>
        </w:rPr>
        <w:t>第十五条 签订本合同依据</w:t>
      </w:r>
      <w:bookmarkEnd w:id="117"/>
    </w:p>
    <w:p w14:paraId="3CC892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1</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成交通知书</w:t>
      </w:r>
      <w:r>
        <w:rPr>
          <w:rFonts w:hint="eastAsia" w:ascii="宋体" w:hAnsi="宋体" w:cs="宋体"/>
          <w:color w:val="auto"/>
          <w:kern w:val="21"/>
          <w:szCs w:val="21"/>
          <w:highlight w:val="none"/>
          <w:lang w:eastAsia="zh-CN"/>
        </w:rPr>
        <w:t>；</w:t>
      </w:r>
    </w:p>
    <w:p w14:paraId="44D9A2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2</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项目采购需求</w:t>
      </w:r>
      <w:r>
        <w:rPr>
          <w:rFonts w:hint="eastAsia" w:ascii="宋体" w:hAnsi="宋体" w:cs="宋体"/>
          <w:color w:val="auto"/>
          <w:kern w:val="21"/>
          <w:szCs w:val="21"/>
          <w:highlight w:val="none"/>
          <w:lang w:eastAsia="zh-CN"/>
        </w:rPr>
        <w:t>；</w:t>
      </w:r>
    </w:p>
    <w:p w14:paraId="0858D5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3</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资格声明函</w:t>
      </w:r>
      <w:r>
        <w:rPr>
          <w:rFonts w:hint="eastAsia" w:ascii="宋体" w:hAnsi="宋体" w:cs="宋体"/>
          <w:color w:val="auto"/>
          <w:kern w:val="21"/>
          <w:szCs w:val="21"/>
          <w:highlight w:val="none"/>
          <w:lang w:eastAsia="zh-CN"/>
        </w:rPr>
        <w:t>；</w:t>
      </w:r>
    </w:p>
    <w:p w14:paraId="5CD9F2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4</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第一次报价</w:t>
      </w:r>
      <w:r>
        <w:rPr>
          <w:rFonts w:hint="eastAsia" w:ascii="宋体" w:hAnsi="宋体" w:cs="宋体"/>
          <w:color w:val="auto"/>
          <w:kern w:val="21"/>
          <w:szCs w:val="21"/>
          <w:highlight w:val="none"/>
          <w:lang w:eastAsia="zh-CN"/>
        </w:rPr>
        <w:t>；</w:t>
      </w:r>
    </w:p>
    <w:p w14:paraId="0B103F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5</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商务条款偏离表、服务需求偏离表</w:t>
      </w:r>
      <w:r>
        <w:rPr>
          <w:rFonts w:hint="eastAsia" w:ascii="宋体" w:hAnsi="宋体" w:cs="宋体"/>
          <w:color w:val="auto"/>
          <w:kern w:val="21"/>
          <w:szCs w:val="21"/>
          <w:highlight w:val="none"/>
          <w:lang w:eastAsia="zh-CN"/>
        </w:rPr>
        <w:t>；</w:t>
      </w:r>
    </w:p>
    <w:p w14:paraId="38537B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6</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最后报价</w:t>
      </w:r>
      <w:r>
        <w:rPr>
          <w:rFonts w:hint="eastAsia" w:ascii="宋体" w:hAnsi="宋体" w:cs="宋体"/>
          <w:color w:val="auto"/>
          <w:kern w:val="21"/>
          <w:szCs w:val="21"/>
          <w:highlight w:val="none"/>
          <w:lang w:eastAsia="zh-CN"/>
        </w:rPr>
        <w:t>；</w:t>
      </w:r>
    </w:p>
    <w:p w14:paraId="5EE268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1"/>
          <w:szCs w:val="21"/>
          <w:highlight w:val="none"/>
          <w:lang w:eastAsia="zh-CN"/>
        </w:rPr>
      </w:pPr>
      <w:r>
        <w:rPr>
          <w:rFonts w:hint="eastAsia" w:ascii="宋体" w:hAnsi="宋体" w:eastAsia="宋体" w:cs="宋体"/>
          <w:color w:val="auto"/>
          <w:kern w:val="21"/>
          <w:szCs w:val="21"/>
          <w:highlight w:val="none"/>
        </w:rPr>
        <w:t>7</w:t>
      </w:r>
      <w:r>
        <w:rPr>
          <w:rFonts w:hint="eastAsia" w:ascii="宋体" w:hAnsi="宋体" w:eastAsia="宋体" w:cs="宋体"/>
          <w:color w:val="auto"/>
          <w:kern w:val="21"/>
          <w:szCs w:val="21"/>
          <w:highlight w:val="none"/>
          <w:lang w:val="en-US" w:eastAsia="zh-CN"/>
        </w:rPr>
        <w:t>.</w:t>
      </w:r>
      <w:r>
        <w:rPr>
          <w:rFonts w:hint="eastAsia" w:ascii="宋体" w:hAnsi="宋体" w:eastAsia="宋体" w:cs="宋体"/>
          <w:color w:val="auto"/>
          <w:kern w:val="21"/>
          <w:szCs w:val="21"/>
          <w:highlight w:val="none"/>
        </w:rPr>
        <w:t>售后服务承诺</w:t>
      </w:r>
      <w:r>
        <w:rPr>
          <w:rFonts w:hint="eastAsia" w:ascii="宋体" w:hAnsi="宋体" w:cs="宋体"/>
          <w:color w:val="auto"/>
          <w:kern w:val="21"/>
          <w:szCs w:val="21"/>
          <w:highlight w:val="none"/>
          <w:lang w:eastAsia="zh-CN"/>
        </w:rPr>
        <w:t>。</w:t>
      </w:r>
    </w:p>
    <w:p w14:paraId="2CFC76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上述合同文件互相补充和解释。如果合同文件之间存在矛盾或者不一致之处，以上述文件的排列顺序在先者为准。</w:t>
      </w:r>
    </w:p>
    <w:p w14:paraId="7DC1BBF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kern w:val="21"/>
          <w:szCs w:val="21"/>
          <w:highlight w:val="none"/>
        </w:rPr>
      </w:pPr>
      <w:r>
        <w:rPr>
          <w:rFonts w:hint="eastAsia" w:ascii="宋体" w:hAnsi="宋体" w:eastAsia="宋体" w:cs="宋体"/>
          <w:b/>
          <w:color w:val="auto"/>
          <w:kern w:val="21"/>
          <w:szCs w:val="21"/>
          <w:highlight w:val="none"/>
        </w:rPr>
        <w:t>第十六条　</w:t>
      </w:r>
      <w:r>
        <w:rPr>
          <w:rFonts w:hint="eastAsia" w:ascii="宋体" w:hAnsi="宋体" w:eastAsia="宋体" w:cs="宋体"/>
          <w:color w:val="auto"/>
          <w:kern w:val="21"/>
          <w:szCs w:val="21"/>
          <w:highlight w:val="none"/>
        </w:rPr>
        <w:t>本合同一式陆份，具有同等法律效力，甲方三份，乙方二份，代理机构一份</w:t>
      </w:r>
      <w:r>
        <w:rPr>
          <w:rFonts w:hint="eastAsia" w:ascii="宋体" w:hAnsi="宋体" w:cs="宋体"/>
          <w:color w:val="auto"/>
          <w:kern w:val="21"/>
          <w:szCs w:val="21"/>
          <w:highlight w:val="none"/>
          <w:lang w:eastAsia="zh-CN"/>
        </w:rPr>
        <w:t>。</w:t>
      </w:r>
      <w:r>
        <w:rPr>
          <w:rFonts w:hint="eastAsia"/>
          <w:lang w:val="en-US" w:eastAsia="zh-CN"/>
        </w:rPr>
        <w:t>甲</w:t>
      </w:r>
      <w:r>
        <w:rPr>
          <w:rFonts w:hint="eastAsia" w:ascii="宋体" w:hAnsi="宋体" w:cs="宋体"/>
          <w:color w:val="auto"/>
          <w:kern w:val="21"/>
          <w:szCs w:val="21"/>
          <w:highlight w:val="none"/>
          <w:lang w:val="en-US" w:eastAsia="zh-CN"/>
        </w:rPr>
        <w:t>方应在</w:t>
      </w:r>
      <w:r>
        <w:rPr>
          <w:rFonts w:hint="eastAsia" w:ascii="宋体" w:hAnsi="宋体" w:eastAsia="宋体" w:cs="宋体"/>
          <w:color w:val="auto"/>
          <w:kern w:val="21"/>
          <w:szCs w:val="21"/>
          <w:highlight w:val="none"/>
        </w:rPr>
        <w:t>合同签订后两个工作日内在“广西政府采购云平台”进行合同备案。</w:t>
      </w:r>
    </w:p>
    <w:tbl>
      <w:tblPr>
        <w:tblStyle w:val="3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09"/>
      </w:tblGrid>
      <w:tr w14:paraId="7A31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4364" w:type="dxa"/>
            <w:noWrap w:val="0"/>
            <w:vAlign w:val="top"/>
          </w:tcPr>
          <w:p w14:paraId="7931BF9F">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 xml:space="preserve">甲方（章）           </w:t>
            </w:r>
          </w:p>
          <w:p w14:paraId="186FDA7D">
            <w:pPr>
              <w:snapToGrid w:val="0"/>
              <w:spacing w:line="360" w:lineRule="exact"/>
              <w:rPr>
                <w:rFonts w:ascii="宋体" w:hAnsi="宋体" w:cs="宋体"/>
                <w:color w:val="auto"/>
                <w:kern w:val="21"/>
                <w:szCs w:val="21"/>
                <w:highlight w:val="none"/>
              </w:rPr>
            </w:pPr>
          </w:p>
          <w:p w14:paraId="3FEC62D2">
            <w:pPr>
              <w:snapToGrid w:val="0"/>
              <w:spacing w:line="360" w:lineRule="exact"/>
              <w:ind w:firstLine="945" w:firstLineChars="450"/>
              <w:rPr>
                <w:rFonts w:ascii="宋体" w:hAnsi="宋体" w:cs="宋体"/>
                <w:color w:val="auto"/>
                <w:kern w:val="21"/>
                <w:szCs w:val="21"/>
                <w:highlight w:val="none"/>
              </w:rPr>
            </w:pPr>
            <w:r>
              <w:rPr>
                <w:rFonts w:hint="eastAsia" w:ascii="宋体" w:hAnsi="宋体" w:cs="宋体"/>
                <w:color w:val="auto"/>
                <w:kern w:val="21"/>
                <w:szCs w:val="21"/>
                <w:highlight w:val="none"/>
              </w:rPr>
              <w:t xml:space="preserve">                 年   月   日</w:t>
            </w:r>
          </w:p>
        </w:tc>
        <w:tc>
          <w:tcPr>
            <w:tcW w:w="4609" w:type="dxa"/>
            <w:noWrap w:val="0"/>
            <w:vAlign w:val="top"/>
          </w:tcPr>
          <w:p w14:paraId="76FE77E4">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 xml:space="preserve">乙方（章）              </w:t>
            </w:r>
          </w:p>
          <w:p w14:paraId="4F225AD7">
            <w:pPr>
              <w:snapToGrid w:val="0"/>
              <w:spacing w:line="360" w:lineRule="exact"/>
              <w:rPr>
                <w:rFonts w:ascii="宋体" w:hAnsi="宋体" w:cs="宋体"/>
                <w:color w:val="auto"/>
                <w:kern w:val="21"/>
                <w:szCs w:val="21"/>
                <w:highlight w:val="none"/>
              </w:rPr>
            </w:pPr>
          </w:p>
          <w:p w14:paraId="696B07A5">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 xml:space="preserve">                             年   月   日</w:t>
            </w:r>
          </w:p>
        </w:tc>
      </w:tr>
      <w:tr w14:paraId="2841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4364" w:type="dxa"/>
            <w:noWrap w:val="0"/>
            <w:vAlign w:val="top"/>
          </w:tcPr>
          <w:p w14:paraId="6E379C82">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单位地址：</w:t>
            </w:r>
          </w:p>
        </w:tc>
        <w:tc>
          <w:tcPr>
            <w:tcW w:w="4609" w:type="dxa"/>
            <w:noWrap w:val="0"/>
            <w:vAlign w:val="top"/>
          </w:tcPr>
          <w:p w14:paraId="40D65DD3">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单位地址：</w:t>
            </w:r>
          </w:p>
        </w:tc>
      </w:tr>
      <w:tr w14:paraId="2A21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64" w:type="dxa"/>
            <w:noWrap w:val="0"/>
            <w:vAlign w:val="top"/>
          </w:tcPr>
          <w:p w14:paraId="1708DF16">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法定代表人（负责人）：</w:t>
            </w:r>
          </w:p>
        </w:tc>
        <w:tc>
          <w:tcPr>
            <w:tcW w:w="4609" w:type="dxa"/>
            <w:noWrap w:val="0"/>
            <w:vAlign w:val="top"/>
          </w:tcPr>
          <w:p w14:paraId="59842B3D">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法定代表人（负责人）：</w:t>
            </w:r>
          </w:p>
        </w:tc>
      </w:tr>
      <w:tr w14:paraId="1855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64" w:type="dxa"/>
            <w:noWrap w:val="0"/>
            <w:vAlign w:val="top"/>
          </w:tcPr>
          <w:p w14:paraId="4F7920DF">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授权代表：</w:t>
            </w:r>
          </w:p>
        </w:tc>
        <w:tc>
          <w:tcPr>
            <w:tcW w:w="4609" w:type="dxa"/>
            <w:noWrap w:val="0"/>
            <w:vAlign w:val="top"/>
          </w:tcPr>
          <w:p w14:paraId="44552C53">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授权代表：</w:t>
            </w:r>
          </w:p>
        </w:tc>
      </w:tr>
      <w:tr w14:paraId="5FEE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364" w:type="dxa"/>
            <w:noWrap w:val="0"/>
            <w:vAlign w:val="top"/>
          </w:tcPr>
          <w:p w14:paraId="320259C1">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电话：</w:t>
            </w:r>
          </w:p>
        </w:tc>
        <w:tc>
          <w:tcPr>
            <w:tcW w:w="4609" w:type="dxa"/>
            <w:noWrap w:val="0"/>
            <w:vAlign w:val="top"/>
          </w:tcPr>
          <w:p w14:paraId="00429C9B">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电话：</w:t>
            </w:r>
          </w:p>
        </w:tc>
      </w:tr>
      <w:tr w14:paraId="4F28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364" w:type="dxa"/>
            <w:noWrap w:val="0"/>
            <w:vAlign w:val="top"/>
          </w:tcPr>
          <w:p w14:paraId="56E2F8E2">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电子邮箱：</w:t>
            </w:r>
          </w:p>
        </w:tc>
        <w:tc>
          <w:tcPr>
            <w:tcW w:w="4609" w:type="dxa"/>
            <w:noWrap w:val="0"/>
            <w:vAlign w:val="top"/>
          </w:tcPr>
          <w:p w14:paraId="0959D787">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电子邮箱：</w:t>
            </w:r>
          </w:p>
        </w:tc>
      </w:tr>
      <w:tr w14:paraId="40A6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4364" w:type="dxa"/>
            <w:noWrap w:val="0"/>
            <w:vAlign w:val="top"/>
          </w:tcPr>
          <w:p w14:paraId="143E92CC">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开户银行：</w:t>
            </w:r>
          </w:p>
        </w:tc>
        <w:tc>
          <w:tcPr>
            <w:tcW w:w="4609" w:type="dxa"/>
            <w:noWrap w:val="0"/>
            <w:vAlign w:val="top"/>
          </w:tcPr>
          <w:p w14:paraId="594C597D">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开户银行：</w:t>
            </w:r>
          </w:p>
        </w:tc>
      </w:tr>
      <w:tr w14:paraId="6C36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364" w:type="dxa"/>
            <w:noWrap w:val="0"/>
            <w:vAlign w:val="top"/>
          </w:tcPr>
          <w:p w14:paraId="50A9E3F9">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账号：</w:t>
            </w:r>
          </w:p>
        </w:tc>
        <w:tc>
          <w:tcPr>
            <w:tcW w:w="4609" w:type="dxa"/>
            <w:noWrap w:val="0"/>
            <w:vAlign w:val="top"/>
          </w:tcPr>
          <w:p w14:paraId="63E29D6E">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账号：</w:t>
            </w:r>
          </w:p>
        </w:tc>
      </w:tr>
      <w:tr w14:paraId="2479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64" w:type="dxa"/>
            <w:noWrap w:val="0"/>
            <w:vAlign w:val="top"/>
          </w:tcPr>
          <w:p w14:paraId="1DE6356E">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邮政编码：</w:t>
            </w:r>
          </w:p>
        </w:tc>
        <w:tc>
          <w:tcPr>
            <w:tcW w:w="4609" w:type="dxa"/>
            <w:noWrap w:val="0"/>
            <w:vAlign w:val="top"/>
          </w:tcPr>
          <w:p w14:paraId="4C9A8F4F">
            <w:pPr>
              <w:snapToGrid w:val="0"/>
              <w:spacing w:line="360" w:lineRule="exact"/>
              <w:rPr>
                <w:rFonts w:ascii="宋体" w:hAnsi="宋体" w:cs="宋体"/>
                <w:color w:val="auto"/>
                <w:kern w:val="21"/>
                <w:szCs w:val="21"/>
                <w:highlight w:val="none"/>
              </w:rPr>
            </w:pPr>
            <w:r>
              <w:rPr>
                <w:rFonts w:hint="eastAsia" w:ascii="宋体" w:hAnsi="宋体" w:cs="宋体"/>
                <w:color w:val="auto"/>
                <w:kern w:val="21"/>
                <w:szCs w:val="21"/>
                <w:highlight w:val="none"/>
              </w:rPr>
              <w:t>邮政编码：</w:t>
            </w:r>
          </w:p>
        </w:tc>
      </w:tr>
    </w:tbl>
    <w:p w14:paraId="5395D318">
      <w:pPr>
        <w:pStyle w:val="18"/>
        <w:spacing w:line="360" w:lineRule="auto"/>
        <w:rPr>
          <w:rFonts w:hAnsi="宋体" w:cs="宋体"/>
          <w:color w:val="auto"/>
          <w:kern w:val="21"/>
          <w:highlight w:val="none"/>
        </w:rPr>
      </w:pPr>
      <w:r>
        <w:rPr>
          <w:rFonts w:hint="eastAsia" w:hAnsi="宋体" w:cs="宋体"/>
          <w:b/>
          <w:color w:val="auto"/>
          <w:kern w:val="21"/>
          <w:highlight w:val="none"/>
        </w:rPr>
        <w:br w:type="page"/>
      </w:r>
      <w:r>
        <w:rPr>
          <w:rFonts w:hint="eastAsia" w:hAnsi="宋体" w:cs="宋体"/>
          <w:b/>
          <w:color w:val="auto"/>
          <w:kern w:val="21"/>
          <w:highlight w:val="none"/>
        </w:rPr>
        <w:t>附件I：</w:t>
      </w:r>
    </w:p>
    <w:p w14:paraId="63CD3A33">
      <w:pPr>
        <w:widowControl/>
        <w:jc w:val="center"/>
        <w:rPr>
          <w:rFonts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t>政府采购项目合同验收报告（格式）</w:t>
      </w:r>
    </w:p>
    <w:p w14:paraId="54CB0E59">
      <w:pPr>
        <w:widowControl/>
        <w:spacing w:line="360" w:lineRule="auto"/>
        <w:jc w:val="center"/>
        <w:rPr>
          <w:rFonts w:ascii="宋体" w:hAnsi="宋体" w:cs="宋体"/>
          <w:b/>
          <w:bCs/>
          <w:color w:val="auto"/>
          <w:kern w:val="21"/>
          <w:szCs w:val="21"/>
          <w:highlight w:val="none"/>
        </w:rPr>
      </w:pPr>
    </w:p>
    <w:p w14:paraId="063323E2">
      <w:pPr>
        <w:widowControl/>
        <w:snapToGrid w:val="0"/>
        <w:spacing w:line="360" w:lineRule="auto"/>
        <w:jc w:val="left"/>
        <w:rPr>
          <w:rFonts w:ascii="宋体" w:hAnsi="宋体" w:cs="宋体"/>
          <w:color w:val="auto"/>
          <w:kern w:val="21"/>
          <w:szCs w:val="21"/>
          <w:highlight w:val="none"/>
        </w:rPr>
      </w:pPr>
      <w:r>
        <w:rPr>
          <w:rFonts w:hint="eastAsia" w:ascii="宋体" w:hAnsi="宋体" w:cs="宋体"/>
          <w:color w:val="auto"/>
          <w:kern w:val="21"/>
          <w:szCs w:val="21"/>
          <w:highlight w:val="none"/>
        </w:rPr>
        <w:t xml:space="preserve">    根据政府采购合同（采购合同编号：</w:t>
      </w:r>
      <w:r>
        <w:rPr>
          <w:rFonts w:hint="eastAsia" w:ascii="宋体" w:hAnsi="宋体" w:cs="宋体"/>
          <w:color w:val="auto"/>
          <w:kern w:val="21"/>
          <w:szCs w:val="21"/>
          <w:highlight w:val="none"/>
          <w:u w:val="single"/>
        </w:rPr>
        <w:softHyphen/>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）的约定，我单位对</w:t>
      </w:r>
      <w:r>
        <w:rPr>
          <w:rFonts w:hint="eastAsia" w:ascii="宋体" w:hAnsi="宋体" w:cs="宋体"/>
          <w:color w:val="auto"/>
          <w:kern w:val="21"/>
          <w:szCs w:val="21"/>
          <w:highlight w:val="none"/>
          <w:u w:val="single"/>
        </w:rPr>
        <w:t xml:space="preserve">（采购项目名称）       </w:t>
      </w:r>
      <w:r>
        <w:rPr>
          <w:rFonts w:hint="eastAsia" w:ascii="宋体" w:hAnsi="宋体" w:cs="宋体"/>
          <w:color w:val="auto"/>
          <w:kern w:val="21"/>
          <w:szCs w:val="21"/>
          <w:highlight w:val="none"/>
        </w:rPr>
        <w:t>政府采购项目中标（或成交）供应商</w:t>
      </w:r>
      <w:r>
        <w:rPr>
          <w:rFonts w:hint="eastAsia" w:ascii="宋体" w:hAnsi="宋体" w:cs="宋体"/>
          <w:color w:val="auto"/>
          <w:kern w:val="21"/>
          <w:szCs w:val="21"/>
          <w:highlight w:val="none"/>
          <w:u w:val="single"/>
        </w:rPr>
        <w:t xml:space="preserve">    （公司名称）    </w:t>
      </w:r>
      <w:r>
        <w:rPr>
          <w:rFonts w:hint="eastAsia" w:ascii="宋体" w:hAnsi="宋体" w:cs="宋体"/>
          <w:color w:val="auto"/>
          <w:kern w:val="21"/>
          <w:szCs w:val="21"/>
          <w:highlight w:val="none"/>
        </w:rPr>
        <w:t>提供的货物（或服务）进行了验收，验收情况如下：</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035E3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4E1B2AEE">
            <w:pPr>
              <w:jc w:val="center"/>
              <w:rPr>
                <w:rFonts w:ascii="宋体" w:hAnsi="宋体" w:cs="宋体"/>
                <w:color w:val="auto"/>
                <w:kern w:val="21"/>
                <w:szCs w:val="21"/>
                <w:highlight w:val="none"/>
              </w:rPr>
            </w:pPr>
            <w:r>
              <w:rPr>
                <w:rFonts w:hint="eastAsia" w:ascii="宋体" w:hAnsi="宋体" w:cs="宋体"/>
                <w:color w:val="auto"/>
                <w:kern w:val="21"/>
                <w:szCs w:val="21"/>
                <w:highlight w:val="none"/>
              </w:rPr>
              <w:t>序号</w:t>
            </w:r>
          </w:p>
        </w:tc>
        <w:tc>
          <w:tcPr>
            <w:tcW w:w="2705" w:type="dxa"/>
            <w:gridSpan w:val="2"/>
            <w:tcBorders>
              <w:top w:val="single" w:color="auto" w:sz="4" w:space="0"/>
              <w:left w:val="single" w:color="auto" w:sz="4" w:space="0"/>
            </w:tcBorders>
            <w:noWrap w:val="0"/>
            <w:vAlign w:val="center"/>
          </w:tcPr>
          <w:p w14:paraId="132186A3">
            <w:pPr>
              <w:jc w:val="center"/>
              <w:rPr>
                <w:rFonts w:ascii="宋体" w:hAnsi="宋体" w:cs="宋体"/>
                <w:color w:val="auto"/>
                <w:kern w:val="21"/>
                <w:szCs w:val="21"/>
                <w:highlight w:val="none"/>
              </w:rPr>
            </w:pPr>
            <w:r>
              <w:rPr>
                <w:rFonts w:hint="eastAsia" w:ascii="宋体" w:hAnsi="宋体" w:cs="宋体"/>
                <w:color w:val="auto"/>
                <w:kern w:val="21"/>
                <w:szCs w:val="21"/>
                <w:highlight w:val="none"/>
              </w:rPr>
              <w:t>名    称</w:t>
            </w:r>
          </w:p>
        </w:tc>
        <w:tc>
          <w:tcPr>
            <w:tcW w:w="3100" w:type="dxa"/>
            <w:gridSpan w:val="2"/>
            <w:noWrap w:val="0"/>
            <w:vAlign w:val="center"/>
          </w:tcPr>
          <w:p w14:paraId="71F0E04E">
            <w:pPr>
              <w:jc w:val="center"/>
              <w:rPr>
                <w:rFonts w:ascii="宋体" w:hAnsi="宋体" w:cs="宋体"/>
                <w:color w:val="auto"/>
                <w:kern w:val="21"/>
                <w:szCs w:val="21"/>
                <w:highlight w:val="none"/>
              </w:rPr>
            </w:pPr>
            <w:r>
              <w:rPr>
                <w:rFonts w:hint="eastAsia" w:ascii="宋体" w:hAnsi="宋体" w:cs="宋体"/>
                <w:color w:val="auto"/>
                <w:kern w:val="21"/>
                <w:szCs w:val="21"/>
                <w:highlight w:val="none"/>
              </w:rPr>
              <w:t>货物型号规格、标准及配置</w:t>
            </w:r>
          </w:p>
          <w:p w14:paraId="3F338BA2">
            <w:pPr>
              <w:jc w:val="center"/>
              <w:rPr>
                <w:rFonts w:ascii="宋体" w:hAnsi="宋体" w:cs="宋体"/>
                <w:color w:val="auto"/>
                <w:kern w:val="21"/>
                <w:szCs w:val="21"/>
                <w:highlight w:val="none"/>
              </w:rPr>
            </w:pPr>
            <w:r>
              <w:rPr>
                <w:rFonts w:hint="eastAsia" w:ascii="宋体" w:hAnsi="宋体" w:cs="宋体"/>
                <w:color w:val="auto"/>
                <w:kern w:val="21"/>
                <w:szCs w:val="21"/>
                <w:highlight w:val="none"/>
              </w:rPr>
              <w:t>（或服务内容、标准）</w:t>
            </w:r>
          </w:p>
        </w:tc>
        <w:tc>
          <w:tcPr>
            <w:tcW w:w="860" w:type="dxa"/>
            <w:gridSpan w:val="2"/>
            <w:noWrap w:val="0"/>
            <w:vAlign w:val="center"/>
          </w:tcPr>
          <w:p w14:paraId="36D0F76A">
            <w:pPr>
              <w:jc w:val="center"/>
              <w:rPr>
                <w:rFonts w:ascii="宋体" w:hAnsi="宋体" w:cs="宋体"/>
                <w:color w:val="auto"/>
                <w:kern w:val="21"/>
                <w:szCs w:val="21"/>
                <w:highlight w:val="none"/>
              </w:rPr>
            </w:pPr>
            <w:r>
              <w:rPr>
                <w:rFonts w:hint="eastAsia" w:ascii="宋体" w:hAnsi="宋体" w:cs="宋体"/>
                <w:color w:val="auto"/>
                <w:kern w:val="21"/>
                <w:szCs w:val="21"/>
                <w:highlight w:val="none"/>
              </w:rPr>
              <w:t>数量</w:t>
            </w:r>
          </w:p>
        </w:tc>
        <w:tc>
          <w:tcPr>
            <w:tcW w:w="893" w:type="dxa"/>
            <w:tcBorders>
              <w:right w:val="single" w:color="auto" w:sz="4" w:space="0"/>
            </w:tcBorders>
            <w:noWrap w:val="0"/>
            <w:vAlign w:val="center"/>
          </w:tcPr>
          <w:p w14:paraId="099CE55F">
            <w:pPr>
              <w:jc w:val="center"/>
              <w:rPr>
                <w:rFonts w:ascii="宋体" w:hAnsi="宋体" w:cs="宋体"/>
                <w:color w:val="auto"/>
                <w:kern w:val="21"/>
                <w:szCs w:val="21"/>
                <w:highlight w:val="none"/>
              </w:rPr>
            </w:pPr>
            <w:r>
              <w:rPr>
                <w:rFonts w:hint="eastAsia" w:ascii="宋体" w:hAnsi="宋体" w:cs="宋体"/>
                <w:color w:val="auto"/>
                <w:kern w:val="21"/>
                <w:szCs w:val="21"/>
                <w:highlight w:val="none"/>
              </w:rPr>
              <w:t>金额</w:t>
            </w:r>
          </w:p>
        </w:tc>
        <w:tc>
          <w:tcPr>
            <w:tcW w:w="1297" w:type="dxa"/>
            <w:tcBorders>
              <w:left w:val="single" w:color="auto" w:sz="4" w:space="0"/>
            </w:tcBorders>
            <w:noWrap w:val="0"/>
            <w:vAlign w:val="center"/>
          </w:tcPr>
          <w:p w14:paraId="542A2C0A">
            <w:pPr>
              <w:jc w:val="center"/>
              <w:rPr>
                <w:rFonts w:ascii="宋体" w:hAnsi="宋体" w:cs="宋体"/>
                <w:color w:val="auto"/>
                <w:kern w:val="21"/>
                <w:szCs w:val="21"/>
                <w:highlight w:val="none"/>
              </w:rPr>
            </w:pPr>
            <w:r>
              <w:rPr>
                <w:rFonts w:hint="eastAsia" w:ascii="宋体" w:hAnsi="宋体" w:cs="宋体"/>
                <w:color w:val="auto"/>
                <w:kern w:val="21"/>
                <w:szCs w:val="21"/>
                <w:highlight w:val="none"/>
              </w:rPr>
              <w:t>与合同约定</w:t>
            </w:r>
          </w:p>
          <w:p w14:paraId="5F49044F">
            <w:pPr>
              <w:jc w:val="center"/>
              <w:rPr>
                <w:rFonts w:ascii="宋体" w:hAnsi="宋体" w:cs="宋体"/>
                <w:color w:val="auto"/>
                <w:kern w:val="21"/>
                <w:szCs w:val="21"/>
                <w:highlight w:val="none"/>
              </w:rPr>
            </w:pPr>
            <w:r>
              <w:rPr>
                <w:rFonts w:hint="eastAsia" w:ascii="宋体" w:hAnsi="宋体" w:cs="宋体"/>
                <w:color w:val="auto"/>
                <w:kern w:val="21"/>
                <w:szCs w:val="21"/>
                <w:highlight w:val="none"/>
              </w:rPr>
              <w:t>是否一致</w:t>
            </w:r>
          </w:p>
        </w:tc>
      </w:tr>
      <w:tr w14:paraId="05018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799B060">
            <w:pPr>
              <w:rPr>
                <w:rFonts w:ascii="宋体" w:hAnsi="宋体" w:cs="宋体"/>
                <w:color w:val="auto"/>
                <w:kern w:val="21"/>
                <w:szCs w:val="21"/>
                <w:highlight w:val="none"/>
              </w:rPr>
            </w:pPr>
          </w:p>
        </w:tc>
        <w:tc>
          <w:tcPr>
            <w:tcW w:w="2705" w:type="dxa"/>
            <w:gridSpan w:val="2"/>
            <w:tcBorders>
              <w:left w:val="single" w:color="auto" w:sz="4" w:space="0"/>
            </w:tcBorders>
            <w:noWrap w:val="0"/>
            <w:vAlign w:val="center"/>
          </w:tcPr>
          <w:p w14:paraId="072EB7EA">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noWrap w:val="0"/>
            <w:vAlign w:val="center"/>
          </w:tcPr>
          <w:p w14:paraId="0285A6A0">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noWrap w:val="0"/>
            <w:vAlign w:val="center"/>
          </w:tcPr>
          <w:p w14:paraId="395DB8ED">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noWrap w:val="0"/>
            <w:vAlign w:val="center"/>
          </w:tcPr>
          <w:p w14:paraId="4616B34E">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noWrap w:val="0"/>
            <w:vAlign w:val="center"/>
          </w:tcPr>
          <w:p w14:paraId="49F70F28">
            <w:pPr>
              <w:rPr>
                <w:rFonts w:ascii="宋体" w:hAnsi="宋体" w:cs="宋体"/>
                <w:color w:val="auto"/>
                <w:kern w:val="21"/>
                <w:szCs w:val="21"/>
                <w:highlight w:val="none"/>
              </w:rPr>
            </w:pPr>
          </w:p>
        </w:tc>
      </w:tr>
      <w:tr w14:paraId="2B810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C0CB9B8">
            <w:pPr>
              <w:rPr>
                <w:rFonts w:ascii="宋体" w:hAnsi="宋体" w:cs="宋体"/>
                <w:color w:val="auto"/>
                <w:kern w:val="21"/>
                <w:szCs w:val="21"/>
                <w:highlight w:val="none"/>
              </w:rPr>
            </w:pPr>
          </w:p>
        </w:tc>
        <w:tc>
          <w:tcPr>
            <w:tcW w:w="2705" w:type="dxa"/>
            <w:gridSpan w:val="2"/>
            <w:tcBorders>
              <w:left w:val="single" w:color="auto" w:sz="4" w:space="0"/>
            </w:tcBorders>
            <w:noWrap w:val="0"/>
            <w:vAlign w:val="center"/>
          </w:tcPr>
          <w:p w14:paraId="5AB8471B">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noWrap w:val="0"/>
            <w:vAlign w:val="center"/>
          </w:tcPr>
          <w:p w14:paraId="7A17DECE">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noWrap w:val="0"/>
            <w:vAlign w:val="center"/>
          </w:tcPr>
          <w:p w14:paraId="663AB6AD">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noWrap w:val="0"/>
            <w:vAlign w:val="center"/>
          </w:tcPr>
          <w:p w14:paraId="7C1F6A7D">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noWrap w:val="0"/>
            <w:vAlign w:val="center"/>
          </w:tcPr>
          <w:p w14:paraId="57D99433">
            <w:pPr>
              <w:rPr>
                <w:rFonts w:ascii="宋体" w:hAnsi="宋体" w:cs="宋体"/>
                <w:color w:val="auto"/>
                <w:kern w:val="21"/>
                <w:szCs w:val="21"/>
                <w:highlight w:val="none"/>
              </w:rPr>
            </w:pPr>
          </w:p>
        </w:tc>
      </w:tr>
      <w:tr w14:paraId="4A4FF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EFE0B83">
            <w:pPr>
              <w:rPr>
                <w:rFonts w:ascii="宋体" w:hAnsi="宋体" w:cs="宋体"/>
                <w:color w:val="auto"/>
                <w:kern w:val="21"/>
                <w:szCs w:val="21"/>
                <w:highlight w:val="none"/>
              </w:rPr>
            </w:pPr>
          </w:p>
        </w:tc>
        <w:tc>
          <w:tcPr>
            <w:tcW w:w="2705" w:type="dxa"/>
            <w:gridSpan w:val="2"/>
            <w:tcBorders>
              <w:left w:val="single" w:color="auto" w:sz="4" w:space="0"/>
            </w:tcBorders>
            <w:noWrap w:val="0"/>
            <w:vAlign w:val="center"/>
          </w:tcPr>
          <w:p w14:paraId="28B14808">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noWrap w:val="0"/>
            <w:vAlign w:val="center"/>
          </w:tcPr>
          <w:p w14:paraId="22B2406F">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noWrap w:val="0"/>
            <w:vAlign w:val="center"/>
          </w:tcPr>
          <w:p w14:paraId="228CFDA3">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noWrap w:val="0"/>
            <w:vAlign w:val="center"/>
          </w:tcPr>
          <w:p w14:paraId="6AADA36A">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noWrap w:val="0"/>
            <w:vAlign w:val="center"/>
          </w:tcPr>
          <w:p w14:paraId="28E70F79">
            <w:pPr>
              <w:rPr>
                <w:rFonts w:ascii="宋体" w:hAnsi="宋体" w:cs="宋体"/>
                <w:color w:val="auto"/>
                <w:kern w:val="21"/>
                <w:szCs w:val="21"/>
                <w:highlight w:val="none"/>
              </w:rPr>
            </w:pPr>
          </w:p>
        </w:tc>
      </w:tr>
      <w:tr w14:paraId="54606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453A65C7">
            <w:pPr>
              <w:rPr>
                <w:rFonts w:ascii="宋体" w:hAnsi="宋体" w:cs="宋体"/>
                <w:color w:val="auto"/>
                <w:kern w:val="21"/>
                <w:szCs w:val="21"/>
                <w:highlight w:val="none"/>
              </w:rPr>
            </w:pPr>
          </w:p>
        </w:tc>
        <w:tc>
          <w:tcPr>
            <w:tcW w:w="2705" w:type="dxa"/>
            <w:gridSpan w:val="2"/>
            <w:tcBorders>
              <w:left w:val="single" w:color="auto" w:sz="4" w:space="0"/>
            </w:tcBorders>
            <w:noWrap w:val="0"/>
            <w:vAlign w:val="center"/>
          </w:tcPr>
          <w:p w14:paraId="20E5D292">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3100" w:type="dxa"/>
            <w:gridSpan w:val="2"/>
            <w:noWrap w:val="0"/>
            <w:vAlign w:val="center"/>
          </w:tcPr>
          <w:p w14:paraId="7ECA9EF0">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60" w:type="dxa"/>
            <w:gridSpan w:val="2"/>
            <w:noWrap w:val="0"/>
            <w:vAlign w:val="center"/>
          </w:tcPr>
          <w:p w14:paraId="202FA54B">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893" w:type="dxa"/>
            <w:tcBorders>
              <w:right w:val="single" w:color="auto" w:sz="4" w:space="0"/>
            </w:tcBorders>
            <w:noWrap w:val="0"/>
            <w:vAlign w:val="center"/>
          </w:tcPr>
          <w:p w14:paraId="036FEB2C">
            <w:pPr>
              <w:rPr>
                <w:rFonts w:ascii="宋体" w:hAnsi="宋体" w:cs="宋体"/>
                <w:color w:val="auto"/>
                <w:kern w:val="21"/>
                <w:szCs w:val="21"/>
                <w:highlight w:val="none"/>
              </w:rPr>
            </w:pPr>
            <w:r>
              <w:rPr>
                <w:rFonts w:hint="eastAsia" w:ascii="宋体" w:hAnsi="宋体" w:cs="宋体"/>
                <w:color w:val="auto"/>
                <w:kern w:val="21"/>
                <w:szCs w:val="21"/>
                <w:highlight w:val="none"/>
              </w:rPr>
              <w:t> </w:t>
            </w:r>
          </w:p>
        </w:tc>
        <w:tc>
          <w:tcPr>
            <w:tcW w:w="1297" w:type="dxa"/>
            <w:tcBorders>
              <w:left w:val="single" w:color="auto" w:sz="4" w:space="0"/>
            </w:tcBorders>
            <w:noWrap w:val="0"/>
            <w:vAlign w:val="center"/>
          </w:tcPr>
          <w:p w14:paraId="72743C60">
            <w:pPr>
              <w:rPr>
                <w:rFonts w:ascii="宋体" w:hAnsi="宋体" w:cs="宋体"/>
                <w:color w:val="auto"/>
                <w:kern w:val="21"/>
                <w:szCs w:val="21"/>
                <w:highlight w:val="none"/>
              </w:rPr>
            </w:pPr>
          </w:p>
        </w:tc>
      </w:tr>
      <w:tr w14:paraId="609872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24EA9B88">
            <w:pPr>
              <w:rPr>
                <w:rFonts w:ascii="宋体" w:hAnsi="宋体" w:cs="宋体"/>
                <w:color w:val="auto"/>
                <w:kern w:val="21"/>
                <w:szCs w:val="21"/>
                <w:highlight w:val="none"/>
              </w:rPr>
            </w:pPr>
          </w:p>
        </w:tc>
        <w:tc>
          <w:tcPr>
            <w:tcW w:w="2705" w:type="dxa"/>
            <w:gridSpan w:val="2"/>
            <w:tcBorders>
              <w:left w:val="single" w:color="auto" w:sz="4" w:space="0"/>
            </w:tcBorders>
            <w:noWrap w:val="0"/>
            <w:vAlign w:val="center"/>
          </w:tcPr>
          <w:p w14:paraId="5E270DBA">
            <w:pPr>
              <w:rPr>
                <w:rFonts w:ascii="宋体" w:hAnsi="宋体" w:cs="宋体"/>
                <w:color w:val="auto"/>
                <w:kern w:val="21"/>
                <w:szCs w:val="21"/>
                <w:highlight w:val="none"/>
              </w:rPr>
            </w:pPr>
          </w:p>
        </w:tc>
        <w:tc>
          <w:tcPr>
            <w:tcW w:w="3100" w:type="dxa"/>
            <w:gridSpan w:val="2"/>
            <w:noWrap w:val="0"/>
            <w:vAlign w:val="center"/>
          </w:tcPr>
          <w:p w14:paraId="3FDF9C1B">
            <w:pPr>
              <w:rPr>
                <w:rFonts w:ascii="宋体" w:hAnsi="宋体" w:cs="宋体"/>
                <w:color w:val="auto"/>
                <w:kern w:val="21"/>
                <w:szCs w:val="21"/>
                <w:highlight w:val="none"/>
              </w:rPr>
            </w:pPr>
          </w:p>
        </w:tc>
        <w:tc>
          <w:tcPr>
            <w:tcW w:w="860" w:type="dxa"/>
            <w:gridSpan w:val="2"/>
            <w:noWrap w:val="0"/>
            <w:vAlign w:val="center"/>
          </w:tcPr>
          <w:p w14:paraId="6FDD6E60">
            <w:pPr>
              <w:rPr>
                <w:rFonts w:ascii="宋体" w:hAnsi="宋体" w:cs="宋体"/>
                <w:color w:val="auto"/>
                <w:kern w:val="21"/>
                <w:szCs w:val="21"/>
                <w:highlight w:val="none"/>
              </w:rPr>
            </w:pPr>
          </w:p>
        </w:tc>
        <w:tc>
          <w:tcPr>
            <w:tcW w:w="893" w:type="dxa"/>
            <w:tcBorders>
              <w:right w:val="single" w:color="auto" w:sz="4" w:space="0"/>
            </w:tcBorders>
            <w:noWrap w:val="0"/>
            <w:vAlign w:val="center"/>
          </w:tcPr>
          <w:p w14:paraId="60B0B6BE">
            <w:pPr>
              <w:rPr>
                <w:rFonts w:ascii="宋体" w:hAnsi="宋体" w:cs="宋体"/>
                <w:color w:val="auto"/>
                <w:kern w:val="21"/>
                <w:szCs w:val="21"/>
                <w:highlight w:val="none"/>
              </w:rPr>
            </w:pPr>
          </w:p>
        </w:tc>
        <w:tc>
          <w:tcPr>
            <w:tcW w:w="1297" w:type="dxa"/>
            <w:tcBorders>
              <w:left w:val="single" w:color="auto" w:sz="4" w:space="0"/>
            </w:tcBorders>
            <w:noWrap w:val="0"/>
            <w:vAlign w:val="center"/>
          </w:tcPr>
          <w:p w14:paraId="07B08932">
            <w:pPr>
              <w:rPr>
                <w:rFonts w:ascii="宋体" w:hAnsi="宋体" w:cs="宋体"/>
                <w:color w:val="auto"/>
                <w:kern w:val="21"/>
                <w:szCs w:val="21"/>
                <w:highlight w:val="none"/>
              </w:rPr>
            </w:pPr>
          </w:p>
        </w:tc>
      </w:tr>
      <w:tr w14:paraId="0C47E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2507E648">
            <w:pPr>
              <w:rPr>
                <w:rFonts w:ascii="宋体" w:hAnsi="宋体" w:cs="宋体"/>
                <w:color w:val="auto"/>
                <w:kern w:val="21"/>
                <w:szCs w:val="21"/>
                <w:highlight w:val="none"/>
              </w:rPr>
            </w:pPr>
            <w:r>
              <w:rPr>
                <w:rFonts w:hint="eastAsia" w:ascii="宋体" w:hAnsi="宋体" w:cs="宋体"/>
                <w:color w:val="auto"/>
                <w:kern w:val="21"/>
                <w:szCs w:val="21"/>
                <w:highlight w:val="none"/>
              </w:rPr>
              <w:t>合     计</w:t>
            </w:r>
          </w:p>
        </w:tc>
        <w:tc>
          <w:tcPr>
            <w:tcW w:w="860" w:type="dxa"/>
            <w:gridSpan w:val="2"/>
            <w:noWrap w:val="0"/>
            <w:vAlign w:val="center"/>
          </w:tcPr>
          <w:p w14:paraId="69AF0148">
            <w:pPr>
              <w:rPr>
                <w:rFonts w:ascii="宋体" w:hAnsi="宋体" w:cs="宋体"/>
                <w:color w:val="auto"/>
                <w:kern w:val="21"/>
                <w:szCs w:val="21"/>
                <w:highlight w:val="none"/>
              </w:rPr>
            </w:pPr>
          </w:p>
        </w:tc>
        <w:tc>
          <w:tcPr>
            <w:tcW w:w="893" w:type="dxa"/>
            <w:tcBorders>
              <w:right w:val="single" w:color="auto" w:sz="4" w:space="0"/>
            </w:tcBorders>
            <w:noWrap w:val="0"/>
            <w:vAlign w:val="center"/>
          </w:tcPr>
          <w:p w14:paraId="70D90B3C">
            <w:pPr>
              <w:rPr>
                <w:rFonts w:ascii="宋体" w:hAnsi="宋体" w:cs="宋体"/>
                <w:color w:val="auto"/>
                <w:kern w:val="21"/>
                <w:szCs w:val="21"/>
                <w:highlight w:val="none"/>
              </w:rPr>
            </w:pPr>
          </w:p>
        </w:tc>
        <w:tc>
          <w:tcPr>
            <w:tcW w:w="1297" w:type="dxa"/>
            <w:tcBorders>
              <w:left w:val="single" w:color="auto" w:sz="4" w:space="0"/>
            </w:tcBorders>
            <w:noWrap w:val="0"/>
            <w:vAlign w:val="center"/>
          </w:tcPr>
          <w:p w14:paraId="61F85447">
            <w:pPr>
              <w:rPr>
                <w:rFonts w:ascii="宋体" w:hAnsi="宋体" w:cs="宋体"/>
                <w:color w:val="auto"/>
                <w:kern w:val="21"/>
                <w:szCs w:val="21"/>
                <w:highlight w:val="none"/>
              </w:rPr>
            </w:pPr>
          </w:p>
        </w:tc>
      </w:tr>
      <w:tr w14:paraId="52B3E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56BD2122">
            <w:pPr>
              <w:rPr>
                <w:rFonts w:ascii="宋体" w:hAnsi="宋体" w:cs="宋体"/>
                <w:color w:val="auto"/>
                <w:kern w:val="21"/>
                <w:szCs w:val="21"/>
                <w:highlight w:val="none"/>
              </w:rPr>
            </w:pPr>
            <w:r>
              <w:rPr>
                <w:rFonts w:hint="eastAsia" w:ascii="宋体" w:hAnsi="宋体" w:cs="宋体"/>
                <w:color w:val="auto"/>
                <w:kern w:val="21"/>
                <w:szCs w:val="21"/>
                <w:highlight w:val="none"/>
              </w:rPr>
              <w:t>合 计 大 写 金 额 ：人民币                             元</w:t>
            </w:r>
          </w:p>
        </w:tc>
      </w:tr>
      <w:tr w14:paraId="1E40F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34CB8DEE">
            <w:pPr>
              <w:rPr>
                <w:rFonts w:ascii="宋体" w:hAnsi="宋体" w:cs="宋体"/>
                <w:color w:val="auto"/>
                <w:kern w:val="21"/>
                <w:szCs w:val="21"/>
                <w:highlight w:val="none"/>
              </w:rPr>
            </w:pPr>
            <w:r>
              <w:rPr>
                <w:rFonts w:hint="eastAsia" w:ascii="宋体" w:hAnsi="宋体" w:cs="宋体"/>
                <w:color w:val="auto"/>
                <w:kern w:val="21"/>
                <w:szCs w:val="21"/>
                <w:highlight w:val="none"/>
              </w:rPr>
              <w:t>实际供货日期</w:t>
            </w:r>
          </w:p>
        </w:tc>
        <w:tc>
          <w:tcPr>
            <w:tcW w:w="3239" w:type="dxa"/>
            <w:gridSpan w:val="2"/>
            <w:noWrap w:val="0"/>
            <w:vAlign w:val="center"/>
          </w:tcPr>
          <w:p w14:paraId="69E7874C">
            <w:pPr>
              <w:rPr>
                <w:rFonts w:ascii="宋体" w:hAnsi="宋体" w:cs="宋体"/>
                <w:color w:val="auto"/>
                <w:kern w:val="21"/>
                <w:szCs w:val="21"/>
                <w:highlight w:val="none"/>
              </w:rPr>
            </w:pPr>
          </w:p>
        </w:tc>
        <w:tc>
          <w:tcPr>
            <w:tcW w:w="1835" w:type="dxa"/>
            <w:gridSpan w:val="2"/>
            <w:noWrap w:val="0"/>
            <w:vAlign w:val="center"/>
          </w:tcPr>
          <w:p w14:paraId="6E9E5B7A">
            <w:pPr>
              <w:rPr>
                <w:rFonts w:ascii="宋体" w:hAnsi="宋体" w:cs="宋体"/>
                <w:color w:val="auto"/>
                <w:kern w:val="21"/>
                <w:szCs w:val="21"/>
                <w:highlight w:val="none"/>
              </w:rPr>
            </w:pPr>
            <w:r>
              <w:rPr>
                <w:rFonts w:hint="eastAsia" w:ascii="宋体" w:hAnsi="宋体" w:cs="宋体"/>
                <w:color w:val="auto"/>
                <w:kern w:val="21"/>
                <w:szCs w:val="21"/>
                <w:highlight w:val="none"/>
              </w:rPr>
              <w:t>合同交货验收日期</w:t>
            </w:r>
          </w:p>
        </w:tc>
        <w:tc>
          <w:tcPr>
            <w:tcW w:w="3037" w:type="dxa"/>
            <w:gridSpan w:val="3"/>
            <w:noWrap w:val="0"/>
            <w:vAlign w:val="center"/>
          </w:tcPr>
          <w:p w14:paraId="210F9C7A">
            <w:pPr>
              <w:rPr>
                <w:rFonts w:ascii="宋体" w:hAnsi="宋体" w:cs="宋体"/>
                <w:color w:val="auto"/>
                <w:kern w:val="21"/>
                <w:szCs w:val="21"/>
                <w:highlight w:val="none"/>
              </w:rPr>
            </w:pPr>
          </w:p>
        </w:tc>
      </w:tr>
      <w:tr w14:paraId="3878E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4211479F">
            <w:pPr>
              <w:rPr>
                <w:rFonts w:ascii="宋体" w:hAnsi="宋体" w:cs="宋体"/>
                <w:color w:val="auto"/>
                <w:kern w:val="21"/>
                <w:szCs w:val="21"/>
                <w:highlight w:val="none"/>
              </w:rPr>
            </w:pPr>
            <w:r>
              <w:rPr>
                <w:rFonts w:hint="eastAsia" w:ascii="宋体" w:hAnsi="宋体" w:cs="宋体"/>
                <w:color w:val="auto"/>
                <w:kern w:val="21"/>
                <w:szCs w:val="21"/>
                <w:highlight w:val="none"/>
              </w:rPr>
              <w:t>验收具体内容</w:t>
            </w:r>
          </w:p>
        </w:tc>
        <w:tc>
          <w:tcPr>
            <w:tcW w:w="8111" w:type="dxa"/>
            <w:gridSpan w:val="7"/>
            <w:noWrap w:val="0"/>
            <w:tcMar>
              <w:top w:w="0" w:type="dxa"/>
              <w:left w:w="108" w:type="dxa"/>
              <w:bottom w:w="0" w:type="dxa"/>
              <w:right w:w="108" w:type="dxa"/>
            </w:tcMar>
            <w:vAlign w:val="center"/>
          </w:tcPr>
          <w:p w14:paraId="27E1C672">
            <w:pPr>
              <w:rPr>
                <w:rFonts w:ascii="宋体" w:hAnsi="宋体" w:cs="宋体"/>
                <w:color w:val="auto"/>
                <w:kern w:val="21"/>
                <w:szCs w:val="21"/>
                <w:highlight w:val="none"/>
              </w:rPr>
            </w:pPr>
            <w:r>
              <w:rPr>
                <w:rFonts w:hint="eastAsia" w:ascii="宋体" w:hAnsi="宋体" w:cs="宋体"/>
                <w:color w:val="auto"/>
                <w:kern w:val="21"/>
                <w:szCs w:val="21"/>
                <w:highlight w:val="none"/>
              </w:rPr>
              <w:t>（应按采购合同、采购文件、响应文件及验收方案等进行验收；并核对中标或成交供应商在安装调试等方面是否违反合同约定或服务规范要求、提供的质量保证证明材料是否齐全、应有的配件及附件是否达到合同约定等。可附件）</w:t>
            </w:r>
          </w:p>
        </w:tc>
      </w:tr>
      <w:tr w14:paraId="6969B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27667CA7">
            <w:pPr>
              <w:rPr>
                <w:rFonts w:ascii="宋体" w:hAnsi="宋体" w:cs="宋体"/>
                <w:color w:val="auto"/>
                <w:kern w:val="21"/>
                <w:szCs w:val="21"/>
                <w:highlight w:val="none"/>
              </w:rPr>
            </w:pPr>
            <w:r>
              <w:rPr>
                <w:rFonts w:hint="eastAsia" w:ascii="宋体" w:hAnsi="宋体" w:cs="宋体"/>
                <w:color w:val="auto"/>
                <w:kern w:val="21"/>
                <w:szCs w:val="21"/>
                <w:highlight w:val="none"/>
              </w:rPr>
              <w:t>验收小组意见</w:t>
            </w:r>
          </w:p>
        </w:tc>
        <w:tc>
          <w:tcPr>
            <w:tcW w:w="8111" w:type="dxa"/>
            <w:gridSpan w:val="7"/>
            <w:tcBorders>
              <w:bottom w:val="single" w:color="auto" w:sz="4" w:space="0"/>
            </w:tcBorders>
            <w:noWrap w:val="0"/>
            <w:vAlign w:val="center"/>
          </w:tcPr>
          <w:p w14:paraId="3A7D4707">
            <w:pPr>
              <w:rPr>
                <w:rFonts w:ascii="宋体" w:hAnsi="宋体" w:cs="宋体"/>
                <w:color w:val="auto"/>
                <w:kern w:val="21"/>
                <w:szCs w:val="21"/>
                <w:highlight w:val="none"/>
              </w:rPr>
            </w:pPr>
            <w:r>
              <w:rPr>
                <w:rFonts w:hint="eastAsia" w:ascii="宋体" w:hAnsi="宋体" w:cs="宋体"/>
                <w:color w:val="auto"/>
                <w:kern w:val="21"/>
                <w:szCs w:val="21"/>
                <w:highlight w:val="none"/>
              </w:rPr>
              <w:t>验收结论性意见：</w:t>
            </w:r>
          </w:p>
          <w:p w14:paraId="4FB924C8">
            <w:pPr>
              <w:rPr>
                <w:rFonts w:ascii="宋体" w:hAnsi="宋体" w:cs="宋体"/>
                <w:color w:val="auto"/>
                <w:kern w:val="21"/>
                <w:szCs w:val="21"/>
                <w:highlight w:val="none"/>
              </w:rPr>
            </w:pPr>
          </w:p>
          <w:p w14:paraId="717E56AA">
            <w:pPr>
              <w:rPr>
                <w:rFonts w:ascii="宋体" w:hAnsi="宋体" w:cs="宋体"/>
                <w:color w:val="auto"/>
                <w:kern w:val="21"/>
                <w:szCs w:val="21"/>
                <w:highlight w:val="none"/>
              </w:rPr>
            </w:pPr>
          </w:p>
        </w:tc>
      </w:tr>
      <w:tr w14:paraId="73AC1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734586A6">
            <w:pPr>
              <w:rPr>
                <w:rFonts w:ascii="宋体" w:hAnsi="宋体" w:cs="宋体"/>
                <w:color w:val="auto"/>
                <w:kern w:val="21"/>
                <w:szCs w:val="21"/>
                <w:highlight w:val="none"/>
              </w:rPr>
            </w:pPr>
          </w:p>
        </w:tc>
        <w:tc>
          <w:tcPr>
            <w:tcW w:w="8111" w:type="dxa"/>
            <w:gridSpan w:val="7"/>
            <w:tcBorders>
              <w:top w:val="single" w:color="auto" w:sz="4" w:space="0"/>
            </w:tcBorders>
            <w:noWrap w:val="0"/>
            <w:vAlign w:val="center"/>
          </w:tcPr>
          <w:p w14:paraId="573F864D">
            <w:pPr>
              <w:rPr>
                <w:rFonts w:ascii="宋体" w:hAnsi="宋体" w:cs="宋体"/>
                <w:color w:val="auto"/>
                <w:kern w:val="21"/>
                <w:szCs w:val="21"/>
                <w:highlight w:val="none"/>
              </w:rPr>
            </w:pPr>
            <w:r>
              <w:rPr>
                <w:rFonts w:hint="eastAsia" w:ascii="宋体" w:hAnsi="宋体" w:cs="宋体"/>
                <w:color w:val="auto"/>
                <w:kern w:val="21"/>
                <w:szCs w:val="21"/>
                <w:highlight w:val="none"/>
              </w:rPr>
              <w:t>有异议的意见和说明理由：</w:t>
            </w:r>
          </w:p>
          <w:p w14:paraId="1BDD62E4">
            <w:pPr>
              <w:rPr>
                <w:rFonts w:ascii="宋体" w:hAnsi="宋体" w:cs="宋体"/>
                <w:color w:val="auto"/>
                <w:kern w:val="21"/>
                <w:szCs w:val="21"/>
                <w:highlight w:val="none"/>
              </w:rPr>
            </w:pPr>
          </w:p>
          <w:p w14:paraId="09578A8F">
            <w:pPr>
              <w:rPr>
                <w:rFonts w:ascii="宋体" w:hAnsi="宋体" w:cs="宋体"/>
                <w:color w:val="auto"/>
                <w:kern w:val="21"/>
                <w:szCs w:val="21"/>
                <w:highlight w:val="none"/>
              </w:rPr>
            </w:pPr>
          </w:p>
        </w:tc>
      </w:tr>
      <w:tr w14:paraId="5097C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50B7CB14">
            <w:pPr>
              <w:rPr>
                <w:rFonts w:ascii="宋体" w:hAnsi="宋体" w:cs="宋体"/>
                <w:color w:val="auto"/>
                <w:kern w:val="21"/>
                <w:szCs w:val="21"/>
                <w:highlight w:val="none"/>
              </w:rPr>
            </w:pPr>
            <w:r>
              <w:rPr>
                <w:rFonts w:hint="eastAsia" w:ascii="宋体" w:hAnsi="宋体" w:cs="宋体"/>
                <w:color w:val="auto"/>
                <w:kern w:val="21"/>
                <w:szCs w:val="21"/>
                <w:highlight w:val="none"/>
              </w:rPr>
              <w:t>验收小组成员签字：</w:t>
            </w:r>
          </w:p>
        </w:tc>
      </w:tr>
      <w:tr w14:paraId="30AD0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5C51840D">
            <w:pPr>
              <w:rPr>
                <w:rFonts w:ascii="宋体" w:hAnsi="宋体" w:cs="宋体"/>
                <w:color w:val="auto"/>
                <w:kern w:val="21"/>
                <w:szCs w:val="21"/>
                <w:highlight w:val="none"/>
              </w:rPr>
            </w:pPr>
            <w:r>
              <w:rPr>
                <w:rFonts w:hint="eastAsia" w:ascii="宋体" w:hAnsi="宋体" w:cs="宋体"/>
                <w:color w:val="auto"/>
                <w:kern w:val="21"/>
                <w:szCs w:val="21"/>
                <w:highlight w:val="none"/>
              </w:rPr>
              <w:t>参与验收其他或监督人员签字：</w:t>
            </w:r>
          </w:p>
        </w:tc>
      </w:tr>
      <w:tr w14:paraId="289D8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5DC496D4">
            <w:pPr>
              <w:rPr>
                <w:rFonts w:ascii="宋体" w:hAnsi="宋体" w:cs="宋体"/>
                <w:color w:val="auto"/>
                <w:kern w:val="21"/>
                <w:szCs w:val="21"/>
                <w:highlight w:val="none"/>
              </w:rPr>
            </w:pPr>
            <w:r>
              <w:rPr>
                <w:rFonts w:hint="eastAsia" w:ascii="宋体" w:hAnsi="宋体" w:cs="宋体"/>
                <w:color w:val="auto"/>
                <w:kern w:val="21"/>
                <w:szCs w:val="21"/>
                <w:highlight w:val="none"/>
              </w:rPr>
              <w:t>中标（或成交）供应商签字或盖章：</w:t>
            </w:r>
          </w:p>
          <w:p w14:paraId="4207FF3A">
            <w:pPr>
              <w:rPr>
                <w:rFonts w:ascii="宋体" w:hAnsi="宋体" w:cs="宋体"/>
                <w:color w:val="auto"/>
                <w:kern w:val="21"/>
                <w:szCs w:val="21"/>
                <w:highlight w:val="none"/>
              </w:rPr>
            </w:pPr>
          </w:p>
          <w:p w14:paraId="37E64193">
            <w:pPr>
              <w:rPr>
                <w:rFonts w:ascii="宋体" w:hAnsi="宋体" w:cs="宋体"/>
                <w:color w:val="auto"/>
                <w:kern w:val="21"/>
                <w:szCs w:val="21"/>
                <w:highlight w:val="none"/>
              </w:rPr>
            </w:pPr>
            <w:r>
              <w:rPr>
                <w:rFonts w:hint="eastAsia" w:ascii="宋体" w:hAnsi="宋体" w:cs="宋体"/>
                <w:color w:val="auto"/>
                <w:kern w:val="21"/>
                <w:szCs w:val="21"/>
                <w:highlight w:val="none"/>
              </w:rPr>
              <w:t>联系电话：</w:t>
            </w:r>
          </w:p>
          <w:p w14:paraId="3E4A4C76">
            <w:pPr>
              <w:rPr>
                <w:rFonts w:ascii="宋体" w:hAnsi="宋体" w:cs="宋体"/>
                <w:color w:val="auto"/>
                <w:kern w:val="21"/>
                <w:szCs w:val="21"/>
                <w:highlight w:val="none"/>
              </w:rPr>
            </w:pPr>
          </w:p>
          <w:p w14:paraId="27A9999A">
            <w:pPr>
              <w:rPr>
                <w:rFonts w:ascii="宋体" w:hAnsi="宋体" w:cs="宋体"/>
                <w:color w:val="auto"/>
                <w:kern w:val="21"/>
                <w:szCs w:val="21"/>
                <w:highlight w:val="none"/>
              </w:rPr>
            </w:pPr>
            <w:r>
              <w:rPr>
                <w:rFonts w:hint="eastAsia" w:ascii="宋体" w:hAnsi="宋体" w:cs="宋体"/>
                <w:color w:val="auto"/>
                <w:kern w:val="21"/>
                <w:szCs w:val="21"/>
                <w:highlight w:val="none"/>
              </w:rPr>
              <w:t>                            年  月   日</w:t>
            </w:r>
          </w:p>
        </w:tc>
        <w:tc>
          <w:tcPr>
            <w:tcW w:w="4872" w:type="dxa"/>
            <w:gridSpan w:val="5"/>
            <w:noWrap w:val="0"/>
            <w:vAlign w:val="center"/>
          </w:tcPr>
          <w:p w14:paraId="59899F31">
            <w:pPr>
              <w:rPr>
                <w:rFonts w:ascii="宋体" w:hAnsi="宋体" w:cs="宋体"/>
                <w:color w:val="auto"/>
                <w:kern w:val="21"/>
                <w:szCs w:val="21"/>
                <w:highlight w:val="none"/>
              </w:rPr>
            </w:pPr>
            <w:r>
              <w:rPr>
                <w:rFonts w:hint="eastAsia" w:ascii="宋体" w:hAnsi="宋体" w:cs="宋体"/>
                <w:color w:val="auto"/>
                <w:kern w:val="21"/>
                <w:szCs w:val="21"/>
                <w:highlight w:val="none"/>
              </w:rPr>
              <w:t>采购人的意见（盖章）：</w:t>
            </w:r>
          </w:p>
          <w:p w14:paraId="3D957249">
            <w:pPr>
              <w:rPr>
                <w:rFonts w:ascii="宋体" w:hAnsi="宋体" w:cs="宋体"/>
                <w:color w:val="auto"/>
                <w:kern w:val="21"/>
                <w:szCs w:val="21"/>
                <w:highlight w:val="none"/>
              </w:rPr>
            </w:pPr>
          </w:p>
          <w:p w14:paraId="06574FFC">
            <w:pPr>
              <w:rPr>
                <w:rFonts w:ascii="宋体" w:hAnsi="宋体" w:cs="宋体"/>
                <w:color w:val="auto"/>
                <w:kern w:val="21"/>
                <w:szCs w:val="21"/>
                <w:highlight w:val="none"/>
              </w:rPr>
            </w:pPr>
            <w:r>
              <w:rPr>
                <w:rFonts w:hint="eastAsia" w:ascii="宋体" w:hAnsi="宋体" w:cs="宋体"/>
                <w:color w:val="auto"/>
                <w:kern w:val="21"/>
                <w:szCs w:val="21"/>
                <w:highlight w:val="none"/>
              </w:rPr>
              <w:t>联系电话：</w:t>
            </w:r>
          </w:p>
          <w:p w14:paraId="03F7D5A8">
            <w:pPr>
              <w:rPr>
                <w:rFonts w:ascii="宋体" w:hAnsi="宋体" w:cs="宋体"/>
                <w:color w:val="auto"/>
                <w:kern w:val="21"/>
                <w:szCs w:val="21"/>
                <w:highlight w:val="none"/>
              </w:rPr>
            </w:pPr>
          </w:p>
          <w:p w14:paraId="12859F4B">
            <w:pPr>
              <w:rPr>
                <w:rFonts w:ascii="宋体" w:hAnsi="宋体" w:cs="宋体"/>
                <w:color w:val="auto"/>
                <w:kern w:val="21"/>
                <w:szCs w:val="21"/>
                <w:highlight w:val="none"/>
              </w:rPr>
            </w:pPr>
            <w:r>
              <w:rPr>
                <w:rFonts w:hint="eastAsia" w:ascii="宋体" w:hAnsi="宋体" w:cs="宋体"/>
                <w:color w:val="auto"/>
                <w:kern w:val="21"/>
                <w:szCs w:val="21"/>
                <w:highlight w:val="none"/>
              </w:rPr>
              <w:t xml:space="preserve">   年  月   日</w:t>
            </w:r>
          </w:p>
        </w:tc>
      </w:tr>
    </w:tbl>
    <w:p w14:paraId="02D831DB">
      <w:pPr>
        <w:widowControl/>
        <w:ind w:firstLine="210" w:firstLineChars="100"/>
        <w:jc w:val="left"/>
        <w:rPr>
          <w:rFonts w:ascii="宋体" w:hAnsi="宋体" w:cs="宋体"/>
          <w:color w:val="auto"/>
          <w:kern w:val="21"/>
          <w:szCs w:val="21"/>
          <w:highlight w:val="none"/>
        </w:rPr>
      </w:pPr>
      <w:r>
        <w:rPr>
          <w:rFonts w:hint="eastAsia" w:ascii="宋体" w:hAnsi="宋体" w:cs="宋体"/>
          <w:color w:val="auto"/>
          <w:kern w:val="21"/>
          <w:szCs w:val="21"/>
          <w:highlight w:val="none"/>
        </w:rPr>
        <w:t>备注：本报告单一式三份（采购人1份、中标（或成交）供应商1份、采购代理机构1份）。</w:t>
      </w:r>
    </w:p>
    <w:p w14:paraId="65244C5E">
      <w:pPr>
        <w:jc w:val="left"/>
        <w:rPr>
          <w:rFonts w:ascii="宋体" w:hAnsi="宋体" w:cs="宋体"/>
          <w:b/>
          <w:color w:val="auto"/>
          <w:kern w:val="21"/>
          <w:sz w:val="44"/>
          <w:szCs w:val="44"/>
          <w:highlight w:val="none"/>
        </w:rPr>
      </w:pPr>
    </w:p>
    <w:p w14:paraId="5D1A46A1">
      <w:pPr>
        <w:snapToGrid w:val="0"/>
        <w:spacing w:line="360" w:lineRule="auto"/>
        <w:jc w:val="center"/>
        <w:rPr>
          <w:rFonts w:ascii="宋体" w:hAnsi="宋体" w:cs="宋体"/>
          <w:b/>
          <w:color w:val="auto"/>
          <w:kern w:val="21"/>
          <w:sz w:val="44"/>
          <w:szCs w:val="44"/>
          <w:highlight w:val="none"/>
        </w:rPr>
      </w:pPr>
      <w:r>
        <w:rPr>
          <w:rFonts w:hint="eastAsia" w:ascii="宋体" w:hAnsi="宋体" w:cs="宋体"/>
          <w:b/>
          <w:color w:val="auto"/>
          <w:kern w:val="21"/>
          <w:sz w:val="44"/>
          <w:szCs w:val="44"/>
          <w:highlight w:val="none"/>
        </w:rPr>
        <w:t xml:space="preserve"> </w:t>
      </w:r>
    </w:p>
    <w:p w14:paraId="0373061B">
      <w:pPr>
        <w:snapToGrid w:val="0"/>
        <w:rPr>
          <w:rFonts w:ascii="宋体" w:hAnsi="宋体" w:cs="宋体"/>
          <w:color w:val="auto"/>
          <w:kern w:val="21"/>
          <w:szCs w:val="20"/>
          <w:highlight w:val="none"/>
        </w:rPr>
      </w:pPr>
      <w:r>
        <w:rPr>
          <w:rFonts w:hint="eastAsia" w:ascii="宋体" w:hAnsi="宋体" w:cs="宋体"/>
          <w:b/>
          <w:color w:val="auto"/>
          <w:kern w:val="21"/>
          <w:szCs w:val="20"/>
          <w:highlight w:val="none"/>
        </w:rPr>
        <w:t>附件II：</w:t>
      </w:r>
    </w:p>
    <w:p w14:paraId="2DE95CD2">
      <w:pPr>
        <w:jc w:val="center"/>
        <w:rPr>
          <w:rFonts w:ascii="宋体" w:hAnsi="宋体" w:cs="宋体"/>
          <w:color w:val="auto"/>
          <w:kern w:val="21"/>
          <w:sz w:val="32"/>
          <w:szCs w:val="32"/>
          <w:highlight w:val="none"/>
        </w:rPr>
      </w:pPr>
      <w:r>
        <w:rPr>
          <w:rFonts w:hint="eastAsia" w:ascii="宋体" w:hAnsi="宋体" w:cs="宋体"/>
          <w:b/>
          <w:bCs/>
          <w:color w:val="auto"/>
          <w:kern w:val="21"/>
          <w:sz w:val="32"/>
          <w:szCs w:val="32"/>
          <w:highlight w:val="none"/>
        </w:rPr>
        <w:t>政府采购项目履约保证金退付意见书（格式）</w:t>
      </w:r>
    </w:p>
    <w:p w14:paraId="2CD580D6">
      <w:pPr>
        <w:jc w:val="center"/>
        <w:rPr>
          <w:rFonts w:ascii="宋体" w:hAnsi="宋体" w:cs="宋体"/>
          <w:color w:val="auto"/>
          <w:kern w:val="21"/>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454"/>
      </w:tblGrid>
      <w:tr w14:paraId="3493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Merge w:val="restart"/>
            <w:noWrap w:val="0"/>
            <w:vAlign w:val="center"/>
          </w:tcPr>
          <w:p w14:paraId="335E9E8D">
            <w:pPr>
              <w:jc w:val="center"/>
              <w:rPr>
                <w:rFonts w:ascii="宋体" w:hAnsi="宋体" w:cs="宋体"/>
                <w:color w:val="auto"/>
                <w:kern w:val="21"/>
                <w:highlight w:val="none"/>
              </w:rPr>
            </w:pPr>
            <w:r>
              <w:rPr>
                <w:rFonts w:hint="eastAsia" w:ascii="宋体" w:hAnsi="宋体" w:cs="宋体"/>
                <w:color w:val="auto"/>
                <w:kern w:val="21"/>
                <w:highlight w:val="none"/>
              </w:rPr>
              <w:t>供</w:t>
            </w:r>
          </w:p>
          <w:p w14:paraId="58C164F3">
            <w:pPr>
              <w:jc w:val="center"/>
              <w:rPr>
                <w:rFonts w:ascii="宋体" w:hAnsi="宋体" w:cs="宋体"/>
                <w:color w:val="auto"/>
                <w:kern w:val="21"/>
                <w:highlight w:val="none"/>
              </w:rPr>
            </w:pPr>
            <w:r>
              <w:rPr>
                <w:rFonts w:hint="eastAsia" w:ascii="宋体" w:hAnsi="宋体" w:cs="宋体"/>
                <w:color w:val="auto"/>
                <w:kern w:val="21"/>
                <w:highlight w:val="none"/>
              </w:rPr>
              <w:t>应</w:t>
            </w:r>
          </w:p>
          <w:p w14:paraId="0FF6A10B">
            <w:pPr>
              <w:jc w:val="center"/>
              <w:rPr>
                <w:rFonts w:ascii="宋体" w:hAnsi="宋体" w:cs="宋体"/>
                <w:color w:val="auto"/>
                <w:kern w:val="21"/>
                <w:highlight w:val="none"/>
              </w:rPr>
            </w:pPr>
            <w:r>
              <w:rPr>
                <w:rFonts w:hint="eastAsia" w:ascii="宋体" w:hAnsi="宋体" w:cs="宋体"/>
                <w:color w:val="auto"/>
                <w:kern w:val="21"/>
                <w:highlight w:val="none"/>
              </w:rPr>
              <w:t>商</w:t>
            </w:r>
          </w:p>
          <w:p w14:paraId="4731F931">
            <w:pPr>
              <w:jc w:val="center"/>
              <w:rPr>
                <w:rFonts w:ascii="宋体" w:hAnsi="宋体" w:cs="宋体"/>
                <w:color w:val="auto"/>
                <w:kern w:val="21"/>
                <w:highlight w:val="none"/>
              </w:rPr>
            </w:pPr>
            <w:r>
              <w:rPr>
                <w:rFonts w:hint="eastAsia" w:ascii="宋体" w:hAnsi="宋体" w:cs="宋体"/>
                <w:color w:val="auto"/>
                <w:kern w:val="21"/>
                <w:highlight w:val="none"/>
              </w:rPr>
              <w:t>申</w:t>
            </w:r>
          </w:p>
          <w:p w14:paraId="2E59090A">
            <w:pPr>
              <w:jc w:val="center"/>
              <w:rPr>
                <w:rFonts w:ascii="宋体" w:hAnsi="宋体" w:cs="宋体"/>
                <w:color w:val="auto"/>
                <w:kern w:val="21"/>
                <w:highlight w:val="none"/>
              </w:rPr>
            </w:pPr>
            <w:r>
              <w:rPr>
                <w:rFonts w:hint="eastAsia" w:ascii="宋体" w:hAnsi="宋体" w:cs="宋体"/>
                <w:color w:val="auto"/>
                <w:kern w:val="21"/>
                <w:highlight w:val="none"/>
              </w:rPr>
              <w:t>请</w:t>
            </w:r>
          </w:p>
        </w:tc>
        <w:tc>
          <w:tcPr>
            <w:tcW w:w="8454" w:type="dxa"/>
            <w:noWrap w:val="0"/>
            <w:vAlign w:val="center"/>
          </w:tcPr>
          <w:p w14:paraId="5E49E6AD">
            <w:pPr>
              <w:rPr>
                <w:rFonts w:ascii="宋体" w:hAnsi="宋体" w:cs="宋体"/>
                <w:color w:val="auto"/>
                <w:kern w:val="21"/>
                <w:highlight w:val="none"/>
              </w:rPr>
            </w:pPr>
            <w:r>
              <w:rPr>
                <w:rFonts w:hint="eastAsia" w:ascii="宋体" w:hAnsi="宋体" w:cs="宋体"/>
                <w:color w:val="auto"/>
                <w:kern w:val="21"/>
                <w:highlight w:val="none"/>
              </w:rPr>
              <w:t>采购项目编号：</w:t>
            </w:r>
          </w:p>
        </w:tc>
      </w:tr>
      <w:tr w14:paraId="5CD1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06" w:type="dxa"/>
            <w:vMerge w:val="continue"/>
            <w:noWrap w:val="0"/>
            <w:vAlign w:val="top"/>
          </w:tcPr>
          <w:p w14:paraId="78515DD8">
            <w:pPr>
              <w:rPr>
                <w:rFonts w:ascii="宋体" w:hAnsi="宋体" w:cs="宋体"/>
                <w:color w:val="auto"/>
                <w:kern w:val="21"/>
                <w:highlight w:val="none"/>
              </w:rPr>
            </w:pPr>
          </w:p>
        </w:tc>
        <w:tc>
          <w:tcPr>
            <w:tcW w:w="8454" w:type="dxa"/>
            <w:noWrap w:val="0"/>
            <w:vAlign w:val="center"/>
          </w:tcPr>
          <w:p w14:paraId="729966A9">
            <w:pPr>
              <w:rPr>
                <w:rFonts w:ascii="宋体" w:hAnsi="宋体" w:cs="宋体"/>
                <w:color w:val="auto"/>
                <w:kern w:val="21"/>
                <w:highlight w:val="none"/>
              </w:rPr>
            </w:pPr>
            <w:r>
              <w:rPr>
                <w:rFonts w:hint="eastAsia" w:ascii="宋体" w:hAnsi="宋体" w:cs="宋体"/>
                <w:color w:val="auto"/>
                <w:kern w:val="21"/>
                <w:highlight w:val="none"/>
              </w:rPr>
              <w:t xml:space="preserve">采购项目名称： </w:t>
            </w:r>
          </w:p>
        </w:tc>
      </w:tr>
      <w:tr w14:paraId="3680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1006" w:type="dxa"/>
            <w:vMerge w:val="continue"/>
            <w:noWrap w:val="0"/>
            <w:vAlign w:val="top"/>
          </w:tcPr>
          <w:p w14:paraId="390B64DE">
            <w:pPr>
              <w:rPr>
                <w:rFonts w:ascii="宋体" w:hAnsi="宋体" w:cs="宋体"/>
                <w:color w:val="auto"/>
                <w:kern w:val="21"/>
                <w:highlight w:val="none"/>
              </w:rPr>
            </w:pPr>
          </w:p>
        </w:tc>
        <w:tc>
          <w:tcPr>
            <w:tcW w:w="8454" w:type="dxa"/>
            <w:noWrap w:val="0"/>
            <w:vAlign w:val="top"/>
          </w:tcPr>
          <w:p w14:paraId="384686CC">
            <w:pPr>
              <w:rPr>
                <w:rFonts w:ascii="宋体" w:hAnsi="宋体" w:cs="宋体"/>
                <w:color w:val="auto"/>
                <w:kern w:val="21"/>
                <w:highlight w:val="none"/>
              </w:rPr>
            </w:pPr>
          </w:p>
          <w:p w14:paraId="2EC36320">
            <w:pPr>
              <w:ind w:firstLine="525" w:firstLineChars="250"/>
              <w:rPr>
                <w:rFonts w:ascii="宋体" w:hAnsi="宋体" w:cs="宋体"/>
                <w:color w:val="auto"/>
                <w:kern w:val="21"/>
                <w:highlight w:val="none"/>
              </w:rPr>
            </w:pPr>
            <w:r>
              <w:rPr>
                <w:rFonts w:hint="eastAsia" w:ascii="宋体" w:hAnsi="宋体" w:cs="宋体"/>
                <w:color w:val="auto"/>
                <w:kern w:val="21"/>
                <w:highlight w:val="none"/>
              </w:rPr>
              <w:t>该项目已于 年 月 日验收并交付使用。根据合同规定，可将履约保证金（大写）人民币 元（小写）￥ 元退付到以下账户：</w:t>
            </w:r>
          </w:p>
          <w:p w14:paraId="0AF51DF1">
            <w:pPr>
              <w:rPr>
                <w:rFonts w:ascii="宋体" w:hAnsi="宋体" w:cs="宋体"/>
                <w:color w:val="auto"/>
                <w:kern w:val="21"/>
                <w:highlight w:val="none"/>
              </w:rPr>
            </w:pPr>
          </w:p>
          <w:p w14:paraId="243E2484">
            <w:pPr>
              <w:spacing w:line="420" w:lineRule="exact"/>
              <w:rPr>
                <w:rFonts w:ascii="宋体" w:hAnsi="宋体" w:cs="宋体"/>
                <w:color w:val="auto"/>
                <w:kern w:val="21"/>
                <w:highlight w:val="none"/>
              </w:rPr>
            </w:pPr>
            <w:r>
              <w:rPr>
                <w:rFonts w:hint="eastAsia" w:ascii="宋体" w:hAnsi="宋体" w:cs="宋体"/>
                <w:color w:val="auto"/>
                <w:kern w:val="21"/>
                <w:highlight w:val="none"/>
              </w:rPr>
              <w:t>单位名称：</w:t>
            </w:r>
          </w:p>
          <w:p w14:paraId="4FE5C51E">
            <w:pPr>
              <w:spacing w:line="420" w:lineRule="exact"/>
              <w:rPr>
                <w:rFonts w:ascii="宋体" w:hAnsi="宋体" w:cs="宋体"/>
                <w:color w:val="auto"/>
                <w:kern w:val="21"/>
                <w:highlight w:val="none"/>
              </w:rPr>
            </w:pPr>
            <w:r>
              <w:rPr>
                <w:rFonts w:hint="eastAsia" w:ascii="宋体" w:hAnsi="宋体" w:cs="宋体"/>
                <w:color w:val="auto"/>
                <w:kern w:val="21"/>
                <w:highlight w:val="none"/>
              </w:rPr>
              <w:t>开户银行：银行账号：</w:t>
            </w:r>
          </w:p>
          <w:p w14:paraId="46F5CA7D">
            <w:pPr>
              <w:rPr>
                <w:rFonts w:ascii="宋体" w:hAnsi="宋体" w:cs="宋体"/>
                <w:color w:val="auto"/>
                <w:kern w:val="21"/>
                <w:highlight w:val="none"/>
              </w:rPr>
            </w:pPr>
          </w:p>
          <w:p w14:paraId="0B498923">
            <w:pPr>
              <w:rPr>
                <w:rFonts w:ascii="宋体" w:hAnsi="宋体" w:cs="宋体"/>
                <w:color w:val="auto"/>
                <w:kern w:val="21"/>
                <w:highlight w:val="none"/>
              </w:rPr>
            </w:pPr>
          </w:p>
          <w:p w14:paraId="2BF4AB73">
            <w:pPr>
              <w:spacing w:line="420" w:lineRule="exact"/>
              <w:rPr>
                <w:rFonts w:ascii="宋体" w:hAnsi="宋体" w:cs="宋体"/>
                <w:color w:val="auto"/>
                <w:kern w:val="21"/>
                <w:highlight w:val="none"/>
              </w:rPr>
            </w:pPr>
            <w:r>
              <w:rPr>
                <w:rFonts w:hint="eastAsia" w:ascii="宋体" w:hAnsi="宋体" w:cs="宋体"/>
                <w:color w:val="auto"/>
                <w:kern w:val="21"/>
                <w:highlight w:val="none"/>
              </w:rPr>
              <w:t>联系人：</w:t>
            </w:r>
          </w:p>
          <w:p w14:paraId="70D7E53C">
            <w:pPr>
              <w:spacing w:line="420" w:lineRule="exact"/>
              <w:rPr>
                <w:rFonts w:ascii="宋体" w:hAnsi="宋体" w:cs="宋体"/>
                <w:color w:val="auto"/>
                <w:kern w:val="21"/>
                <w:highlight w:val="none"/>
              </w:rPr>
            </w:pPr>
            <w:r>
              <w:rPr>
                <w:rFonts w:hint="eastAsia" w:ascii="宋体" w:hAnsi="宋体" w:cs="宋体"/>
                <w:color w:val="auto"/>
                <w:kern w:val="21"/>
                <w:highlight w:val="none"/>
              </w:rPr>
              <w:t>联系电话：</w:t>
            </w:r>
          </w:p>
          <w:p w14:paraId="55F6AE81">
            <w:pPr>
              <w:rPr>
                <w:rFonts w:ascii="宋体" w:hAnsi="宋体" w:cs="宋体"/>
                <w:color w:val="auto"/>
                <w:kern w:val="21"/>
                <w:highlight w:val="none"/>
              </w:rPr>
            </w:pPr>
          </w:p>
          <w:p w14:paraId="75988A5D">
            <w:pPr>
              <w:spacing w:line="420" w:lineRule="exact"/>
              <w:rPr>
                <w:rFonts w:ascii="宋体" w:hAnsi="宋体" w:cs="宋体"/>
                <w:color w:val="auto"/>
                <w:kern w:val="21"/>
                <w:highlight w:val="none"/>
              </w:rPr>
            </w:pPr>
            <w:r>
              <w:rPr>
                <w:rFonts w:hint="eastAsia" w:ascii="宋体" w:hAnsi="宋体" w:cs="宋体"/>
                <w:color w:val="auto"/>
                <w:kern w:val="21"/>
                <w:highlight w:val="none"/>
              </w:rPr>
              <w:t xml:space="preserve">                                       供应商签章</w:t>
            </w:r>
          </w:p>
          <w:p w14:paraId="356EED02">
            <w:pPr>
              <w:spacing w:line="420" w:lineRule="exact"/>
              <w:rPr>
                <w:rFonts w:ascii="宋体" w:hAnsi="宋体" w:cs="宋体"/>
                <w:color w:val="auto"/>
                <w:kern w:val="21"/>
                <w:highlight w:val="none"/>
              </w:rPr>
            </w:pPr>
            <w:r>
              <w:rPr>
                <w:rFonts w:hint="eastAsia" w:ascii="宋体" w:hAnsi="宋体" w:cs="宋体"/>
                <w:color w:val="auto"/>
                <w:kern w:val="21"/>
                <w:highlight w:val="none"/>
              </w:rPr>
              <w:t xml:space="preserve">                                     年     月    日</w:t>
            </w:r>
          </w:p>
          <w:p w14:paraId="653ADB9E">
            <w:pPr>
              <w:rPr>
                <w:rFonts w:ascii="宋体" w:hAnsi="宋体" w:cs="宋体"/>
                <w:color w:val="auto"/>
                <w:kern w:val="21"/>
                <w:highlight w:val="none"/>
              </w:rPr>
            </w:pPr>
          </w:p>
        </w:tc>
      </w:tr>
      <w:tr w14:paraId="2FDC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1006" w:type="dxa"/>
            <w:noWrap w:val="0"/>
            <w:vAlign w:val="center"/>
          </w:tcPr>
          <w:p w14:paraId="63253DBA">
            <w:pPr>
              <w:jc w:val="center"/>
              <w:rPr>
                <w:rFonts w:ascii="宋体" w:hAnsi="宋体" w:cs="宋体"/>
                <w:color w:val="auto"/>
                <w:kern w:val="21"/>
                <w:highlight w:val="none"/>
              </w:rPr>
            </w:pPr>
            <w:r>
              <w:rPr>
                <w:rFonts w:hint="eastAsia" w:ascii="宋体" w:hAnsi="宋体" w:cs="宋体"/>
                <w:color w:val="auto"/>
                <w:kern w:val="21"/>
                <w:highlight w:val="none"/>
              </w:rPr>
              <w:t>采</w:t>
            </w:r>
          </w:p>
          <w:p w14:paraId="6ECE076F">
            <w:pPr>
              <w:jc w:val="center"/>
              <w:rPr>
                <w:rFonts w:ascii="宋体" w:hAnsi="宋体" w:cs="宋体"/>
                <w:color w:val="auto"/>
                <w:kern w:val="21"/>
                <w:highlight w:val="none"/>
              </w:rPr>
            </w:pPr>
            <w:r>
              <w:rPr>
                <w:rFonts w:hint="eastAsia" w:ascii="宋体" w:hAnsi="宋体" w:cs="宋体"/>
                <w:color w:val="auto"/>
                <w:kern w:val="21"/>
                <w:highlight w:val="none"/>
              </w:rPr>
              <w:t>购</w:t>
            </w:r>
          </w:p>
          <w:p w14:paraId="132774AC">
            <w:pPr>
              <w:jc w:val="center"/>
              <w:rPr>
                <w:rFonts w:ascii="宋体" w:hAnsi="宋体" w:cs="宋体"/>
                <w:color w:val="auto"/>
                <w:kern w:val="21"/>
                <w:highlight w:val="none"/>
              </w:rPr>
            </w:pPr>
            <w:r>
              <w:rPr>
                <w:rFonts w:hint="eastAsia" w:ascii="宋体" w:hAnsi="宋体" w:cs="宋体"/>
                <w:color w:val="auto"/>
                <w:kern w:val="21"/>
                <w:highlight w:val="none"/>
              </w:rPr>
              <w:t>单</w:t>
            </w:r>
          </w:p>
          <w:p w14:paraId="14C25DF4">
            <w:pPr>
              <w:jc w:val="center"/>
              <w:rPr>
                <w:rFonts w:ascii="宋体" w:hAnsi="宋体" w:cs="宋体"/>
                <w:color w:val="auto"/>
                <w:kern w:val="21"/>
                <w:highlight w:val="none"/>
              </w:rPr>
            </w:pPr>
            <w:r>
              <w:rPr>
                <w:rFonts w:hint="eastAsia" w:ascii="宋体" w:hAnsi="宋体" w:cs="宋体"/>
                <w:color w:val="auto"/>
                <w:kern w:val="21"/>
                <w:highlight w:val="none"/>
              </w:rPr>
              <w:t>位</w:t>
            </w:r>
          </w:p>
          <w:p w14:paraId="697BC776">
            <w:pPr>
              <w:jc w:val="center"/>
              <w:rPr>
                <w:rFonts w:ascii="宋体" w:hAnsi="宋体" w:cs="宋体"/>
                <w:color w:val="auto"/>
                <w:kern w:val="21"/>
                <w:highlight w:val="none"/>
              </w:rPr>
            </w:pPr>
            <w:r>
              <w:rPr>
                <w:rFonts w:hint="eastAsia" w:ascii="宋体" w:hAnsi="宋体" w:cs="宋体"/>
                <w:color w:val="auto"/>
                <w:kern w:val="21"/>
                <w:highlight w:val="none"/>
              </w:rPr>
              <w:t>意</w:t>
            </w:r>
          </w:p>
          <w:p w14:paraId="6A640BFA">
            <w:pPr>
              <w:jc w:val="center"/>
              <w:rPr>
                <w:rFonts w:ascii="宋体" w:hAnsi="宋体" w:cs="宋体"/>
                <w:color w:val="auto"/>
                <w:kern w:val="21"/>
                <w:highlight w:val="none"/>
              </w:rPr>
            </w:pPr>
            <w:r>
              <w:rPr>
                <w:rFonts w:hint="eastAsia" w:ascii="宋体" w:hAnsi="宋体" w:cs="宋体"/>
                <w:color w:val="auto"/>
                <w:kern w:val="21"/>
                <w:highlight w:val="none"/>
              </w:rPr>
              <w:t>见</w:t>
            </w:r>
          </w:p>
        </w:tc>
        <w:tc>
          <w:tcPr>
            <w:tcW w:w="8454" w:type="dxa"/>
            <w:noWrap w:val="0"/>
            <w:vAlign w:val="top"/>
          </w:tcPr>
          <w:p w14:paraId="5ED94ED9">
            <w:pPr>
              <w:rPr>
                <w:rFonts w:ascii="宋体" w:hAnsi="宋体" w:cs="宋体"/>
                <w:color w:val="auto"/>
                <w:kern w:val="21"/>
                <w:highlight w:val="none"/>
              </w:rPr>
            </w:pPr>
          </w:p>
          <w:p w14:paraId="64D6B6D7">
            <w:pPr>
              <w:rPr>
                <w:rFonts w:ascii="宋体" w:hAnsi="宋体" w:cs="宋体"/>
                <w:color w:val="auto"/>
                <w:kern w:val="21"/>
                <w:highlight w:val="none"/>
              </w:rPr>
            </w:pPr>
            <w:r>
              <w:rPr>
                <w:rFonts w:hint="eastAsia" w:ascii="宋体" w:hAnsi="宋体" w:cs="宋体"/>
                <w:color w:val="auto"/>
                <w:kern w:val="21"/>
                <w:highlight w:val="none"/>
              </w:rPr>
              <w:t>退付意见：是否同意退付履约保证金及退付金额：</w:t>
            </w:r>
          </w:p>
          <w:p w14:paraId="355E14CE">
            <w:pPr>
              <w:rPr>
                <w:rFonts w:ascii="宋体" w:hAnsi="宋体" w:cs="宋体"/>
                <w:color w:val="auto"/>
                <w:kern w:val="21"/>
                <w:highlight w:val="none"/>
              </w:rPr>
            </w:pPr>
          </w:p>
          <w:p w14:paraId="0263E9B5">
            <w:pPr>
              <w:rPr>
                <w:rFonts w:ascii="宋体" w:hAnsi="宋体" w:cs="宋体"/>
                <w:color w:val="auto"/>
                <w:kern w:val="21"/>
                <w:highlight w:val="none"/>
              </w:rPr>
            </w:pPr>
          </w:p>
          <w:p w14:paraId="3EE5ED0C">
            <w:pPr>
              <w:rPr>
                <w:rFonts w:ascii="宋体" w:hAnsi="宋体" w:cs="宋体"/>
                <w:color w:val="auto"/>
                <w:kern w:val="21"/>
                <w:highlight w:val="none"/>
              </w:rPr>
            </w:pPr>
          </w:p>
          <w:p w14:paraId="4C6C18BE">
            <w:pPr>
              <w:rPr>
                <w:rFonts w:ascii="宋体" w:hAnsi="宋体" w:cs="宋体"/>
                <w:color w:val="auto"/>
                <w:kern w:val="21"/>
                <w:highlight w:val="none"/>
              </w:rPr>
            </w:pPr>
          </w:p>
          <w:p w14:paraId="0F0B5C7B">
            <w:pPr>
              <w:spacing w:line="420" w:lineRule="exact"/>
              <w:rPr>
                <w:rFonts w:ascii="宋体" w:hAnsi="宋体" w:cs="宋体"/>
                <w:color w:val="auto"/>
                <w:kern w:val="21"/>
                <w:highlight w:val="none"/>
              </w:rPr>
            </w:pPr>
            <w:r>
              <w:rPr>
                <w:rFonts w:hint="eastAsia" w:ascii="宋体" w:hAnsi="宋体" w:cs="宋体"/>
                <w:color w:val="auto"/>
                <w:kern w:val="21"/>
                <w:highlight w:val="none"/>
              </w:rPr>
              <w:t>联系人：</w:t>
            </w:r>
          </w:p>
          <w:p w14:paraId="182D75A1">
            <w:pPr>
              <w:spacing w:line="420" w:lineRule="exact"/>
              <w:rPr>
                <w:rFonts w:ascii="宋体" w:hAnsi="宋体" w:cs="宋体"/>
                <w:color w:val="auto"/>
                <w:kern w:val="21"/>
                <w:highlight w:val="none"/>
              </w:rPr>
            </w:pPr>
            <w:r>
              <w:rPr>
                <w:rFonts w:hint="eastAsia" w:ascii="宋体" w:hAnsi="宋体" w:cs="宋体"/>
                <w:color w:val="auto"/>
                <w:kern w:val="21"/>
                <w:highlight w:val="none"/>
              </w:rPr>
              <w:t>联系电话：</w:t>
            </w:r>
          </w:p>
          <w:p w14:paraId="4B535991">
            <w:pPr>
              <w:rPr>
                <w:rFonts w:ascii="宋体" w:hAnsi="宋体" w:cs="宋体"/>
                <w:color w:val="auto"/>
                <w:kern w:val="21"/>
                <w:highlight w:val="none"/>
              </w:rPr>
            </w:pPr>
          </w:p>
          <w:p w14:paraId="7C00C8CD">
            <w:pPr>
              <w:rPr>
                <w:rFonts w:ascii="宋体" w:hAnsi="宋体" w:cs="宋体"/>
                <w:color w:val="auto"/>
                <w:kern w:val="21"/>
                <w:highlight w:val="none"/>
              </w:rPr>
            </w:pPr>
          </w:p>
          <w:p w14:paraId="17B9300C">
            <w:pPr>
              <w:rPr>
                <w:rFonts w:ascii="宋体" w:hAnsi="宋体" w:cs="宋体"/>
                <w:color w:val="auto"/>
                <w:kern w:val="21"/>
                <w:highlight w:val="none"/>
              </w:rPr>
            </w:pPr>
          </w:p>
          <w:p w14:paraId="11B07747">
            <w:pPr>
              <w:rPr>
                <w:rFonts w:ascii="宋体" w:hAnsi="宋体" w:cs="宋体"/>
                <w:color w:val="auto"/>
                <w:kern w:val="21"/>
                <w:highlight w:val="none"/>
              </w:rPr>
            </w:pPr>
          </w:p>
          <w:p w14:paraId="1CD11582">
            <w:pPr>
              <w:rPr>
                <w:rFonts w:ascii="宋体" w:hAnsi="宋体" w:cs="宋体"/>
                <w:color w:val="auto"/>
                <w:kern w:val="21"/>
                <w:highlight w:val="none"/>
              </w:rPr>
            </w:pPr>
            <w:r>
              <w:rPr>
                <w:rFonts w:hint="eastAsia" w:ascii="宋体" w:hAnsi="宋体" w:cs="宋体"/>
                <w:color w:val="auto"/>
                <w:kern w:val="21"/>
                <w:highlight w:val="none"/>
              </w:rPr>
              <w:t xml:space="preserve">                                         单位签章</w:t>
            </w:r>
          </w:p>
          <w:p w14:paraId="37B47E60">
            <w:pPr>
              <w:spacing w:line="420" w:lineRule="exact"/>
              <w:rPr>
                <w:rFonts w:ascii="宋体" w:hAnsi="宋体" w:cs="宋体"/>
                <w:color w:val="auto"/>
                <w:kern w:val="21"/>
                <w:highlight w:val="none"/>
              </w:rPr>
            </w:pPr>
            <w:r>
              <w:rPr>
                <w:rFonts w:hint="eastAsia" w:ascii="宋体" w:hAnsi="宋体" w:cs="宋体"/>
                <w:color w:val="auto"/>
                <w:kern w:val="21"/>
                <w:highlight w:val="none"/>
              </w:rPr>
              <w:t xml:space="preserve">                                      年     月    日</w:t>
            </w:r>
          </w:p>
        </w:tc>
      </w:tr>
    </w:tbl>
    <w:p w14:paraId="30E8CB78">
      <w:pPr>
        <w:spacing w:line="380" w:lineRule="exact"/>
        <w:ind w:left="420" w:leftChars="114" w:hanging="181" w:hangingChars="100"/>
        <w:rPr>
          <w:rFonts w:ascii="宋体" w:hAnsi="宋体" w:cs="宋体"/>
          <w:color w:val="auto"/>
          <w:kern w:val="21"/>
          <w:highlight w:val="none"/>
        </w:rPr>
      </w:pPr>
      <w:r>
        <w:rPr>
          <w:rFonts w:hint="eastAsia" w:ascii="宋体" w:hAnsi="宋体" w:cs="宋体"/>
          <w:b/>
          <w:bCs/>
          <w:color w:val="auto"/>
          <w:kern w:val="21"/>
          <w:sz w:val="18"/>
          <w:highlight w:val="none"/>
        </w:rPr>
        <w:t>注：供应商凭经采购单位审批的退付意见书到履约保证金收取单位财务部办理履约保证金退付事宜。</w:t>
      </w:r>
    </w:p>
    <w:p w14:paraId="0CBC9EF3">
      <w:pPr>
        <w:snapToGrid w:val="0"/>
        <w:spacing w:line="370" w:lineRule="exact"/>
        <w:ind w:firstLine="315" w:firstLineChars="150"/>
        <w:rPr>
          <w:rFonts w:ascii="宋体" w:hAnsi="宋体" w:cs="宋体"/>
          <w:color w:val="auto"/>
          <w:kern w:val="21"/>
          <w:szCs w:val="20"/>
          <w:highlight w:val="none"/>
        </w:rPr>
      </w:pPr>
    </w:p>
    <w:p w14:paraId="385A34C8">
      <w:pPr>
        <w:tabs>
          <w:tab w:val="left" w:pos="3261"/>
        </w:tabs>
        <w:spacing w:line="360" w:lineRule="auto"/>
        <w:contextualSpacing/>
        <w:jc w:val="center"/>
        <w:rPr>
          <w:rFonts w:ascii="宋体" w:hAnsi="宋体" w:cs="宋体"/>
          <w:b/>
          <w:color w:val="auto"/>
          <w:kern w:val="21"/>
          <w:sz w:val="44"/>
          <w:szCs w:val="44"/>
          <w:highlight w:val="none"/>
        </w:rPr>
      </w:pPr>
    </w:p>
    <w:p w14:paraId="42B92905">
      <w:pPr>
        <w:spacing w:line="360" w:lineRule="auto"/>
        <w:jc w:val="center"/>
        <w:rPr>
          <w:rFonts w:ascii="宋体" w:hAnsi="宋体" w:cs="宋体"/>
          <w:b/>
          <w:bCs/>
          <w:color w:val="auto"/>
          <w:kern w:val="21"/>
          <w:sz w:val="44"/>
          <w:szCs w:val="44"/>
          <w:highlight w:val="none"/>
        </w:rPr>
        <w:sectPr>
          <w:pgSz w:w="11911" w:h="16838"/>
          <w:pgMar w:top="1440" w:right="1440" w:bottom="1440" w:left="1440" w:header="720" w:footer="720" w:gutter="0"/>
          <w:cols w:space="720" w:num="1"/>
        </w:sectPr>
      </w:pPr>
    </w:p>
    <w:p w14:paraId="295CA1E0">
      <w:pPr>
        <w:tabs>
          <w:tab w:val="left" w:pos="3261"/>
        </w:tabs>
        <w:spacing w:line="360" w:lineRule="auto"/>
        <w:contextualSpacing/>
        <w:jc w:val="center"/>
        <w:rPr>
          <w:rFonts w:ascii="宋体" w:hAnsi="宋体" w:cs="宋体"/>
          <w:b/>
          <w:color w:val="auto"/>
          <w:kern w:val="21"/>
          <w:sz w:val="44"/>
          <w:szCs w:val="44"/>
          <w:highlight w:val="none"/>
        </w:rPr>
      </w:pPr>
    </w:p>
    <w:p w14:paraId="0E0E2150">
      <w:pPr>
        <w:tabs>
          <w:tab w:val="left" w:pos="3261"/>
        </w:tabs>
        <w:spacing w:line="360" w:lineRule="auto"/>
        <w:contextualSpacing/>
        <w:jc w:val="center"/>
        <w:rPr>
          <w:rFonts w:ascii="宋体" w:hAnsi="宋体" w:cs="宋体"/>
          <w:b/>
          <w:color w:val="auto"/>
          <w:kern w:val="21"/>
          <w:sz w:val="44"/>
          <w:szCs w:val="44"/>
          <w:highlight w:val="none"/>
        </w:rPr>
      </w:pPr>
    </w:p>
    <w:p w14:paraId="79D7B7FF">
      <w:pPr>
        <w:tabs>
          <w:tab w:val="left" w:pos="3261"/>
        </w:tabs>
        <w:spacing w:line="360" w:lineRule="auto"/>
        <w:contextualSpacing/>
        <w:jc w:val="center"/>
        <w:rPr>
          <w:rFonts w:ascii="宋体" w:hAnsi="宋体" w:cs="宋体"/>
          <w:b/>
          <w:color w:val="auto"/>
          <w:kern w:val="21"/>
          <w:sz w:val="44"/>
          <w:szCs w:val="44"/>
          <w:highlight w:val="none"/>
        </w:rPr>
      </w:pPr>
    </w:p>
    <w:p w14:paraId="09178D44">
      <w:pPr>
        <w:tabs>
          <w:tab w:val="left" w:pos="3261"/>
        </w:tabs>
        <w:spacing w:line="360" w:lineRule="auto"/>
        <w:contextualSpacing/>
        <w:jc w:val="center"/>
        <w:rPr>
          <w:rFonts w:ascii="宋体" w:hAnsi="宋体" w:cs="宋体"/>
          <w:b/>
          <w:color w:val="auto"/>
          <w:kern w:val="21"/>
          <w:sz w:val="44"/>
          <w:szCs w:val="44"/>
          <w:highlight w:val="none"/>
        </w:rPr>
      </w:pPr>
    </w:p>
    <w:p w14:paraId="6DBA0738">
      <w:pPr>
        <w:tabs>
          <w:tab w:val="left" w:pos="3261"/>
        </w:tabs>
        <w:spacing w:line="360" w:lineRule="auto"/>
        <w:contextualSpacing/>
        <w:jc w:val="center"/>
        <w:rPr>
          <w:rFonts w:ascii="宋体" w:hAnsi="宋体" w:cs="宋体"/>
          <w:b/>
          <w:color w:val="auto"/>
          <w:kern w:val="21"/>
          <w:sz w:val="44"/>
          <w:szCs w:val="44"/>
          <w:highlight w:val="none"/>
        </w:rPr>
      </w:pPr>
    </w:p>
    <w:p w14:paraId="70CCF70E">
      <w:pPr>
        <w:pStyle w:val="3"/>
        <w:jc w:val="center"/>
        <w:rPr>
          <w:rFonts w:ascii="宋体" w:hAnsi="宋体" w:cs="宋体"/>
          <w:bCs w:val="0"/>
          <w:color w:val="auto"/>
          <w:kern w:val="21"/>
          <w:highlight w:val="none"/>
        </w:rPr>
        <w:sectPr>
          <w:pgSz w:w="11911" w:h="16838"/>
          <w:pgMar w:top="1440" w:right="1440" w:bottom="1440" w:left="1440" w:header="720" w:footer="720" w:gutter="0"/>
          <w:cols w:space="720" w:num="1"/>
        </w:sectPr>
      </w:pPr>
      <w:bookmarkStart w:id="118" w:name="_Toc23662"/>
      <w:bookmarkStart w:id="119" w:name="_Toc6341"/>
      <w:r>
        <w:rPr>
          <w:rFonts w:hint="eastAsia" w:ascii="宋体" w:hAnsi="宋体" w:cs="宋体"/>
          <w:bCs w:val="0"/>
          <w:color w:val="auto"/>
          <w:kern w:val="21"/>
          <w:highlight w:val="none"/>
        </w:rPr>
        <w:t>第七章 质疑、投诉材料格式</w:t>
      </w:r>
      <w:bookmarkEnd w:id="118"/>
      <w:bookmarkEnd w:id="119"/>
    </w:p>
    <w:p w14:paraId="0E2DCCD0">
      <w:pPr>
        <w:spacing w:line="360" w:lineRule="auto"/>
        <w:jc w:val="center"/>
        <w:rPr>
          <w:rFonts w:ascii="宋体" w:hAnsi="宋体" w:cs="宋体"/>
          <w:b/>
          <w:bCs/>
          <w:color w:val="auto"/>
          <w:kern w:val="21"/>
          <w:sz w:val="32"/>
          <w:szCs w:val="32"/>
          <w:highlight w:val="none"/>
        </w:rPr>
      </w:pPr>
      <w:r>
        <w:rPr>
          <w:rFonts w:hint="eastAsia" w:ascii="宋体" w:hAnsi="宋体" w:cs="宋体"/>
          <w:b/>
          <w:bCs/>
          <w:color w:val="auto"/>
          <w:kern w:val="21"/>
          <w:sz w:val="32"/>
          <w:szCs w:val="32"/>
          <w:highlight w:val="none"/>
        </w:rPr>
        <w:t>质疑函（格式）</w:t>
      </w:r>
    </w:p>
    <w:p w14:paraId="2FC49880">
      <w:pPr>
        <w:pStyle w:val="18"/>
        <w:spacing w:line="360" w:lineRule="auto"/>
        <w:ind w:firstLine="482" w:firstLineChars="200"/>
        <w:contextualSpacing/>
        <w:rPr>
          <w:rFonts w:hAnsi="宋体" w:cs="宋体"/>
          <w:b/>
          <w:bCs/>
          <w:color w:val="auto"/>
          <w:kern w:val="21"/>
          <w:sz w:val="24"/>
          <w:szCs w:val="24"/>
          <w:highlight w:val="none"/>
        </w:rPr>
      </w:pPr>
      <w:r>
        <w:rPr>
          <w:rFonts w:hint="eastAsia" w:hAnsi="宋体" w:cs="宋体"/>
          <w:b/>
          <w:bCs/>
          <w:color w:val="auto"/>
          <w:kern w:val="21"/>
          <w:sz w:val="24"/>
          <w:szCs w:val="24"/>
          <w:highlight w:val="none"/>
        </w:rPr>
        <w:t>一、质疑供应商基本信息：</w:t>
      </w:r>
    </w:p>
    <w:p w14:paraId="1368FD39">
      <w:pPr>
        <w:pStyle w:val="18"/>
        <w:spacing w:line="360" w:lineRule="auto"/>
        <w:ind w:firstLine="480" w:firstLineChars="200"/>
        <w:contextualSpacing/>
        <w:rPr>
          <w:rFonts w:hAnsi="宋体" w:cs="宋体"/>
          <w:bCs/>
          <w:color w:val="auto"/>
          <w:kern w:val="21"/>
          <w:sz w:val="24"/>
          <w:szCs w:val="24"/>
          <w:highlight w:val="none"/>
          <w:u w:val="single"/>
        </w:rPr>
      </w:pPr>
      <w:r>
        <w:rPr>
          <w:rFonts w:hint="eastAsia" w:hAnsi="宋体" w:cs="宋体"/>
          <w:bCs/>
          <w:color w:val="auto"/>
          <w:kern w:val="21"/>
          <w:sz w:val="24"/>
          <w:szCs w:val="24"/>
          <w:highlight w:val="none"/>
        </w:rPr>
        <w:t>质疑供应商：</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3C5A3C38">
      <w:pPr>
        <w:pStyle w:val="18"/>
        <w:spacing w:line="360" w:lineRule="auto"/>
        <w:ind w:firstLine="480" w:firstLineChars="200"/>
        <w:contextualSpacing/>
        <w:rPr>
          <w:rFonts w:hAnsi="宋体" w:cs="宋体"/>
          <w:bCs/>
          <w:color w:val="auto"/>
          <w:kern w:val="21"/>
          <w:sz w:val="24"/>
          <w:szCs w:val="24"/>
          <w:highlight w:val="non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537C94F5">
      <w:pPr>
        <w:pStyle w:val="18"/>
        <w:spacing w:line="360" w:lineRule="auto"/>
        <w:ind w:firstLine="480" w:firstLineChars="200"/>
        <w:contextualSpacing/>
        <w:rPr>
          <w:rFonts w:hAnsi="宋体" w:cs="宋体"/>
          <w:bCs/>
          <w:color w:val="auto"/>
          <w:kern w:val="21"/>
          <w:sz w:val="24"/>
          <w:szCs w:val="24"/>
          <w:highlight w:val="none"/>
        </w:rPr>
      </w:pPr>
      <w:r>
        <w:rPr>
          <w:rFonts w:hint="eastAsia" w:hAnsi="宋体" w:cs="宋体"/>
          <w:bCs/>
          <w:color w:val="auto"/>
          <w:kern w:val="21"/>
          <w:sz w:val="24"/>
          <w:szCs w:val="24"/>
          <w:highlight w:val="none"/>
        </w:rPr>
        <w:t>联系人：</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51A27264">
      <w:pPr>
        <w:pStyle w:val="18"/>
        <w:spacing w:line="360" w:lineRule="auto"/>
        <w:ind w:firstLine="480" w:firstLineChars="200"/>
        <w:contextualSpacing/>
        <w:rPr>
          <w:rFonts w:hAnsi="宋体" w:cs="宋体"/>
          <w:bCs/>
          <w:color w:val="auto"/>
          <w:kern w:val="21"/>
          <w:sz w:val="24"/>
          <w:szCs w:val="24"/>
          <w:highlight w:val="none"/>
        </w:rPr>
      </w:pPr>
      <w:r>
        <w:rPr>
          <w:rFonts w:hint="eastAsia" w:hAnsi="宋体" w:cs="宋体"/>
          <w:bCs/>
          <w:color w:val="auto"/>
          <w:kern w:val="21"/>
          <w:sz w:val="24"/>
          <w:szCs w:val="24"/>
          <w:highlight w:val="none"/>
        </w:rPr>
        <w:t>授权代表：</w:t>
      </w:r>
      <w:r>
        <w:rPr>
          <w:rFonts w:hint="eastAsia" w:hAnsi="宋体" w:cs="宋体"/>
          <w:bCs/>
          <w:color w:val="auto"/>
          <w:kern w:val="21"/>
          <w:sz w:val="24"/>
          <w:szCs w:val="24"/>
          <w:highlight w:val="none"/>
          <w:u w:val="single"/>
        </w:rPr>
        <w:t xml:space="preserve">                      </w:t>
      </w:r>
    </w:p>
    <w:p w14:paraId="2BE04E6C">
      <w:pPr>
        <w:pStyle w:val="18"/>
        <w:spacing w:line="360" w:lineRule="auto"/>
        <w:ind w:firstLine="480" w:firstLineChars="200"/>
        <w:contextualSpacing/>
        <w:rPr>
          <w:rFonts w:hAnsi="宋体" w:cs="宋体"/>
          <w:bCs/>
          <w:color w:val="auto"/>
          <w:kern w:val="21"/>
          <w:sz w:val="24"/>
          <w:szCs w:val="24"/>
          <w:highlight w:val="none"/>
          <w:u w:val="single"/>
        </w:rPr>
      </w:pP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28AC020F">
      <w:pPr>
        <w:pStyle w:val="18"/>
        <w:spacing w:line="360" w:lineRule="auto"/>
        <w:ind w:firstLine="480" w:firstLineChars="200"/>
        <w:contextualSpacing/>
        <w:rPr>
          <w:rFonts w:hAnsi="宋体" w:cs="宋体"/>
          <w:bCs/>
          <w:color w:val="auto"/>
          <w:kern w:val="21"/>
          <w:sz w:val="24"/>
          <w:szCs w:val="24"/>
          <w:highlight w:val="non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63CFDBFE">
      <w:pPr>
        <w:pStyle w:val="18"/>
        <w:spacing w:line="360" w:lineRule="auto"/>
        <w:ind w:firstLine="482" w:firstLineChars="200"/>
        <w:contextualSpacing/>
        <w:rPr>
          <w:rFonts w:hAnsi="宋体" w:cs="宋体"/>
          <w:b/>
          <w:bCs/>
          <w:color w:val="auto"/>
          <w:kern w:val="21"/>
          <w:sz w:val="24"/>
          <w:szCs w:val="24"/>
          <w:highlight w:val="none"/>
        </w:rPr>
      </w:pPr>
      <w:r>
        <w:rPr>
          <w:rFonts w:hint="eastAsia" w:hAnsi="宋体" w:cs="宋体"/>
          <w:b/>
          <w:bCs/>
          <w:color w:val="auto"/>
          <w:kern w:val="21"/>
          <w:sz w:val="24"/>
          <w:szCs w:val="24"/>
          <w:highlight w:val="none"/>
        </w:rPr>
        <w:t>二、质疑项目基本情况：</w:t>
      </w:r>
    </w:p>
    <w:p w14:paraId="4EC64618">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bCs/>
          <w:color w:val="auto"/>
          <w:kern w:val="21"/>
          <w:sz w:val="24"/>
          <w:szCs w:val="24"/>
          <w:highlight w:val="none"/>
        </w:rPr>
        <w:t>质疑</w:t>
      </w:r>
      <w:r>
        <w:rPr>
          <w:rFonts w:hint="eastAsia" w:hAnsi="宋体" w:cs="宋体"/>
          <w:color w:val="auto"/>
          <w:kern w:val="21"/>
          <w:sz w:val="24"/>
          <w:szCs w:val="24"/>
          <w:highlight w:val="none"/>
        </w:rPr>
        <w:t>项目的名称：</w:t>
      </w:r>
      <w:r>
        <w:rPr>
          <w:rFonts w:hint="eastAsia" w:hAnsi="宋体" w:cs="宋体"/>
          <w:bCs/>
          <w:color w:val="auto"/>
          <w:kern w:val="21"/>
          <w:sz w:val="24"/>
          <w:szCs w:val="24"/>
          <w:highlight w:val="none"/>
          <w:u w:val="single"/>
        </w:rPr>
        <w:t xml:space="preserve">                                     </w:t>
      </w:r>
    </w:p>
    <w:p w14:paraId="2666E0D5">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bCs/>
          <w:color w:val="auto"/>
          <w:kern w:val="21"/>
          <w:sz w:val="24"/>
          <w:szCs w:val="24"/>
          <w:highlight w:val="none"/>
        </w:rPr>
        <w:t>质疑</w:t>
      </w:r>
      <w:r>
        <w:rPr>
          <w:rFonts w:hint="eastAsia" w:hAnsi="宋体" w:cs="宋体"/>
          <w:color w:val="auto"/>
          <w:kern w:val="21"/>
          <w:sz w:val="24"/>
          <w:szCs w:val="24"/>
          <w:highlight w:val="none"/>
        </w:rPr>
        <w:t>项目的编号：</w:t>
      </w:r>
      <w:r>
        <w:rPr>
          <w:rFonts w:hint="eastAsia" w:hAnsi="宋体" w:cs="宋体"/>
          <w:bCs/>
          <w:color w:val="auto"/>
          <w:kern w:val="21"/>
          <w:sz w:val="24"/>
          <w:szCs w:val="24"/>
          <w:highlight w:val="none"/>
          <w:u w:val="single"/>
        </w:rPr>
        <w:t xml:space="preserve">                                     </w:t>
      </w:r>
    </w:p>
    <w:p w14:paraId="11A56226">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采购人名称：</w:t>
      </w:r>
      <w:r>
        <w:rPr>
          <w:rFonts w:hint="eastAsia" w:hAnsi="宋体" w:cs="宋体"/>
          <w:bCs/>
          <w:color w:val="auto"/>
          <w:kern w:val="21"/>
          <w:sz w:val="24"/>
          <w:szCs w:val="24"/>
          <w:highlight w:val="none"/>
          <w:u w:val="single"/>
        </w:rPr>
        <w:t xml:space="preserve">                                         </w:t>
      </w:r>
    </w:p>
    <w:p w14:paraId="474EB413">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质疑事项：</w:t>
      </w:r>
    </w:p>
    <w:p w14:paraId="290FAD19">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□采购文件   采购文件获取日期：</w:t>
      </w:r>
      <w:r>
        <w:rPr>
          <w:rFonts w:hint="eastAsia" w:hAnsi="宋体" w:cs="宋体"/>
          <w:bCs/>
          <w:color w:val="auto"/>
          <w:kern w:val="21"/>
          <w:sz w:val="24"/>
          <w:szCs w:val="24"/>
          <w:highlight w:val="none"/>
          <w:u w:val="single"/>
        </w:rPr>
        <w:t xml:space="preserve">                                   </w:t>
      </w:r>
    </w:p>
    <w:p w14:paraId="28F22E5B">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 xml:space="preserve">□采购过程   </w:t>
      </w:r>
    </w:p>
    <w:p w14:paraId="40C88D1D">
      <w:pPr>
        <w:pStyle w:val="18"/>
        <w:spacing w:line="360" w:lineRule="auto"/>
        <w:ind w:firstLine="480" w:firstLineChars="200"/>
        <w:contextualSpacing/>
        <w:rPr>
          <w:rFonts w:hAnsi="宋体" w:cs="宋体"/>
          <w:bCs/>
          <w:color w:val="auto"/>
          <w:kern w:val="21"/>
          <w:sz w:val="24"/>
          <w:szCs w:val="24"/>
          <w:highlight w:val="none"/>
          <w:u w:val="single"/>
        </w:rPr>
      </w:pPr>
      <w:r>
        <w:rPr>
          <w:rFonts w:hint="eastAsia" w:hAnsi="宋体" w:cs="宋体"/>
          <w:color w:val="auto"/>
          <w:kern w:val="21"/>
          <w:sz w:val="24"/>
          <w:szCs w:val="24"/>
          <w:highlight w:val="none"/>
        </w:rPr>
        <w:t xml:space="preserve">□成交结果   </w:t>
      </w:r>
    </w:p>
    <w:p w14:paraId="28FF32D9">
      <w:pPr>
        <w:pStyle w:val="18"/>
        <w:spacing w:line="360" w:lineRule="auto"/>
        <w:ind w:firstLine="482" w:firstLineChars="200"/>
        <w:contextualSpacing/>
        <w:rPr>
          <w:rFonts w:hAnsi="宋体" w:cs="宋体"/>
          <w:b/>
          <w:color w:val="auto"/>
          <w:kern w:val="21"/>
          <w:sz w:val="24"/>
          <w:szCs w:val="24"/>
          <w:highlight w:val="none"/>
        </w:rPr>
      </w:pPr>
      <w:r>
        <w:rPr>
          <w:rFonts w:hint="eastAsia" w:hAnsi="宋体" w:cs="宋体"/>
          <w:b/>
          <w:color w:val="auto"/>
          <w:kern w:val="21"/>
          <w:sz w:val="24"/>
          <w:szCs w:val="24"/>
          <w:highlight w:val="none"/>
        </w:rPr>
        <w:t>三、质疑事项具体内容</w:t>
      </w:r>
    </w:p>
    <w:p w14:paraId="3196633B">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质疑事项1：</w:t>
      </w:r>
      <w:r>
        <w:rPr>
          <w:rFonts w:hint="eastAsia" w:hAnsi="宋体" w:cs="宋体"/>
          <w:bCs/>
          <w:color w:val="auto"/>
          <w:kern w:val="21"/>
          <w:sz w:val="24"/>
          <w:szCs w:val="24"/>
          <w:highlight w:val="none"/>
          <w:u w:val="single"/>
        </w:rPr>
        <w:t xml:space="preserve">                                                                    </w:t>
      </w:r>
    </w:p>
    <w:p w14:paraId="7F240AEA">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事实依据：</w:t>
      </w:r>
      <w:r>
        <w:rPr>
          <w:rFonts w:hint="eastAsia" w:hAnsi="宋体" w:cs="宋体"/>
          <w:bCs/>
          <w:color w:val="auto"/>
          <w:kern w:val="21"/>
          <w:sz w:val="24"/>
          <w:szCs w:val="24"/>
          <w:highlight w:val="none"/>
          <w:u w:val="single"/>
        </w:rPr>
        <w:t xml:space="preserve">                                                                      </w:t>
      </w:r>
    </w:p>
    <w:p w14:paraId="137917B3">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法律依据：</w:t>
      </w:r>
      <w:r>
        <w:rPr>
          <w:rFonts w:hint="eastAsia" w:hAnsi="宋体" w:cs="宋体"/>
          <w:color w:val="auto"/>
          <w:kern w:val="21"/>
          <w:sz w:val="24"/>
          <w:szCs w:val="24"/>
          <w:highlight w:val="none"/>
          <w:u w:val="single"/>
        </w:rPr>
        <w:t xml:space="preserve">                                                        </w:t>
      </w:r>
      <w:r>
        <w:rPr>
          <w:rFonts w:hint="eastAsia" w:hAnsi="宋体" w:cs="宋体"/>
          <w:bCs/>
          <w:color w:val="auto"/>
          <w:kern w:val="21"/>
          <w:sz w:val="24"/>
          <w:szCs w:val="24"/>
          <w:highlight w:val="none"/>
          <w:u w:val="single"/>
        </w:rPr>
        <w:t xml:space="preserve">               </w:t>
      </w:r>
    </w:p>
    <w:p w14:paraId="49430713">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质疑事项2</w:t>
      </w:r>
    </w:p>
    <w:p w14:paraId="3E90059C">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w:t>
      </w:r>
    </w:p>
    <w:p w14:paraId="201F3497">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四、与质疑事项相关的质疑请求：</w:t>
      </w:r>
    </w:p>
    <w:p w14:paraId="448FFA4B">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请求：</w:t>
      </w:r>
      <w:r>
        <w:rPr>
          <w:rFonts w:hint="eastAsia" w:hAnsi="宋体" w:cs="宋体"/>
          <w:bCs/>
          <w:color w:val="auto"/>
          <w:kern w:val="21"/>
          <w:sz w:val="24"/>
          <w:szCs w:val="24"/>
          <w:highlight w:val="none"/>
          <w:u w:val="single"/>
        </w:rPr>
        <w:t xml:space="preserve">                                                                </w:t>
      </w:r>
    </w:p>
    <w:p w14:paraId="46C48FCB">
      <w:pPr>
        <w:pStyle w:val="18"/>
        <w:spacing w:line="360" w:lineRule="auto"/>
        <w:ind w:firstLine="480" w:firstLineChars="200"/>
        <w:contextualSpacing/>
        <w:rPr>
          <w:rFonts w:hAnsi="宋体" w:cs="宋体"/>
          <w:color w:val="auto"/>
          <w:kern w:val="21"/>
          <w:sz w:val="24"/>
          <w:szCs w:val="24"/>
          <w:highlight w:val="none"/>
        </w:rPr>
      </w:pPr>
    </w:p>
    <w:p w14:paraId="27F0E08A">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签字（签章）：                                       公章：</w:t>
      </w:r>
    </w:p>
    <w:p w14:paraId="5B0F0636">
      <w:pPr>
        <w:pStyle w:val="18"/>
        <w:spacing w:line="360" w:lineRule="auto"/>
        <w:ind w:firstLine="480" w:firstLineChars="200"/>
        <w:contextualSpacing/>
        <w:rPr>
          <w:rFonts w:hAnsi="宋体" w:cs="宋体"/>
          <w:color w:val="auto"/>
          <w:kern w:val="21"/>
          <w:sz w:val="24"/>
          <w:szCs w:val="24"/>
          <w:highlight w:val="none"/>
        </w:rPr>
      </w:pPr>
    </w:p>
    <w:p w14:paraId="3E33D36D">
      <w:pPr>
        <w:pStyle w:val="18"/>
        <w:spacing w:line="360" w:lineRule="auto"/>
        <w:ind w:firstLine="480" w:firstLineChars="200"/>
        <w:contextualSpacing/>
        <w:rPr>
          <w:rFonts w:hAnsi="宋体" w:cs="宋体"/>
          <w:color w:val="auto"/>
          <w:kern w:val="21"/>
          <w:sz w:val="24"/>
          <w:szCs w:val="24"/>
          <w:highlight w:val="none"/>
        </w:rPr>
      </w:pPr>
      <w:r>
        <w:rPr>
          <w:rFonts w:hint="eastAsia" w:hAnsi="宋体" w:cs="宋体"/>
          <w:color w:val="auto"/>
          <w:kern w:val="21"/>
          <w:sz w:val="24"/>
          <w:szCs w:val="24"/>
          <w:highlight w:val="none"/>
        </w:rPr>
        <w:t>日期：</w:t>
      </w:r>
    </w:p>
    <w:p w14:paraId="62C2BFD3">
      <w:pPr>
        <w:pStyle w:val="18"/>
        <w:spacing w:line="360" w:lineRule="auto"/>
        <w:contextualSpacing/>
        <w:rPr>
          <w:rFonts w:hAnsi="宋体" w:cs="宋体"/>
          <w:b/>
          <w:color w:val="auto"/>
          <w:kern w:val="21"/>
          <w:sz w:val="24"/>
          <w:szCs w:val="24"/>
          <w:highlight w:val="none"/>
        </w:rPr>
      </w:pPr>
    </w:p>
    <w:p w14:paraId="78D7E97B">
      <w:pPr>
        <w:pStyle w:val="18"/>
        <w:spacing w:line="360" w:lineRule="auto"/>
        <w:contextualSpacing/>
        <w:rPr>
          <w:rFonts w:hAnsi="宋体" w:cs="宋体"/>
          <w:b/>
          <w:color w:val="auto"/>
          <w:kern w:val="21"/>
          <w:sz w:val="24"/>
          <w:szCs w:val="24"/>
          <w:highlight w:val="none"/>
        </w:rPr>
      </w:pPr>
      <w:r>
        <w:rPr>
          <w:rFonts w:hint="eastAsia" w:hAnsi="宋体" w:cs="宋体"/>
          <w:b/>
          <w:color w:val="auto"/>
          <w:kern w:val="21"/>
          <w:sz w:val="24"/>
          <w:szCs w:val="24"/>
          <w:highlight w:val="none"/>
        </w:rPr>
        <w:t>说明：</w:t>
      </w:r>
    </w:p>
    <w:p w14:paraId="07EA82A6">
      <w:pPr>
        <w:pStyle w:val="18"/>
        <w:spacing w:line="360" w:lineRule="auto"/>
        <w:ind w:firstLine="482" w:firstLineChars="200"/>
        <w:contextualSpacing/>
        <w:rPr>
          <w:rFonts w:hAnsi="宋体" w:cs="宋体"/>
          <w:b/>
          <w:bCs/>
          <w:color w:val="auto"/>
          <w:kern w:val="21"/>
          <w:sz w:val="24"/>
          <w:szCs w:val="24"/>
          <w:highlight w:val="none"/>
        </w:rPr>
      </w:pPr>
      <w:r>
        <w:rPr>
          <w:rFonts w:hint="eastAsia" w:hAnsi="宋体" w:cs="宋体"/>
          <w:b/>
          <w:color w:val="auto"/>
          <w:kern w:val="21"/>
          <w:sz w:val="24"/>
          <w:szCs w:val="24"/>
          <w:highlight w:val="none"/>
        </w:rPr>
        <w:t>1.供应商提出质疑时，应提交质疑函和必要的证明材料</w:t>
      </w:r>
      <w:r>
        <w:rPr>
          <w:rFonts w:hint="eastAsia" w:hAnsi="宋体" w:cs="宋体"/>
          <w:b/>
          <w:bCs/>
          <w:color w:val="auto"/>
          <w:kern w:val="21"/>
          <w:sz w:val="24"/>
          <w:szCs w:val="24"/>
          <w:highlight w:val="none"/>
        </w:rPr>
        <w:t>。</w:t>
      </w:r>
    </w:p>
    <w:p w14:paraId="7804D2CA">
      <w:pPr>
        <w:pStyle w:val="18"/>
        <w:spacing w:line="360" w:lineRule="auto"/>
        <w:ind w:firstLine="482" w:firstLineChars="200"/>
        <w:contextualSpacing/>
        <w:rPr>
          <w:rFonts w:hAnsi="宋体" w:cs="宋体"/>
          <w:b/>
          <w:color w:val="auto"/>
          <w:kern w:val="21"/>
          <w:sz w:val="24"/>
          <w:szCs w:val="24"/>
          <w:highlight w:val="none"/>
        </w:rPr>
      </w:pPr>
      <w:r>
        <w:rPr>
          <w:rFonts w:hint="eastAsia" w:hAnsi="宋体" w:cs="宋体"/>
          <w:b/>
          <w:color w:val="auto"/>
          <w:kern w:val="21"/>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F1A934">
      <w:pPr>
        <w:pStyle w:val="18"/>
        <w:spacing w:line="360" w:lineRule="auto"/>
        <w:ind w:firstLine="482" w:firstLineChars="200"/>
        <w:contextualSpacing/>
        <w:rPr>
          <w:rFonts w:hAnsi="宋体" w:cs="宋体"/>
          <w:b/>
          <w:color w:val="auto"/>
          <w:kern w:val="21"/>
          <w:sz w:val="24"/>
          <w:szCs w:val="24"/>
          <w:highlight w:val="none"/>
        </w:rPr>
      </w:pPr>
      <w:r>
        <w:rPr>
          <w:rFonts w:hint="eastAsia" w:hAnsi="宋体" w:cs="宋体"/>
          <w:b/>
          <w:color w:val="auto"/>
          <w:kern w:val="21"/>
          <w:sz w:val="24"/>
          <w:szCs w:val="24"/>
          <w:highlight w:val="none"/>
        </w:rPr>
        <w:t>3.质疑函的质疑事项应具体、明确，并有必要的事实依据和法律依据。</w:t>
      </w:r>
    </w:p>
    <w:p w14:paraId="37680578">
      <w:pPr>
        <w:pStyle w:val="18"/>
        <w:spacing w:line="360" w:lineRule="auto"/>
        <w:ind w:firstLine="482" w:firstLineChars="200"/>
        <w:contextualSpacing/>
        <w:rPr>
          <w:rFonts w:hAnsi="宋体" w:cs="宋体"/>
          <w:b/>
          <w:color w:val="auto"/>
          <w:kern w:val="21"/>
          <w:sz w:val="24"/>
          <w:szCs w:val="24"/>
          <w:highlight w:val="none"/>
        </w:rPr>
      </w:pPr>
      <w:r>
        <w:rPr>
          <w:rFonts w:hint="eastAsia" w:hAnsi="宋体" w:cs="宋体"/>
          <w:b/>
          <w:color w:val="auto"/>
          <w:kern w:val="21"/>
          <w:sz w:val="24"/>
          <w:szCs w:val="24"/>
          <w:highlight w:val="none"/>
        </w:rPr>
        <w:t>4.质疑函的质疑请求应与质疑事项相关。</w:t>
      </w:r>
    </w:p>
    <w:p w14:paraId="43ADB007">
      <w:pPr>
        <w:pStyle w:val="18"/>
        <w:spacing w:line="360" w:lineRule="auto"/>
        <w:ind w:firstLine="482" w:firstLineChars="200"/>
        <w:contextualSpacing/>
        <w:rPr>
          <w:rFonts w:hAnsi="宋体" w:cs="宋体"/>
          <w:b/>
          <w:color w:val="auto"/>
          <w:kern w:val="21"/>
          <w:highlight w:val="none"/>
        </w:rPr>
      </w:pPr>
      <w:r>
        <w:rPr>
          <w:rFonts w:hint="eastAsia" w:hAnsi="宋体" w:cs="宋体"/>
          <w:b/>
          <w:color w:val="auto"/>
          <w:kern w:val="21"/>
          <w:sz w:val="24"/>
          <w:szCs w:val="24"/>
          <w:highlight w:val="none"/>
        </w:rPr>
        <w:t>5.质疑供应商为法人或者其他组织的，质疑函应由法定代表人、主要负责人，或者其授权代表签字或者盖章，并加盖公章。</w:t>
      </w:r>
    </w:p>
    <w:p w14:paraId="5FAE17E5">
      <w:pPr>
        <w:pStyle w:val="18"/>
        <w:snapToGrid w:val="0"/>
        <w:rPr>
          <w:rFonts w:hAnsi="宋体" w:cs="宋体"/>
          <w:b/>
          <w:color w:val="auto"/>
          <w:kern w:val="21"/>
          <w:sz w:val="24"/>
          <w:szCs w:val="24"/>
          <w:highlight w:val="none"/>
        </w:rPr>
      </w:pPr>
    </w:p>
    <w:p w14:paraId="2E4FDB4D">
      <w:pPr>
        <w:spacing w:line="460" w:lineRule="exact"/>
        <w:jc w:val="center"/>
        <w:rPr>
          <w:rFonts w:ascii="宋体" w:hAnsi="宋体" w:cs="宋体"/>
          <w:b/>
          <w:bCs/>
          <w:color w:val="auto"/>
          <w:kern w:val="21"/>
          <w:sz w:val="32"/>
          <w:szCs w:val="32"/>
          <w:highlight w:val="none"/>
        </w:rPr>
      </w:pPr>
      <w:r>
        <w:rPr>
          <w:rFonts w:hint="eastAsia" w:ascii="宋体" w:hAnsi="宋体" w:cs="宋体"/>
          <w:color w:val="auto"/>
          <w:kern w:val="21"/>
          <w:sz w:val="44"/>
          <w:highlight w:val="none"/>
        </w:rPr>
        <w:br w:type="page"/>
      </w:r>
      <w:r>
        <w:rPr>
          <w:rFonts w:hint="eastAsia" w:ascii="宋体" w:hAnsi="宋体" w:cs="宋体"/>
          <w:b/>
          <w:bCs/>
          <w:color w:val="auto"/>
          <w:kern w:val="21"/>
          <w:sz w:val="32"/>
          <w:szCs w:val="32"/>
          <w:highlight w:val="none"/>
        </w:rPr>
        <w:t>投诉书（格式）</w:t>
      </w:r>
    </w:p>
    <w:p w14:paraId="03EB15D0">
      <w:pPr>
        <w:pStyle w:val="18"/>
        <w:snapToGrid w:val="0"/>
        <w:spacing w:line="360" w:lineRule="auto"/>
        <w:ind w:firstLine="482" w:firstLineChars="200"/>
        <w:rPr>
          <w:rFonts w:hAnsi="宋体" w:cs="宋体"/>
          <w:b/>
          <w:bCs/>
          <w:color w:val="auto"/>
          <w:kern w:val="21"/>
          <w:sz w:val="24"/>
          <w:szCs w:val="24"/>
          <w:highlight w:val="none"/>
        </w:rPr>
      </w:pPr>
    </w:p>
    <w:p w14:paraId="39BC50B4">
      <w:pPr>
        <w:pStyle w:val="18"/>
        <w:snapToGrid w:val="0"/>
        <w:spacing w:line="360" w:lineRule="auto"/>
        <w:ind w:firstLine="482" w:firstLineChars="200"/>
        <w:rPr>
          <w:rFonts w:hAnsi="宋体" w:cs="宋体"/>
          <w:b/>
          <w:bCs/>
          <w:color w:val="auto"/>
          <w:kern w:val="21"/>
          <w:sz w:val="24"/>
          <w:szCs w:val="24"/>
          <w:highlight w:val="none"/>
        </w:rPr>
      </w:pPr>
      <w:r>
        <w:rPr>
          <w:rFonts w:hint="eastAsia" w:hAnsi="宋体" w:cs="宋体"/>
          <w:b/>
          <w:bCs/>
          <w:color w:val="auto"/>
          <w:kern w:val="21"/>
          <w:sz w:val="24"/>
          <w:szCs w:val="24"/>
          <w:highlight w:val="none"/>
        </w:rPr>
        <w:t>一、投诉相关主体基本情况：</w:t>
      </w:r>
    </w:p>
    <w:p w14:paraId="122EA82D">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供应商：</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737C3F54">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578363D4">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法定代表人/主要负责人：</w:t>
      </w:r>
      <w:r>
        <w:rPr>
          <w:rFonts w:hint="eastAsia" w:hAnsi="宋体" w:cs="宋体"/>
          <w:bCs/>
          <w:color w:val="auto"/>
          <w:kern w:val="21"/>
          <w:sz w:val="24"/>
          <w:szCs w:val="24"/>
          <w:highlight w:val="none"/>
          <w:u w:val="single"/>
        </w:rPr>
        <w:t xml:space="preserve">                                                         </w:t>
      </w:r>
    </w:p>
    <w:p w14:paraId="6EE6E25C">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72CFD8D7">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授权代表：</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6A577681">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p>
    <w:p w14:paraId="3F701010">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109F13F2">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被投诉人1：</w:t>
      </w:r>
    </w:p>
    <w:p w14:paraId="77839565">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p>
    <w:p w14:paraId="15A41C9D">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37E2F01E">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联系人：</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p>
    <w:p w14:paraId="6D7DE273">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被投诉人2：</w:t>
      </w:r>
    </w:p>
    <w:p w14:paraId="38C1D7BD">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w:t>
      </w:r>
    </w:p>
    <w:p w14:paraId="5644FCBA">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相关供应商：</w:t>
      </w:r>
      <w:r>
        <w:rPr>
          <w:rFonts w:hint="eastAsia" w:hAnsi="宋体" w:cs="宋体"/>
          <w:bCs/>
          <w:color w:val="auto"/>
          <w:kern w:val="21"/>
          <w:sz w:val="24"/>
          <w:szCs w:val="24"/>
          <w:highlight w:val="none"/>
          <w:u w:val="single"/>
        </w:rPr>
        <w:t xml:space="preserve">                                                                       </w:t>
      </w:r>
    </w:p>
    <w:p w14:paraId="71043F68">
      <w:pPr>
        <w:pStyle w:val="18"/>
        <w:snapToGrid w:val="0"/>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地址：</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邮编：</w:t>
      </w:r>
      <w:r>
        <w:rPr>
          <w:rFonts w:hint="eastAsia" w:hAnsi="宋体" w:cs="宋体"/>
          <w:bCs/>
          <w:color w:val="auto"/>
          <w:kern w:val="21"/>
          <w:sz w:val="24"/>
          <w:szCs w:val="24"/>
          <w:highlight w:val="none"/>
          <w:u w:val="single"/>
        </w:rPr>
        <w:t xml:space="preserve">                         </w:t>
      </w:r>
    </w:p>
    <w:p w14:paraId="6E3E9849">
      <w:pPr>
        <w:pStyle w:val="18"/>
        <w:snapToGrid w:val="0"/>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联系人：</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联系电话：</w:t>
      </w:r>
      <w:r>
        <w:rPr>
          <w:rFonts w:hint="eastAsia" w:hAnsi="宋体" w:cs="宋体"/>
          <w:bCs/>
          <w:color w:val="auto"/>
          <w:kern w:val="21"/>
          <w:sz w:val="24"/>
          <w:szCs w:val="24"/>
          <w:highlight w:val="none"/>
          <w:u w:val="single"/>
        </w:rPr>
        <w:t xml:space="preserve">                     </w:t>
      </w:r>
      <w:r>
        <w:rPr>
          <w:rFonts w:hint="eastAsia" w:hAnsi="宋体" w:cs="宋体"/>
          <w:bCs/>
          <w:color w:val="auto"/>
          <w:kern w:val="21"/>
          <w:sz w:val="24"/>
          <w:szCs w:val="24"/>
          <w:highlight w:val="none"/>
        </w:rPr>
        <w:t xml:space="preserve">                </w:t>
      </w:r>
    </w:p>
    <w:p w14:paraId="60628409">
      <w:pPr>
        <w:pStyle w:val="18"/>
        <w:snapToGrid w:val="0"/>
        <w:spacing w:line="360" w:lineRule="auto"/>
        <w:ind w:firstLine="482" w:firstLineChars="200"/>
        <w:rPr>
          <w:rFonts w:hAnsi="宋体" w:cs="宋体"/>
          <w:b/>
          <w:bCs/>
          <w:color w:val="auto"/>
          <w:kern w:val="21"/>
          <w:sz w:val="24"/>
          <w:szCs w:val="24"/>
          <w:highlight w:val="none"/>
        </w:rPr>
      </w:pPr>
      <w:r>
        <w:rPr>
          <w:rFonts w:hint="eastAsia" w:hAnsi="宋体" w:cs="宋体"/>
          <w:b/>
          <w:bCs/>
          <w:color w:val="auto"/>
          <w:kern w:val="21"/>
          <w:sz w:val="24"/>
          <w:szCs w:val="24"/>
          <w:highlight w:val="none"/>
        </w:rPr>
        <w:t>二、投诉项目基本情况：</w:t>
      </w:r>
    </w:p>
    <w:p w14:paraId="5B1700D2">
      <w:pPr>
        <w:pStyle w:val="18"/>
        <w:spacing w:line="360" w:lineRule="auto"/>
        <w:ind w:firstLine="480" w:firstLineChars="200"/>
        <w:rPr>
          <w:rFonts w:hAnsi="宋体" w:cs="宋体"/>
          <w:color w:val="auto"/>
          <w:kern w:val="21"/>
          <w:sz w:val="24"/>
          <w:szCs w:val="24"/>
          <w:highlight w:val="none"/>
        </w:rPr>
      </w:pPr>
      <w:r>
        <w:rPr>
          <w:rFonts w:hint="eastAsia" w:hAnsi="宋体" w:cs="宋体"/>
          <w:bCs/>
          <w:color w:val="auto"/>
          <w:kern w:val="21"/>
          <w:sz w:val="24"/>
          <w:szCs w:val="24"/>
          <w:highlight w:val="none"/>
        </w:rPr>
        <w:t>采购</w:t>
      </w:r>
      <w:r>
        <w:rPr>
          <w:rFonts w:hint="eastAsia" w:hAnsi="宋体" w:cs="宋体"/>
          <w:color w:val="auto"/>
          <w:kern w:val="21"/>
          <w:sz w:val="24"/>
          <w:szCs w:val="24"/>
          <w:highlight w:val="none"/>
        </w:rPr>
        <w:t>项目的名称：</w:t>
      </w:r>
      <w:r>
        <w:rPr>
          <w:rFonts w:hint="eastAsia" w:hAnsi="宋体" w:cs="宋体"/>
          <w:bCs/>
          <w:color w:val="auto"/>
          <w:kern w:val="21"/>
          <w:sz w:val="24"/>
          <w:szCs w:val="24"/>
          <w:highlight w:val="none"/>
          <w:u w:val="single"/>
        </w:rPr>
        <w:t xml:space="preserve">                                                                   </w:t>
      </w:r>
    </w:p>
    <w:p w14:paraId="49A00362">
      <w:pPr>
        <w:pStyle w:val="18"/>
        <w:spacing w:line="360" w:lineRule="auto"/>
        <w:ind w:firstLine="480" w:firstLineChars="200"/>
        <w:rPr>
          <w:rFonts w:hAnsi="宋体" w:cs="宋体"/>
          <w:color w:val="auto"/>
          <w:kern w:val="21"/>
          <w:sz w:val="24"/>
          <w:szCs w:val="24"/>
          <w:highlight w:val="none"/>
        </w:rPr>
      </w:pPr>
      <w:r>
        <w:rPr>
          <w:rFonts w:hint="eastAsia" w:hAnsi="宋体" w:cs="宋体"/>
          <w:bCs/>
          <w:color w:val="auto"/>
          <w:kern w:val="21"/>
          <w:sz w:val="24"/>
          <w:szCs w:val="24"/>
          <w:highlight w:val="none"/>
        </w:rPr>
        <w:t>采购</w:t>
      </w:r>
      <w:r>
        <w:rPr>
          <w:rFonts w:hint="eastAsia" w:hAnsi="宋体" w:cs="宋体"/>
          <w:color w:val="auto"/>
          <w:kern w:val="21"/>
          <w:sz w:val="24"/>
          <w:szCs w:val="24"/>
          <w:highlight w:val="none"/>
        </w:rPr>
        <w:t>项目的编号：</w:t>
      </w:r>
      <w:r>
        <w:rPr>
          <w:rFonts w:hint="eastAsia" w:hAnsi="宋体" w:cs="宋体"/>
          <w:bCs/>
          <w:color w:val="auto"/>
          <w:kern w:val="21"/>
          <w:sz w:val="24"/>
          <w:szCs w:val="24"/>
          <w:highlight w:val="none"/>
          <w:u w:val="single"/>
        </w:rPr>
        <w:t xml:space="preserve">                                          </w:t>
      </w:r>
    </w:p>
    <w:p w14:paraId="4AB473F1">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color w:val="auto"/>
          <w:kern w:val="21"/>
          <w:sz w:val="24"/>
          <w:szCs w:val="24"/>
          <w:highlight w:val="none"/>
        </w:rPr>
        <w:t>采购人名称：</w:t>
      </w:r>
      <w:r>
        <w:rPr>
          <w:rFonts w:hint="eastAsia" w:hAnsi="宋体" w:cs="宋体"/>
          <w:bCs/>
          <w:color w:val="auto"/>
          <w:kern w:val="21"/>
          <w:sz w:val="24"/>
          <w:szCs w:val="24"/>
          <w:highlight w:val="none"/>
          <w:u w:val="single"/>
        </w:rPr>
        <w:t xml:space="preserve">                                                                        </w:t>
      </w:r>
    </w:p>
    <w:p w14:paraId="30230D9A">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color w:val="auto"/>
          <w:kern w:val="21"/>
          <w:sz w:val="24"/>
          <w:szCs w:val="24"/>
          <w:highlight w:val="none"/>
        </w:rPr>
        <w:t>代理机构名称：</w:t>
      </w:r>
      <w:r>
        <w:rPr>
          <w:rFonts w:hint="eastAsia" w:hAnsi="宋体" w:cs="宋体"/>
          <w:bCs/>
          <w:color w:val="auto"/>
          <w:kern w:val="21"/>
          <w:sz w:val="24"/>
          <w:szCs w:val="24"/>
          <w:highlight w:val="none"/>
          <w:u w:val="single"/>
        </w:rPr>
        <w:t xml:space="preserve">                                                                      </w:t>
      </w:r>
    </w:p>
    <w:p w14:paraId="0E12C83D">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采购文件公告：</w:t>
      </w:r>
      <w:r>
        <w:rPr>
          <w:rFonts w:hint="eastAsia" w:hAnsi="宋体" w:cs="宋体"/>
          <w:bCs/>
          <w:color w:val="auto"/>
          <w:kern w:val="21"/>
          <w:sz w:val="24"/>
          <w:szCs w:val="24"/>
          <w:highlight w:val="none"/>
          <w:u w:val="single"/>
        </w:rPr>
        <w:t>是/否</w:t>
      </w:r>
      <w:r>
        <w:rPr>
          <w:rFonts w:hint="eastAsia" w:hAnsi="宋体" w:cs="宋体"/>
          <w:bCs/>
          <w:color w:val="auto"/>
          <w:kern w:val="21"/>
          <w:sz w:val="24"/>
          <w:szCs w:val="24"/>
          <w:highlight w:val="none"/>
        </w:rPr>
        <w:t>公告期限：</w:t>
      </w:r>
      <w:r>
        <w:rPr>
          <w:rFonts w:hint="eastAsia" w:hAnsi="宋体" w:cs="宋体"/>
          <w:bCs/>
          <w:color w:val="auto"/>
          <w:kern w:val="21"/>
          <w:sz w:val="24"/>
          <w:szCs w:val="24"/>
          <w:highlight w:val="none"/>
          <w:u w:val="single"/>
        </w:rPr>
        <w:t xml:space="preserve">                                                       </w:t>
      </w:r>
    </w:p>
    <w:p w14:paraId="256F05CF">
      <w:pPr>
        <w:pStyle w:val="18"/>
        <w:spacing w:line="360" w:lineRule="auto"/>
        <w:ind w:firstLine="480" w:firstLineChars="200"/>
        <w:rPr>
          <w:rFonts w:hAnsi="宋体" w:cs="宋体"/>
          <w:b/>
          <w:color w:val="auto"/>
          <w:kern w:val="21"/>
          <w:sz w:val="24"/>
          <w:szCs w:val="24"/>
          <w:highlight w:val="none"/>
        </w:rPr>
      </w:pPr>
      <w:r>
        <w:rPr>
          <w:rFonts w:hint="eastAsia" w:hAnsi="宋体" w:cs="宋体"/>
          <w:bCs/>
          <w:color w:val="auto"/>
          <w:kern w:val="21"/>
          <w:sz w:val="24"/>
          <w:szCs w:val="24"/>
          <w:highlight w:val="none"/>
        </w:rPr>
        <w:t>采购结果公告：</w:t>
      </w:r>
      <w:r>
        <w:rPr>
          <w:rFonts w:hint="eastAsia" w:hAnsi="宋体" w:cs="宋体"/>
          <w:bCs/>
          <w:color w:val="auto"/>
          <w:kern w:val="21"/>
          <w:sz w:val="24"/>
          <w:szCs w:val="24"/>
          <w:highlight w:val="none"/>
          <w:u w:val="single"/>
        </w:rPr>
        <w:t>是/否</w:t>
      </w:r>
      <w:r>
        <w:rPr>
          <w:rFonts w:hint="eastAsia" w:hAnsi="宋体" w:cs="宋体"/>
          <w:bCs/>
          <w:color w:val="auto"/>
          <w:kern w:val="21"/>
          <w:sz w:val="24"/>
          <w:szCs w:val="24"/>
          <w:highlight w:val="none"/>
        </w:rPr>
        <w:t>公告期限：</w:t>
      </w:r>
      <w:r>
        <w:rPr>
          <w:rFonts w:hint="eastAsia" w:hAnsi="宋体" w:cs="宋体"/>
          <w:bCs/>
          <w:color w:val="auto"/>
          <w:kern w:val="21"/>
          <w:sz w:val="24"/>
          <w:szCs w:val="24"/>
          <w:highlight w:val="none"/>
          <w:u w:val="single"/>
        </w:rPr>
        <w:t xml:space="preserve">                                                       </w:t>
      </w:r>
    </w:p>
    <w:p w14:paraId="51EA45F3">
      <w:pPr>
        <w:pStyle w:val="18"/>
        <w:spacing w:line="360" w:lineRule="auto"/>
        <w:ind w:firstLine="482" w:firstLineChars="200"/>
        <w:rPr>
          <w:rFonts w:hAnsi="宋体" w:cs="宋体"/>
          <w:b/>
          <w:color w:val="auto"/>
          <w:kern w:val="21"/>
          <w:sz w:val="24"/>
          <w:szCs w:val="24"/>
          <w:highlight w:val="none"/>
        </w:rPr>
      </w:pPr>
      <w:r>
        <w:rPr>
          <w:rFonts w:hint="eastAsia" w:hAnsi="宋体" w:cs="宋体"/>
          <w:b/>
          <w:color w:val="auto"/>
          <w:kern w:val="21"/>
          <w:sz w:val="24"/>
          <w:szCs w:val="24"/>
          <w:highlight w:val="none"/>
        </w:rPr>
        <w:t>三、质疑基本情况</w:t>
      </w:r>
    </w:p>
    <w:p w14:paraId="7A1F9802">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投诉人于</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年</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日，向</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提出质疑，质疑事项为：</w:t>
      </w:r>
    </w:p>
    <w:p w14:paraId="284873DE">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5308234D">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4BFC9C9F">
      <w:pPr>
        <w:pStyle w:val="18"/>
        <w:spacing w:line="360" w:lineRule="auto"/>
        <w:ind w:firstLine="480" w:firstLineChars="200"/>
        <w:rPr>
          <w:rFonts w:hAnsi="宋体" w:cs="宋体"/>
          <w:color w:val="auto"/>
          <w:kern w:val="21"/>
          <w:sz w:val="24"/>
          <w:szCs w:val="24"/>
          <w:highlight w:val="none"/>
        </w:rPr>
      </w:pPr>
      <w:r>
        <w:rPr>
          <w:rFonts w:hint="eastAsia" w:hAnsi="宋体" w:cs="宋体"/>
          <w:bCs/>
          <w:color w:val="auto"/>
          <w:kern w:val="21"/>
          <w:sz w:val="24"/>
          <w:szCs w:val="24"/>
          <w:highlight w:val="none"/>
          <w:u w:val="single"/>
        </w:rPr>
        <w:t>采购人/代理机构</w:t>
      </w:r>
      <w:r>
        <w:rPr>
          <w:rFonts w:hint="eastAsia" w:hAnsi="宋体" w:cs="宋体"/>
          <w:bCs/>
          <w:color w:val="auto"/>
          <w:kern w:val="21"/>
          <w:sz w:val="24"/>
          <w:szCs w:val="24"/>
          <w:highlight w:val="none"/>
        </w:rPr>
        <w:t>于</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年</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月</w:t>
      </w:r>
      <w:r>
        <w:rPr>
          <w:rFonts w:hint="eastAsia" w:hAnsi="宋体" w:cs="宋体"/>
          <w:color w:val="auto"/>
          <w:kern w:val="21"/>
          <w:sz w:val="24"/>
          <w:szCs w:val="24"/>
          <w:highlight w:val="none"/>
          <w:u w:val="single"/>
        </w:rPr>
        <w:t xml:space="preserve">   </w:t>
      </w:r>
      <w:r>
        <w:rPr>
          <w:rFonts w:hint="eastAsia" w:hAnsi="宋体" w:cs="宋体"/>
          <w:color w:val="auto"/>
          <w:kern w:val="21"/>
          <w:sz w:val="24"/>
          <w:szCs w:val="24"/>
          <w:highlight w:val="none"/>
        </w:rPr>
        <w:t>日，</w:t>
      </w:r>
      <w:r>
        <w:rPr>
          <w:rFonts w:hint="eastAsia" w:hAnsi="宋体" w:cs="宋体"/>
          <w:bCs/>
          <w:color w:val="auto"/>
          <w:kern w:val="21"/>
          <w:sz w:val="24"/>
          <w:szCs w:val="24"/>
          <w:highlight w:val="none"/>
        </w:rPr>
        <w:t xml:space="preserve">就质疑事项作出了答复/没有在法定期限内作出答复。                                                                                             </w:t>
      </w:r>
    </w:p>
    <w:p w14:paraId="61509CC7">
      <w:pPr>
        <w:pStyle w:val="18"/>
        <w:spacing w:line="360" w:lineRule="auto"/>
        <w:ind w:firstLine="482" w:firstLineChars="200"/>
        <w:rPr>
          <w:rFonts w:hAnsi="宋体" w:cs="宋体"/>
          <w:b/>
          <w:color w:val="auto"/>
          <w:kern w:val="21"/>
          <w:sz w:val="24"/>
          <w:szCs w:val="24"/>
          <w:highlight w:val="none"/>
        </w:rPr>
      </w:pPr>
      <w:r>
        <w:rPr>
          <w:rFonts w:hint="eastAsia" w:hAnsi="宋体" w:cs="宋体"/>
          <w:b/>
          <w:color w:val="auto"/>
          <w:kern w:val="21"/>
          <w:sz w:val="24"/>
          <w:szCs w:val="24"/>
          <w:highlight w:val="none"/>
        </w:rPr>
        <w:t>四、投诉事项具体内容</w:t>
      </w:r>
    </w:p>
    <w:p w14:paraId="2A9A86C2">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color w:val="auto"/>
          <w:kern w:val="21"/>
          <w:sz w:val="24"/>
          <w:szCs w:val="24"/>
          <w:highlight w:val="none"/>
        </w:rPr>
        <w:t>投诉事项1：</w:t>
      </w:r>
      <w:r>
        <w:rPr>
          <w:rFonts w:hint="eastAsia" w:hAnsi="宋体" w:cs="宋体"/>
          <w:bCs/>
          <w:color w:val="auto"/>
          <w:kern w:val="21"/>
          <w:sz w:val="24"/>
          <w:szCs w:val="24"/>
          <w:highlight w:val="none"/>
          <w:u w:val="single"/>
        </w:rPr>
        <w:t xml:space="preserve">                                                                           </w:t>
      </w:r>
    </w:p>
    <w:p w14:paraId="78CBD572">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事实依据：</w:t>
      </w:r>
      <w:r>
        <w:rPr>
          <w:rFonts w:hint="eastAsia" w:hAnsi="宋体" w:cs="宋体"/>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4E076C31">
      <w:pPr>
        <w:pStyle w:val="18"/>
        <w:spacing w:line="360" w:lineRule="auto"/>
        <w:ind w:firstLine="480" w:firstLineChars="200"/>
        <w:rPr>
          <w:rFonts w:hAnsi="宋体" w:cs="宋体"/>
          <w:color w:val="auto"/>
          <w:kern w:val="21"/>
          <w:sz w:val="24"/>
          <w:szCs w:val="24"/>
          <w:highlight w:val="none"/>
        </w:rPr>
      </w:pPr>
      <w:r>
        <w:rPr>
          <w:rFonts w:hint="eastAsia" w:hAnsi="宋体" w:cs="宋体"/>
          <w:bCs/>
          <w:color w:val="auto"/>
          <w:kern w:val="21"/>
          <w:sz w:val="24"/>
          <w:szCs w:val="24"/>
          <w:highlight w:val="none"/>
          <w:u w:val="single"/>
        </w:rPr>
        <w:t xml:space="preserve">                                                                                        </w:t>
      </w:r>
    </w:p>
    <w:p w14:paraId="54C70744">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法律依据：</w:t>
      </w:r>
      <w:r>
        <w:rPr>
          <w:rFonts w:hint="eastAsia" w:hAnsi="宋体" w:cs="宋体"/>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211BE04D">
      <w:pPr>
        <w:pStyle w:val="18"/>
        <w:spacing w:line="360" w:lineRule="auto"/>
        <w:ind w:firstLine="480" w:firstLineChars="200"/>
        <w:rPr>
          <w:rFonts w:hAnsi="宋体" w:cs="宋体"/>
          <w:bCs/>
          <w:color w:val="auto"/>
          <w:kern w:val="21"/>
          <w:sz w:val="24"/>
          <w:szCs w:val="24"/>
          <w:highlight w:val="none"/>
          <w:u w:val="single"/>
        </w:rPr>
      </w:pPr>
      <w:r>
        <w:rPr>
          <w:rFonts w:hint="eastAsia" w:hAnsi="宋体" w:cs="宋体"/>
          <w:bCs/>
          <w:color w:val="auto"/>
          <w:kern w:val="21"/>
          <w:sz w:val="24"/>
          <w:szCs w:val="24"/>
          <w:highlight w:val="none"/>
        </w:rPr>
        <w:t xml:space="preserve"> </w:t>
      </w:r>
      <w:r>
        <w:rPr>
          <w:rFonts w:hint="eastAsia" w:hAnsi="宋体" w:cs="宋体"/>
          <w:bCs/>
          <w:color w:val="auto"/>
          <w:kern w:val="21"/>
          <w:sz w:val="24"/>
          <w:szCs w:val="24"/>
          <w:highlight w:val="none"/>
          <w:u w:val="single"/>
        </w:rPr>
        <w:t xml:space="preserve">                                                                                        </w:t>
      </w:r>
    </w:p>
    <w:p w14:paraId="71B1B2B1">
      <w:pPr>
        <w:pStyle w:val="18"/>
        <w:spacing w:line="360" w:lineRule="auto"/>
        <w:ind w:firstLine="480" w:firstLineChars="200"/>
        <w:rPr>
          <w:rFonts w:hAnsi="宋体" w:cs="宋体"/>
          <w:bCs/>
          <w:color w:val="auto"/>
          <w:kern w:val="21"/>
          <w:sz w:val="24"/>
          <w:szCs w:val="24"/>
          <w:highlight w:val="none"/>
        </w:rPr>
      </w:pPr>
      <w:r>
        <w:rPr>
          <w:rFonts w:hint="eastAsia" w:hAnsi="宋体" w:cs="宋体"/>
          <w:color w:val="auto"/>
          <w:kern w:val="21"/>
          <w:sz w:val="24"/>
          <w:szCs w:val="24"/>
          <w:highlight w:val="none"/>
        </w:rPr>
        <w:t xml:space="preserve">投诉事项2  </w:t>
      </w:r>
      <w:r>
        <w:rPr>
          <w:rFonts w:hint="eastAsia" w:hAnsi="宋体" w:cs="宋体"/>
          <w:bCs/>
          <w:color w:val="auto"/>
          <w:kern w:val="21"/>
          <w:sz w:val="24"/>
          <w:szCs w:val="24"/>
          <w:highlight w:val="none"/>
        </w:rPr>
        <w:t xml:space="preserve">   </w:t>
      </w:r>
    </w:p>
    <w:p w14:paraId="3CB56739">
      <w:pPr>
        <w:pStyle w:val="18"/>
        <w:spacing w:line="360" w:lineRule="auto"/>
        <w:ind w:firstLine="480" w:firstLineChars="200"/>
        <w:rPr>
          <w:rFonts w:hAnsi="宋体" w:cs="宋体"/>
          <w:bCs/>
          <w:color w:val="auto"/>
          <w:kern w:val="21"/>
          <w:sz w:val="24"/>
          <w:szCs w:val="24"/>
          <w:highlight w:val="none"/>
        </w:rPr>
      </w:pPr>
      <w:r>
        <w:rPr>
          <w:rFonts w:hint="eastAsia" w:hAnsi="宋体" w:cs="宋体"/>
          <w:bCs/>
          <w:color w:val="auto"/>
          <w:kern w:val="21"/>
          <w:sz w:val="24"/>
          <w:szCs w:val="24"/>
          <w:highlight w:val="none"/>
        </w:rPr>
        <w:t>……</w:t>
      </w:r>
    </w:p>
    <w:p w14:paraId="175D0246">
      <w:pPr>
        <w:pStyle w:val="18"/>
        <w:spacing w:line="360" w:lineRule="auto"/>
        <w:ind w:firstLine="482" w:firstLineChars="200"/>
        <w:rPr>
          <w:rFonts w:hAnsi="宋体" w:cs="宋体"/>
          <w:b/>
          <w:color w:val="auto"/>
          <w:kern w:val="21"/>
          <w:sz w:val="24"/>
          <w:szCs w:val="24"/>
          <w:highlight w:val="none"/>
        </w:rPr>
      </w:pPr>
      <w:r>
        <w:rPr>
          <w:rFonts w:hint="eastAsia" w:hAnsi="宋体" w:cs="宋体"/>
          <w:b/>
          <w:color w:val="auto"/>
          <w:kern w:val="21"/>
          <w:sz w:val="24"/>
          <w:szCs w:val="24"/>
          <w:highlight w:val="none"/>
        </w:rPr>
        <w:t>五、与投诉事项相关的投诉请求：</w:t>
      </w:r>
    </w:p>
    <w:p w14:paraId="5B709D03">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请求：</w:t>
      </w:r>
      <w:r>
        <w:rPr>
          <w:rFonts w:hint="eastAsia" w:hAnsi="宋体" w:cs="宋体"/>
          <w:bCs/>
          <w:color w:val="auto"/>
          <w:kern w:val="21"/>
          <w:sz w:val="24"/>
          <w:szCs w:val="24"/>
          <w:highlight w:val="none"/>
          <w:u w:val="single"/>
        </w:rPr>
        <w:t xml:space="preserve">                                                                                 </w:t>
      </w:r>
    </w:p>
    <w:p w14:paraId="0E1840EE">
      <w:pPr>
        <w:pStyle w:val="18"/>
        <w:spacing w:line="360" w:lineRule="auto"/>
        <w:ind w:firstLine="480" w:firstLineChars="200"/>
        <w:rPr>
          <w:rFonts w:hAnsi="宋体" w:cs="宋体"/>
          <w:color w:val="auto"/>
          <w:kern w:val="21"/>
          <w:sz w:val="24"/>
          <w:szCs w:val="24"/>
          <w:highlight w:val="none"/>
        </w:rPr>
      </w:pPr>
    </w:p>
    <w:p w14:paraId="0AF2C170">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签字（签章）：                                       公章：</w:t>
      </w:r>
    </w:p>
    <w:p w14:paraId="1610CC27">
      <w:pPr>
        <w:pStyle w:val="18"/>
        <w:spacing w:line="360" w:lineRule="auto"/>
        <w:ind w:firstLine="480" w:firstLineChars="200"/>
        <w:rPr>
          <w:rFonts w:hAnsi="宋体" w:cs="宋体"/>
          <w:color w:val="auto"/>
          <w:kern w:val="21"/>
          <w:sz w:val="24"/>
          <w:szCs w:val="24"/>
          <w:highlight w:val="none"/>
        </w:rPr>
      </w:pPr>
    </w:p>
    <w:p w14:paraId="7AD260DE">
      <w:pPr>
        <w:pStyle w:val="18"/>
        <w:spacing w:line="360" w:lineRule="auto"/>
        <w:ind w:firstLine="480" w:firstLineChars="200"/>
        <w:rPr>
          <w:rFonts w:hAnsi="宋体" w:cs="宋体"/>
          <w:color w:val="auto"/>
          <w:kern w:val="21"/>
          <w:sz w:val="24"/>
          <w:szCs w:val="24"/>
          <w:highlight w:val="none"/>
        </w:rPr>
      </w:pPr>
      <w:r>
        <w:rPr>
          <w:rFonts w:hint="eastAsia" w:hAnsi="宋体" w:cs="宋体"/>
          <w:color w:val="auto"/>
          <w:kern w:val="21"/>
          <w:sz w:val="24"/>
          <w:szCs w:val="24"/>
          <w:highlight w:val="none"/>
        </w:rPr>
        <w:t>日期：</w:t>
      </w:r>
    </w:p>
    <w:p w14:paraId="477E7612">
      <w:pPr>
        <w:pStyle w:val="18"/>
        <w:snapToGrid w:val="0"/>
        <w:spacing w:line="360" w:lineRule="auto"/>
        <w:rPr>
          <w:rFonts w:hAnsi="宋体" w:cs="宋体"/>
          <w:b/>
          <w:color w:val="auto"/>
          <w:kern w:val="21"/>
          <w:sz w:val="24"/>
          <w:szCs w:val="24"/>
          <w:highlight w:val="none"/>
        </w:rPr>
      </w:pPr>
    </w:p>
    <w:p w14:paraId="4131AB6E">
      <w:pPr>
        <w:pStyle w:val="18"/>
        <w:snapToGrid w:val="0"/>
        <w:spacing w:line="360" w:lineRule="auto"/>
        <w:rPr>
          <w:rFonts w:hAnsi="宋体" w:cs="宋体"/>
          <w:b/>
          <w:color w:val="auto"/>
          <w:kern w:val="21"/>
          <w:sz w:val="24"/>
          <w:szCs w:val="24"/>
          <w:highlight w:val="none"/>
        </w:rPr>
      </w:pPr>
      <w:r>
        <w:rPr>
          <w:rFonts w:hint="eastAsia" w:hAnsi="宋体" w:cs="宋体"/>
          <w:b/>
          <w:color w:val="auto"/>
          <w:kern w:val="21"/>
          <w:sz w:val="24"/>
          <w:szCs w:val="24"/>
          <w:highlight w:val="none"/>
        </w:rPr>
        <w:t>说明：</w:t>
      </w:r>
    </w:p>
    <w:p w14:paraId="374F0C92">
      <w:pPr>
        <w:pStyle w:val="18"/>
        <w:spacing w:line="360" w:lineRule="auto"/>
        <w:ind w:left="25" w:leftChars="12" w:firstLine="354" w:firstLineChars="147"/>
        <w:rPr>
          <w:rFonts w:hAnsi="宋体" w:cs="宋体"/>
          <w:b/>
          <w:bCs/>
          <w:color w:val="auto"/>
          <w:kern w:val="21"/>
          <w:sz w:val="24"/>
          <w:szCs w:val="24"/>
          <w:highlight w:val="none"/>
        </w:rPr>
      </w:pPr>
      <w:r>
        <w:rPr>
          <w:rFonts w:hint="eastAsia" w:hAnsi="宋体" w:cs="宋体"/>
          <w:b/>
          <w:color w:val="auto"/>
          <w:kern w:val="21"/>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kern w:val="21"/>
          <w:sz w:val="24"/>
          <w:szCs w:val="24"/>
          <w:highlight w:val="none"/>
        </w:rPr>
        <w:t>。</w:t>
      </w:r>
    </w:p>
    <w:p w14:paraId="7FE5B3D6">
      <w:pPr>
        <w:pStyle w:val="18"/>
        <w:spacing w:line="360" w:lineRule="auto"/>
        <w:ind w:left="25" w:leftChars="12" w:firstLine="354" w:firstLineChars="147"/>
        <w:rPr>
          <w:rFonts w:hAnsi="宋体" w:cs="宋体"/>
          <w:b/>
          <w:color w:val="auto"/>
          <w:kern w:val="21"/>
          <w:sz w:val="24"/>
          <w:szCs w:val="24"/>
          <w:highlight w:val="none"/>
        </w:rPr>
      </w:pPr>
      <w:r>
        <w:rPr>
          <w:rFonts w:hint="eastAsia" w:hAnsi="宋体" w:cs="宋体"/>
          <w:b/>
          <w:color w:val="auto"/>
          <w:kern w:val="21"/>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F07AA6">
      <w:pPr>
        <w:pStyle w:val="18"/>
        <w:spacing w:line="360" w:lineRule="auto"/>
        <w:ind w:left="25" w:leftChars="12" w:firstLine="354" w:firstLineChars="147"/>
        <w:rPr>
          <w:rFonts w:hAnsi="宋体" w:cs="宋体"/>
          <w:b/>
          <w:color w:val="auto"/>
          <w:kern w:val="21"/>
          <w:sz w:val="24"/>
          <w:szCs w:val="24"/>
          <w:highlight w:val="none"/>
        </w:rPr>
      </w:pPr>
      <w:r>
        <w:rPr>
          <w:rFonts w:hint="eastAsia" w:hAnsi="宋体" w:cs="宋体"/>
          <w:b/>
          <w:color w:val="auto"/>
          <w:kern w:val="21"/>
          <w:sz w:val="24"/>
          <w:szCs w:val="24"/>
          <w:highlight w:val="none"/>
        </w:rPr>
        <w:t>3.投诉书应简要列明质疑事项，质疑函、质疑答复等作为附件材料提供。</w:t>
      </w:r>
    </w:p>
    <w:p w14:paraId="332AF295">
      <w:pPr>
        <w:pStyle w:val="18"/>
        <w:spacing w:line="360" w:lineRule="auto"/>
        <w:ind w:left="25" w:leftChars="12" w:firstLine="354" w:firstLineChars="147"/>
        <w:rPr>
          <w:rFonts w:hAnsi="宋体" w:cs="宋体"/>
          <w:b/>
          <w:color w:val="auto"/>
          <w:kern w:val="21"/>
          <w:sz w:val="24"/>
          <w:szCs w:val="24"/>
          <w:highlight w:val="none"/>
        </w:rPr>
      </w:pPr>
      <w:r>
        <w:rPr>
          <w:rFonts w:hint="eastAsia" w:hAnsi="宋体" w:cs="宋体"/>
          <w:b/>
          <w:color w:val="auto"/>
          <w:kern w:val="21"/>
          <w:sz w:val="24"/>
          <w:szCs w:val="24"/>
          <w:highlight w:val="none"/>
        </w:rPr>
        <w:t>4.投诉书的投诉事项应具体、明确，并有必要的事实依据和法律依据。</w:t>
      </w:r>
    </w:p>
    <w:p w14:paraId="5258F0C9">
      <w:pPr>
        <w:pStyle w:val="18"/>
        <w:spacing w:line="360" w:lineRule="auto"/>
        <w:ind w:left="25" w:leftChars="12" w:firstLine="354" w:firstLineChars="147"/>
        <w:rPr>
          <w:rFonts w:hAnsi="宋体" w:cs="宋体"/>
          <w:b/>
          <w:color w:val="auto"/>
          <w:kern w:val="21"/>
          <w:sz w:val="24"/>
          <w:szCs w:val="24"/>
          <w:highlight w:val="none"/>
        </w:rPr>
      </w:pPr>
      <w:r>
        <w:rPr>
          <w:rFonts w:hint="eastAsia" w:hAnsi="宋体" w:cs="宋体"/>
          <w:b/>
          <w:color w:val="auto"/>
          <w:kern w:val="21"/>
          <w:sz w:val="24"/>
          <w:szCs w:val="24"/>
          <w:highlight w:val="none"/>
        </w:rPr>
        <w:t>5.投诉书的投诉请求应与投诉事项相关。</w:t>
      </w:r>
    </w:p>
    <w:p w14:paraId="02778322">
      <w:pPr>
        <w:pStyle w:val="18"/>
        <w:spacing w:line="360" w:lineRule="auto"/>
        <w:ind w:left="25" w:leftChars="12" w:firstLine="354" w:firstLineChars="147"/>
        <w:rPr>
          <w:rFonts w:hAnsi="宋体" w:cs="宋体"/>
          <w:b/>
          <w:color w:val="auto"/>
          <w:kern w:val="21"/>
          <w:highlight w:val="none"/>
        </w:rPr>
      </w:pPr>
      <w:r>
        <w:rPr>
          <w:rFonts w:hint="eastAsia" w:hAnsi="宋体" w:cs="宋体"/>
          <w:b/>
          <w:color w:val="auto"/>
          <w:kern w:val="21"/>
          <w:sz w:val="24"/>
          <w:szCs w:val="24"/>
          <w:highlight w:val="none"/>
        </w:rPr>
        <w:t>6.投诉人为法人或者其他组织的，投诉书应由法定代表人、主要负责人，或者其授权代表签字或者盖章，并加盖公章。</w:t>
      </w:r>
    </w:p>
    <w:sectPr>
      <w:pgSz w:w="11911" w:h="16838"/>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611C">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85D7">
    <w:pPr>
      <w:pStyle w:val="21"/>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14:paraId="2E4AEE6D">
    <w:pPr>
      <w:pStyle w:val="2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45EA">
    <w:pPr>
      <w:pStyle w:val="21"/>
      <w:tabs>
        <w:tab w:val="center" w:pos="4439"/>
        <w:tab w:val="clear" w:pos="4153"/>
      </w:tabs>
      <w:jc w:val="both"/>
    </w:pPr>
  </w:p>
  <w:p w14:paraId="4A6DCD4F">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8B3B">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D9440D"/>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5T688gBAACe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eU+vPIAQAAngMAAA4AAAAAAAAAAQAgAAAAHgEAAGRycy9lMm9Eb2Mu&#10;eG1sUEsFBgAAAAAGAAYAWQEAAFgFAAAAAA==&#10;">
              <v:fill on="f" focussize="0,0"/>
              <v:stroke on="f"/>
              <v:imagedata o:title=""/>
              <o:lock v:ext="edit" aspectratio="f"/>
              <v:textbox inset="0mm,0mm,0mm,0mm" style="mso-fit-shape-to-text:t;">
                <w:txbxContent>
                  <w:p w14:paraId="2DD9440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D87B">
    <w:pPr>
      <w:pStyle w:val="21"/>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E85572">
                          <w:pPr>
                            <w:pStyle w:val="21"/>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VhXrzIAQAAngMAAA4AAAAAAAAAAQAgAAAAHgEAAGRycy9lMm9Eb2Mu&#10;eG1sUEsFBgAAAAAGAAYAWQEAAFgFAAAAAA==&#10;">
              <v:fill on="f" focussize="0,0"/>
              <v:stroke on="f"/>
              <v:imagedata o:title=""/>
              <o:lock v:ext="edit" aspectratio="f"/>
              <v:textbox inset="0mm,0mm,0mm,0mm" style="mso-fit-shape-to-text:t;">
                <w:txbxContent>
                  <w:p w14:paraId="2CE85572">
                    <w:pPr>
                      <w:pStyle w:val="21"/>
                    </w:pPr>
                    <w:r>
                      <w:fldChar w:fldCharType="begin"/>
                    </w:r>
                    <w:r>
                      <w:instrText xml:space="preserve"> PAGE  \* MERGEFORMAT </w:instrText>
                    </w:r>
                    <w:r>
                      <w:fldChar w:fldCharType="separate"/>
                    </w:r>
                    <w:r>
                      <w:t>12</w:t>
                    </w:r>
                    <w:r>
                      <w:fldChar w:fldCharType="end"/>
                    </w:r>
                  </w:p>
                </w:txbxContent>
              </v:textbox>
            </v:shape>
          </w:pict>
        </mc:Fallback>
      </mc:AlternateContent>
    </w:r>
  </w:p>
  <w:p w14:paraId="6735143F">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B3C4">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CD45C7">
                          <w:pPr>
                            <w:pStyle w:val="21"/>
                            <w:jc w:val="center"/>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nqc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S2TQr2HGgufPJbG4c4NuDdzHDCYiA8ymPRFSgTzqO/poq8YIuHp0qparUpMcczNDuIXz9d9gPhe&#10;OEOS0dCAD5h1ZcdHiGPpXJK6WXevtM6PqO1fAcQcIyJvwXQ7MRknTlYcdsNEb+faE7LrcRMaanHx&#10;KdEPFoVOSzMbYTZ2k5E6gr89RBwjT5dQRyhklRx8tsxvWrG0F3/6uer5t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D6epyQEAAJ4DAAAOAAAAAAAAAAEAIAAAAB4BAABkcnMvZTJvRG9j&#10;LnhtbFBLBQYAAAAABgAGAFkBAABZBQAAAAA=&#10;">
              <v:fill on="f" focussize="0,0"/>
              <v:stroke on="f"/>
              <v:imagedata o:title=""/>
              <o:lock v:ext="edit" aspectratio="f"/>
              <v:textbox inset="0mm,0mm,0mm,0mm" style="mso-fit-shape-to-text:t;">
                <w:txbxContent>
                  <w:p w14:paraId="1BCD45C7">
                    <w:pPr>
                      <w:pStyle w:val="21"/>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50A7611B">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914D9">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FFB503">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RY2ckBAACeAwAADgAAAGRycy9lMm9Eb2MueG1srVNLbtswEN0XyB0I&#10;7mPJC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1xFjZyQEAAJ4DAAAOAAAAAAAAAAEAIAAAAB4BAABkcnMvZTJvRG9j&#10;LnhtbFBLBQYAAAAABgAGAFkBAABZBQAAAAA=&#10;">
              <v:fill on="f" focussize="0,0"/>
              <v:stroke on="f"/>
              <v:imagedata o:title=""/>
              <o:lock v:ext="edit" aspectratio="f"/>
              <v:textbox inset="0mm,0mm,0mm,0mm" style="mso-fit-shape-to-text:t;">
                <w:txbxContent>
                  <w:p w14:paraId="4EFFB503">
                    <w:pPr>
                      <w:pStyle w:val="21"/>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BD91">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5813">
    <w:pPr>
      <w:pStyle w:val="2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NDY5YjYyNTE1YzAyZDA3MzQ0OWM5MzNiMDE5NjYifQ=="/>
  </w:docVars>
  <w:rsids>
    <w:rsidRoot w:val="711F283F"/>
    <w:rsid w:val="00000672"/>
    <w:rsid w:val="00001013"/>
    <w:rsid w:val="00001799"/>
    <w:rsid w:val="00001AF2"/>
    <w:rsid w:val="00001ECA"/>
    <w:rsid w:val="00002D29"/>
    <w:rsid w:val="00003B93"/>
    <w:rsid w:val="0000474D"/>
    <w:rsid w:val="00005FDF"/>
    <w:rsid w:val="000070B3"/>
    <w:rsid w:val="00007273"/>
    <w:rsid w:val="000076B8"/>
    <w:rsid w:val="0001047A"/>
    <w:rsid w:val="000109C8"/>
    <w:rsid w:val="000109DC"/>
    <w:rsid w:val="00010D39"/>
    <w:rsid w:val="0001172C"/>
    <w:rsid w:val="00011A4D"/>
    <w:rsid w:val="00011BC9"/>
    <w:rsid w:val="0001220F"/>
    <w:rsid w:val="00012854"/>
    <w:rsid w:val="00012BE2"/>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3C8F"/>
    <w:rsid w:val="00024463"/>
    <w:rsid w:val="00025461"/>
    <w:rsid w:val="00025636"/>
    <w:rsid w:val="00025AB5"/>
    <w:rsid w:val="00025E36"/>
    <w:rsid w:val="00026855"/>
    <w:rsid w:val="00026886"/>
    <w:rsid w:val="0002785D"/>
    <w:rsid w:val="000321F6"/>
    <w:rsid w:val="000329E0"/>
    <w:rsid w:val="000352E9"/>
    <w:rsid w:val="00035494"/>
    <w:rsid w:val="00036125"/>
    <w:rsid w:val="00036A07"/>
    <w:rsid w:val="0003780B"/>
    <w:rsid w:val="00040571"/>
    <w:rsid w:val="00040973"/>
    <w:rsid w:val="0004156E"/>
    <w:rsid w:val="00041713"/>
    <w:rsid w:val="0004440C"/>
    <w:rsid w:val="00044CA4"/>
    <w:rsid w:val="00046B5E"/>
    <w:rsid w:val="000470CB"/>
    <w:rsid w:val="000509D9"/>
    <w:rsid w:val="00051ACB"/>
    <w:rsid w:val="00052CAA"/>
    <w:rsid w:val="000533E7"/>
    <w:rsid w:val="00055D41"/>
    <w:rsid w:val="00057CD6"/>
    <w:rsid w:val="00057FB4"/>
    <w:rsid w:val="00060DCE"/>
    <w:rsid w:val="000610E3"/>
    <w:rsid w:val="000614F3"/>
    <w:rsid w:val="00061BD7"/>
    <w:rsid w:val="000623B4"/>
    <w:rsid w:val="00062405"/>
    <w:rsid w:val="000634A7"/>
    <w:rsid w:val="00063B0B"/>
    <w:rsid w:val="00063F81"/>
    <w:rsid w:val="00064847"/>
    <w:rsid w:val="000648A4"/>
    <w:rsid w:val="00065BD4"/>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C5D"/>
    <w:rsid w:val="00082D02"/>
    <w:rsid w:val="00083871"/>
    <w:rsid w:val="00083B91"/>
    <w:rsid w:val="0008473C"/>
    <w:rsid w:val="0008520B"/>
    <w:rsid w:val="000857F5"/>
    <w:rsid w:val="000860BD"/>
    <w:rsid w:val="000871B8"/>
    <w:rsid w:val="000906AE"/>
    <w:rsid w:val="0009144E"/>
    <w:rsid w:val="00091647"/>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B7E77"/>
    <w:rsid w:val="000C02B1"/>
    <w:rsid w:val="000C0A2C"/>
    <w:rsid w:val="000C1679"/>
    <w:rsid w:val="000C1EE3"/>
    <w:rsid w:val="000C289C"/>
    <w:rsid w:val="000C3AE7"/>
    <w:rsid w:val="000C3CC9"/>
    <w:rsid w:val="000C6DE4"/>
    <w:rsid w:val="000C7202"/>
    <w:rsid w:val="000D0896"/>
    <w:rsid w:val="000D0A89"/>
    <w:rsid w:val="000D1389"/>
    <w:rsid w:val="000D1798"/>
    <w:rsid w:val="000D1CA4"/>
    <w:rsid w:val="000D2626"/>
    <w:rsid w:val="000D265F"/>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3DE"/>
    <w:rsid w:val="00103646"/>
    <w:rsid w:val="001037C8"/>
    <w:rsid w:val="00103918"/>
    <w:rsid w:val="00104897"/>
    <w:rsid w:val="00104EDE"/>
    <w:rsid w:val="00105CDA"/>
    <w:rsid w:val="00106BEE"/>
    <w:rsid w:val="00107C74"/>
    <w:rsid w:val="0011091C"/>
    <w:rsid w:val="00111266"/>
    <w:rsid w:val="001112EB"/>
    <w:rsid w:val="0011203A"/>
    <w:rsid w:val="00112768"/>
    <w:rsid w:val="00113678"/>
    <w:rsid w:val="00113C3E"/>
    <w:rsid w:val="00115E11"/>
    <w:rsid w:val="00115EEE"/>
    <w:rsid w:val="00115F56"/>
    <w:rsid w:val="00116CA9"/>
    <w:rsid w:val="00116F38"/>
    <w:rsid w:val="001170A4"/>
    <w:rsid w:val="00117AE7"/>
    <w:rsid w:val="00117CBD"/>
    <w:rsid w:val="0012006A"/>
    <w:rsid w:val="00121081"/>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328"/>
    <w:rsid w:val="00135530"/>
    <w:rsid w:val="00135947"/>
    <w:rsid w:val="001359A2"/>
    <w:rsid w:val="00135F92"/>
    <w:rsid w:val="00136020"/>
    <w:rsid w:val="00136445"/>
    <w:rsid w:val="00140132"/>
    <w:rsid w:val="00141C9C"/>
    <w:rsid w:val="0014277F"/>
    <w:rsid w:val="001434BE"/>
    <w:rsid w:val="00143573"/>
    <w:rsid w:val="00144050"/>
    <w:rsid w:val="0014479F"/>
    <w:rsid w:val="001452B4"/>
    <w:rsid w:val="00145320"/>
    <w:rsid w:val="001476D3"/>
    <w:rsid w:val="001509CF"/>
    <w:rsid w:val="00150AA9"/>
    <w:rsid w:val="00150D01"/>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883"/>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1C6"/>
    <w:rsid w:val="00184F57"/>
    <w:rsid w:val="00185544"/>
    <w:rsid w:val="00185617"/>
    <w:rsid w:val="00185EF8"/>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6E2B"/>
    <w:rsid w:val="001A7717"/>
    <w:rsid w:val="001A793A"/>
    <w:rsid w:val="001B125A"/>
    <w:rsid w:val="001B1EBA"/>
    <w:rsid w:val="001B2142"/>
    <w:rsid w:val="001B2F2B"/>
    <w:rsid w:val="001B327A"/>
    <w:rsid w:val="001B3424"/>
    <w:rsid w:val="001B35DE"/>
    <w:rsid w:val="001B3A13"/>
    <w:rsid w:val="001B3F5C"/>
    <w:rsid w:val="001B4831"/>
    <w:rsid w:val="001B59FF"/>
    <w:rsid w:val="001B6512"/>
    <w:rsid w:val="001B65D7"/>
    <w:rsid w:val="001B6752"/>
    <w:rsid w:val="001B6768"/>
    <w:rsid w:val="001B6809"/>
    <w:rsid w:val="001B6F1F"/>
    <w:rsid w:val="001B757F"/>
    <w:rsid w:val="001B7CD7"/>
    <w:rsid w:val="001B7ECC"/>
    <w:rsid w:val="001C025B"/>
    <w:rsid w:val="001C115F"/>
    <w:rsid w:val="001C1EAB"/>
    <w:rsid w:val="001C25A7"/>
    <w:rsid w:val="001C318C"/>
    <w:rsid w:val="001C35C4"/>
    <w:rsid w:val="001C4287"/>
    <w:rsid w:val="001C4479"/>
    <w:rsid w:val="001C5190"/>
    <w:rsid w:val="001C6081"/>
    <w:rsid w:val="001C6C07"/>
    <w:rsid w:val="001C754A"/>
    <w:rsid w:val="001C7B48"/>
    <w:rsid w:val="001C7D1D"/>
    <w:rsid w:val="001D04CB"/>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257"/>
    <w:rsid w:val="001E3B63"/>
    <w:rsid w:val="001E3E19"/>
    <w:rsid w:val="001E522E"/>
    <w:rsid w:val="001E5A94"/>
    <w:rsid w:val="001E5F6F"/>
    <w:rsid w:val="001E7D4F"/>
    <w:rsid w:val="001F0373"/>
    <w:rsid w:val="001F0D95"/>
    <w:rsid w:val="001F2A2E"/>
    <w:rsid w:val="001F3356"/>
    <w:rsid w:val="001F3AFD"/>
    <w:rsid w:val="001F3C63"/>
    <w:rsid w:val="001F4460"/>
    <w:rsid w:val="001F66C8"/>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5"/>
    <w:rsid w:val="00210BD4"/>
    <w:rsid w:val="002114C7"/>
    <w:rsid w:val="0021302C"/>
    <w:rsid w:val="00213B1C"/>
    <w:rsid w:val="00214202"/>
    <w:rsid w:val="002148E3"/>
    <w:rsid w:val="0021552D"/>
    <w:rsid w:val="002156AE"/>
    <w:rsid w:val="00215E99"/>
    <w:rsid w:val="0022054D"/>
    <w:rsid w:val="00220CA2"/>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2A2B"/>
    <w:rsid w:val="00232F60"/>
    <w:rsid w:val="002346B4"/>
    <w:rsid w:val="00234F6E"/>
    <w:rsid w:val="002355BE"/>
    <w:rsid w:val="002358EA"/>
    <w:rsid w:val="002364BB"/>
    <w:rsid w:val="00236578"/>
    <w:rsid w:val="00236DE9"/>
    <w:rsid w:val="00236EA0"/>
    <w:rsid w:val="00237342"/>
    <w:rsid w:val="00237D5A"/>
    <w:rsid w:val="002415AE"/>
    <w:rsid w:val="00241D3C"/>
    <w:rsid w:val="00242109"/>
    <w:rsid w:val="00243189"/>
    <w:rsid w:val="002439AB"/>
    <w:rsid w:val="00243C19"/>
    <w:rsid w:val="00244AE8"/>
    <w:rsid w:val="00244DC9"/>
    <w:rsid w:val="00245587"/>
    <w:rsid w:val="00245F2B"/>
    <w:rsid w:val="002461E5"/>
    <w:rsid w:val="002469BD"/>
    <w:rsid w:val="00247F3A"/>
    <w:rsid w:val="00250122"/>
    <w:rsid w:val="00250755"/>
    <w:rsid w:val="00251043"/>
    <w:rsid w:val="00251470"/>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0B72"/>
    <w:rsid w:val="002612B1"/>
    <w:rsid w:val="00266165"/>
    <w:rsid w:val="002662FE"/>
    <w:rsid w:val="00266696"/>
    <w:rsid w:val="00266F2C"/>
    <w:rsid w:val="0027125E"/>
    <w:rsid w:val="00271767"/>
    <w:rsid w:val="00272293"/>
    <w:rsid w:val="002723C8"/>
    <w:rsid w:val="00273C2A"/>
    <w:rsid w:val="00273CBE"/>
    <w:rsid w:val="002746B1"/>
    <w:rsid w:val="00274BAD"/>
    <w:rsid w:val="00276253"/>
    <w:rsid w:val="00281B20"/>
    <w:rsid w:val="00282D56"/>
    <w:rsid w:val="00282FE8"/>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42"/>
    <w:rsid w:val="002952B1"/>
    <w:rsid w:val="00295D11"/>
    <w:rsid w:val="00296FB6"/>
    <w:rsid w:val="002A0001"/>
    <w:rsid w:val="002A0BD9"/>
    <w:rsid w:val="002A0C3A"/>
    <w:rsid w:val="002A1130"/>
    <w:rsid w:val="002A1880"/>
    <w:rsid w:val="002A1DC0"/>
    <w:rsid w:val="002A23B7"/>
    <w:rsid w:val="002A3A57"/>
    <w:rsid w:val="002A4051"/>
    <w:rsid w:val="002A4B4F"/>
    <w:rsid w:val="002A57A8"/>
    <w:rsid w:val="002A6DEF"/>
    <w:rsid w:val="002A6E42"/>
    <w:rsid w:val="002A742E"/>
    <w:rsid w:val="002A770B"/>
    <w:rsid w:val="002B013E"/>
    <w:rsid w:val="002B058D"/>
    <w:rsid w:val="002B0C16"/>
    <w:rsid w:val="002B2427"/>
    <w:rsid w:val="002B2AC5"/>
    <w:rsid w:val="002B3528"/>
    <w:rsid w:val="002B3539"/>
    <w:rsid w:val="002B4532"/>
    <w:rsid w:val="002B5042"/>
    <w:rsid w:val="002B69CC"/>
    <w:rsid w:val="002B6D71"/>
    <w:rsid w:val="002C0C1C"/>
    <w:rsid w:val="002C13AA"/>
    <w:rsid w:val="002C1920"/>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D7C46"/>
    <w:rsid w:val="002E109C"/>
    <w:rsid w:val="002E193E"/>
    <w:rsid w:val="002E1A94"/>
    <w:rsid w:val="002E1D55"/>
    <w:rsid w:val="002E26C4"/>
    <w:rsid w:val="002E30A5"/>
    <w:rsid w:val="002E34A9"/>
    <w:rsid w:val="002E47E4"/>
    <w:rsid w:val="002E4BF9"/>
    <w:rsid w:val="002E4D61"/>
    <w:rsid w:val="002E5FED"/>
    <w:rsid w:val="002E68A7"/>
    <w:rsid w:val="002E6E6C"/>
    <w:rsid w:val="002F0522"/>
    <w:rsid w:val="002F0B85"/>
    <w:rsid w:val="002F1334"/>
    <w:rsid w:val="002F16DD"/>
    <w:rsid w:val="002F199D"/>
    <w:rsid w:val="002F1D78"/>
    <w:rsid w:val="002F213C"/>
    <w:rsid w:val="002F2453"/>
    <w:rsid w:val="002F29FE"/>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4D7"/>
    <w:rsid w:val="00311B60"/>
    <w:rsid w:val="00312504"/>
    <w:rsid w:val="00313026"/>
    <w:rsid w:val="00313913"/>
    <w:rsid w:val="0031421F"/>
    <w:rsid w:val="00314B31"/>
    <w:rsid w:val="00315A65"/>
    <w:rsid w:val="003165D7"/>
    <w:rsid w:val="00317BA7"/>
    <w:rsid w:val="00320BE2"/>
    <w:rsid w:val="00321886"/>
    <w:rsid w:val="003218D2"/>
    <w:rsid w:val="00323694"/>
    <w:rsid w:val="00323BE7"/>
    <w:rsid w:val="00324C3A"/>
    <w:rsid w:val="00324D63"/>
    <w:rsid w:val="003255AF"/>
    <w:rsid w:val="003256EB"/>
    <w:rsid w:val="003259DB"/>
    <w:rsid w:val="003264B8"/>
    <w:rsid w:val="003314D9"/>
    <w:rsid w:val="00331653"/>
    <w:rsid w:val="00331A48"/>
    <w:rsid w:val="00331BCC"/>
    <w:rsid w:val="003330C9"/>
    <w:rsid w:val="0033364C"/>
    <w:rsid w:val="00334415"/>
    <w:rsid w:val="00335EA1"/>
    <w:rsid w:val="0033691E"/>
    <w:rsid w:val="00336A6A"/>
    <w:rsid w:val="00336CCB"/>
    <w:rsid w:val="00340B80"/>
    <w:rsid w:val="003411D1"/>
    <w:rsid w:val="003416BA"/>
    <w:rsid w:val="00342148"/>
    <w:rsid w:val="00342F99"/>
    <w:rsid w:val="0034575A"/>
    <w:rsid w:val="00345F57"/>
    <w:rsid w:val="003475E5"/>
    <w:rsid w:val="00350458"/>
    <w:rsid w:val="00350E6C"/>
    <w:rsid w:val="003517C6"/>
    <w:rsid w:val="003518A6"/>
    <w:rsid w:val="00351E7F"/>
    <w:rsid w:val="00352953"/>
    <w:rsid w:val="00354062"/>
    <w:rsid w:val="0035459E"/>
    <w:rsid w:val="003547B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2A5C"/>
    <w:rsid w:val="0038326A"/>
    <w:rsid w:val="00383302"/>
    <w:rsid w:val="00383C37"/>
    <w:rsid w:val="0038444F"/>
    <w:rsid w:val="003861F0"/>
    <w:rsid w:val="00387051"/>
    <w:rsid w:val="00387ECF"/>
    <w:rsid w:val="0039021B"/>
    <w:rsid w:val="00390429"/>
    <w:rsid w:val="003906A0"/>
    <w:rsid w:val="00391513"/>
    <w:rsid w:val="003928BE"/>
    <w:rsid w:val="0039366C"/>
    <w:rsid w:val="00393EC8"/>
    <w:rsid w:val="003950F5"/>
    <w:rsid w:val="0039538F"/>
    <w:rsid w:val="00395E42"/>
    <w:rsid w:val="00396409"/>
    <w:rsid w:val="00396A2D"/>
    <w:rsid w:val="00396FC3"/>
    <w:rsid w:val="003A1A94"/>
    <w:rsid w:val="003A204E"/>
    <w:rsid w:val="003A2D25"/>
    <w:rsid w:val="003A378B"/>
    <w:rsid w:val="003A5728"/>
    <w:rsid w:val="003A5820"/>
    <w:rsid w:val="003A60E7"/>
    <w:rsid w:val="003A6769"/>
    <w:rsid w:val="003A7092"/>
    <w:rsid w:val="003A71C8"/>
    <w:rsid w:val="003A72A1"/>
    <w:rsid w:val="003A7611"/>
    <w:rsid w:val="003A7D1F"/>
    <w:rsid w:val="003B0B6A"/>
    <w:rsid w:val="003B22F7"/>
    <w:rsid w:val="003B29CF"/>
    <w:rsid w:val="003B3A90"/>
    <w:rsid w:val="003B3D8A"/>
    <w:rsid w:val="003B534F"/>
    <w:rsid w:val="003B56E9"/>
    <w:rsid w:val="003B5E4F"/>
    <w:rsid w:val="003B772A"/>
    <w:rsid w:val="003B7A79"/>
    <w:rsid w:val="003C0FE1"/>
    <w:rsid w:val="003C151A"/>
    <w:rsid w:val="003C2610"/>
    <w:rsid w:val="003C350C"/>
    <w:rsid w:val="003C3903"/>
    <w:rsid w:val="003C3BA0"/>
    <w:rsid w:val="003C4580"/>
    <w:rsid w:val="003C5C5E"/>
    <w:rsid w:val="003C6746"/>
    <w:rsid w:val="003C7555"/>
    <w:rsid w:val="003C7898"/>
    <w:rsid w:val="003D0FF5"/>
    <w:rsid w:val="003D11A3"/>
    <w:rsid w:val="003D1537"/>
    <w:rsid w:val="003D183C"/>
    <w:rsid w:val="003D2044"/>
    <w:rsid w:val="003D2D1B"/>
    <w:rsid w:val="003D48C7"/>
    <w:rsid w:val="003D4C27"/>
    <w:rsid w:val="003D7109"/>
    <w:rsid w:val="003D7CE8"/>
    <w:rsid w:val="003E0514"/>
    <w:rsid w:val="003E0809"/>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2BB"/>
    <w:rsid w:val="003F3865"/>
    <w:rsid w:val="003F3D55"/>
    <w:rsid w:val="003F44E2"/>
    <w:rsid w:val="003F4632"/>
    <w:rsid w:val="003F47BA"/>
    <w:rsid w:val="003F4FE6"/>
    <w:rsid w:val="003F5638"/>
    <w:rsid w:val="003F6617"/>
    <w:rsid w:val="003F71A1"/>
    <w:rsid w:val="003F71E9"/>
    <w:rsid w:val="00402332"/>
    <w:rsid w:val="004025C2"/>
    <w:rsid w:val="00403195"/>
    <w:rsid w:val="004033A9"/>
    <w:rsid w:val="00403E55"/>
    <w:rsid w:val="0040407C"/>
    <w:rsid w:val="0040416C"/>
    <w:rsid w:val="00404681"/>
    <w:rsid w:val="00405059"/>
    <w:rsid w:val="00405AC1"/>
    <w:rsid w:val="00406923"/>
    <w:rsid w:val="0040763D"/>
    <w:rsid w:val="00410D17"/>
    <w:rsid w:val="00413442"/>
    <w:rsid w:val="00413821"/>
    <w:rsid w:val="00413BA5"/>
    <w:rsid w:val="004141A3"/>
    <w:rsid w:val="00414909"/>
    <w:rsid w:val="0041538E"/>
    <w:rsid w:val="0041582F"/>
    <w:rsid w:val="00416112"/>
    <w:rsid w:val="00416AC8"/>
    <w:rsid w:val="00417AE0"/>
    <w:rsid w:val="00417BAA"/>
    <w:rsid w:val="0042042B"/>
    <w:rsid w:val="00420B45"/>
    <w:rsid w:val="00420D7A"/>
    <w:rsid w:val="00421257"/>
    <w:rsid w:val="00422193"/>
    <w:rsid w:val="004223DE"/>
    <w:rsid w:val="00422A10"/>
    <w:rsid w:val="00424D17"/>
    <w:rsid w:val="004258C8"/>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298"/>
    <w:rsid w:val="00434B70"/>
    <w:rsid w:val="00435E8D"/>
    <w:rsid w:val="004360C8"/>
    <w:rsid w:val="004371D5"/>
    <w:rsid w:val="004372DF"/>
    <w:rsid w:val="0043758B"/>
    <w:rsid w:val="0044006B"/>
    <w:rsid w:val="0044033F"/>
    <w:rsid w:val="00440630"/>
    <w:rsid w:val="00441F0F"/>
    <w:rsid w:val="00442965"/>
    <w:rsid w:val="00444157"/>
    <w:rsid w:val="0044417C"/>
    <w:rsid w:val="00444DB3"/>
    <w:rsid w:val="00445617"/>
    <w:rsid w:val="00445A2F"/>
    <w:rsid w:val="0044684E"/>
    <w:rsid w:val="00446F22"/>
    <w:rsid w:val="00447DAB"/>
    <w:rsid w:val="0045019F"/>
    <w:rsid w:val="004503A4"/>
    <w:rsid w:val="00450555"/>
    <w:rsid w:val="004506FA"/>
    <w:rsid w:val="00450DC6"/>
    <w:rsid w:val="004516A5"/>
    <w:rsid w:val="00451E9C"/>
    <w:rsid w:val="0045280F"/>
    <w:rsid w:val="004535AE"/>
    <w:rsid w:val="00453C9C"/>
    <w:rsid w:val="0045444D"/>
    <w:rsid w:val="0045463A"/>
    <w:rsid w:val="00454AC9"/>
    <w:rsid w:val="00455050"/>
    <w:rsid w:val="004554A3"/>
    <w:rsid w:val="00455A6E"/>
    <w:rsid w:val="00455EAD"/>
    <w:rsid w:val="004578EB"/>
    <w:rsid w:val="004604D5"/>
    <w:rsid w:val="00460697"/>
    <w:rsid w:val="0046117B"/>
    <w:rsid w:val="00462506"/>
    <w:rsid w:val="00464AB7"/>
    <w:rsid w:val="00464C33"/>
    <w:rsid w:val="00465DE5"/>
    <w:rsid w:val="00467EF8"/>
    <w:rsid w:val="00472429"/>
    <w:rsid w:val="004725E5"/>
    <w:rsid w:val="00472751"/>
    <w:rsid w:val="00473128"/>
    <w:rsid w:val="00473263"/>
    <w:rsid w:val="00475078"/>
    <w:rsid w:val="00475767"/>
    <w:rsid w:val="004779A0"/>
    <w:rsid w:val="004804E9"/>
    <w:rsid w:val="004808E3"/>
    <w:rsid w:val="00481016"/>
    <w:rsid w:val="0048204C"/>
    <w:rsid w:val="004821BB"/>
    <w:rsid w:val="00482339"/>
    <w:rsid w:val="004826FE"/>
    <w:rsid w:val="004827D5"/>
    <w:rsid w:val="00482AF2"/>
    <w:rsid w:val="00482D8F"/>
    <w:rsid w:val="004830C9"/>
    <w:rsid w:val="00483347"/>
    <w:rsid w:val="00483E2E"/>
    <w:rsid w:val="00484B69"/>
    <w:rsid w:val="00485406"/>
    <w:rsid w:val="0048590F"/>
    <w:rsid w:val="00486D60"/>
    <w:rsid w:val="00491FA1"/>
    <w:rsid w:val="00492A25"/>
    <w:rsid w:val="004938A3"/>
    <w:rsid w:val="0049558B"/>
    <w:rsid w:val="00496350"/>
    <w:rsid w:val="00496BE6"/>
    <w:rsid w:val="0049797C"/>
    <w:rsid w:val="004A00E1"/>
    <w:rsid w:val="004A0943"/>
    <w:rsid w:val="004A1405"/>
    <w:rsid w:val="004A1FC6"/>
    <w:rsid w:val="004A2E5F"/>
    <w:rsid w:val="004A38C2"/>
    <w:rsid w:val="004A3C03"/>
    <w:rsid w:val="004A3DB7"/>
    <w:rsid w:val="004A4B12"/>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06"/>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605"/>
    <w:rsid w:val="004D5D45"/>
    <w:rsid w:val="004D618D"/>
    <w:rsid w:val="004D62A9"/>
    <w:rsid w:val="004D6FC3"/>
    <w:rsid w:val="004D7476"/>
    <w:rsid w:val="004D7716"/>
    <w:rsid w:val="004E0306"/>
    <w:rsid w:val="004E0572"/>
    <w:rsid w:val="004E06D5"/>
    <w:rsid w:val="004E0B06"/>
    <w:rsid w:val="004E1641"/>
    <w:rsid w:val="004E1818"/>
    <w:rsid w:val="004E1990"/>
    <w:rsid w:val="004E25A8"/>
    <w:rsid w:val="004E2A96"/>
    <w:rsid w:val="004E3930"/>
    <w:rsid w:val="004E3ED9"/>
    <w:rsid w:val="004E4BB1"/>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C73"/>
    <w:rsid w:val="004F7160"/>
    <w:rsid w:val="00500258"/>
    <w:rsid w:val="00500B2D"/>
    <w:rsid w:val="005014D9"/>
    <w:rsid w:val="00501A99"/>
    <w:rsid w:val="00503180"/>
    <w:rsid w:val="005038A4"/>
    <w:rsid w:val="00505450"/>
    <w:rsid w:val="0050753B"/>
    <w:rsid w:val="005100B7"/>
    <w:rsid w:val="005113C9"/>
    <w:rsid w:val="00512050"/>
    <w:rsid w:val="00512055"/>
    <w:rsid w:val="0051280C"/>
    <w:rsid w:val="00512842"/>
    <w:rsid w:val="005128BE"/>
    <w:rsid w:val="0051356F"/>
    <w:rsid w:val="00513E7C"/>
    <w:rsid w:val="005140BB"/>
    <w:rsid w:val="00514209"/>
    <w:rsid w:val="00514FBE"/>
    <w:rsid w:val="00514FD9"/>
    <w:rsid w:val="0051550A"/>
    <w:rsid w:val="0051608F"/>
    <w:rsid w:val="00520EF8"/>
    <w:rsid w:val="005210F7"/>
    <w:rsid w:val="00521753"/>
    <w:rsid w:val="0052239D"/>
    <w:rsid w:val="005224EE"/>
    <w:rsid w:val="00522879"/>
    <w:rsid w:val="00523A39"/>
    <w:rsid w:val="00523BB1"/>
    <w:rsid w:val="0052570E"/>
    <w:rsid w:val="005260CD"/>
    <w:rsid w:val="0052623A"/>
    <w:rsid w:val="00526265"/>
    <w:rsid w:val="0052655D"/>
    <w:rsid w:val="005265E0"/>
    <w:rsid w:val="00526A3C"/>
    <w:rsid w:val="00526BC3"/>
    <w:rsid w:val="00527BCC"/>
    <w:rsid w:val="00531761"/>
    <w:rsid w:val="00531F1F"/>
    <w:rsid w:val="0053248F"/>
    <w:rsid w:val="0053332A"/>
    <w:rsid w:val="0053358A"/>
    <w:rsid w:val="00534668"/>
    <w:rsid w:val="00534DDD"/>
    <w:rsid w:val="00535291"/>
    <w:rsid w:val="00535A94"/>
    <w:rsid w:val="00537874"/>
    <w:rsid w:val="0053795F"/>
    <w:rsid w:val="00537D3D"/>
    <w:rsid w:val="00540451"/>
    <w:rsid w:val="00540511"/>
    <w:rsid w:val="00540578"/>
    <w:rsid w:val="00540808"/>
    <w:rsid w:val="0054080E"/>
    <w:rsid w:val="00540EA1"/>
    <w:rsid w:val="005429BD"/>
    <w:rsid w:val="0054358E"/>
    <w:rsid w:val="00543A4B"/>
    <w:rsid w:val="00543AF4"/>
    <w:rsid w:val="00544191"/>
    <w:rsid w:val="0054440C"/>
    <w:rsid w:val="005448C9"/>
    <w:rsid w:val="005448EC"/>
    <w:rsid w:val="00544C0A"/>
    <w:rsid w:val="00544F39"/>
    <w:rsid w:val="00546F90"/>
    <w:rsid w:val="005478AF"/>
    <w:rsid w:val="00547EFB"/>
    <w:rsid w:val="0055122A"/>
    <w:rsid w:val="005522F2"/>
    <w:rsid w:val="005531DF"/>
    <w:rsid w:val="00553874"/>
    <w:rsid w:val="00554577"/>
    <w:rsid w:val="00554AD8"/>
    <w:rsid w:val="00554B9A"/>
    <w:rsid w:val="00554F78"/>
    <w:rsid w:val="00555DA1"/>
    <w:rsid w:val="00556BF7"/>
    <w:rsid w:val="00557F60"/>
    <w:rsid w:val="00561730"/>
    <w:rsid w:val="00561B97"/>
    <w:rsid w:val="00562149"/>
    <w:rsid w:val="005669FB"/>
    <w:rsid w:val="00567B5D"/>
    <w:rsid w:val="005706D5"/>
    <w:rsid w:val="00570757"/>
    <w:rsid w:val="00573733"/>
    <w:rsid w:val="00573F8B"/>
    <w:rsid w:val="00574554"/>
    <w:rsid w:val="00574DD6"/>
    <w:rsid w:val="00574E06"/>
    <w:rsid w:val="005751BB"/>
    <w:rsid w:val="00576089"/>
    <w:rsid w:val="005763D9"/>
    <w:rsid w:val="005764B1"/>
    <w:rsid w:val="00576852"/>
    <w:rsid w:val="00576D06"/>
    <w:rsid w:val="00577287"/>
    <w:rsid w:val="0057744D"/>
    <w:rsid w:val="005779E4"/>
    <w:rsid w:val="00577F9F"/>
    <w:rsid w:val="00580EC7"/>
    <w:rsid w:val="00581132"/>
    <w:rsid w:val="0058289C"/>
    <w:rsid w:val="005836C7"/>
    <w:rsid w:val="0058408E"/>
    <w:rsid w:val="0058523E"/>
    <w:rsid w:val="00585374"/>
    <w:rsid w:val="005854CA"/>
    <w:rsid w:val="00585FAB"/>
    <w:rsid w:val="00587768"/>
    <w:rsid w:val="00587DC6"/>
    <w:rsid w:val="00590B77"/>
    <w:rsid w:val="00590D9A"/>
    <w:rsid w:val="005913A3"/>
    <w:rsid w:val="005940D4"/>
    <w:rsid w:val="00594A7B"/>
    <w:rsid w:val="0059580E"/>
    <w:rsid w:val="00595D90"/>
    <w:rsid w:val="00596A6F"/>
    <w:rsid w:val="00596FCE"/>
    <w:rsid w:val="005A1073"/>
    <w:rsid w:val="005A11BC"/>
    <w:rsid w:val="005A1525"/>
    <w:rsid w:val="005A1E17"/>
    <w:rsid w:val="005A252B"/>
    <w:rsid w:val="005A2A8F"/>
    <w:rsid w:val="005A3204"/>
    <w:rsid w:val="005A3341"/>
    <w:rsid w:val="005A3C3D"/>
    <w:rsid w:val="005A46EC"/>
    <w:rsid w:val="005A5EAE"/>
    <w:rsid w:val="005A6407"/>
    <w:rsid w:val="005A726C"/>
    <w:rsid w:val="005B07EC"/>
    <w:rsid w:val="005B248D"/>
    <w:rsid w:val="005B2B11"/>
    <w:rsid w:val="005B2CA1"/>
    <w:rsid w:val="005B32A4"/>
    <w:rsid w:val="005B3371"/>
    <w:rsid w:val="005B338D"/>
    <w:rsid w:val="005B36D7"/>
    <w:rsid w:val="005B3BAF"/>
    <w:rsid w:val="005B3C09"/>
    <w:rsid w:val="005B4DA3"/>
    <w:rsid w:val="005B5BEE"/>
    <w:rsid w:val="005B6902"/>
    <w:rsid w:val="005B77D2"/>
    <w:rsid w:val="005C019B"/>
    <w:rsid w:val="005C08D0"/>
    <w:rsid w:val="005C1AED"/>
    <w:rsid w:val="005C30F5"/>
    <w:rsid w:val="005C4459"/>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247"/>
    <w:rsid w:val="005D6B59"/>
    <w:rsid w:val="005D6B88"/>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018"/>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5ED"/>
    <w:rsid w:val="00617EEE"/>
    <w:rsid w:val="00620A1F"/>
    <w:rsid w:val="006214DE"/>
    <w:rsid w:val="0062169D"/>
    <w:rsid w:val="0062181E"/>
    <w:rsid w:val="006218D5"/>
    <w:rsid w:val="0062211B"/>
    <w:rsid w:val="00622BB7"/>
    <w:rsid w:val="00622C1E"/>
    <w:rsid w:val="00623389"/>
    <w:rsid w:val="00623DAA"/>
    <w:rsid w:val="00623FAF"/>
    <w:rsid w:val="006257B2"/>
    <w:rsid w:val="006265C4"/>
    <w:rsid w:val="0062678A"/>
    <w:rsid w:val="006270AF"/>
    <w:rsid w:val="00631532"/>
    <w:rsid w:val="00634367"/>
    <w:rsid w:val="0063607E"/>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EE7"/>
    <w:rsid w:val="00655AB6"/>
    <w:rsid w:val="00656281"/>
    <w:rsid w:val="0065636A"/>
    <w:rsid w:val="0065659F"/>
    <w:rsid w:val="00657003"/>
    <w:rsid w:val="00660238"/>
    <w:rsid w:val="006602EF"/>
    <w:rsid w:val="00660C8E"/>
    <w:rsid w:val="00661277"/>
    <w:rsid w:val="006612CE"/>
    <w:rsid w:val="006619E0"/>
    <w:rsid w:val="00663FEA"/>
    <w:rsid w:val="00664803"/>
    <w:rsid w:val="00665158"/>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E6F"/>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09CC"/>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2E57"/>
    <w:rsid w:val="006B376E"/>
    <w:rsid w:val="006B3C85"/>
    <w:rsid w:val="006B4589"/>
    <w:rsid w:val="006B610E"/>
    <w:rsid w:val="006B643B"/>
    <w:rsid w:val="006B6805"/>
    <w:rsid w:val="006B6DE0"/>
    <w:rsid w:val="006B7D62"/>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71E"/>
    <w:rsid w:val="006E58BF"/>
    <w:rsid w:val="006E5DD8"/>
    <w:rsid w:val="006E5EA1"/>
    <w:rsid w:val="006E5FA8"/>
    <w:rsid w:val="006E6DEE"/>
    <w:rsid w:val="006E6F05"/>
    <w:rsid w:val="006E7D4B"/>
    <w:rsid w:val="006F0760"/>
    <w:rsid w:val="006F11E2"/>
    <w:rsid w:val="006F2574"/>
    <w:rsid w:val="006F3221"/>
    <w:rsid w:val="006F3231"/>
    <w:rsid w:val="006F3DE3"/>
    <w:rsid w:val="006F4787"/>
    <w:rsid w:val="006F5C43"/>
    <w:rsid w:val="006F61D8"/>
    <w:rsid w:val="006F62B7"/>
    <w:rsid w:val="006F682E"/>
    <w:rsid w:val="006F70BC"/>
    <w:rsid w:val="006F734B"/>
    <w:rsid w:val="006F7E7C"/>
    <w:rsid w:val="00701137"/>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3D99"/>
    <w:rsid w:val="00724044"/>
    <w:rsid w:val="007248D3"/>
    <w:rsid w:val="00724DF8"/>
    <w:rsid w:val="00725137"/>
    <w:rsid w:val="00725378"/>
    <w:rsid w:val="0072623D"/>
    <w:rsid w:val="00727A43"/>
    <w:rsid w:val="00727FF2"/>
    <w:rsid w:val="00730550"/>
    <w:rsid w:val="00730C2A"/>
    <w:rsid w:val="00731434"/>
    <w:rsid w:val="007314CD"/>
    <w:rsid w:val="0073154F"/>
    <w:rsid w:val="00731E59"/>
    <w:rsid w:val="007323E0"/>
    <w:rsid w:val="00732911"/>
    <w:rsid w:val="007333B9"/>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0E8"/>
    <w:rsid w:val="00747295"/>
    <w:rsid w:val="00747829"/>
    <w:rsid w:val="00747DE2"/>
    <w:rsid w:val="00747E3E"/>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69B"/>
    <w:rsid w:val="007648AD"/>
    <w:rsid w:val="0076504E"/>
    <w:rsid w:val="00767BFD"/>
    <w:rsid w:val="00767EA0"/>
    <w:rsid w:val="0077068F"/>
    <w:rsid w:val="00771EDF"/>
    <w:rsid w:val="00772A90"/>
    <w:rsid w:val="00772F8D"/>
    <w:rsid w:val="0077408D"/>
    <w:rsid w:val="00774270"/>
    <w:rsid w:val="007743F6"/>
    <w:rsid w:val="007754E0"/>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0817"/>
    <w:rsid w:val="00791E6D"/>
    <w:rsid w:val="00791EB5"/>
    <w:rsid w:val="00791FF2"/>
    <w:rsid w:val="007921E2"/>
    <w:rsid w:val="007934E4"/>
    <w:rsid w:val="00793696"/>
    <w:rsid w:val="0079527F"/>
    <w:rsid w:val="00795433"/>
    <w:rsid w:val="007955DA"/>
    <w:rsid w:val="00796F65"/>
    <w:rsid w:val="007A0CDB"/>
    <w:rsid w:val="007A11C2"/>
    <w:rsid w:val="007A18BB"/>
    <w:rsid w:val="007A27DD"/>
    <w:rsid w:val="007A2BA8"/>
    <w:rsid w:val="007A385D"/>
    <w:rsid w:val="007A41BF"/>
    <w:rsid w:val="007A490A"/>
    <w:rsid w:val="007A7B95"/>
    <w:rsid w:val="007A7F02"/>
    <w:rsid w:val="007B0297"/>
    <w:rsid w:val="007B02FA"/>
    <w:rsid w:val="007B0E89"/>
    <w:rsid w:val="007B0F53"/>
    <w:rsid w:val="007B21AE"/>
    <w:rsid w:val="007B2570"/>
    <w:rsid w:val="007B3113"/>
    <w:rsid w:val="007B3304"/>
    <w:rsid w:val="007B6E34"/>
    <w:rsid w:val="007B7490"/>
    <w:rsid w:val="007C0525"/>
    <w:rsid w:val="007C13F7"/>
    <w:rsid w:val="007C218D"/>
    <w:rsid w:val="007C2D28"/>
    <w:rsid w:val="007C3E22"/>
    <w:rsid w:val="007C5B90"/>
    <w:rsid w:val="007C6218"/>
    <w:rsid w:val="007C6484"/>
    <w:rsid w:val="007C67C6"/>
    <w:rsid w:val="007C78BE"/>
    <w:rsid w:val="007C7E59"/>
    <w:rsid w:val="007D0164"/>
    <w:rsid w:val="007D0476"/>
    <w:rsid w:val="007D0B91"/>
    <w:rsid w:val="007D1386"/>
    <w:rsid w:val="007D1452"/>
    <w:rsid w:val="007D2324"/>
    <w:rsid w:val="007D3DCB"/>
    <w:rsid w:val="007D460C"/>
    <w:rsid w:val="007D4996"/>
    <w:rsid w:val="007D4AD3"/>
    <w:rsid w:val="007D5D19"/>
    <w:rsid w:val="007D5FDC"/>
    <w:rsid w:val="007D6176"/>
    <w:rsid w:val="007D6536"/>
    <w:rsid w:val="007D6D68"/>
    <w:rsid w:val="007D7DB2"/>
    <w:rsid w:val="007E28CD"/>
    <w:rsid w:val="007E32DA"/>
    <w:rsid w:val="007E4998"/>
    <w:rsid w:val="007E4A9C"/>
    <w:rsid w:val="007E6914"/>
    <w:rsid w:val="007E727A"/>
    <w:rsid w:val="007E7F78"/>
    <w:rsid w:val="007F0179"/>
    <w:rsid w:val="007F2C13"/>
    <w:rsid w:val="007F2CEC"/>
    <w:rsid w:val="007F3435"/>
    <w:rsid w:val="007F55DE"/>
    <w:rsid w:val="007F689D"/>
    <w:rsid w:val="007F762D"/>
    <w:rsid w:val="007F78F0"/>
    <w:rsid w:val="007F78FF"/>
    <w:rsid w:val="008001C5"/>
    <w:rsid w:val="00800F6C"/>
    <w:rsid w:val="00801065"/>
    <w:rsid w:val="008014A7"/>
    <w:rsid w:val="00802A38"/>
    <w:rsid w:val="00802C0B"/>
    <w:rsid w:val="008051FC"/>
    <w:rsid w:val="008055A9"/>
    <w:rsid w:val="008056C4"/>
    <w:rsid w:val="008057FD"/>
    <w:rsid w:val="00805D8B"/>
    <w:rsid w:val="00810BB6"/>
    <w:rsid w:val="00810E8E"/>
    <w:rsid w:val="0081205D"/>
    <w:rsid w:val="00812C44"/>
    <w:rsid w:val="008135E1"/>
    <w:rsid w:val="00813779"/>
    <w:rsid w:val="00813E26"/>
    <w:rsid w:val="0081481D"/>
    <w:rsid w:val="00814BE8"/>
    <w:rsid w:val="00814F6E"/>
    <w:rsid w:val="00815363"/>
    <w:rsid w:val="00815B84"/>
    <w:rsid w:val="00816514"/>
    <w:rsid w:val="00816BE9"/>
    <w:rsid w:val="0082027C"/>
    <w:rsid w:val="00820480"/>
    <w:rsid w:val="00822518"/>
    <w:rsid w:val="008226F5"/>
    <w:rsid w:val="00823D6C"/>
    <w:rsid w:val="00823FC6"/>
    <w:rsid w:val="00824306"/>
    <w:rsid w:val="00825C74"/>
    <w:rsid w:val="00825CFA"/>
    <w:rsid w:val="00826AB9"/>
    <w:rsid w:val="00826E0E"/>
    <w:rsid w:val="00827D11"/>
    <w:rsid w:val="00827E0F"/>
    <w:rsid w:val="00827F6E"/>
    <w:rsid w:val="00831758"/>
    <w:rsid w:val="008317D9"/>
    <w:rsid w:val="0083279F"/>
    <w:rsid w:val="00832975"/>
    <w:rsid w:val="008334DB"/>
    <w:rsid w:val="00833B7F"/>
    <w:rsid w:val="00833E8E"/>
    <w:rsid w:val="00834906"/>
    <w:rsid w:val="00836075"/>
    <w:rsid w:val="00836417"/>
    <w:rsid w:val="00836A3E"/>
    <w:rsid w:val="00837184"/>
    <w:rsid w:val="00837526"/>
    <w:rsid w:val="008407A7"/>
    <w:rsid w:val="0084223B"/>
    <w:rsid w:val="0084322B"/>
    <w:rsid w:val="00843F81"/>
    <w:rsid w:val="00844087"/>
    <w:rsid w:val="00844285"/>
    <w:rsid w:val="00844526"/>
    <w:rsid w:val="008448F1"/>
    <w:rsid w:val="0084519E"/>
    <w:rsid w:val="00845CAE"/>
    <w:rsid w:val="00846370"/>
    <w:rsid w:val="008475A3"/>
    <w:rsid w:val="008477E7"/>
    <w:rsid w:val="00847C2B"/>
    <w:rsid w:val="008501DA"/>
    <w:rsid w:val="00850272"/>
    <w:rsid w:val="008506B9"/>
    <w:rsid w:val="00851822"/>
    <w:rsid w:val="008532BF"/>
    <w:rsid w:val="008539B2"/>
    <w:rsid w:val="00853BF4"/>
    <w:rsid w:val="00854294"/>
    <w:rsid w:val="0085572E"/>
    <w:rsid w:val="0085788B"/>
    <w:rsid w:val="00857A9E"/>
    <w:rsid w:val="00857DCB"/>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226"/>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584"/>
    <w:rsid w:val="008A0FC9"/>
    <w:rsid w:val="008A1956"/>
    <w:rsid w:val="008A1A7C"/>
    <w:rsid w:val="008A2CE2"/>
    <w:rsid w:val="008A312C"/>
    <w:rsid w:val="008A40D3"/>
    <w:rsid w:val="008A469C"/>
    <w:rsid w:val="008A51D1"/>
    <w:rsid w:val="008A5DCE"/>
    <w:rsid w:val="008A6290"/>
    <w:rsid w:val="008A75D3"/>
    <w:rsid w:val="008B05DD"/>
    <w:rsid w:val="008B07B8"/>
    <w:rsid w:val="008B17E8"/>
    <w:rsid w:val="008B2E7C"/>
    <w:rsid w:val="008B321A"/>
    <w:rsid w:val="008B399A"/>
    <w:rsid w:val="008B442B"/>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630"/>
    <w:rsid w:val="008C6118"/>
    <w:rsid w:val="008C6341"/>
    <w:rsid w:val="008C6B7C"/>
    <w:rsid w:val="008C731F"/>
    <w:rsid w:val="008C74D9"/>
    <w:rsid w:val="008D03C2"/>
    <w:rsid w:val="008D12FB"/>
    <w:rsid w:val="008D3B2D"/>
    <w:rsid w:val="008D554A"/>
    <w:rsid w:val="008D58D9"/>
    <w:rsid w:val="008D5AD4"/>
    <w:rsid w:val="008D62BD"/>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16"/>
    <w:rsid w:val="008F22B3"/>
    <w:rsid w:val="008F357B"/>
    <w:rsid w:val="008F44CA"/>
    <w:rsid w:val="008F4885"/>
    <w:rsid w:val="008F49D3"/>
    <w:rsid w:val="008F62C1"/>
    <w:rsid w:val="008F6519"/>
    <w:rsid w:val="008F7012"/>
    <w:rsid w:val="008F7ADA"/>
    <w:rsid w:val="008F7B17"/>
    <w:rsid w:val="00900042"/>
    <w:rsid w:val="0090034B"/>
    <w:rsid w:val="00901121"/>
    <w:rsid w:val="00902623"/>
    <w:rsid w:val="00902A67"/>
    <w:rsid w:val="00902C5E"/>
    <w:rsid w:val="00902CA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6C67"/>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7B0"/>
    <w:rsid w:val="00927A2D"/>
    <w:rsid w:val="00927B37"/>
    <w:rsid w:val="009308F5"/>
    <w:rsid w:val="0093099F"/>
    <w:rsid w:val="00931917"/>
    <w:rsid w:val="009321B1"/>
    <w:rsid w:val="00932ED7"/>
    <w:rsid w:val="009333CF"/>
    <w:rsid w:val="00933979"/>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47A29"/>
    <w:rsid w:val="00953808"/>
    <w:rsid w:val="009539A6"/>
    <w:rsid w:val="00954032"/>
    <w:rsid w:val="00954537"/>
    <w:rsid w:val="0095472D"/>
    <w:rsid w:val="00955065"/>
    <w:rsid w:val="00955FBB"/>
    <w:rsid w:val="0095694B"/>
    <w:rsid w:val="00956BD5"/>
    <w:rsid w:val="00956D84"/>
    <w:rsid w:val="009577B5"/>
    <w:rsid w:val="009578D0"/>
    <w:rsid w:val="009608E6"/>
    <w:rsid w:val="00960AC1"/>
    <w:rsid w:val="00960F57"/>
    <w:rsid w:val="00961C90"/>
    <w:rsid w:val="00965443"/>
    <w:rsid w:val="00965954"/>
    <w:rsid w:val="00965A21"/>
    <w:rsid w:val="00965E55"/>
    <w:rsid w:val="0096608E"/>
    <w:rsid w:val="00966522"/>
    <w:rsid w:val="00966C33"/>
    <w:rsid w:val="00966C51"/>
    <w:rsid w:val="00966FCB"/>
    <w:rsid w:val="00970427"/>
    <w:rsid w:val="00970F18"/>
    <w:rsid w:val="00971CF1"/>
    <w:rsid w:val="00971F5D"/>
    <w:rsid w:val="009721E9"/>
    <w:rsid w:val="00973772"/>
    <w:rsid w:val="00973E61"/>
    <w:rsid w:val="0097471B"/>
    <w:rsid w:val="0097560A"/>
    <w:rsid w:val="00975C33"/>
    <w:rsid w:val="00975E1E"/>
    <w:rsid w:val="00975E70"/>
    <w:rsid w:val="009761DE"/>
    <w:rsid w:val="009766FA"/>
    <w:rsid w:val="00977C91"/>
    <w:rsid w:val="00977CD6"/>
    <w:rsid w:val="0098048B"/>
    <w:rsid w:val="00980DF9"/>
    <w:rsid w:val="00981150"/>
    <w:rsid w:val="009813A4"/>
    <w:rsid w:val="0098183B"/>
    <w:rsid w:val="0098243D"/>
    <w:rsid w:val="00982D26"/>
    <w:rsid w:val="00983B6E"/>
    <w:rsid w:val="00983FE5"/>
    <w:rsid w:val="009849E9"/>
    <w:rsid w:val="009859E4"/>
    <w:rsid w:val="00986DF8"/>
    <w:rsid w:val="00987812"/>
    <w:rsid w:val="009879DE"/>
    <w:rsid w:val="00990225"/>
    <w:rsid w:val="00991E77"/>
    <w:rsid w:val="00992A13"/>
    <w:rsid w:val="00994AAD"/>
    <w:rsid w:val="00994DE1"/>
    <w:rsid w:val="00995150"/>
    <w:rsid w:val="00995D67"/>
    <w:rsid w:val="009A013B"/>
    <w:rsid w:val="009A02F4"/>
    <w:rsid w:val="009A0408"/>
    <w:rsid w:val="009A06BF"/>
    <w:rsid w:val="009A0716"/>
    <w:rsid w:val="009A0D17"/>
    <w:rsid w:val="009A2494"/>
    <w:rsid w:val="009A32B1"/>
    <w:rsid w:val="009A33A3"/>
    <w:rsid w:val="009A36F2"/>
    <w:rsid w:val="009A3F25"/>
    <w:rsid w:val="009A40C3"/>
    <w:rsid w:val="009A40D5"/>
    <w:rsid w:val="009A57D0"/>
    <w:rsid w:val="009A6559"/>
    <w:rsid w:val="009A68FC"/>
    <w:rsid w:val="009A6CE4"/>
    <w:rsid w:val="009A7313"/>
    <w:rsid w:val="009A7514"/>
    <w:rsid w:val="009A7E7A"/>
    <w:rsid w:val="009B0BF6"/>
    <w:rsid w:val="009B1584"/>
    <w:rsid w:val="009B18F0"/>
    <w:rsid w:val="009B1F4C"/>
    <w:rsid w:val="009B2471"/>
    <w:rsid w:val="009B314F"/>
    <w:rsid w:val="009B439C"/>
    <w:rsid w:val="009B46BC"/>
    <w:rsid w:val="009B46FF"/>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0D9"/>
    <w:rsid w:val="009E0286"/>
    <w:rsid w:val="009E1097"/>
    <w:rsid w:val="009E153F"/>
    <w:rsid w:val="009E322A"/>
    <w:rsid w:val="009E393E"/>
    <w:rsid w:val="009E396B"/>
    <w:rsid w:val="009E444E"/>
    <w:rsid w:val="009E4968"/>
    <w:rsid w:val="009E663C"/>
    <w:rsid w:val="009E684A"/>
    <w:rsid w:val="009E6BB1"/>
    <w:rsid w:val="009E6E14"/>
    <w:rsid w:val="009E71B7"/>
    <w:rsid w:val="009E794A"/>
    <w:rsid w:val="009E7C14"/>
    <w:rsid w:val="009F0494"/>
    <w:rsid w:val="009F0CD9"/>
    <w:rsid w:val="009F1A79"/>
    <w:rsid w:val="009F1A96"/>
    <w:rsid w:val="009F1F57"/>
    <w:rsid w:val="009F284B"/>
    <w:rsid w:val="009F2DDD"/>
    <w:rsid w:val="009F3447"/>
    <w:rsid w:val="009F65F4"/>
    <w:rsid w:val="009F676B"/>
    <w:rsid w:val="009F6D2D"/>
    <w:rsid w:val="009F6D54"/>
    <w:rsid w:val="00A0010C"/>
    <w:rsid w:val="00A004DF"/>
    <w:rsid w:val="00A00FD5"/>
    <w:rsid w:val="00A012C0"/>
    <w:rsid w:val="00A019A8"/>
    <w:rsid w:val="00A01B03"/>
    <w:rsid w:val="00A01B89"/>
    <w:rsid w:val="00A02198"/>
    <w:rsid w:val="00A02C66"/>
    <w:rsid w:val="00A02C84"/>
    <w:rsid w:val="00A0464C"/>
    <w:rsid w:val="00A050BB"/>
    <w:rsid w:val="00A054CC"/>
    <w:rsid w:val="00A054E0"/>
    <w:rsid w:val="00A05D91"/>
    <w:rsid w:val="00A0735D"/>
    <w:rsid w:val="00A0740B"/>
    <w:rsid w:val="00A07ED3"/>
    <w:rsid w:val="00A10CA8"/>
    <w:rsid w:val="00A11042"/>
    <w:rsid w:val="00A12579"/>
    <w:rsid w:val="00A133D8"/>
    <w:rsid w:val="00A1400F"/>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3FDF"/>
    <w:rsid w:val="00A3467F"/>
    <w:rsid w:val="00A34B4C"/>
    <w:rsid w:val="00A35030"/>
    <w:rsid w:val="00A3551A"/>
    <w:rsid w:val="00A36508"/>
    <w:rsid w:val="00A366A0"/>
    <w:rsid w:val="00A37209"/>
    <w:rsid w:val="00A37584"/>
    <w:rsid w:val="00A376E8"/>
    <w:rsid w:val="00A37F8E"/>
    <w:rsid w:val="00A41537"/>
    <w:rsid w:val="00A41737"/>
    <w:rsid w:val="00A42B8F"/>
    <w:rsid w:val="00A42D8E"/>
    <w:rsid w:val="00A43254"/>
    <w:rsid w:val="00A43896"/>
    <w:rsid w:val="00A43A26"/>
    <w:rsid w:val="00A447A0"/>
    <w:rsid w:val="00A45096"/>
    <w:rsid w:val="00A459F5"/>
    <w:rsid w:val="00A45FC0"/>
    <w:rsid w:val="00A46B74"/>
    <w:rsid w:val="00A47ECC"/>
    <w:rsid w:val="00A50171"/>
    <w:rsid w:val="00A504FA"/>
    <w:rsid w:val="00A50A60"/>
    <w:rsid w:val="00A5102E"/>
    <w:rsid w:val="00A5132E"/>
    <w:rsid w:val="00A51375"/>
    <w:rsid w:val="00A51533"/>
    <w:rsid w:val="00A531D4"/>
    <w:rsid w:val="00A54572"/>
    <w:rsid w:val="00A575B8"/>
    <w:rsid w:val="00A61C60"/>
    <w:rsid w:val="00A61ECB"/>
    <w:rsid w:val="00A6410C"/>
    <w:rsid w:val="00A647B1"/>
    <w:rsid w:val="00A64DEF"/>
    <w:rsid w:val="00A654D2"/>
    <w:rsid w:val="00A6654E"/>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4D3"/>
    <w:rsid w:val="00A85930"/>
    <w:rsid w:val="00A863F7"/>
    <w:rsid w:val="00A86604"/>
    <w:rsid w:val="00A87519"/>
    <w:rsid w:val="00A901A9"/>
    <w:rsid w:val="00A918BD"/>
    <w:rsid w:val="00A9246D"/>
    <w:rsid w:val="00A92CCA"/>
    <w:rsid w:val="00A93BD0"/>
    <w:rsid w:val="00A93CC2"/>
    <w:rsid w:val="00A9463C"/>
    <w:rsid w:val="00A95863"/>
    <w:rsid w:val="00A95D6D"/>
    <w:rsid w:val="00A965EA"/>
    <w:rsid w:val="00A974CC"/>
    <w:rsid w:val="00AA1067"/>
    <w:rsid w:val="00AA2001"/>
    <w:rsid w:val="00AA2B5C"/>
    <w:rsid w:val="00AA2E29"/>
    <w:rsid w:val="00AA32D2"/>
    <w:rsid w:val="00AA4016"/>
    <w:rsid w:val="00AA4C1F"/>
    <w:rsid w:val="00AA5328"/>
    <w:rsid w:val="00AA5393"/>
    <w:rsid w:val="00AA5E70"/>
    <w:rsid w:val="00AA63D4"/>
    <w:rsid w:val="00AA68ED"/>
    <w:rsid w:val="00AB03FD"/>
    <w:rsid w:val="00AB2000"/>
    <w:rsid w:val="00AB2E94"/>
    <w:rsid w:val="00AB3452"/>
    <w:rsid w:val="00AB38CB"/>
    <w:rsid w:val="00AB3BEC"/>
    <w:rsid w:val="00AB3D0B"/>
    <w:rsid w:val="00AB44E4"/>
    <w:rsid w:val="00AB4AEB"/>
    <w:rsid w:val="00AB4E5F"/>
    <w:rsid w:val="00AB5352"/>
    <w:rsid w:val="00AB56AE"/>
    <w:rsid w:val="00AB62D5"/>
    <w:rsid w:val="00AB65B5"/>
    <w:rsid w:val="00AB6DCD"/>
    <w:rsid w:val="00AB6EE0"/>
    <w:rsid w:val="00AC17A2"/>
    <w:rsid w:val="00AC40B7"/>
    <w:rsid w:val="00AC4932"/>
    <w:rsid w:val="00AC4E24"/>
    <w:rsid w:val="00AC531F"/>
    <w:rsid w:val="00AC5B36"/>
    <w:rsid w:val="00AC6377"/>
    <w:rsid w:val="00AC66A4"/>
    <w:rsid w:val="00AC6C8A"/>
    <w:rsid w:val="00AC6CB1"/>
    <w:rsid w:val="00AC7D6D"/>
    <w:rsid w:val="00AD0091"/>
    <w:rsid w:val="00AD23EF"/>
    <w:rsid w:val="00AD2662"/>
    <w:rsid w:val="00AD307B"/>
    <w:rsid w:val="00AD4014"/>
    <w:rsid w:val="00AD41B3"/>
    <w:rsid w:val="00AD4A9D"/>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6D9B"/>
    <w:rsid w:val="00AE7280"/>
    <w:rsid w:val="00AE7B95"/>
    <w:rsid w:val="00AF033A"/>
    <w:rsid w:val="00AF123F"/>
    <w:rsid w:val="00AF1699"/>
    <w:rsid w:val="00AF1FD3"/>
    <w:rsid w:val="00AF2910"/>
    <w:rsid w:val="00AF34B8"/>
    <w:rsid w:val="00AF3896"/>
    <w:rsid w:val="00AF3FC2"/>
    <w:rsid w:val="00B0098A"/>
    <w:rsid w:val="00B00A5F"/>
    <w:rsid w:val="00B00F89"/>
    <w:rsid w:val="00B029B8"/>
    <w:rsid w:val="00B02F60"/>
    <w:rsid w:val="00B032B8"/>
    <w:rsid w:val="00B038D9"/>
    <w:rsid w:val="00B04721"/>
    <w:rsid w:val="00B04B15"/>
    <w:rsid w:val="00B04B46"/>
    <w:rsid w:val="00B05058"/>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A35"/>
    <w:rsid w:val="00B20F18"/>
    <w:rsid w:val="00B21516"/>
    <w:rsid w:val="00B21A37"/>
    <w:rsid w:val="00B21D23"/>
    <w:rsid w:val="00B21DF2"/>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0601"/>
    <w:rsid w:val="00B42264"/>
    <w:rsid w:val="00B42B90"/>
    <w:rsid w:val="00B434B2"/>
    <w:rsid w:val="00B43D45"/>
    <w:rsid w:val="00B43D68"/>
    <w:rsid w:val="00B44B95"/>
    <w:rsid w:val="00B46705"/>
    <w:rsid w:val="00B468F2"/>
    <w:rsid w:val="00B469DE"/>
    <w:rsid w:val="00B47286"/>
    <w:rsid w:val="00B50234"/>
    <w:rsid w:val="00B51BF4"/>
    <w:rsid w:val="00B5283D"/>
    <w:rsid w:val="00B52C68"/>
    <w:rsid w:val="00B5372B"/>
    <w:rsid w:val="00B542FE"/>
    <w:rsid w:val="00B55A1B"/>
    <w:rsid w:val="00B561DB"/>
    <w:rsid w:val="00B56DF9"/>
    <w:rsid w:val="00B5792A"/>
    <w:rsid w:val="00B57EA6"/>
    <w:rsid w:val="00B600BD"/>
    <w:rsid w:val="00B61274"/>
    <w:rsid w:val="00B61DCE"/>
    <w:rsid w:val="00B62188"/>
    <w:rsid w:val="00B62F79"/>
    <w:rsid w:val="00B62F82"/>
    <w:rsid w:val="00B6306A"/>
    <w:rsid w:val="00B635E3"/>
    <w:rsid w:val="00B653D7"/>
    <w:rsid w:val="00B662FF"/>
    <w:rsid w:val="00B66679"/>
    <w:rsid w:val="00B67628"/>
    <w:rsid w:val="00B70145"/>
    <w:rsid w:val="00B71A92"/>
    <w:rsid w:val="00B721D8"/>
    <w:rsid w:val="00B730CA"/>
    <w:rsid w:val="00B747C5"/>
    <w:rsid w:val="00B74F2F"/>
    <w:rsid w:val="00B753ED"/>
    <w:rsid w:val="00B769BC"/>
    <w:rsid w:val="00B76B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1B8A"/>
    <w:rsid w:val="00BA2C97"/>
    <w:rsid w:val="00BA305B"/>
    <w:rsid w:val="00BA31BF"/>
    <w:rsid w:val="00BA3FC7"/>
    <w:rsid w:val="00BA478B"/>
    <w:rsid w:val="00BA49D2"/>
    <w:rsid w:val="00BA5224"/>
    <w:rsid w:val="00BA575E"/>
    <w:rsid w:val="00BA6E49"/>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C7BE0"/>
    <w:rsid w:val="00BD0014"/>
    <w:rsid w:val="00BD01D8"/>
    <w:rsid w:val="00BD255F"/>
    <w:rsid w:val="00BD2895"/>
    <w:rsid w:val="00BD3BEB"/>
    <w:rsid w:val="00BD4236"/>
    <w:rsid w:val="00BD483B"/>
    <w:rsid w:val="00BD5CD4"/>
    <w:rsid w:val="00BD65D9"/>
    <w:rsid w:val="00BD6DF3"/>
    <w:rsid w:val="00BD6E09"/>
    <w:rsid w:val="00BD6EF9"/>
    <w:rsid w:val="00BE0ACB"/>
    <w:rsid w:val="00BE102D"/>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105"/>
    <w:rsid w:val="00BF6A78"/>
    <w:rsid w:val="00BF7695"/>
    <w:rsid w:val="00BF79B4"/>
    <w:rsid w:val="00BF7C61"/>
    <w:rsid w:val="00C00037"/>
    <w:rsid w:val="00C01427"/>
    <w:rsid w:val="00C014C7"/>
    <w:rsid w:val="00C047AB"/>
    <w:rsid w:val="00C058AF"/>
    <w:rsid w:val="00C075B6"/>
    <w:rsid w:val="00C10F9F"/>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582D"/>
    <w:rsid w:val="00C4712A"/>
    <w:rsid w:val="00C5034F"/>
    <w:rsid w:val="00C50830"/>
    <w:rsid w:val="00C52479"/>
    <w:rsid w:val="00C5266E"/>
    <w:rsid w:val="00C52C59"/>
    <w:rsid w:val="00C5349E"/>
    <w:rsid w:val="00C539FF"/>
    <w:rsid w:val="00C544BD"/>
    <w:rsid w:val="00C54D3D"/>
    <w:rsid w:val="00C55A30"/>
    <w:rsid w:val="00C56384"/>
    <w:rsid w:val="00C56BE2"/>
    <w:rsid w:val="00C60F8C"/>
    <w:rsid w:val="00C61794"/>
    <w:rsid w:val="00C62475"/>
    <w:rsid w:val="00C62A48"/>
    <w:rsid w:val="00C62AC4"/>
    <w:rsid w:val="00C62B59"/>
    <w:rsid w:val="00C62F96"/>
    <w:rsid w:val="00C631E1"/>
    <w:rsid w:val="00C638D8"/>
    <w:rsid w:val="00C63AE7"/>
    <w:rsid w:val="00C63D26"/>
    <w:rsid w:val="00C641ED"/>
    <w:rsid w:val="00C6540A"/>
    <w:rsid w:val="00C668A1"/>
    <w:rsid w:val="00C67223"/>
    <w:rsid w:val="00C67CF6"/>
    <w:rsid w:val="00C7047C"/>
    <w:rsid w:val="00C707B8"/>
    <w:rsid w:val="00C712AC"/>
    <w:rsid w:val="00C71C15"/>
    <w:rsid w:val="00C71F3D"/>
    <w:rsid w:val="00C72F53"/>
    <w:rsid w:val="00C74035"/>
    <w:rsid w:val="00C748EA"/>
    <w:rsid w:val="00C77818"/>
    <w:rsid w:val="00C8063F"/>
    <w:rsid w:val="00C80C2D"/>
    <w:rsid w:val="00C81282"/>
    <w:rsid w:val="00C81383"/>
    <w:rsid w:val="00C81E4F"/>
    <w:rsid w:val="00C827B4"/>
    <w:rsid w:val="00C82CE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11"/>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3C09"/>
    <w:rsid w:val="00CB4E54"/>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09C"/>
    <w:rsid w:val="00D0334D"/>
    <w:rsid w:val="00D0374D"/>
    <w:rsid w:val="00D03E20"/>
    <w:rsid w:val="00D05248"/>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22D"/>
    <w:rsid w:val="00D25668"/>
    <w:rsid w:val="00D2585A"/>
    <w:rsid w:val="00D259B0"/>
    <w:rsid w:val="00D26C3F"/>
    <w:rsid w:val="00D26CDF"/>
    <w:rsid w:val="00D27026"/>
    <w:rsid w:val="00D27185"/>
    <w:rsid w:val="00D30EF8"/>
    <w:rsid w:val="00D32518"/>
    <w:rsid w:val="00D33488"/>
    <w:rsid w:val="00D33AB3"/>
    <w:rsid w:val="00D33F24"/>
    <w:rsid w:val="00D34160"/>
    <w:rsid w:val="00D346B8"/>
    <w:rsid w:val="00D34DCA"/>
    <w:rsid w:val="00D35987"/>
    <w:rsid w:val="00D35AC8"/>
    <w:rsid w:val="00D36F87"/>
    <w:rsid w:val="00D37E4E"/>
    <w:rsid w:val="00D400A4"/>
    <w:rsid w:val="00D40DEF"/>
    <w:rsid w:val="00D417D8"/>
    <w:rsid w:val="00D41F78"/>
    <w:rsid w:val="00D42B2F"/>
    <w:rsid w:val="00D42DBE"/>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6474"/>
    <w:rsid w:val="00D57D53"/>
    <w:rsid w:val="00D57EB6"/>
    <w:rsid w:val="00D608C0"/>
    <w:rsid w:val="00D60D6D"/>
    <w:rsid w:val="00D6128C"/>
    <w:rsid w:val="00D6404C"/>
    <w:rsid w:val="00D648F8"/>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6FA"/>
    <w:rsid w:val="00D9074A"/>
    <w:rsid w:val="00D90960"/>
    <w:rsid w:val="00D9099E"/>
    <w:rsid w:val="00D9193A"/>
    <w:rsid w:val="00D923B2"/>
    <w:rsid w:val="00D92463"/>
    <w:rsid w:val="00D93E64"/>
    <w:rsid w:val="00D93F64"/>
    <w:rsid w:val="00D94CA4"/>
    <w:rsid w:val="00D95E99"/>
    <w:rsid w:val="00D965D5"/>
    <w:rsid w:val="00D970AB"/>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257"/>
    <w:rsid w:val="00DC4782"/>
    <w:rsid w:val="00DC514A"/>
    <w:rsid w:val="00DC67B1"/>
    <w:rsid w:val="00DC7293"/>
    <w:rsid w:val="00DC7FBC"/>
    <w:rsid w:val="00DD0019"/>
    <w:rsid w:val="00DD0FE8"/>
    <w:rsid w:val="00DD132B"/>
    <w:rsid w:val="00DD1725"/>
    <w:rsid w:val="00DD2159"/>
    <w:rsid w:val="00DD218B"/>
    <w:rsid w:val="00DD2A18"/>
    <w:rsid w:val="00DD3044"/>
    <w:rsid w:val="00DD3985"/>
    <w:rsid w:val="00DD3CD9"/>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75"/>
    <w:rsid w:val="00DF1299"/>
    <w:rsid w:val="00DF174E"/>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BFB"/>
    <w:rsid w:val="00E0376B"/>
    <w:rsid w:val="00E041D1"/>
    <w:rsid w:val="00E04C0F"/>
    <w:rsid w:val="00E04FB2"/>
    <w:rsid w:val="00E0570B"/>
    <w:rsid w:val="00E10343"/>
    <w:rsid w:val="00E10913"/>
    <w:rsid w:val="00E10B87"/>
    <w:rsid w:val="00E121CE"/>
    <w:rsid w:val="00E1478B"/>
    <w:rsid w:val="00E14FAC"/>
    <w:rsid w:val="00E15007"/>
    <w:rsid w:val="00E16277"/>
    <w:rsid w:val="00E16EC7"/>
    <w:rsid w:val="00E219CE"/>
    <w:rsid w:val="00E23A80"/>
    <w:rsid w:val="00E24071"/>
    <w:rsid w:val="00E24EBC"/>
    <w:rsid w:val="00E2522C"/>
    <w:rsid w:val="00E2552F"/>
    <w:rsid w:val="00E2599B"/>
    <w:rsid w:val="00E25B3F"/>
    <w:rsid w:val="00E2710C"/>
    <w:rsid w:val="00E27428"/>
    <w:rsid w:val="00E305B4"/>
    <w:rsid w:val="00E3078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0A5E"/>
    <w:rsid w:val="00E5103F"/>
    <w:rsid w:val="00E51673"/>
    <w:rsid w:val="00E517A5"/>
    <w:rsid w:val="00E51E16"/>
    <w:rsid w:val="00E53730"/>
    <w:rsid w:val="00E5438D"/>
    <w:rsid w:val="00E54511"/>
    <w:rsid w:val="00E54E50"/>
    <w:rsid w:val="00E55288"/>
    <w:rsid w:val="00E57577"/>
    <w:rsid w:val="00E62043"/>
    <w:rsid w:val="00E626B9"/>
    <w:rsid w:val="00E627C9"/>
    <w:rsid w:val="00E629C5"/>
    <w:rsid w:val="00E630F3"/>
    <w:rsid w:val="00E6332F"/>
    <w:rsid w:val="00E637C9"/>
    <w:rsid w:val="00E6402D"/>
    <w:rsid w:val="00E6672A"/>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4B19"/>
    <w:rsid w:val="00E85014"/>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59DD"/>
    <w:rsid w:val="00EA60BF"/>
    <w:rsid w:val="00EA6CCD"/>
    <w:rsid w:val="00EA7365"/>
    <w:rsid w:val="00EA763F"/>
    <w:rsid w:val="00EA77E9"/>
    <w:rsid w:val="00EB05D0"/>
    <w:rsid w:val="00EB1151"/>
    <w:rsid w:val="00EB1D49"/>
    <w:rsid w:val="00EB23D9"/>
    <w:rsid w:val="00EB39A0"/>
    <w:rsid w:val="00EB559F"/>
    <w:rsid w:val="00EB566C"/>
    <w:rsid w:val="00EB5F3D"/>
    <w:rsid w:val="00EC10AC"/>
    <w:rsid w:val="00EC16EC"/>
    <w:rsid w:val="00EC1CEB"/>
    <w:rsid w:val="00EC1DC0"/>
    <w:rsid w:val="00EC1DC2"/>
    <w:rsid w:val="00EC1F6F"/>
    <w:rsid w:val="00EC21EC"/>
    <w:rsid w:val="00EC24B8"/>
    <w:rsid w:val="00EC268C"/>
    <w:rsid w:val="00EC2CCC"/>
    <w:rsid w:val="00EC3753"/>
    <w:rsid w:val="00EC4E71"/>
    <w:rsid w:val="00EC5F1C"/>
    <w:rsid w:val="00EC78C3"/>
    <w:rsid w:val="00ED0365"/>
    <w:rsid w:val="00ED0865"/>
    <w:rsid w:val="00ED1C60"/>
    <w:rsid w:val="00ED1FFA"/>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8D6"/>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0CC"/>
    <w:rsid w:val="00F0459B"/>
    <w:rsid w:val="00F04E15"/>
    <w:rsid w:val="00F05DF3"/>
    <w:rsid w:val="00F0692C"/>
    <w:rsid w:val="00F069EA"/>
    <w:rsid w:val="00F070E5"/>
    <w:rsid w:val="00F07DDE"/>
    <w:rsid w:val="00F11166"/>
    <w:rsid w:val="00F11675"/>
    <w:rsid w:val="00F12557"/>
    <w:rsid w:val="00F13599"/>
    <w:rsid w:val="00F13B28"/>
    <w:rsid w:val="00F14E01"/>
    <w:rsid w:val="00F156A0"/>
    <w:rsid w:val="00F15730"/>
    <w:rsid w:val="00F176A6"/>
    <w:rsid w:val="00F202C2"/>
    <w:rsid w:val="00F212F6"/>
    <w:rsid w:val="00F223C0"/>
    <w:rsid w:val="00F22756"/>
    <w:rsid w:val="00F23248"/>
    <w:rsid w:val="00F23890"/>
    <w:rsid w:val="00F23A05"/>
    <w:rsid w:val="00F2504D"/>
    <w:rsid w:val="00F2637F"/>
    <w:rsid w:val="00F268F7"/>
    <w:rsid w:val="00F30B83"/>
    <w:rsid w:val="00F30BDB"/>
    <w:rsid w:val="00F30CF8"/>
    <w:rsid w:val="00F31EDF"/>
    <w:rsid w:val="00F32CDE"/>
    <w:rsid w:val="00F32D4C"/>
    <w:rsid w:val="00F32EC8"/>
    <w:rsid w:val="00F3327E"/>
    <w:rsid w:val="00F338C3"/>
    <w:rsid w:val="00F34B14"/>
    <w:rsid w:val="00F34F58"/>
    <w:rsid w:val="00F355D7"/>
    <w:rsid w:val="00F35DA7"/>
    <w:rsid w:val="00F3602D"/>
    <w:rsid w:val="00F3614B"/>
    <w:rsid w:val="00F36A6A"/>
    <w:rsid w:val="00F40101"/>
    <w:rsid w:val="00F404F7"/>
    <w:rsid w:val="00F40CCA"/>
    <w:rsid w:val="00F42D97"/>
    <w:rsid w:val="00F4316F"/>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3A9"/>
    <w:rsid w:val="00F556FF"/>
    <w:rsid w:val="00F55D12"/>
    <w:rsid w:val="00F5687F"/>
    <w:rsid w:val="00F56D3F"/>
    <w:rsid w:val="00F56EF2"/>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40E"/>
    <w:rsid w:val="00F71936"/>
    <w:rsid w:val="00F724FB"/>
    <w:rsid w:val="00F726B8"/>
    <w:rsid w:val="00F72A26"/>
    <w:rsid w:val="00F733C3"/>
    <w:rsid w:val="00F73B0E"/>
    <w:rsid w:val="00F746A1"/>
    <w:rsid w:val="00F74820"/>
    <w:rsid w:val="00F756DD"/>
    <w:rsid w:val="00F77F4E"/>
    <w:rsid w:val="00F80047"/>
    <w:rsid w:val="00F800C7"/>
    <w:rsid w:val="00F807AA"/>
    <w:rsid w:val="00F8104D"/>
    <w:rsid w:val="00F81587"/>
    <w:rsid w:val="00F8288F"/>
    <w:rsid w:val="00F84033"/>
    <w:rsid w:val="00F84802"/>
    <w:rsid w:val="00F84A66"/>
    <w:rsid w:val="00F85B72"/>
    <w:rsid w:val="00F86540"/>
    <w:rsid w:val="00F865CE"/>
    <w:rsid w:val="00F8766F"/>
    <w:rsid w:val="00F91082"/>
    <w:rsid w:val="00F9116D"/>
    <w:rsid w:val="00F91A9A"/>
    <w:rsid w:val="00F9203B"/>
    <w:rsid w:val="00F92E56"/>
    <w:rsid w:val="00F93A2B"/>
    <w:rsid w:val="00F93ABB"/>
    <w:rsid w:val="00F943D5"/>
    <w:rsid w:val="00F94D79"/>
    <w:rsid w:val="00F9658C"/>
    <w:rsid w:val="00F97A7F"/>
    <w:rsid w:val="00FA0889"/>
    <w:rsid w:val="00FA13E9"/>
    <w:rsid w:val="00FA16E7"/>
    <w:rsid w:val="00FA31C7"/>
    <w:rsid w:val="00FA472D"/>
    <w:rsid w:val="00FA5FA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452C"/>
    <w:rsid w:val="00FD6071"/>
    <w:rsid w:val="00FD633B"/>
    <w:rsid w:val="00FE0794"/>
    <w:rsid w:val="00FE1041"/>
    <w:rsid w:val="00FE24CB"/>
    <w:rsid w:val="00FE323F"/>
    <w:rsid w:val="00FE3473"/>
    <w:rsid w:val="00FE4049"/>
    <w:rsid w:val="00FE4794"/>
    <w:rsid w:val="00FE480F"/>
    <w:rsid w:val="00FE4998"/>
    <w:rsid w:val="00FE5454"/>
    <w:rsid w:val="00FE57DE"/>
    <w:rsid w:val="00FE59CB"/>
    <w:rsid w:val="00FE7A68"/>
    <w:rsid w:val="00FF0231"/>
    <w:rsid w:val="00FF1C9B"/>
    <w:rsid w:val="00FF1D49"/>
    <w:rsid w:val="00FF203B"/>
    <w:rsid w:val="00FF2562"/>
    <w:rsid w:val="00FF3A41"/>
    <w:rsid w:val="00FF3E5B"/>
    <w:rsid w:val="00FF57E4"/>
    <w:rsid w:val="00FF78E5"/>
    <w:rsid w:val="014D3611"/>
    <w:rsid w:val="014F29C7"/>
    <w:rsid w:val="01590077"/>
    <w:rsid w:val="01766DA8"/>
    <w:rsid w:val="01A2652D"/>
    <w:rsid w:val="01AF3D99"/>
    <w:rsid w:val="01CD1890"/>
    <w:rsid w:val="02105DD0"/>
    <w:rsid w:val="02511F9D"/>
    <w:rsid w:val="026D686C"/>
    <w:rsid w:val="027A1662"/>
    <w:rsid w:val="027D179D"/>
    <w:rsid w:val="028714F9"/>
    <w:rsid w:val="0294577F"/>
    <w:rsid w:val="02C511E7"/>
    <w:rsid w:val="02D33622"/>
    <w:rsid w:val="02DC78BE"/>
    <w:rsid w:val="02E903CF"/>
    <w:rsid w:val="02F474A0"/>
    <w:rsid w:val="033B7165"/>
    <w:rsid w:val="034B4BE6"/>
    <w:rsid w:val="03861008"/>
    <w:rsid w:val="03884C34"/>
    <w:rsid w:val="03A27FBB"/>
    <w:rsid w:val="03A314B8"/>
    <w:rsid w:val="03AF33C7"/>
    <w:rsid w:val="03BE7B32"/>
    <w:rsid w:val="03C13275"/>
    <w:rsid w:val="03C75EB2"/>
    <w:rsid w:val="03CC5C22"/>
    <w:rsid w:val="03D82B98"/>
    <w:rsid w:val="03F83E8B"/>
    <w:rsid w:val="03FE0D6A"/>
    <w:rsid w:val="04077019"/>
    <w:rsid w:val="04186DB0"/>
    <w:rsid w:val="04534B2F"/>
    <w:rsid w:val="04965E47"/>
    <w:rsid w:val="04AC5F40"/>
    <w:rsid w:val="04C57E52"/>
    <w:rsid w:val="04EB36D1"/>
    <w:rsid w:val="04FF402F"/>
    <w:rsid w:val="05047743"/>
    <w:rsid w:val="05383F82"/>
    <w:rsid w:val="053E0EA6"/>
    <w:rsid w:val="053E7845"/>
    <w:rsid w:val="059211F2"/>
    <w:rsid w:val="059D3E1F"/>
    <w:rsid w:val="05C56868"/>
    <w:rsid w:val="05CE7FAF"/>
    <w:rsid w:val="05D06147"/>
    <w:rsid w:val="05F02C7D"/>
    <w:rsid w:val="06474FA8"/>
    <w:rsid w:val="065F7D3D"/>
    <w:rsid w:val="06824D59"/>
    <w:rsid w:val="06936FD0"/>
    <w:rsid w:val="06C20BFC"/>
    <w:rsid w:val="06EF019B"/>
    <w:rsid w:val="06F86282"/>
    <w:rsid w:val="0717375D"/>
    <w:rsid w:val="07734B85"/>
    <w:rsid w:val="0774295E"/>
    <w:rsid w:val="07B72767"/>
    <w:rsid w:val="07E95234"/>
    <w:rsid w:val="08070D6B"/>
    <w:rsid w:val="08077E72"/>
    <w:rsid w:val="08094A76"/>
    <w:rsid w:val="081163FE"/>
    <w:rsid w:val="08451EB2"/>
    <w:rsid w:val="08882DD0"/>
    <w:rsid w:val="08A166C6"/>
    <w:rsid w:val="08B17BE1"/>
    <w:rsid w:val="08C94101"/>
    <w:rsid w:val="09047D11"/>
    <w:rsid w:val="090B06E2"/>
    <w:rsid w:val="091851C2"/>
    <w:rsid w:val="092D43FF"/>
    <w:rsid w:val="09376339"/>
    <w:rsid w:val="09673489"/>
    <w:rsid w:val="096B4234"/>
    <w:rsid w:val="0971040B"/>
    <w:rsid w:val="099C7E91"/>
    <w:rsid w:val="09AE4217"/>
    <w:rsid w:val="09CC2AAC"/>
    <w:rsid w:val="09D26E76"/>
    <w:rsid w:val="09E457B4"/>
    <w:rsid w:val="0A3313E7"/>
    <w:rsid w:val="0A652D3E"/>
    <w:rsid w:val="0A717628"/>
    <w:rsid w:val="0AA11D43"/>
    <w:rsid w:val="0AD75259"/>
    <w:rsid w:val="0AE10FC7"/>
    <w:rsid w:val="0AE35F8A"/>
    <w:rsid w:val="0AF85654"/>
    <w:rsid w:val="0B0932BE"/>
    <w:rsid w:val="0B1F35B4"/>
    <w:rsid w:val="0B326F2A"/>
    <w:rsid w:val="0B330F22"/>
    <w:rsid w:val="0B331E39"/>
    <w:rsid w:val="0B4F539D"/>
    <w:rsid w:val="0B5A57FC"/>
    <w:rsid w:val="0B61144B"/>
    <w:rsid w:val="0C0B585A"/>
    <w:rsid w:val="0C1E2888"/>
    <w:rsid w:val="0C4A10B7"/>
    <w:rsid w:val="0C92213C"/>
    <w:rsid w:val="0CA34F8A"/>
    <w:rsid w:val="0CA60D13"/>
    <w:rsid w:val="0CC67BD9"/>
    <w:rsid w:val="0CD01317"/>
    <w:rsid w:val="0CD95A91"/>
    <w:rsid w:val="0CF74B43"/>
    <w:rsid w:val="0CFD30CD"/>
    <w:rsid w:val="0D307327"/>
    <w:rsid w:val="0D38442D"/>
    <w:rsid w:val="0D3F7E1A"/>
    <w:rsid w:val="0D451480"/>
    <w:rsid w:val="0D50069F"/>
    <w:rsid w:val="0D84032B"/>
    <w:rsid w:val="0DD91591"/>
    <w:rsid w:val="0E0407B3"/>
    <w:rsid w:val="0E4137B5"/>
    <w:rsid w:val="0E4733A2"/>
    <w:rsid w:val="0E4E4012"/>
    <w:rsid w:val="0E545297"/>
    <w:rsid w:val="0E581951"/>
    <w:rsid w:val="0E7043E7"/>
    <w:rsid w:val="0E980B75"/>
    <w:rsid w:val="0E9E6512"/>
    <w:rsid w:val="0ECA394A"/>
    <w:rsid w:val="0ED1219D"/>
    <w:rsid w:val="0EE2757A"/>
    <w:rsid w:val="0EE827B7"/>
    <w:rsid w:val="0EFD281A"/>
    <w:rsid w:val="0F032819"/>
    <w:rsid w:val="0F2A74C4"/>
    <w:rsid w:val="0F3A55EC"/>
    <w:rsid w:val="0F4277DD"/>
    <w:rsid w:val="0F5512C6"/>
    <w:rsid w:val="0F7560D2"/>
    <w:rsid w:val="0FB35F2D"/>
    <w:rsid w:val="0FCB5743"/>
    <w:rsid w:val="0FCD18E1"/>
    <w:rsid w:val="100677B7"/>
    <w:rsid w:val="1025513D"/>
    <w:rsid w:val="104A239C"/>
    <w:rsid w:val="10703A74"/>
    <w:rsid w:val="10892972"/>
    <w:rsid w:val="10947BCD"/>
    <w:rsid w:val="10A27F31"/>
    <w:rsid w:val="10AC5B32"/>
    <w:rsid w:val="10B14C22"/>
    <w:rsid w:val="10EB07AD"/>
    <w:rsid w:val="110411F6"/>
    <w:rsid w:val="113C31CE"/>
    <w:rsid w:val="115F642C"/>
    <w:rsid w:val="11927058"/>
    <w:rsid w:val="11A011DF"/>
    <w:rsid w:val="11EB466C"/>
    <w:rsid w:val="127D55EF"/>
    <w:rsid w:val="12941A88"/>
    <w:rsid w:val="12DA3987"/>
    <w:rsid w:val="12E110C3"/>
    <w:rsid w:val="12E27315"/>
    <w:rsid w:val="12E63710"/>
    <w:rsid w:val="12F714BE"/>
    <w:rsid w:val="132C67E2"/>
    <w:rsid w:val="13702B73"/>
    <w:rsid w:val="13A17282"/>
    <w:rsid w:val="13AF4F03"/>
    <w:rsid w:val="13BF7656"/>
    <w:rsid w:val="13C42256"/>
    <w:rsid w:val="140E7C96"/>
    <w:rsid w:val="141A7FE7"/>
    <w:rsid w:val="14567892"/>
    <w:rsid w:val="14736E66"/>
    <w:rsid w:val="1475242F"/>
    <w:rsid w:val="147F458F"/>
    <w:rsid w:val="14923734"/>
    <w:rsid w:val="14D958EC"/>
    <w:rsid w:val="14DB3544"/>
    <w:rsid w:val="14E95859"/>
    <w:rsid w:val="1534169A"/>
    <w:rsid w:val="1534197E"/>
    <w:rsid w:val="153511A5"/>
    <w:rsid w:val="153D258B"/>
    <w:rsid w:val="1559566F"/>
    <w:rsid w:val="156F0C08"/>
    <w:rsid w:val="15C03E03"/>
    <w:rsid w:val="15E909BB"/>
    <w:rsid w:val="15EF58A5"/>
    <w:rsid w:val="1603535C"/>
    <w:rsid w:val="160E1864"/>
    <w:rsid w:val="16242433"/>
    <w:rsid w:val="162A25EB"/>
    <w:rsid w:val="16531E7E"/>
    <w:rsid w:val="165E00D0"/>
    <w:rsid w:val="166409AA"/>
    <w:rsid w:val="16704C38"/>
    <w:rsid w:val="16894003"/>
    <w:rsid w:val="168E50BE"/>
    <w:rsid w:val="16B01A6C"/>
    <w:rsid w:val="16B13437"/>
    <w:rsid w:val="16C805D0"/>
    <w:rsid w:val="16FD2A55"/>
    <w:rsid w:val="17067C1A"/>
    <w:rsid w:val="1711641B"/>
    <w:rsid w:val="17366761"/>
    <w:rsid w:val="17641474"/>
    <w:rsid w:val="17661734"/>
    <w:rsid w:val="17740758"/>
    <w:rsid w:val="177C01F0"/>
    <w:rsid w:val="179D1A5D"/>
    <w:rsid w:val="17B60C89"/>
    <w:rsid w:val="17B71679"/>
    <w:rsid w:val="17CE6630"/>
    <w:rsid w:val="17D94400"/>
    <w:rsid w:val="18084F59"/>
    <w:rsid w:val="180F3C4A"/>
    <w:rsid w:val="182C4697"/>
    <w:rsid w:val="1859722A"/>
    <w:rsid w:val="185D4F83"/>
    <w:rsid w:val="18F0461E"/>
    <w:rsid w:val="19280238"/>
    <w:rsid w:val="193D3387"/>
    <w:rsid w:val="19B012E6"/>
    <w:rsid w:val="19E71A2C"/>
    <w:rsid w:val="19EB4094"/>
    <w:rsid w:val="19EC0AFA"/>
    <w:rsid w:val="19F45B80"/>
    <w:rsid w:val="1A015928"/>
    <w:rsid w:val="1A46462D"/>
    <w:rsid w:val="1A704552"/>
    <w:rsid w:val="1A8E7887"/>
    <w:rsid w:val="1A9A6727"/>
    <w:rsid w:val="1AED4AA9"/>
    <w:rsid w:val="1AFF0AFE"/>
    <w:rsid w:val="1B400F1F"/>
    <w:rsid w:val="1B4F19F8"/>
    <w:rsid w:val="1B7C70C7"/>
    <w:rsid w:val="1B860A5A"/>
    <w:rsid w:val="1BA3148F"/>
    <w:rsid w:val="1BB93055"/>
    <w:rsid w:val="1BBB0703"/>
    <w:rsid w:val="1BBC08C0"/>
    <w:rsid w:val="1BDB35D9"/>
    <w:rsid w:val="1C226F03"/>
    <w:rsid w:val="1C3145BB"/>
    <w:rsid w:val="1C4B66CC"/>
    <w:rsid w:val="1C510989"/>
    <w:rsid w:val="1C971DDB"/>
    <w:rsid w:val="1CB5479A"/>
    <w:rsid w:val="1CDA105D"/>
    <w:rsid w:val="1CF0357C"/>
    <w:rsid w:val="1D663B5A"/>
    <w:rsid w:val="1DA763C2"/>
    <w:rsid w:val="1DB23D88"/>
    <w:rsid w:val="1E056A50"/>
    <w:rsid w:val="1E1C4097"/>
    <w:rsid w:val="1E294F23"/>
    <w:rsid w:val="1E3B2E95"/>
    <w:rsid w:val="1E582D6B"/>
    <w:rsid w:val="1E5F5CBE"/>
    <w:rsid w:val="1E6F42B9"/>
    <w:rsid w:val="1E7B454E"/>
    <w:rsid w:val="1ECC44FA"/>
    <w:rsid w:val="1EEB0F76"/>
    <w:rsid w:val="1F063325"/>
    <w:rsid w:val="1F0A4CC7"/>
    <w:rsid w:val="1F2D70E9"/>
    <w:rsid w:val="1F334A54"/>
    <w:rsid w:val="1F3525AA"/>
    <w:rsid w:val="1F4F5C3E"/>
    <w:rsid w:val="1F571AD6"/>
    <w:rsid w:val="1F680BA2"/>
    <w:rsid w:val="1F8D5991"/>
    <w:rsid w:val="1FA70967"/>
    <w:rsid w:val="1FA93BA7"/>
    <w:rsid w:val="1FB24EFB"/>
    <w:rsid w:val="1FBC5DF5"/>
    <w:rsid w:val="1FCF29CF"/>
    <w:rsid w:val="1FF90588"/>
    <w:rsid w:val="20503958"/>
    <w:rsid w:val="2070410F"/>
    <w:rsid w:val="209D25D8"/>
    <w:rsid w:val="20A8767A"/>
    <w:rsid w:val="20C3623F"/>
    <w:rsid w:val="21555ECC"/>
    <w:rsid w:val="21654C88"/>
    <w:rsid w:val="21781212"/>
    <w:rsid w:val="217C0935"/>
    <w:rsid w:val="218D48F0"/>
    <w:rsid w:val="21B83F86"/>
    <w:rsid w:val="21CE4F94"/>
    <w:rsid w:val="21F4496F"/>
    <w:rsid w:val="221178A8"/>
    <w:rsid w:val="221213CF"/>
    <w:rsid w:val="22316CD7"/>
    <w:rsid w:val="22327A92"/>
    <w:rsid w:val="2254293F"/>
    <w:rsid w:val="22646696"/>
    <w:rsid w:val="22D64075"/>
    <w:rsid w:val="230A4ABA"/>
    <w:rsid w:val="23197D41"/>
    <w:rsid w:val="231D53A2"/>
    <w:rsid w:val="23691BCC"/>
    <w:rsid w:val="236D5383"/>
    <w:rsid w:val="2398757C"/>
    <w:rsid w:val="23A902C3"/>
    <w:rsid w:val="23B7504C"/>
    <w:rsid w:val="23C81977"/>
    <w:rsid w:val="23E31514"/>
    <w:rsid w:val="241B123B"/>
    <w:rsid w:val="2441640D"/>
    <w:rsid w:val="24457704"/>
    <w:rsid w:val="244E44DD"/>
    <w:rsid w:val="24571307"/>
    <w:rsid w:val="24753553"/>
    <w:rsid w:val="247753E3"/>
    <w:rsid w:val="24834BB9"/>
    <w:rsid w:val="248875F1"/>
    <w:rsid w:val="248B3210"/>
    <w:rsid w:val="24DA1B49"/>
    <w:rsid w:val="24E011DB"/>
    <w:rsid w:val="24E728D1"/>
    <w:rsid w:val="24EC412C"/>
    <w:rsid w:val="24F47DEC"/>
    <w:rsid w:val="25110A2A"/>
    <w:rsid w:val="25396B3D"/>
    <w:rsid w:val="253E4521"/>
    <w:rsid w:val="254D29F2"/>
    <w:rsid w:val="256C0944"/>
    <w:rsid w:val="259E1775"/>
    <w:rsid w:val="25A027D6"/>
    <w:rsid w:val="25D346D3"/>
    <w:rsid w:val="25DF4BF7"/>
    <w:rsid w:val="25DF5422"/>
    <w:rsid w:val="25E35426"/>
    <w:rsid w:val="25E60A73"/>
    <w:rsid w:val="26074AC6"/>
    <w:rsid w:val="260A3F7D"/>
    <w:rsid w:val="260F0234"/>
    <w:rsid w:val="26274BF4"/>
    <w:rsid w:val="263703E2"/>
    <w:rsid w:val="263B09E6"/>
    <w:rsid w:val="263D3288"/>
    <w:rsid w:val="26446DE3"/>
    <w:rsid w:val="267A231A"/>
    <w:rsid w:val="269669E7"/>
    <w:rsid w:val="26BE675C"/>
    <w:rsid w:val="26CA481B"/>
    <w:rsid w:val="26D7699F"/>
    <w:rsid w:val="26E23971"/>
    <w:rsid w:val="26E2748C"/>
    <w:rsid w:val="26E80F3D"/>
    <w:rsid w:val="26FC6074"/>
    <w:rsid w:val="27152303"/>
    <w:rsid w:val="271F4BB7"/>
    <w:rsid w:val="27315D1D"/>
    <w:rsid w:val="27652D21"/>
    <w:rsid w:val="27654CF2"/>
    <w:rsid w:val="276757FC"/>
    <w:rsid w:val="27A176DF"/>
    <w:rsid w:val="27B801ED"/>
    <w:rsid w:val="28330BB9"/>
    <w:rsid w:val="284F12A1"/>
    <w:rsid w:val="286A231A"/>
    <w:rsid w:val="28844573"/>
    <w:rsid w:val="28907A7E"/>
    <w:rsid w:val="28E87A85"/>
    <w:rsid w:val="2916469B"/>
    <w:rsid w:val="293878AD"/>
    <w:rsid w:val="29400D59"/>
    <w:rsid w:val="2941722A"/>
    <w:rsid w:val="29984DDA"/>
    <w:rsid w:val="29AB4E3A"/>
    <w:rsid w:val="29C538B1"/>
    <w:rsid w:val="29CA4694"/>
    <w:rsid w:val="29F717CB"/>
    <w:rsid w:val="29FE4E52"/>
    <w:rsid w:val="2A0E1019"/>
    <w:rsid w:val="2A404AB8"/>
    <w:rsid w:val="2A4B7339"/>
    <w:rsid w:val="2A4C14A2"/>
    <w:rsid w:val="2A5306A1"/>
    <w:rsid w:val="2A9767DF"/>
    <w:rsid w:val="2AE24B98"/>
    <w:rsid w:val="2AF518AD"/>
    <w:rsid w:val="2B077AD4"/>
    <w:rsid w:val="2B774624"/>
    <w:rsid w:val="2BC363AB"/>
    <w:rsid w:val="2BC5350C"/>
    <w:rsid w:val="2BDF28E2"/>
    <w:rsid w:val="2BE9196E"/>
    <w:rsid w:val="2BEE01C4"/>
    <w:rsid w:val="2C0643CF"/>
    <w:rsid w:val="2C071743"/>
    <w:rsid w:val="2C250D85"/>
    <w:rsid w:val="2C29790B"/>
    <w:rsid w:val="2C3A001B"/>
    <w:rsid w:val="2C3D2B5C"/>
    <w:rsid w:val="2C59335D"/>
    <w:rsid w:val="2C5B6608"/>
    <w:rsid w:val="2C7A72BE"/>
    <w:rsid w:val="2C8B4122"/>
    <w:rsid w:val="2C9A7D75"/>
    <w:rsid w:val="2CC17412"/>
    <w:rsid w:val="2CC413E2"/>
    <w:rsid w:val="2CC55886"/>
    <w:rsid w:val="2CDE06F5"/>
    <w:rsid w:val="2D3922BA"/>
    <w:rsid w:val="2D5201B2"/>
    <w:rsid w:val="2D54617B"/>
    <w:rsid w:val="2DAE631A"/>
    <w:rsid w:val="2DBF0527"/>
    <w:rsid w:val="2DFF6236"/>
    <w:rsid w:val="2E0B28F8"/>
    <w:rsid w:val="2E440D00"/>
    <w:rsid w:val="2E730DA6"/>
    <w:rsid w:val="2E9976CE"/>
    <w:rsid w:val="2EBC4A66"/>
    <w:rsid w:val="2EC60CD4"/>
    <w:rsid w:val="2EEF1D7E"/>
    <w:rsid w:val="2F0C1847"/>
    <w:rsid w:val="2F1D58AE"/>
    <w:rsid w:val="2F3B2F8F"/>
    <w:rsid w:val="2F401D3C"/>
    <w:rsid w:val="2F436F36"/>
    <w:rsid w:val="2F4D0836"/>
    <w:rsid w:val="2F5B24E1"/>
    <w:rsid w:val="2F723377"/>
    <w:rsid w:val="2F752BA8"/>
    <w:rsid w:val="2F8A36BF"/>
    <w:rsid w:val="2FA92C7F"/>
    <w:rsid w:val="2FA95C88"/>
    <w:rsid w:val="2FAA0D63"/>
    <w:rsid w:val="2FDBD549"/>
    <w:rsid w:val="2FE57FED"/>
    <w:rsid w:val="301042F0"/>
    <w:rsid w:val="303811F8"/>
    <w:rsid w:val="3041370F"/>
    <w:rsid w:val="306F4936"/>
    <w:rsid w:val="30703D5A"/>
    <w:rsid w:val="30B65734"/>
    <w:rsid w:val="30CD4D80"/>
    <w:rsid w:val="30E1446E"/>
    <w:rsid w:val="30FE10EF"/>
    <w:rsid w:val="312B50A3"/>
    <w:rsid w:val="31382F03"/>
    <w:rsid w:val="315D57B2"/>
    <w:rsid w:val="31647A24"/>
    <w:rsid w:val="316653F9"/>
    <w:rsid w:val="31684A32"/>
    <w:rsid w:val="31712FE1"/>
    <w:rsid w:val="3192444C"/>
    <w:rsid w:val="31AF207F"/>
    <w:rsid w:val="31AF3253"/>
    <w:rsid w:val="31BB4AF8"/>
    <w:rsid w:val="31EB72EA"/>
    <w:rsid w:val="320D2B22"/>
    <w:rsid w:val="32453A27"/>
    <w:rsid w:val="325D030E"/>
    <w:rsid w:val="3263064A"/>
    <w:rsid w:val="3276317E"/>
    <w:rsid w:val="32805DAB"/>
    <w:rsid w:val="32A43132"/>
    <w:rsid w:val="32AA7915"/>
    <w:rsid w:val="32AC0C06"/>
    <w:rsid w:val="32C43C94"/>
    <w:rsid w:val="32D16607"/>
    <w:rsid w:val="32E80A44"/>
    <w:rsid w:val="32EB3B6C"/>
    <w:rsid w:val="32FE3804"/>
    <w:rsid w:val="33125E56"/>
    <w:rsid w:val="331836DC"/>
    <w:rsid w:val="33190199"/>
    <w:rsid w:val="33344EF5"/>
    <w:rsid w:val="33471AD0"/>
    <w:rsid w:val="33852A1B"/>
    <w:rsid w:val="33BA00DB"/>
    <w:rsid w:val="33D03C7A"/>
    <w:rsid w:val="33DD03A0"/>
    <w:rsid w:val="33F94067"/>
    <w:rsid w:val="342D773D"/>
    <w:rsid w:val="34385926"/>
    <w:rsid w:val="344160C1"/>
    <w:rsid w:val="34AE5EA8"/>
    <w:rsid w:val="34BD7886"/>
    <w:rsid w:val="34E87939"/>
    <w:rsid w:val="3537750C"/>
    <w:rsid w:val="3537798C"/>
    <w:rsid w:val="35721391"/>
    <w:rsid w:val="35AB5476"/>
    <w:rsid w:val="35AE16C9"/>
    <w:rsid w:val="35C13FC9"/>
    <w:rsid w:val="35CF5A3D"/>
    <w:rsid w:val="35F710FF"/>
    <w:rsid w:val="360C7CE9"/>
    <w:rsid w:val="361336E7"/>
    <w:rsid w:val="362F3D1C"/>
    <w:rsid w:val="364257B6"/>
    <w:rsid w:val="365E789E"/>
    <w:rsid w:val="367E3807"/>
    <w:rsid w:val="367F740D"/>
    <w:rsid w:val="368E5592"/>
    <w:rsid w:val="37066518"/>
    <w:rsid w:val="373C06F3"/>
    <w:rsid w:val="37EA5922"/>
    <w:rsid w:val="38276B93"/>
    <w:rsid w:val="38844787"/>
    <w:rsid w:val="38AC3431"/>
    <w:rsid w:val="38D17360"/>
    <w:rsid w:val="392B1836"/>
    <w:rsid w:val="392F2E16"/>
    <w:rsid w:val="398443D3"/>
    <w:rsid w:val="39B21C69"/>
    <w:rsid w:val="39B61C37"/>
    <w:rsid w:val="39CE564E"/>
    <w:rsid w:val="39DE77CB"/>
    <w:rsid w:val="39E00529"/>
    <w:rsid w:val="3A0B64A7"/>
    <w:rsid w:val="3A403313"/>
    <w:rsid w:val="3A4579E6"/>
    <w:rsid w:val="3A574DDA"/>
    <w:rsid w:val="3A596BD1"/>
    <w:rsid w:val="3A8F1281"/>
    <w:rsid w:val="3ABE3E9E"/>
    <w:rsid w:val="3AD3075A"/>
    <w:rsid w:val="3AF74C02"/>
    <w:rsid w:val="3B84149C"/>
    <w:rsid w:val="3B9823EF"/>
    <w:rsid w:val="3BC36272"/>
    <w:rsid w:val="3BD07FDD"/>
    <w:rsid w:val="3BE13D5E"/>
    <w:rsid w:val="3BF53366"/>
    <w:rsid w:val="3C0059A5"/>
    <w:rsid w:val="3C103151"/>
    <w:rsid w:val="3C113558"/>
    <w:rsid w:val="3C134E78"/>
    <w:rsid w:val="3C434314"/>
    <w:rsid w:val="3C5F1A0E"/>
    <w:rsid w:val="3D014A01"/>
    <w:rsid w:val="3D1C1921"/>
    <w:rsid w:val="3D32789A"/>
    <w:rsid w:val="3D5FE6E5"/>
    <w:rsid w:val="3D7E0262"/>
    <w:rsid w:val="3D956BAE"/>
    <w:rsid w:val="3DBA03C3"/>
    <w:rsid w:val="3DC5043F"/>
    <w:rsid w:val="3DEC7285"/>
    <w:rsid w:val="3DF6345D"/>
    <w:rsid w:val="3DFF227A"/>
    <w:rsid w:val="3E111308"/>
    <w:rsid w:val="3E252895"/>
    <w:rsid w:val="3E2B5515"/>
    <w:rsid w:val="3E4D4F28"/>
    <w:rsid w:val="3E546FF0"/>
    <w:rsid w:val="3E815385"/>
    <w:rsid w:val="3E816851"/>
    <w:rsid w:val="3EBA7D92"/>
    <w:rsid w:val="3EBC3D16"/>
    <w:rsid w:val="3EE13701"/>
    <w:rsid w:val="3EF50C1C"/>
    <w:rsid w:val="3F0F400B"/>
    <w:rsid w:val="3F1A4BB3"/>
    <w:rsid w:val="3F3C5097"/>
    <w:rsid w:val="3FE16CD9"/>
    <w:rsid w:val="40192BA6"/>
    <w:rsid w:val="402E0B16"/>
    <w:rsid w:val="403D2262"/>
    <w:rsid w:val="405D62C1"/>
    <w:rsid w:val="40615CD2"/>
    <w:rsid w:val="407231D7"/>
    <w:rsid w:val="40821AFC"/>
    <w:rsid w:val="40952AB4"/>
    <w:rsid w:val="40B9220B"/>
    <w:rsid w:val="40BF3C01"/>
    <w:rsid w:val="41571534"/>
    <w:rsid w:val="41731A9F"/>
    <w:rsid w:val="41766EA9"/>
    <w:rsid w:val="41BF1229"/>
    <w:rsid w:val="41E35BD2"/>
    <w:rsid w:val="422D18EA"/>
    <w:rsid w:val="42550A18"/>
    <w:rsid w:val="425D1C65"/>
    <w:rsid w:val="42613503"/>
    <w:rsid w:val="428B303D"/>
    <w:rsid w:val="428D0A5E"/>
    <w:rsid w:val="429D496A"/>
    <w:rsid w:val="42C43697"/>
    <w:rsid w:val="42F473A1"/>
    <w:rsid w:val="430F539D"/>
    <w:rsid w:val="439672A2"/>
    <w:rsid w:val="43D87F6C"/>
    <w:rsid w:val="43DB0121"/>
    <w:rsid w:val="441E62C0"/>
    <w:rsid w:val="442E38B9"/>
    <w:rsid w:val="447802E0"/>
    <w:rsid w:val="44CE2FE3"/>
    <w:rsid w:val="44D24623"/>
    <w:rsid w:val="44D570FB"/>
    <w:rsid w:val="44E4585D"/>
    <w:rsid w:val="45231E65"/>
    <w:rsid w:val="45246816"/>
    <w:rsid w:val="45325D14"/>
    <w:rsid w:val="45404BDA"/>
    <w:rsid w:val="45464C32"/>
    <w:rsid w:val="45811C7C"/>
    <w:rsid w:val="45906116"/>
    <w:rsid w:val="459C3BCC"/>
    <w:rsid w:val="45F66658"/>
    <w:rsid w:val="46244F73"/>
    <w:rsid w:val="462705C0"/>
    <w:rsid w:val="46421A0C"/>
    <w:rsid w:val="466452EE"/>
    <w:rsid w:val="468B3EFB"/>
    <w:rsid w:val="46D17B1C"/>
    <w:rsid w:val="46D43C1A"/>
    <w:rsid w:val="46D65EC9"/>
    <w:rsid w:val="46D9799A"/>
    <w:rsid w:val="4703462D"/>
    <w:rsid w:val="470A6193"/>
    <w:rsid w:val="471C6E91"/>
    <w:rsid w:val="472C2CA2"/>
    <w:rsid w:val="47385210"/>
    <w:rsid w:val="474B769A"/>
    <w:rsid w:val="474D04AA"/>
    <w:rsid w:val="47565B16"/>
    <w:rsid w:val="477D50A0"/>
    <w:rsid w:val="47BF709A"/>
    <w:rsid w:val="47DC4F5C"/>
    <w:rsid w:val="47EA50A0"/>
    <w:rsid w:val="47F60B91"/>
    <w:rsid w:val="47F6293F"/>
    <w:rsid w:val="481C2B1D"/>
    <w:rsid w:val="4836718F"/>
    <w:rsid w:val="486E1F78"/>
    <w:rsid w:val="48B40671"/>
    <w:rsid w:val="48C42A3E"/>
    <w:rsid w:val="48C90538"/>
    <w:rsid w:val="48E846C6"/>
    <w:rsid w:val="492C0191"/>
    <w:rsid w:val="49312A5F"/>
    <w:rsid w:val="49384E4D"/>
    <w:rsid w:val="498918D2"/>
    <w:rsid w:val="499B5738"/>
    <w:rsid w:val="499F244D"/>
    <w:rsid w:val="49A07E15"/>
    <w:rsid w:val="49C52618"/>
    <w:rsid w:val="49DE17B9"/>
    <w:rsid w:val="4A015856"/>
    <w:rsid w:val="4A2737D4"/>
    <w:rsid w:val="4A2F7563"/>
    <w:rsid w:val="4A331C29"/>
    <w:rsid w:val="4A394044"/>
    <w:rsid w:val="4A4060F4"/>
    <w:rsid w:val="4A693610"/>
    <w:rsid w:val="4A973F3F"/>
    <w:rsid w:val="4AE101DF"/>
    <w:rsid w:val="4AF96BC7"/>
    <w:rsid w:val="4B1C090F"/>
    <w:rsid w:val="4B416A7D"/>
    <w:rsid w:val="4B5A416B"/>
    <w:rsid w:val="4B8019D2"/>
    <w:rsid w:val="4B862A85"/>
    <w:rsid w:val="4BB77BA6"/>
    <w:rsid w:val="4C063EED"/>
    <w:rsid w:val="4C0762F7"/>
    <w:rsid w:val="4C771B75"/>
    <w:rsid w:val="4C997D3D"/>
    <w:rsid w:val="4CA867C7"/>
    <w:rsid w:val="4CC64D17"/>
    <w:rsid w:val="4CEF36E2"/>
    <w:rsid w:val="4CEF4DC5"/>
    <w:rsid w:val="4D0F2B48"/>
    <w:rsid w:val="4D127D69"/>
    <w:rsid w:val="4D16138E"/>
    <w:rsid w:val="4D254854"/>
    <w:rsid w:val="4D502AF2"/>
    <w:rsid w:val="4D6640C3"/>
    <w:rsid w:val="4D700D09"/>
    <w:rsid w:val="4D930C30"/>
    <w:rsid w:val="4D9868C3"/>
    <w:rsid w:val="4E257655"/>
    <w:rsid w:val="4E8E7871"/>
    <w:rsid w:val="4F031AB7"/>
    <w:rsid w:val="4F2B696A"/>
    <w:rsid w:val="4F372380"/>
    <w:rsid w:val="4F372FFB"/>
    <w:rsid w:val="4F3B0718"/>
    <w:rsid w:val="4F5C26A0"/>
    <w:rsid w:val="4FA83899"/>
    <w:rsid w:val="4FE63299"/>
    <w:rsid w:val="4FF11CEE"/>
    <w:rsid w:val="4FF2476A"/>
    <w:rsid w:val="501D1BC6"/>
    <w:rsid w:val="5025116D"/>
    <w:rsid w:val="5042503E"/>
    <w:rsid w:val="506E6C92"/>
    <w:rsid w:val="5075461D"/>
    <w:rsid w:val="509937A3"/>
    <w:rsid w:val="50D457E8"/>
    <w:rsid w:val="51190719"/>
    <w:rsid w:val="51281690"/>
    <w:rsid w:val="514C3C74"/>
    <w:rsid w:val="51546100"/>
    <w:rsid w:val="51860594"/>
    <w:rsid w:val="51876136"/>
    <w:rsid w:val="519344F0"/>
    <w:rsid w:val="51F30671"/>
    <w:rsid w:val="52240B17"/>
    <w:rsid w:val="52332402"/>
    <w:rsid w:val="523522B6"/>
    <w:rsid w:val="52395ECD"/>
    <w:rsid w:val="52525566"/>
    <w:rsid w:val="52C10D75"/>
    <w:rsid w:val="52F7756C"/>
    <w:rsid w:val="530530EA"/>
    <w:rsid w:val="5311687F"/>
    <w:rsid w:val="53377FEC"/>
    <w:rsid w:val="535E58BA"/>
    <w:rsid w:val="538A62F2"/>
    <w:rsid w:val="539271B1"/>
    <w:rsid w:val="53C27FF8"/>
    <w:rsid w:val="541A33FA"/>
    <w:rsid w:val="54212AF2"/>
    <w:rsid w:val="542B05BF"/>
    <w:rsid w:val="547F351F"/>
    <w:rsid w:val="54986FAB"/>
    <w:rsid w:val="549E1A80"/>
    <w:rsid w:val="54B73573"/>
    <w:rsid w:val="54C658F4"/>
    <w:rsid w:val="54DF3DD3"/>
    <w:rsid w:val="54E83743"/>
    <w:rsid w:val="54EA551B"/>
    <w:rsid w:val="550C4BD7"/>
    <w:rsid w:val="5512524B"/>
    <w:rsid w:val="553650C5"/>
    <w:rsid w:val="55456CB4"/>
    <w:rsid w:val="554C1D56"/>
    <w:rsid w:val="555206C5"/>
    <w:rsid w:val="55572986"/>
    <w:rsid w:val="557F360E"/>
    <w:rsid w:val="55A364A7"/>
    <w:rsid w:val="55B646A3"/>
    <w:rsid w:val="55BE64BA"/>
    <w:rsid w:val="55C062DD"/>
    <w:rsid w:val="561B0A97"/>
    <w:rsid w:val="56241882"/>
    <w:rsid w:val="563E723D"/>
    <w:rsid w:val="564822B6"/>
    <w:rsid w:val="565340FA"/>
    <w:rsid w:val="56535401"/>
    <w:rsid w:val="56676D66"/>
    <w:rsid w:val="56A408FF"/>
    <w:rsid w:val="56B35639"/>
    <w:rsid w:val="56B631D9"/>
    <w:rsid w:val="56D407C0"/>
    <w:rsid w:val="56D431EB"/>
    <w:rsid w:val="56DC53F6"/>
    <w:rsid w:val="5723343E"/>
    <w:rsid w:val="573D7EAB"/>
    <w:rsid w:val="57543E57"/>
    <w:rsid w:val="576229BC"/>
    <w:rsid w:val="576784A1"/>
    <w:rsid w:val="578F5BA5"/>
    <w:rsid w:val="57A203EE"/>
    <w:rsid w:val="57B160A2"/>
    <w:rsid w:val="57F25ABC"/>
    <w:rsid w:val="57F74D08"/>
    <w:rsid w:val="58172265"/>
    <w:rsid w:val="582C5A22"/>
    <w:rsid w:val="58694A68"/>
    <w:rsid w:val="58697B42"/>
    <w:rsid w:val="586B4C84"/>
    <w:rsid w:val="589A378D"/>
    <w:rsid w:val="58B8166E"/>
    <w:rsid w:val="58C85C32"/>
    <w:rsid w:val="58DC16DE"/>
    <w:rsid w:val="595B6075"/>
    <w:rsid w:val="59CB24F0"/>
    <w:rsid w:val="59D84667"/>
    <w:rsid w:val="5A073226"/>
    <w:rsid w:val="5A242B45"/>
    <w:rsid w:val="5A2F2CC8"/>
    <w:rsid w:val="5A5C78D3"/>
    <w:rsid w:val="5A6D500B"/>
    <w:rsid w:val="5ACC7594"/>
    <w:rsid w:val="5ADC59C5"/>
    <w:rsid w:val="5AF86C4E"/>
    <w:rsid w:val="5B0A6A40"/>
    <w:rsid w:val="5B0F559B"/>
    <w:rsid w:val="5B13484C"/>
    <w:rsid w:val="5B341898"/>
    <w:rsid w:val="5B593A87"/>
    <w:rsid w:val="5B6339F0"/>
    <w:rsid w:val="5BA26962"/>
    <w:rsid w:val="5BD428E4"/>
    <w:rsid w:val="5BF7EFE6"/>
    <w:rsid w:val="5C10702D"/>
    <w:rsid w:val="5C152601"/>
    <w:rsid w:val="5C200D9C"/>
    <w:rsid w:val="5C591F03"/>
    <w:rsid w:val="5C79077B"/>
    <w:rsid w:val="5C7D31D8"/>
    <w:rsid w:val="5C8A1B2F"/>
    <w:rsid w:val="5C8F586D"/>
    <w:rsid w:val="5C9A5B38"/>
    <w:rsid w:val="5CB353D5"/>
    <w:rsid w:val="5CFE264B"/>
    <w:rsid w:val="5D2C7ED8"/>
    <w:rsid w:val="5D3610BD"/>
    <w:rsid w:val="5D714C12"/>
    <w:rsid w:val="5D914004"/>
    <w:rsid w:val="5DD86807"/>
    <w:rsid w:val="5DDD1055"/>
    <w:rsid w:val="5DF503DE"/>
    <w:rsid w:val="5E1B6E61"/>
    <w:rsid w:val="5E241926"/>
    <w:rsid w:val="5E2A4C99"/>
    <w:rsid w:val="5E6C7858"/>
    <w:rsid w:val="5EA77AE8"/>
    <w:rsid w:val="5EAA5DDA"/>
    <w:rsid w:val="5ED37402"/>
    <w:rsid w:val="5F0D0843"/>
    <w:rsid w:val="5F1D752B"/>
    <w:rsid w:val="5F561B72"/>
    <w:rsid w:val="5F5B3C1C"/>
    <w:rsid w:val="5F69359F"/>
    <w:rsid w:val="5FBA5EDB"/>
    <w:rsid w:val="5FD043FA"/>
    <w:rsid w:val="603B4F3C"/>
    <w:rsid w:val="6057256B"/>
    <w:rsid w:val="606007BB"/>
    <w:rsid w:val="607E33C1"/>
    <w:rsid w:val="60AC7F66"/>
    <w:rsid w:val="60D7754C"/>
    <w:rsid w:val="61333E65"/>
    <w:rsid w:val="61400C47"/>
    <w:rsid w:val="617E7A28"/>
    <w:rsid w:val="61AD3C2D"/>
    <w:rsid w:val="61BF10D9"/>
    <w:rsid w:val="61DA3D4C"/>
    <w:rsid w:val="61E3619B"/>
    <w:rsid w:val="61E6537B"/>
    <w:rsid w:val="62025CAE"/>
    <w:rsid w:val="62146E01"/>
    <w:rsid w:val="6226028A"/>
    <w:rsid w:val="6233139D"/>
    <w:rsid w:val="62592CAB"/>
    <w:rsid w:val="628232F6"/>
    <w:rsid w:val="628456F5"/>
    <w:rsid w:val="628D1E2F"/>
    <w:rsid w:val="628F79E4"/>
    <w:rsid w:val="629E103F"/>
    <w:rsid w:val="62A72EEF"/>
    <w:rsid w:val="62AC22DC"/>
    <w:rsid w:val="62AE40EB"/>
    <w:rsid w:val="62DE2A8A"/>
    <w:rsid w:val="632C14B3"/>
    <w:rsid w:val="633D7B3F"/>
    <w:rsid w:val="63440525"/>
    <w:rsid w:val="63447D07"/>
    <w:rsid w:val="634F5114"/>
    <w:rsid w:val="637833E8"/>
    <w:rsid w:val="638042E0"/>
    <w:rsid w:val="638719BF"/>
    <w:rsid w:val="63C45248"/>
    <w:rsid w:val="63C931B9"/>
    <w:rsid w:val="63D863F5"/>
    <w:rsid w:val="645E78E8"/>
    <w:rsid w:val="6477734C"/>
    <w:rsid w:val="648B4726"/>
    <w:rsid w:val="64C13D51"/>
    <w:rsid w:val="64C67905"/>
    <w:rsid w:val="64D04446"/>
    <w:rsid w:val="64E45EF7"/>
    <w:rsid w:val="64FF67AA"/>
    <w:rsid w:val="650F4BE9"/>
    <w:rsid w:val="652354C5"/>
    <w:rsid w:val="654B5C68"/>
    <w:rsid w:val="65A9009F"/>
    <w:rsid w:val="65E762C3"/>
    <w:rsid w:val="65EC7453"/>
    <w:rsid w:val="65EE2DA5"/>
    <w:rsid w:val="662619CF"/>
    <w:rsid w:val="663F7B69"/>
    <w:rsid w:val="665E794C"/>
    <w:rsid w:val="666343D5"/>
    <w:rsid w:val="6691014E"/>
    <w:rsid w:val="66B670A5"/>
    <w:rsid w:val="66BC652E"/>
    <w:rsid w:val="66C87CCE"/>
    <w:rsid w:val="66D66656"/>
    <w:rsid w:val="66F67B9F"/>
    <w:rsid w:val="670D6454"/>
    <w:rsid w:val="6739419F"/>
    <w:rsid w:val="674814BF"/>
    <w:rsid w:val="67696A4A"/>
    <w:rsid w:val="677435B2"/>
    <w:rsid w:val="6774683B"/>
    <w:rsid w:val="678447F7"/>
    <w:rsid w:val="67A602CE"/>
    <w:rsid w:val="67C779FD"/>
    <w:rsid w:val="67EF75F1"/>
    <w:rsid w:val="67FB0C50"/>
    <w:rsid w:val="681F19AF"/>
    <w:rsid w:val="684F3C7A"/>
    <w:rsid w:val="68526DAE"/>
    <w:rsid w:val="685B53D9"/>
    <w:rsid w:val="685D21D0"/>
    <w:rsid w:val="68722B08"/>
    <w:rsid w:val="68815DFE"/>
    <w:rsid w:val="68BE3783"/>
    <w:rsid w:val="69124F16"/>
    <w:rsid w:val="69381A97"/>
    <w:rsid w:val="694A5205"/>
    <w:rsid w:val="69892875"/>
    <w:rsid w:val="6990454A"/>
    <w:rsid w:val="69CD5C14"/>
    <w:rsid w:val="69CF0D33"/>
    <w:rsid w:val="69D84304"/>
    <w:rsid w:val="69E7542D"/>
    <w:rsid w:val="69EB7719"/>
    <w:rsid w:val="69F32995"/>
    <w:rsid w:val="6A002EBA"/>
    <w:rsid w:val="6A3A7E8E"/>
    <w:rsid w:val="6A480F33"/>
    <w:rsid w:val="6A784CEA"/>
    <w:rsid w:val="6A7A48B2"/>
    <w:rsid w:val="6A8C38EE"/>
    <w:rsid w:val="6AC835CF"/>
    <w:rsid w:val="6AD25AE7"/>
    <w:rsid w:val="6AE05B2C"/>
    <w:rsid w:val="6AEE01B2"/>
    <w:rsid w:val="6AF24D91"/>
    <w:rsid w:val="6B074E0D"/>
    <w:rsid w:val="6B090A33"/>
    <w:rsid w:val="6B135351"/>
    <w:rsid w:val="6B711C68"/>
    <w:rsid w:val="6B9876E6"/>
    <w:rsid w:val="6B9946B3"/>
    <w:rsid w:val="6BC61FA3"/>
    <w:rsid w:val="6BDB259B"/>
    <w:rsid w:val="6C046B2A"/>
    <w:rsid w:val="6C354F35"/>
    <w:rsid w:val="6C4863DB"/>
    <w:rsid w:val="6C662189"/>
    <w:rsid w:val="6C7007C7"/>
    <w:rsid w:val="6C8E0AE9"/>
    <w:rsid w:val="6CD75FEC"/>
    <w:rsid w:val="6D266F73"/>
    <w:rsid w:val="6D383FB8"/>
    <w:rsid w:val="6D4E3D87"/>
    <w:rsid w:val="6D51738B"/>
    <w:rsid w:val="6D8A036F"/>
    <w:rsid w:val="6DE76850"/>
    <w:rsid w:val="6E1E324F"/>
    <w:rsid w:val="6E707791"/>
    <w:rsid w:val="6EC142A0"/>
    <w:rsid w:val="6EE12692"/>
    <w:rsid w:val="6F1658B7"/>
    <w:rsid w:val="6F353AC5"/>
    <w:rsid w:val="6FA81B6E"/>
    <w:rsid w:val="6FB20BD4"/>
    <w:rsid w:val="6FB650F7"/>
    <w:rsid w:val="6FBA59BE"/>
    <w:rsid w:val="6FF46A05"/>
    <w:rsid w:val="70231548"/>
    <w:rsid w:val="70296B3E"/>
    <w:rsid w:val="70583ECF"/>
    <w:rsid w:val="70611204"/>
    <w:rsid w:val="707A560C"/>
    <w:rsid w:val="70B00E07"/>
    <w:rsid w:val="70CB3C99"/>
    <w:rsid w:val="70CC17AC"/>
    <w:rsid w:val="70F80C27"/>
    <w:rsid w:val="71055CBF"/>
    <w:rsid w:val="711D5064"/>
    <w:rsid w:val="711F283F"/>
    <w:rsid w:val="716B3747"/>
    <w:rsid w:val="71B04CD4"/>
    <w:rsid w:val="71F847D3"/>
    <w:rsid w:val="722E4900"/>
    <w:rsid w:val="72502D25"/>
    <w:rsid w:val="726447C6"/>
    <w:rsid w:val="727C31C5"/>
    <w:rsid w:val="72B172DF"/>
    <w:rsid w:val="72B50C40"/>
    <w:rsid w:val="72C47013"/>
    <w:rsid w:val="72D75E5C"/>
    <w:rsid w:val="72E53190"/>
    <w:rsid w:val="7306587D"/>
    <w:rsid w:val="73221F8B"/>
    <w:rsid w:val="73445350"/>
    <w:rsid w:val="73497E70"/>
    <w:rsid w:val="7368528F"/>
    <w:rsid w:val="739764D5"/>
    <w:rsid w:val="73C66DBA"/>
    <w:rsid w:val="73CC5F59"/>
    <w:rsid w:val="73EF5E77"/>
    <w:rsid w:val="74321789"/>
    <w:rsid w:val="74844CAB"/>
    <w:rsid w:val="74940C67"/>
    <w:rsid w:val="74943C59"/>
    <w:rsid w:val="74983EEE"/>
    <w:rsid w:val="74A40EAA"/>
    <w:rsid w:val="74C26C40"/>
    <w:rsid w:val="74D00D6F"/>
    <w:rsid w:val="74D45277"/>
    <w:rsid w:val="74E76FE8"/>
    <w:rsid w:val="74EE227B"/>
    <w:rsid w:val="74EF0950"/>
    <w:rsid w:val="74F11C15"/>
    <w:rsid w:val="74FA2C30"/>
    <w:rsid w:val="753104B4"/>
    <w:rsid w:val="754A19EC"/>
    <w:rsid w:val="754D5C4B"/>
    <w:rsid w:val="754F4FA8"/>
    <w:rsid w:val="755E7B15"/>
    <w:rsid w:val="759018D1"/>
    <w:rsid w:val="75B63B45"/>
    <w:rsid w:val="75EFF971"/>
    <w:rsid w:val="76C240A7"/>
    <w:rsid w:val="76C5258F"/>
    <w:rsid w:val="76CC2C60"/>
    <w:rsid w:val="76CD7179"/>
    <w:rsid w:val="76F66945"/>
    <w:rsid w:val="77307FA2"/>
    <w:rsid w:val="775246B7"/>
    <w:rsid w:val="775C3CBE"/>
    <w:rsid w:val="77B21B30"/>
    <w:rsid w:val="77B533CE"/>
    <w:rsid w:val="77F07CEF"/>
    <w:rsid w:val="78016ADA"/>
    <w:rsid w:val="780B7492"/>
    <w:rsid w:val="781E69D1"/>
    <w:rsid w:val="782C123D"/>
    <w:rsid w:val="789A1168"/>
    <w:rsid w:val="78A771BA"/>
    <w:rsid w:val="78AF124B"/>
    <w:rsid w:val="78CD05A1"/>
    <w:rsid w:val="79586707"/>
    <w:rsid w:val="79652BD2"/>
    <w:rsid w:val="797A7CBE"/>
    <w:rsid w:val="79817A0B"/>
    <w:rsid w:val="79921C19"/>
    <w:rsid w:val="79982FA7"/>
    <w:rsid w:val="79A256AA"/>
    <w:rsid w:val="79C0148D"/>
    <w:rsid w:val="7A247576"/>
    <w:rsid w:val="7A263B6B"/>
    <w:rsid w:val="7A282EAC"/>
    <w:rsid w:val="7A601D17"/>
    <w:rsid w:val="7A6211FC"/>
    <w:rsid w:val="7A68030C"/>
    <w:rsid w:val="7A680BCB"/>
    <w:rsid w:val="7AAD2FF6"/>
    <w:rsid w:val="7ACA53E2"/>
    <w:rsid w:val="7AF46346"/>
    <w:rsid w:val="7B0F5EBF"/>
    <w:rsid w:val="7B130FB9"/>
    <w:rsid w:val="7B32669C"/>
    <w:rsid w:val="7B3771BE"/>
    <w:rsid w:val="7B8214FC"/>
    <w:rsid w:val="7B9A4DB4"/>
    <w:rsid w:val="7BAE449F"/>
    <w:rsid w:val="7BF64EDE"/>
    <w:rsid w:val="7BFF59BA"/>
    <w:rsid w:val="7C0D107D"/>
    <w:rsid w:val="7C393401"/>
    <w:rsid w:val="7C400C1E"/>
    <w:rsid w:val="7C4A0868"/>
    <w:rsid w:val="7C4F64B9"/>
    <w:rsid w:val="7C5D43D5"/>
    <w:rsid w:val="7C860D51"/>
    <w:rsid w:val="7C961A20"/>
    <w:rsid w:val="7CAB2FF1"/>
    <w:rsid w:val="7CBA7D64"/>
    <w:rsid w:val="7CD54468"/>
    <w:rsid w:val="7D427213"/>
    <w:rsid w:val="7D5D1D41"/>
    <w:rsid w:val="7D9D71DE"/>
    <w:rsid w:val="7DAF77C9"/>
    <w:rsid w:val="7DD11708"/>
    <w:rsid w:val="7DED07EA"/>
    <w:rsid w:val="7DFD412D"/>
    <w:rsid w:val="7DFEC959"/>
    <w:rsid w:val="7E196D83"/>
    <w:rsid w:val="7E4159BB"/>
    <w:rsid w:val="7E6C2BA8"/>
    <w:rsid w:val="7EAE3255"/>
    <w:rsid w:val="7EBD579E"/>
    <w:rsid w:val="7EC167BD"/>
    <w:rsid w:val="7ED20D09"/>
    <w:rsid w:val="7EEF71C5"/>
    <w:rsid w:val="7EF90DCD"/>
    <w:rsid w:val="7F0B1E1F"/>
    <w:rsid w:val="7F1B445E"/>
    <w:rsid w:val="7F250D8D"/>
    <w:rsid w:val="7F272D9E"/>
    <w:rsid w:val="7F2A6313"/>
    <w:rsid w:val="7FFBFF6F"/>
    <w:rsid w:val="7FFF1493"/>
    <w:rsid w:val="B6FD9A8C"/>
    <w:rsid w:val="BB972D23"/>
    <w:rsid w:val="BBFB7150"/>
    <w:rsid w:val="BFDB829A"/>
    <w:rsid w:val="DFD9FA4E"/>
    <w:rsid w:val="DFEE071A"/>
    <w:rsid w:val="DFF5746D"/>
    <w:rsid w:val="EAFD71AF"/>
    <w:rsid w:val="EFF778A1"/>
    <w:rsid w:val="FDB3815B"/>
    <w:rsid w:val="FFB7E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link w:val="43"/>
    <w:qFormat/>
    <w:uiPriority w:val="9"/>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17" w:lineRule="auto"/>
      <w:outlineLvl w:val="5"/>
    </w:pPr>
    <w:rPr>
      <w:rFonts w:ascii="Arial" w:hAnsi="Arial" w:eastAsia="黑体"/>
      <w:b/>
      <w:sz w:val="24"/>
      <w:szCs w:val="20"/>
    </w:rPr>
  </w:style>
  <w:style w:type="paragraph" w:styleId="11">
    <w:name w:val="heading 8"/>
    <w:basedOn w:val="1"/>
    <w:next w:val="1"/>
    <w:link w:val="45"/>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8"/>
    <w:unhideWhenUsed/>
    <w:qFormat/>
    <w:uiPriority w:val="0"/>
    <w:pPr>
      <w:spacing w:after="120"/>
    </w:pPr>
  </w:style>
  <w:style w:type="paragraph" w:styleId="8">
    <w:name w:val="Normal Indent"/>
    <w:basedOn w:val="1"/>
    <w:next w:val="9"/>
    <w:qFormat/>
    <w:uiPriority w:val="0"/>
    <w:pPr>
      <w:ind w:firstLine="420"/>
    </w:pPr>
    <w:rPr>
      <w:szCs w:val="20"/>
    </w:rPr>
  </w:style>
  <w:style w:type="paragraph" w:styleId="9">
    <w:name w:val="Body Text Indent"/>
    <w:basedOn w:val="1"/>
    <w:next w:val="8"/>
    <w:link w:val="44"/>
    <w:qFormat/>
    <w:uiPriority w:val="0"/>
    <w:pPr>
      <w:ind w:firstLine="830" w:firstLineChars="352"/>
    </w:pPr>
    <w:rPr>
      <w:rFonts w:ascii="仿宋_GB2312" w:eastAsia="仿宋_GB2312"/>
      <w:kern w:val="0"/>
      <w:sz w:val="32"/>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annotation text"/>
    <w:basedOn w:val="1"/>
    <w:link w:val="46"/>
    <w:qFormat/>
    <w:uiPriority w:val="0"/>
    <w:pPr>
      <w:jc w:val="left"/>
    </w:pPr>
  </w:style>
  <w:style w:type="paragraph" w:styleId="15">
    <w:name w:val="Body Text 3"/>
    <w:basedOn w:val="1"/>
    <w:link w:val="47"/>
    <w:unhideWhenUsed/>
    <w:qFormat/>
    <w:uiPriority w:val="99"/>
    <w:pPr>
      <w:spacing w:after="120"/>
    </w:pPr>
    <w:rPr>
      <w:sz w:val="16"/>
      <w:szCs w:val="16"/>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next w:val="6"/>
    <w:link w:val="49"/>
    <w:qFormat/>
    <w:uiPriority w:val="0"/>
    <w:rPr>
      <w:rFonts w:ascii="宋体" w:hAnsi="Courier New"/>
      <w:kern w:val="0"/>
      <w:sz w:val="20"/>
      <w:szCs w:val="21"/>
    </w:rPr>
  </w:style>
  <w:style w:type="paragraph" w:styleId="19">
    <w:name w:val="Date"/>
    <w:basedOn w:val="1"/>
    <w:next w:val="1"/>
    <w:link w:val="50"/>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1"/>
    <w:unhideWhenUsed/>
    <w:qFormat/>
    <w:uiPriority w:val="99"/>
    <w:pPr>
      <w:tabs>
        <w:tab w:val="center" w:pos="4153"/>
        <w:tab w:val="right" w:pos="8306"/>
      </w:tabs>
      <w:snapToGrid w:val="0"/>
      <w:jc w:val="left"/>
    </w:pPr>
    <w:rPr>
      <w:kern w:val="0"/>
      <w:sz w:val="18"/>
      <w:szCs w:val="18"/>
    </w:rPr>
  </w:style>
  <w:style w:type="paragraph" w:styleId="22">
    <w:name w:val="header"/>
    <w:basedOn w:val="1"/>
    <w:link w:val="5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8">
    <w:name w:val="annotation subject"/>
    <w:basedOn w:val="14"/>
    <w:next w:val="14"/>
    <w:link w:val="53"/>
    <w:qFormat/>
    <w:uiPriority w:val="99"/>
    <w:rPr>
      <w:b/>
      <w:bCs/>
    </w:rPr>
  </w:style>
  <w:style w:type="paragraph" w:styleId="29">
    <w:name w:val="Body Text First Indent"/>
    <w:basedOn w:val="2"/>
    <w:next w:val="1"/>
    <w:qFormat/>
    <w:uiPriority w:val="0"/>
    <w:pPr>
      <w:spacing w:afterLines="0" w:line="240" w:lineRule="auto"/>
      <w:ind w:firstLine="420" w:firstLineChars="100"/>
    </w:pPr>
    <w:rPr>
      <w:sz w:val="21"/>
    </w:rPr>
  </w:style>
  <w:style w:type="paragraph" w:styleId="30">
    <w:name w:val="Body Text First Indent 2"/>
    <w:basedOn w:val="9"/>
    <w:next w:val="1"/>
    <w:unhideWhenUsed/>
    <w:qFormat/>
    <w:uiPriority w:val="99"/>
    <w:pPr>
      <w:ind w:firstLine="420" w:firstLineChars="200"/>
    </w:pPr>
    <w:rPr>
      <w:rFonts w:ascii="Calibri" w:hAnsi="Calibri" w:eastAsia="宋体" w:cs="Times New Roman"/>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qFormat/>
    <w:uiPriority w:val="22"/>
    <w:rPr>
      <w:b/>
    </w:r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customStyle="1" w:styleId="40">
    <w:name w:val="标题 1 字符"/>
    <w:link w:val="3"/>
    <w:qFormat/>
    <w:uiPriority w:val="9"/>
    <w:rPr>
      <w:b/>
      <w:bCs/>
      <w:kern w:val="44"/>
      <w:sz w:val="44"/>
      <w:szCs w:val="44"/>
    </w:rPr>
  </w:style>
  <w:style w:type="character" w:customStyle="1" w:styleId="41">
    <w:name w:val="标题 2 字符"/>
    <w:link w:val="4"/>
    <w:qFormat/>
    <w:uiPriority w:val="9"/>
    <w:rPr>
      <w:rFonts w:ascii="Cambria" w:hAnsi="Cambria" w:eastAsia="宋体" w:cs="Times New Roman"/>
      <w:b/>
      <w:bCs/>
      <w:kern w:val="2"/>
      <w:sz w:val="32"/>
      <w:szCs w:val="32"/>
    </w:rPr>
  </w:style>
  <w:style w:type="character" w:customStyle="1" w:styleId="42">
    <w:name w:val="标题 3 字符"/>
    <w:link w:val="5"/>
    <w:semiHidden/>
    <w:qFormat/>
    <w:uiPriority w:val="9"/>
    <w:rPr>
      <w:b/>
      <w:bCs/>
      <w:kern w:val="2"/>
      <w:sz w:val="32"/>
      <w:szCs w:val="32"/>
    </w:rPr>
  </w:style>
  <w:style w:type="character" w:customStyle="1" w:styleId="43">
    <w:name w:val="标题 5 字符"/>
    <w:link w:val="7"/>
    <w:qFormat/>
    <w:uiPriority w:val="9"/>
    <w:rPr>
      <w:rFonts w:ascii="Times New Roman" w:hAnsi="Times New Roman"/>
      <w:b/>
      <w:bCs/>
      <w:kern w:val="2"/>
      <w:sz w:val="28"/>
      <w:szCs w:val="28"/>
    </w:rPr>
  </w:style>
  <w:style w:type="character" w:customStyle="1" w:styleId="44">
    <w:name w:val="正文文本缩进 字符"/>
    <w:link w:val="9"/>
    <w:qFormat/>
    <w:uiPriority w:val="0"/>
    <w:rPr>
      <w:rFonts w:ascii="仿宋_GB2312" w:hAnsi="Times New Roman" w:eastAsia="仿宋_GB2312" w:cs="Times New Roman"/>
      <w:sz w:val="32"/>
      <w:szCs w:val="20"/>
    </w:rPr>
  </w:style>
  <w:style w:type="character" w:customStyle="1" w:styleId="45">
    <w:name w:val="标题 8 字符"/>
    <w:link w:val="11"/>
    <w:semiHidden/>
    <w:qFormat/>
    <w:uiPriority w:val="9"/>
    <w:rPr>
      <w:rFonts w:ascii="等线 Light" w:hAnsi="等线 Light" w:eastAsia="等线 Light" w:cs="Times New Roman"/>
      <w:kern w:val="2"/>
      <w:sz w:val="24"/>
      <w:szCs w:val="24"/>
    </w:rPr>
  </w:style>
  <w:style w:type="character" w:customStyle="1" w:styleId="46">
    <w:name w:val="批注文字 字符2"/>
    <w:link w:val="14"/>
    <w:qFormat/>
    <w:uiPriority w:val="0"/>
    <w:rPr>
      <w:rFonts w:ascii="Times New Roman" w:hAnsi="Times New Roman"/>
      <w:kern w:val="2"/>
      <w:sz w:val="21"/>
      <w:szCs w:val="24"/>
    </w:rPr>
  </w:style>
  <w:style w:type="character" w:customStyle="1" w:styleId="47">
    <w:name w:val="正文文本 3 字符"/>
    <w:link w:val="15"/>
    <w:semiHidden/>
    <w:qFormat/>
    <w:uiPriority w:val="99"/>
    <w:rPr>
      <w:kern w:val="2"/>
      <w:sz w:val="16"/>
      <w:szCs w:val="16"/>
    </w:rPr>
  </w:style>
  <w:style w:type="character" w:customStyle="1" w:styleId="48">
    <w:name w:val="正文文本 字符1"/>
    <w:link w:val="2"/>
    <w:qFormat/>
    <w:uiPriority w:val="0"/>
    <w:rPr>
      <w:rFonts w:ascii="Times New Roman" w:hAnsi="Times New Roman"/>
      <w:kern w:val="2"/>
      <w:sz w:val="21"/>
      <w:szCs w:val="24"/>
    </w:rPr>
  </w:style>
  <w:style w:type="character" w:customStyle="1" w:styleId="49">
    <w:name w:val="纯文本 字符3"/>
    <w:link w:val="18"/>
    <w:qFormat/>
    <w:uiPriority w:val="0"/>
    <w:rPr>
      <w:rFonts w:ascii="宋体" w:hAnsi="Courier New" w:eastAsia="宋体" w:cs="Courier New"/>
      <w:szCs w:val="21"/>
    </w:rPr>
  </w:style>
  <w:style w:type="character" w:customStyle="1" w:styleId="50">
    <w:name w:val="日期 字符"/>
    <w:link w:val="19"/>
    <w:semiHidden/>
    <w:qFormat/>
    <w:uiPriority w:val="99"/>
    <w:rPr>
      <w:rFonts w:ascii="Times New Roman" w:hAnsi="Times New Roman"/>
      <w:kern w:val="2"/>
      <w:sz w:val="21"/>
      <w:szCs w:val="24"/>
    </w:rPr>
  </w:style>
  <w:style w:type="character" w:customStyle="1" w:styleId="51">
    <w:name w:val="页脚 字符"/>
    <w:link w:val="21"/>
    <w:qFormat/>
    <w:uiPriority w:val="99"/>
    <w:rPr>
      <w:sz w:val="18"/>
      <w:szCs w:val="18"/>
    </w:rPr>
  </w:style>
  <w:style w:type="character" w:customStyle="1" w:styleId="52">
    <w:name w:val="页眉 字符"/>
    <w:link w:val="22"/>
    <w:qFormat/>
    <w:uiPriority w:val="99"/>
    <w:rPr>
      <w:sz w:val="18"/>
      <w:szCs w:val="18"/>
    </w:rPr>
  </w:style>
  <w:style w:type="character" w:customStyle="1" w:styleId="53">
    <w:name w:val="批注主题 字符"/>
    <w:link w:val="28"/>
    <w:qFormat/>
    <w:uiPriority w:val="99"/>
    <w:rPr>
      <w:rFonts w:ascii="Times New Roman" w:hAnsi="Times New Roman"/>
      <w:b/>
      <w:bCs/>
      <w:kern w:val="2"/>
      <w:sz w:val="21"/>
      <w:szCs w:val="24"/>
    </w:rPr>
  </w:style>
  <w:style w:type="paragraph" w:customStyle="1" w:styleId="54">
    <w:name w:val="正文首行缩进 21"/>
    <w:basedOn w:val="55"/>
    <w:qFormat/>
    <w:uiPriority w:val="0"/>
    <w:pPr>
      <w:ind w:firstLine="482"/>
      <w:jc w:val="left"/>
    </w:pPr>
    <w:rPr>
      <w:rFonts w:ascii="仿宋_GB2312" w:hAnsi="仿宋_GB2312" w:eastAsia="仿宋_GB2312" w:cs="仿宋_GB2312"/>
      <w:b/>
      <w:bCs/>
      <w:sz w:val="24"/>
    </w:rPr>
  </w:style>
  <w:style w:type="paragraph" w:customStyle="1" w:styleId="55">
    <w:name w:val="正文文本缩进1"/>
    <w:basedOn w:val="1"/>
    <w:next w:val="56"/>
    <w:qFormat/>
    <w:uiPriority w:val="0"/>
    <w:pPr>
      <w:spacing w:line="500" w:lineRule="exact"/>
      <w:ind w:firstLine="200" w:firstLineChars="200"/>
    </w:pPr>
  </w:style>
  <w:style w:type="paragraph" w:customStyle="1" w:styleId="56">
    <w:name w:val="Body Text First Indent 21"/>
    <w:basedOn w:val="57"/>
    <w:qFormat/>
    <w:uiPriority w:val="0"/>
    <w:pPr>
      <w:widowControl/>
    </w:pPr>
    <w:rPr>
      <w:szCs w:val="20"/>
    </w:rPr>
  </w:style>
  <w:style w:type="paragraph" w:customStyle="1" w:styleId="57">
    <w:name w:val="Body Text Indent1"/>
    <w:basedOn w:val="1"/>
    <w:qFormat/>
    <w:uiPriority w:val="0"/>
    <w:pPr>
      <w:spacing w:line="500" w:lineRule="exact"/>
      <w:ind w:firstLine="200" w:firstLineChars="200"/>
    </w:pPr>
  </w:style>
  <w:style w:type="character" w:customStyle="1" w:styleId="58">
    <w:name w:val="纯文本 字符2"/>
    <w:qFormat/>
    <w:uiPriority w:val="0"/>
    <w:rPr>
      <w:rFonts w:ascii="宋体" w:hAnsi="Courier New" w:eastAsia="宋体" w:cs="Courier New"/>
      <w:szCs w:val="21"/>
    </w:rPr>
  </w:style>
  <w:style w:type="character" w:customStyle="1" w:styleId="59">
    <w:name w:val="apple-style-span"/>
    <w:qFormat/>
    <w:uiPriority w:val="0"/>
  </w:style>
  <w:style w:type="character" w:customStyle="1" w:styleId="60">
    <w:name w:val="标题 2 Char"/>
    <w:qFormat/>
    <w:uiPriority w:val="9"/>
    <w:rPr>
      <w:rFonts w:ascii="Cambria" w:hAnsi="Cambria" w:eastAsia="宋体" w:cs="Times New Roman"/>
      <w:b/>
      <w:bCs/>
      <w:kern w:val="2"/>
      <w:sz w:val="32"/>
      <w:szCs w:val="32"/>
    </w:rPr>
  </w:style>
  <w:style w:type="character" w:customStyle="1" w:styleId="61">
    <w:name w:val="纯文本 字符"/>
    <w:qFormat/>
    <w:uiPriority w:val="0"/>
    <w:rPr>
      <w:rFonts w:ascii="宋体" w:hAnsi="Courier New" w:eastAsia="宋体" w:cs="Courier New"/>
      <w:szCs w:val="21"/>
    </w:rPr>
  </w:style>
  <w:style w:type="character" w:customStyle="1" w:styleId="62">
    <w:name w:val="纯文本 字符1"/>
    <w:qFormat/>
    <w:uiPriority w:val="0"/>
    <w:rPr>
      <w:rFonts w:ascii="宋体" w:hAnsi="Courier New"/>
    </w:rPr>
  </w:style>
  <w:style w:type="character" w:customStyle="1" w:styleId="63">
    <w:name w:val="标题 8 Char"/>
    <w:qFormat/>
    <w:uiPriority w:val="0"/>
    <w:rPr>
      <w:rFonts w:ascii="Arial" w:hAnsi="Arial" w:eastAsia="黑体"/>
      <w:kern w:val="2"/>
      <w:sz w:val="24"/>
      <w:szCs w:val="24"/>
    </w:rPr>
  </w:style>
  <w:style w:type="character" w:customStyle="1" w:styleId="64">
    <w:name w:val="纯文本 Char"/>
    <w:qFormat/>
    <w:uiPriority w:val="0"/>
    <w:rPr>
      <w:rFonts w:ascii="宋体" w:hAnsi="Courier New" w:eastAsia="宋体" w:cs="Courier New"/>
      <w:szCs w:val="21"/>
    </w:rPr>
  </w:style>
  <w:style w:type="character" w:customStyle="1" w:styleId="65">
    <w:name w:val="正文文本 Char"/>
    <w:qFormat/>
    <w:uiPriority w:val="99"/>
    <w:rPr>
      <w:rFonts w:ascii="Times New Roman" w:hAnsi="Times New Roman"/>
      <w:kern w:val="2"/>
      <w:sz w:val="21"/>
      <w:szCs w:val="24"/>
    </w:rPr>
  </w:style>
  <w:style w:type="character" w:customStyle="1" w:styleId="66">
    <w:name w:val="批注文字 字符1"/>
    <w:qFormat/>
    <w:uiPriority w:val="0"/>
    <w:rPr>
      <w:rFonts w:ascii="Times New Roman" w:hAnsi="Times New Roman"/>
      <w:kern w:val="2"/>
      <w:sz w:val="21"/>
      <w:szCs w:val="24"/>
    </w:rPr>
  </w:style>
  <w:style w:type="character" w:customStyle="1" w:styleId="6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标题 1 字符1"/>
    <w:qFormat/>
    <w:uiPriority w:val="0"/>
    <w:rPr>
      <w:b/>
      <w:bCs/>
      <w:kern w:val="44"/>
      <w:sz w:val="44"/>
      <w:szCs w:val="44"/>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批注文字 字符"/>
    <w:qFormat/>
    <w:uiPriority w:val="0"/>
    <w:rPr>
      <w:rFonts w:ascii="Times New Roman" w:hAnsi="Times New Roman"/>
      <w:kern w:val="2"/>
      <w:sz w:val="21"/>
      <w:szCs w:val="24"/>
    </w:rPr>
  </w:style>
  <w:style w:type="character" w:customStyle="1" w:styleId="71">
    <w:name w:val="textcontents"/>
    <w:qFormat/>
    <w:uiPriority w:val="0"/>
  </w:style>
  <w:style w:type="character" w:customStyle="1" w:styleId="72">
    <w:name w:val="批注文字 Char"/>
    <w:qFormat/>
    <w:uiPriority w:val="0"/>
    <w:rPr>
      <w:rFonts w:ascii="Times New Roman" w:hAnsi="Times New Roman"/>
      <w:kern w:val="2"/>
      <w:sz w:val="21"/>
      <w:szCs w:val="24"/>
    </w:rPr>
  </w:style>
  <w:style w:type="paragraph" w:customStyle="1" w:styleId="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4">
    <w:name w:val="List Paragraph"/>
    <w:basedOn w:val="1"/>
    <w:qFormat/>
    <w:uiPriority w:val="34"/>
    <w:pPr>
      <w:ind w:firstLine="420" w:firstLineChars="200"/>
    </w:pPr>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Char Char Char Char"/>
    <w:basedOn w:val="1"/>
    <w:qFormat/>
    <w:uiPriority w:val="0"/>
    <w:pPr>
      <w:widowControl/>
      <w:spacing w:after="160" w:line="240" w:lineRule="exact"/>
      <w:jc w:val="left"/>
    </w:pPr>
  </w:style>
  <w:style w:type="character" w:customStyle="1" w:styleId="78">
    <w:name w:val="_Style 77"/>
    <w:unhideWhenUsed/>
    <w:qFormat/>
    <w:uiPriority w:val="99"/>
    <w:rPr>
      <w:color w:val="605E5C"/>
      <w:shd w:val="clear" w:color="auto" w:fill="E1DFDD"/>
    </w:rPr>
  </w:style>
  <w:style w:type="paragraph" w:customStyle="1" w:styleId="79">
    <w:name w:val="_Style 78"/>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80">
    <w:name w:val="正文2 Char Char"/>
    <w:link w:val="81"/>
    <w:qFormat/>
    <w:uiPriority w:val="0"/>
    <w:rPr>
      <w:sz w:val="24"/>
    </w:rPr>
  </w:style>
  <w:style w:type="paragraph" w:customStyle="1" w:styleId="81">
    <w:name w:val="正文2"/>
    <w:basedOn w:val="1"/>
    <w:link w:val="80"/>
    <w:qFormat/>
    <w:uiPriority w:val="0"/>
    <w:pPr>
      <w:adjustRightInd w:val="0"/>
      <w:spacing w:before="156" w:line="360" w:lineRule="auto"/>
      <w:ind w:firstLine="510" w:firstLineChars="200"/>
    </w:pPr>
    <w:rPr>
      <w:kern w:val="0"/>
      <w:sz w:val="24"/>
      <w:szCs w:val="20"/>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缩进1"/>
    <w:basedOn w:val="1"/>
    <w:next w:val="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4">
    <w:name w:val="1"/>
    <w:basedOn w:val="1"/>
    <w:next w:val="18"/>
    <w:qFormat/>
    <w:uiPriority w:val="0"/>
    <w:rPr>
      <w:rFonts w:ascii="宋体" w:hAnsi="Courier New"/>
      <w:szCs w:val="20"/>
    </w:rPr>
  </w:style>
  <w:style w:type="paragraph" w:customStyle="1" w:styleId="85">
    <w:name w:val="_Style 84"/>
    <w:unhideWhenUsed/>
    <w:qFormat/>
    <w:uiPriority w:val="99"/>
    <w:rPr>
      <w:rFonts w:ascii="Times New Roman" w:hAnsi="Times New Roman" w:eastAsia="宋体" w:cs="Times New Roman"/>
      <w:kern w:val="2"/>
      <w:sz w:val="21"/>
      <w:szCs w:val="24"/>
      <w:lang w:val="en-US" w:eastAsia="zh-CN" w:bidi="ar-SA"/>
    </w:rPr>
  </w:style>
  <w:style w:type="paragraph" w:customStyle="1" w:styleId="86">
    <w:name w:val="方案正文"/>
    <w:basedOn w:val="1"/>
    <w:next w:val="1"/>
    <w:link w:val="87"/>
    <w:qFormat/>
    <w:uiPriority w:val="0"/>
    <w:pPr>
      <w:spacing w:line="360" w:lineRule="auto"/>
      <w:ind w:firstLine="420"/>
    </w:pPr>
    <w:rPr>
      <w:rFonts w:ascii="Calibri" w:hAnsi="Calibri" w:cs="Calibri"/>
      <w:sz w:val="22"/>
      <w:szCs w:val="18"/>
    </w:rPr>
  </w:style>
  <w:style w:type="character" w:customStyle="1" w:styleId="87">
    <w:name w:val="方案正文 字符"/>
    <w:link w:val="86"/>
    <w:qFormat/>
    <w:uiPriority w:val="0"/>
    <w:rPr>
      <w:rFonts w:ascii="Calibri" w:hAnsi="Calibri" w:cs="Calibri"/>
      <w:kern w:val="2"/>
      <w:sz w:val="22"/>
      <w:szCs w:val="18"/>
    </w:rPr>
  </w:style>
  <w:style w:type="paragraph" w:customStyle="1" w:styleId="88">
    <w:name w:val="正文一"/>
    <w:basedOn w:val="1"/>
    <w:qFormat/>
    <w:uiPriority w:val="0"/>
    <w:pPr>
      <w:widowControl/>
      <w:spacing w:before="120" w:after="120" w:line="360" w:lineRule="auto"/>
      <w:jc w:val="left"/>
    </w:pPr>
    <w:rPr>
      <w:rFonts w:cs="宋体"/>
      <w:kern w:val="0"/>
      <w:szCs w:val="21"/>
    </w:rPr>
  </w:style>
  <w:style w:type="character" w:customStyle="1" w:styleId="89">
    <w:name w:val="15"/>
    <w:qFormat/>
    <w:uiPriority w:val="0"/>
    <w:rPr>
      <w:rFonts w:hint="default" w:ascii="Times New Roman" w:hAnsi="Times New Roman" w:cs="Times New Roman"/>
      <w:color w:val="0000FF"/>
      <w:u w:val="single"/>
    </w:rPr>
  </w:style>
  <w:style w:type="paragraph" w:customStyle="1" w:styleId="9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1">
    <w:name w:val="font11"/>
    <w:qFormat/>
    <w:uiPriority w:val="0"/>
    <w:rPr>
      <w:rFonts w:hint="eastAsia" w:ascii="宋体" w:hAnsi="宋体" w:eastAsia="宋体" w:cs="宋体"/>
      <w:color w:val="000000"/>
      <w:sz w:val="21"/>
      <w:szCs w:val="21"/>
      <w:u w:val="none"/>
    </w:rPr>
  </w:style>
  <w:style w:type="paragraph" w:customStyle="1" w:styleId="92">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unchen\Library\Containers\com.kingsoft.wpsoffice.mac\Data\C:\Users\MI\Documents\WeChat%20Files\wxid_z78t6njrdkcy22\FileStorage\File\2024-11\11.8&#31454;&#20105;&#24615;&#30923;&#21830;&#25991;&#20214;-&#25919;&#21153;&#25968;&#25454;&#27835;&#29702;&#19987;&#39033;&#26381;&#21153;-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11.8竞争性磋商文件-政务数据治理专项服务-1120.dot</Template>
  <Pages>92</Pages>
  <Words>6023</Words>
  <Characters>6445</Characters>
  <Lines>433</Lines>
  <Paragraphs>122</Paragraphs>
  <TotalTime>1</TotalTime>
  <ScaleCrop>false</ScaleCrop>
  <LinksUpToDate>false</LinksUpToDate>
  <CharactersWithSpaces>6522</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2024-11-20T18:33:00Z</dcterms:created>
  <dc:creator>Steven</dc:creator>
  <cp:lastModifiedBy>唐小乐</cp:lastModifiedBy>
  <dcterms:modified xsi:type="dcterms:W3CDTF">2025-08-01T12:44:06Z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210DF066C324FA9D4DC88168337BC48E_43</vt:lpwstr>
  </property>
  <property fmtid="{D5CDD505-2E9C-101B-9397-08002B2CF9AE}" pid="4" name="KSOTemplateDocerSaveRecord">
    <vt:lpwstr>eyJoZGlkIjoiNDBmMzVmY2I4YzE1NGQ1NDAwNzg2OGEzYmZmZmFhZjYiLCJ1c2VySWQiOiIyNzEyMTg0NDQifQ==</vt:lpwstr>
  </property>
</Properties>
</file>