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7734D">
      <w:pPr>
        <w:snapToGrid w:val="0"/>
        <w:spacing w:before="120" w:beforeLines="50" w:line="360" w:lineRule="auto"/>
        <w:jc w:val="center"/>
        <w:rPr>
          <w:rFonts w:ascii="宋体" w:hAnsi="宋体" w:cs="宋体"/>
          <w:color w:val="auto"/>
          <w:kern w:val="21"/>
          <w:sz w:val="72"/>
          <w:szCs w:val="72"/>
          <w:highlight w:val="none"/>
        </w:rPr>
      </w:pPr>
      <w:r>
        <w:rPr>
          <w:color w:val="auto"/>
          <w:highlight w:val="none"/>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26035</wp:posOffset>
            </wp:positionV>
            <wp:extent cx="2447925" cy="2095500"/>
            <wp:effectExtent l="0" t="0" r="15875" b="12700"/>
            <wp:wrapNone/>
            <wp:docPr id="1" name="图片" descr="中国通信服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中国通信服务 "/>
                    <pic:cNvPicPr>
                      <a:picLocks noChangeAspect="1"/>
                    </pic:cNvPicPr>
                  </pic:nvPicPr>
                  <pic:blipFill>
                    <a:blip r:embed="rId13"/>
                    <a:stretch>
                      <a:fillRect/>
                    </a:stretch>
                  </pic:blipFill>
                  <pic:spPr>
                    <a:xfrm>
                      <a:off x="0" y="0"/>
                      <a:ext cx="2447925" cy="2095500"/>
                    </a:xfrm>
                    <a:prstGeom prst="rect">
                      <a:avLst/>
                    </a:prstGeom>
                    <a:noFill/>
                    <a:ln>
                      <a:noFill/>
                    </a:ln>
                  </pic:spPr>
                </pic:pic>
              </a:graphicData>
            </a:graphic>
          </wp:anchor>
        </w:drawing>
      </w:r>
    </w:p>
    <w:p w14:paraId="7A0B7C7B">
      <w:pPr>
        <w:snapToGrid w:val="0"/>
        <w:spacing w:before="120" w:beforeLines="50" w:line="360" w:lineRule="auto"/>
        <w:jc w:val="right"/>
        <w:rPr>
          <w:rFonts w:ascii="宋体" w:hAnsi="宋体" w:cs="宋体"/>
          <w:color w:val="auto"/>
          <w:kern w:val="21"/>
          <w:sz w:val="72"/>
          <w:szCs w:val="72"/>
          <w:highlight w:val="none"/>
        </w:rPr>
      </w:pPr>
    </w:p>
    <w:p w14:paraId="12E7A615">
      <w:pPr>
        <w:snapToGrid w:val="0"/>
        <w:spacing w:line="360" w:lineRule="auto"/>
        <w:jc w:val="center"/>
        <w:rPr>
          <w:rFonts w:ascii="宋体" w:hAnsi="宋体" w:cs="宋体"/>
          <w:color w:val="auto"/>
          <w:kern w:val="21"/>
          <w:sz w:val="72"/>
          <w:szCs w:val="72"/>
          <w:highlight w:val="none"/>
        </w:rPr>
      </w:pPr>
    </w:p>
    <w:p w14:paraId="7987A5D3">
      <w:pPr>
        <w:snapToGrid w:val="0"/>
        <w:spacing w:before="120" w:beforeLines="50" w:line="360" w:lineRule="auto"/>
        <w:jc w:val="center"/>
        <w:rPr>
          <w:rFonts w:ascii="宋体" w:hAnsi="宋体" w:cs="宋体"/>
          <w:b/>
          <w:bCs/>
          <w:color w:val="auto"/>
          <w:kern w:val="21"/>
          <w:sz w:val="44"/>
          <w:szCs w:val="44"/>
          <w:highlight w:val="none"/>
        </w:rPr>
      </w:pPr>
      <w:r>
        <w:rPr>
          <w:rFonts w:hint="eastAsia" w:ascii="宋体" w:hAnsi="宋体" w:cs="宋体"/>
          <w:b/>
          <w:bCs/>
          <w:color w:val="auto"/>
          <w:kern w:val="21"/>
          <w:sz w:val="72"/>
          <w:szCs w:val="72"/>
          <w:highlight w:val="none"/>
        </w:rPr>
        <w:t>竞争性磋商文件</w:t>
      </w:r>
    </w:p>
    <w:p w14:paraId="1427308E">
      <w:pPr>
        <w:spacing w:before="240" w:beforeLines="100" w:after="120" w:afterLines="50" w:line="360" w:lineRule="auto"/>
        <w:jc w:val="center"/>
        <w:rPr>
          <w:rFonts w:ascii="宋体" w:hAnsi="宋体" w:cs="宋体"/>
          <w:b/>
          <w:bCs/>
          <w:color w:val="auto"/>
          <w:kern w:val="21"/>
          <w:szCs w:val="21"/>
          <w:highlight w:val="none"/>
        </w:rPr>
      </w:pPr>
      <w:r>
        <w:rPr>
          <w:rFonts w:hint="eastAsia" w:ascii="宋体" w:hAnsi="宋体" w:cs="宋体"/>
          <w:b/>
          <w:bCs/>
          <w:color w:val="auto"/>
          <w:kern w:val="21"/>
          <w:szCs w:val="21"/>
          <w:highlight w:val="none"/>
        </w:rPr>
        <w:t>（全流程电子化评标）</w:t>
      </w:r>
    </w:p>
    <w:p w14:paraId="1D37A135">
      <w:pPr>
        <w:spacing w:line="360" w:lineRule="auto"/>
        <w:rPr>
          <w:rFonts w:ascii="宋体" w:hAnsi="宋体" w:cs="宋体"/>
          <w:b/>
          <w:bCs/>
          <w:color w:val="auto"/>
          <w:kern w:val="21"/>
          <w:sz w:val="32"/>
          <w:szCs w:val="32"/>
          <w:highlight w:val="none"/>
        </w:rPr>
      </w:pPr>
    </w:p>
    <w:p w14:paraId="6D3B0E27">
      <w:pPr>
        <w:spacing w:line="400" w:lineRule="exact"/>
        <w:ind w:firstLine="1205" w:firstLineChars="400"/>
        <w:rPr>
          <w:rFonts w:ascii="宋体" w:hAnsi="宋体" w:cs="宋体"/>
          <w:b/>
          <w:color w:val="auto"/>
          <w:kern w:val="21"/>
          <w:sz w:val="30"/>
          <w:szCs w:val="30"/>
          <w:highlight w:val="none"/>
        </w:rPr>
      </w:pPr>
    </w:p>
    <w:p w14:paraId="25E8BF53">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项目名称：</w:t>
      </w:r>
      <w:bookmarkStart w:id="0" w:name="OLE_LINK2"/>
      <w:r>
        <w:rPr>
          <w:rFonts w:hint="eastAsia" w:ascii="宋体" w:hAnsi="宋体" w:cs="宋体"/>
          <w:b/>
          <w:color w:val="auto"/>
          <w:spacing w:val="-11"/>
          <w:kern w:val="21"/>
          <w:sz w:val="30"/>
          <w:szCs w:val="30"/>
          <w:highlight w:val="none"/>
          <w:lang w:eastAsia="zh-CN"/>
        </w:rPr>
        <w:t>AI赋能千行百业超级联赛对外宣传服务</w:t>
      </w:r>
    </w:p>
    <w:bookmarkEnd w:id="0"/>
    <w:p w14:paraId="06459F87">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28236751">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项目编号：</w:t>
      </w:r>
      <w:r>
        <w:rPr>
          <w:rFonts w:hint="eastAsia" w:ascii="宋体" w:hAnsi="宋体" w:cs="宋体"/>
          <w:b/>
          <w:color w:val="auto"/>
          <w:kern w:val="21"/>
          <w:sz w:val="30"/>
          <w:szCs w:val="30"/>
          <w:highlight w:val="none"/>
          <w:lang w:eastAsia="zh-CN"/>
        </w:rPr>
        <w:t>GXZC2025-C3-003466-GXTF</w:t>
      </w:r>
    </w:p>
    <w:p w14:paraId="4105A97A">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bCs/>
          <w:color w:val="auto"/>
          <w:kern w:val="21"/>
          <w:sz w:val="30"/>
          <w:szCs w:val="30"/>
          <w:highlight w:val="none"/>
          <w:u w:val="single"/>
        </w:rPr>
      </w:pPr>
    </w:p>
    <w:p w14:paraId="6BA202D4">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34134C15">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2E6B4A47">
      <w:pPr>
        <w:pStyle w:val="15"/>
        <w:keepNext w:val="0"/>
        <w:keepLines w:val="0"/>
        <w:pageBreakBefore w:val="0"/>
        <w:widowControl w:val="0"/>
        <w:kinsoku/>
        <w:wordWrap/>
        <w:overflowPunct/>
        <w:topLinePunct w:val="0"/>
        <w:autoSpaceDE/>
        <w:autoSpaceDN/>
        <w:bidi w:val="0"/>
        <w:adjustRightInd/>
        <w:snapToGrid/>
        <w:ind w:firstLine="840" w:firstLineChars="400"/>
        <w:textAlignment w:val="auto"/>
        <w:rPr>
          <w:color w:val="auto"/>
          <w:highlight w:val="none"/>
        </w:rPr>
      </w:pPr>
    </w:p>
    <w:p w14:paraId="4629D230">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68FEEB5A">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hint="eastAsia" w:ascii="宋体" w:hAnsi="宋体" w:eastAsia="宋体" w:cs="宋体"/>
          <w:b/>
          <w:color w:val="auto"/>
          <w:kern w:val="21"/>
          <w:sz w:val="30"/>
          <w:szCs w:val="30"/>
          <w:highlight w:val="none"/>
          <w:lang w:eastAsia="zh-CN"/>
        </w:rPr>
      </w:pPr>
      <w:r>
        <w:rPr>
          <w:rFonts w:hint="eastAsia" w:ascii="宋体" w:hAnsi="宋体" w:cs="宋体"/>
          <w:b/>
          <w:color w:val="auto"/>
          <w:kern w:val="21"/>
          <w:sz w:val="30"/>
          <w:szCs w:val="30"/>
          <w:highlight w:val="none"/>
        </w:rPr>
        <w:t>采购单位：</w:t>
      </w:r>
      <w:r>
        <w:rPr>
          <w:rFonts w:hint="eastAsia" w:ascii="宋体" w:hAnsi="宋体" w:cs="宋体"/>
          <w:b/>
          <w:color w:val="auto"/>
          <w:kern w:val="21"/>
          <w:sz w:val="30"/>
          <w:szCs w:val="30"/>
          <w:highlight w:val="none"/>
          <w:lang w:eastAsia="zh-CN"/>
        </w:rPr>
        <w:t>广西壮族自治区大数据发展局</w:t>
      </w:r>
    </w:p>
    <w:p w14:paraId="3E5D52D1">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4DA90FD4">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采购代理机构：广西壮族自治区通信产业服务有限公司</w:t>
      </w:r>
    </w:p>
    <w:p w14:paraId="01279835">
      <w:pPr>
        <w:spacing w:line="400" w:lineRule="exact"/>
        <w:ind w:firstLine="1205" w:firstLineChars="400"/>
        <w:jc w:val="center"/>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18CD155B">
      <w:pPr>
        <w:spacing w:line="400" w:lineRule="exact"/>
        <w:ind w:firstLine="1205" w:firstLineChars="400"/>
        <w:jc w:val="center"/>
        <w:rPr>
          <w:rFonts w:ascii="宋体" w:hAnsi="宋体" w:cs="宋体"/>
          <w:b/>
          <w:color w:val="auto"/>
          <w:kern w:val="21"/>
          <w:sz w:val="30"/>
          <w:szCs w:val="30"/>
          <w:highlight w:val="none"/>
        </w:rPr>
      </w:pPr>
    </w:p>
    <w:p w14:paraId="797A3666">
      <w:pPr>
        <w:spacing w:line="400" w:lineRule="exact"/>
        <w:jc w:val="center"/>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202</w:t>
      </w:r>
      <w:r>
        <w:rPr>
          <w:rFonts w:hint="eastAsia" w:ascii="宋体" w:hAnsi="宋体" w:cs="宋体"/>
          <w:b/>
          <w:color w:val="auto"/>
          <w:kern w:val="21"/>
          <w:sz w:val="30"/>
          <w:szCs w:val="30"/>
          <w:highlight w:val="none"/>
          <w:lang w:val="en-US" w:eastAsia="zh-CN"/>
        </w:rPr>
        <w:t>5</w:t>
      </w:r>
      <w:r>
        <w:rPr>
          <w:rFonts w:hint="eastAsia" w:ascii="宋体" w:hAnsi="宋体" w:cs="宋体"/>
          <w:b/>
          <w:color w:val="auto"/>
          <w:kern w:val="21"/>
          <w:sz w:val="30"/>
          <w:szCs w:val="30"/>
          <w:highlight w:val="none"/>
        </w:rPr>
        <w:t>年</w:t>
      </w:r>
      <w:r>
        <w:rPr>
          <w:rFonts w:hint="eastAsia" w:ascii="宋体" w:hAnsi="宋体" w:cs="宋体"/>
          <w:b/>
          <w:color w:val="auto"/>
          <w:kern w:val="21"/>
          <w:sz w:val="30"/>
          <w:szCs w:val="30"/>
          <w:highlight w:val="none"/>
          <w:lang w:val="en-US" w:eastAsia="zh-CN"/>
        </w:rPr>
        <w:t>11</w:t>
      </w:r>
      <w:r>
        <w:rPr>
          <w:rFonts w:hint="eastAsia" w:ascii="宋体" w:hAnsi="宋体" w:cs="宋体"/>
          <w:b/>
          <w:color w:val="auto"/>
          <w:kern w:val="21"/>
          <w:sz w:val="30"/>
          <w:szCs w:val="30"/>
          <w:highlight w:val="none"/>
        </w:rPr>
        <w:t>月</w:t>
      </w:r>
    </w:p>
    <w:p w14:paraId="6B416753">
      <w:pPr>
        <w:pStyle w:val="18"/>
        <w:snapToGrid w:val="0"/>
        <w:spacing w:before="50" w:after="120" w:line="480" w:lineRule="auto"/>
        <w:ind w:firstLine="588" w:firstLineChars="294"/>
        <w:rPr>
          <w:rFonts w:hAnsi="宋体" w:cs="宋体"/>
          <w:b/>
          <w:bCs/>
          <w:color w:val="auto"/>
          <w:kern w:val="21"/>
          <w:sz w:val="30"/>
          <w:szCs w:val="30"/>
          <w:highlight w:val="none"/>
        </w:rPr>
        <w:sectPr>
          <w:footerReference r:id="rId3" w:type="default"/>
          <w:footerReference r:id="rId4" w:type="even"/>
          <w:pgSz w:w="11911" w:h="16838"/>
          <w:pgMar w:top="1440" w:right="1440" w:bottom="1440" w:left="1440" w:header="720" w:footer="720" w:gutter="0"/>
          <w:pgNumType w:start="1"/>
          <w:cols w:space="720" w:num="1"/>
          <w:docGrid w:linePitch="331" w:charSpace="0"/>
        </w:sectPr>
      </w:pPr>
      <w:r>
        <w:rPr>
          <w:rFonts w:hint="eastAsia" w:hAnsi="宋体" w:cs="宋体"/>
          <w:color w:val="auto"/>
          <w:kern w:val="21"/>
          <w:highlight w:val="none"/>
        </w:rPr>
        <w:t xml:space="preserve"> </w:t>
      </w:r>
    </w:p>
    <w:p w14:paraId="730DAF7E">
      <w:pPr>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目   录</w:t>
      </w:r>
    </w:p>
    <w:p w14:paraId="095A5141">
      <w:pPr>
        <w:spacing w:line="400" w:lineRule="exact"/>
        <w:jc w:val="center"/>
        <w:rPr>
          <w:rFonts w:ascii="宋体" w:hAnsi="宋体" w:cs="宋体"/>
          <w:b/>
          <w:color w:val="auto"/>
          <w:kern w:val="21"/>
          <w:sz w:val="44"/>
          <w:szCs w:val="44"/>
          <w:highlight w:val="none"/>
        </w:rPr>
      </w:pPr>
    </w:p>
    <w:p w14:paraId="01684A56">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b/>
          <w:color w:val="auto"/>
          <w:kern w:val="21"/>
          <w:sz w:val="24"/>
          <w:highlight w:val="none"/>
        </w:rPr>
        <w:fldChar w:fldCharType="begin"/>
      </w:r>
      <w:r>
        <w:rPr>
          <w:rFonts w:hint="eastAsia" w:ascii="宋体" w:hAnsi="宋体" w:eastAsia="宋体" w:cs="宋体"/>
          <w:b/>
          <w:color w:val="auto"/>
          <w:kern w:val="21"/>
          <w:sz w:val="24"/>
          <w:highlight w:val="none"/>
        </w:rPr>
        <w:instrText xml:space="preserve"> TOC \o "1-3" \h \z \u </w:instrText>
      </w:r>
      <w:r>
        <w:rPr>
          <w:rFonts w:hint="eastAsia" w:ascii="宋体" w:hAnsi="宋体" w:eastAsia="宋体" w:cs="宋体"/>
          <w:b/>
          <w:color w:val="auto"/>
          <w:kern w:val="21"/>
          <w:sz w:val="24"/>
          <w:highlight w:val="none"/>
        </w:rPr>
        <w:fldChar w:fldCharType="separate"/>
      </w: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_Toc5624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第一章 竞争性磋商公告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_Toc5624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F6CD159">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_Toc12314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第二章 采购需求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_Toc12314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69A915B">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_Toc24485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第三章 供应商须知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_Toc24485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935A642">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_Toc26015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供应商须知前附表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_Toc26015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48F30D4">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_Toc10889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第二节 供应商须知正文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_Toc10889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20</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CCE4836">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_Toc22837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一、总则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_Toc22837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20</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A56454E">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_Toc3880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二、磋商文件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_Toc3880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25F274B">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_Toc14557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三、响应文件的编制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_Toc14557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A79E010">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_Toc25792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四、评审及磋商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_Toc25792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665CA50">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_Toc767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五、成交及合同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_Toc767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0E99546">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_Toc11194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六、验收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_Toc11194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995A76F">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七、其他事项</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32</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A61B22A">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_Toc28814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第四章 评审程序、评审方法和评审标准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_Toc28814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766116F">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_Toc31735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评审程序和评审方法</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_Toc31735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D019916">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_Toc4847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评</w:t>
      </w:r>
      <w:r>
        <w:rPr>
          <w:rFonts w:hint="eastAsia" w:ascii="宋体" w:hAnsi="宋体" w:eastAsia="宋体" w:cs="宋体"/>
          <w:bCs w:val="0"/>
          <w:color w:val="auto"/>
          <w:kern w:val="21"/>
          <w:sz w:val="24"/>
          <w:highlight w:val="none"/>
          <w:lang w:val="en-US" w:eastAsia="zh-CN"/>
        </w:rPr>
        <w:t>审</w:t>
      </w:r>
      <w:r>
        <w:rPr>
          <w:rFonts w:hint="eastAsia" w:ascii="宋体" w:hAnsi="宋体" w:eastAsia="宋体" w:cs="宋体"/>
          <w:bCs w:val="0"/>
          <w:color w:val="auto"/>
          <w:kern w:val="21"/>
          <w:sz w:val="24"/>
          <w:highlight w:val="none"/>
        </w:rPr>
        <w:t>报告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_Toc4847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63C135E">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_Toc2526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第三节 评审过程的保密与录像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_Toc2526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B03A908">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_Toc31548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第五章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_Toc31548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7D04D2B">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_Toc18318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封面格式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_Toc18318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226EB96">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_Toc22661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资格证明文件格式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_Toc22661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259B8B8">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_Toc32331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第三节 商务技术文件格式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_Toc32331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83C58C2">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_Toc5028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第四节 报价文件格式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_Toc5028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17965BC">
      <w:pPr>
        <w:pStyle w:val="2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_Toc19848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第五节 其他文书、文件格式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_Toc19848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72</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2E67128">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_Toc18493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第六章 合同文本</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_Toc18493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FBF514B">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_Toc23662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第七章 质疑、投诉材料格式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_Toc23662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84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A52FD58">
      <w:pPr>
        <w:pStyle w:val="25"/>
        <w:spacing w:line="360" w:lineRule="auto"/>
        <w:rPr>
          <w:rFonts w:ascii="宋体" w:hAnsi="宋体" w:cs="宋体"/>
          <w:color w:val="auto"/>
          <w:kern w:val="21"/>
          <w:sz w:val="28"/>
          <w:szCs w:val="28"/>
          <w:highlight w:val="none"/>
        </w:rPr>
      </w:pPr>
      <w:r>
        <w:rPr>
          <w:rFonts w:hint="eastAsia" w:ascii="宋体" w:hAnsi="宋体" w:eastAsia="宋体" w:cs="宋体"/>
          <w:color w:val="auto"/>
          <w:kern w:val="21"/>
          <w:sz w:val="24"/>
          <w:highlight w:val="none"/>
        </w:rPr>
        <w:fldChar w:fldCharType="end"/>
      </w:r>
    </w:p>
    <w:p w14:paraId="6EC0CAF7">
      <w:pPr>
        <w:spacing w:line="400" w:lineRule="exact"/>
        <w:jc w:val="left"/>
        <w:rPr>
          <w:rFonts w:ascii="宋体" w:hAnsi="宋体" w:cs="宋体"/>
          <w:b/>
          <w:color w:val="auto"/>
          <w:kern w:val="21"/>
          <w:sz w:val="32"/>
          <w:szCs w:val="32"/>
          <w:highlight w:val="none"/>
        </w:rPr>
      </w:pPr>
    </w:p>
    <w:p w14:paraId="356CA477">
      <w:pPr>
        <w:spacing w:line="400" w:lineRule="exact"/>
        <w:jc w:val="center"/>
        <w:rPr>
          <w:rFonts w:ascii="宋体" w:hAnsi="宋体" w:cs="宋体"/>
          <w:b/>
          <w:color w:val="auto"/>
          <w:kern w:val="21"/>
          <w:sz w:val="32"/>
          <w:szCs w:val="32"/>
          <w:highlight w:val="none"/>
        </w:rPr>
      </w:pPr>
    </w:p>
    <w:p w14:paraId="48E06131">
      <w:pPr>
        <w:spacing w:line="400" w:lineRule="exact"/>
        <w:rPr>
          <w:rFonts w:ascii="宋体" w:hAnsi="宋体" w:cs="宋体"/>
          <w:b/>
          <w:color w:val="auto"/>
          <w:kern w:val="21"/>
          <w:sz w:val="32"/>
          <w:szCs w:val="32"/>
          <w:highlight w:val="none"/>
        </w:rPr>
        <w:sectPr>
          <w:headerReference r:id="rId6" w:type="first"/>
          <w:footerReference r:id="rId8" w:type="first"/>
          <w:headerReference r:id="rId5" w:type="default"/>
          <w:footerReference r:id="rId7" w:type="default"/>
          <w:pgSz w:w="11911" w:h="16838"/>
          <w:pgMar w:top="1440" w:right="1440" w:bottom="1440" w:left="1440" w:header="720" w:footer="720" w:gutter="0"/>
          <w:pgNumType w:start="1"/>
          <w:cols w:space="720" w:num="1"/>
          <w:docGrid w:linePitch="312" w:charSpace="0"/>
        </w:sectPr>
      </w:pPr>
    </w:p>
    <w:p w14:paraId="14E80FFD">
      <w:pPr>
        <w:pStyle w:val="2"/>
        <w:spacing w:before="0" w:after="0" w:line="360" w:lineRule="auto"/>
        <w:jc w:val="center"/>
        <w:rPr>
          <w:rFonts w:hint="eastAsia" w:ascii="宋体" w:hAnsi="宋体" w:eastAsia="宋体" w:cs="宋体"/>
          <w:color w:val="auto"/>
          <w:kern w:val="21"/>
          <w:sz w:val="32"/>
          <w:szCs w:val="32"/>
          <w:highlight w:val="none"/>
        </w:rPr>
      </w:pPr>
      <w:bookmarkStart w:id="1" w:name="_Toc5624"/>
      <w:bookmarkStart w:id="2" w:name="_Toc32460"/>
      <w:bookmarkStart w:id="3" w:name="_Toc80205920"/>
      <w:r>
        <w:rPr>
          <w:rFonts w:hint="eastAsia" w:ascii="宋体" w:hAnsi="宋体" w:eastAsia="宋体" w:cs="宋体"/>
          <w:color w:val="auto"/>
          <w:kern w:val="21"/>
          <w:sz w:val="32"/>
          <w:szCs w:val="32"/>
          <w:highlight w:val="none"/>
        </w:rPr>
        <w:t>第一章 竞争性磋商公告</w:t>
      </w:r>
      <w:bookmarkEnd w:id="1"/>
      <w:bookmarkEnd w:id="2"/>
      <w:bookmarkEnd w:id="3"/>
      <w:bookmarkStart w:id="4" w:name="_Toc44229878"/>
      <w:bookmarkStart w:id="5" w:name="_Toc35393798"/>
      <w:bookmarkStart w:id="6" w:name="_Toc28359089"/>
      <w:bookmarkStart w:id="7" w:name="_Toc35393629"/>
      <w:bookmarkStart w:id="8" w:name="_Toc28359012"/>
      <w:bookmarkStart w:id="9" w:name="_Toc28359081"/>
      <w:bookmarkStart w:id="10" w:name="_Toc35393623"/>
      <w:bookmarkStart w:id="11" w:name="_Toc28359004"/>
      <w:bookmarkStart w:id="12" w:name="_Toc35393792"/>
    </w:p>
    <w:p w14:paraId="3BCE8CD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8"/>
          <w:szCs w:val="28"/>
          <w:highlight w:val="none"/>
        </w:rPr>
      </w:pPr>
      <w:bookmarkStart w:id="13" w:name="_Toc101775056"/>
      <w:bookmarkStart w:id="14" w:name="_Toc91262597"/>
      <w:bookmarkStart w:id="15" w:name="_Toc91262500"/>
      <w:r>
        <w:rPr>
          <w:rFonts w:hint="eastAsia" w:ascii="宋体" w:hAnsi="宋体" w:cs="宋体"/>
          <w:b/>
          <w:color w:val="auto"/>
          <w:spacing w:val="-11"/>
          <w:kern w:val="21"/>
          <w:sz w:val="30"/>
          <w:szCs w:val="30"/>
          <w:highlight w:val="none"/>
          <w:lang w:eastAsia="zh-CN"/>
        </w:rPr>
        <w:t>广西壮族自治区通信产业服务有限公司关于AI赋能千行百业超级联赛对外宣传服务</w:t>
      </w:r>
      <w:r>
        <w:rPr>
          <w:rFonts w:hint="eastAsia" w:ascii="宋体" w:hAnsi="宋体" w:eastAsia="宋体" w:cs="宋体"/>
          <w:b/>
          <w:color w:val="auto"/>
          <w:kern w:val="21"/>
          <w:sz w:val="28"/>
          <w:szCs w:val="28"/>
          <w:highlight w:val="none"/>
        </w:rPr>
        <w:t>（</w:t>
      </w:r>
      <w:r>
        <w:rPr>
          <w:rFonts w:hint="eastAsia" w:ascii="宋体" w:hAnsi="宋体" w:cs="宋体"/>
          <w:b/>
          <w:color w:val="auto"/>
          <w:kern w:val="21"/>
          <w:sz w:val="28"/>
          <w:szCs w:val="28"/>
          <w:highlight w:val="none"/>
          <w:lang w:val="en-US" w:eastAsia="zh-CN"/>
        </w:rPr>
        <w:t>项目编号：GXZC2025-C3-003466-GXTF</w:t>
      </w:r>
      <w:r>
        <w:rPr>
          <w:rFonts w:hint="eastAsia" w:ascii="宋体" w:hAnsi="宋体" w:eastAsia="宋体" w:cs="宋体"/>
          <w:b/>
          <w:color w:val="auto"/>
          <w:kern w:val="21"/>
          <w:sz w:val="28"/>
          <w:szCs w:val="28"/>
          <w:highlight w:val="none"/>
        </w:rPr>
        <w:t>）</w:t>
      </w:r>
    </w:p>
    <w:p w14:paraId="037DBE2B">
      <w:pPr>
        <w:keepNext/>
        <w:keepLines/>
        <w:pageBreakBefore w:val="0"/>
        <w:widowControl/>
        <w:tabs>
          <w:tab w:val="left" w:pos="0"/>
          <w:tab w:val="left" w:pos="3165"/>
          <w:tab w:val="center" w:pos="4153"/>
        </w:tabs>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color w:val="auto"/>
          <w:kern w:val="21"/>
          <w:sz w:val="28"/>
          <w:szCs w:val="28"/>
          <w:highlight w:val="none"/>
        </w:rPr>
      </w:pPr>
      <w:r>
        <w:rPr>
          <w:rFonts w:hint="eastAsia" w:ascii="宋体" w:hAnsi="宋体" w:eastAsia="宋体" w:cs="宋体"/>
          <w:b/>
          <w:color w:val="auto"/>
          <w:kern w:val="21"/>
          <w:sz w:val="28"/>
          <w:szCs w:val="28"/>
          <w:highlight w:val="none"/>
        </w:rPr>
        <w:t>竞争性磋商公告</w:t>
      </w:r>
      <w:bookmarkEnd w:id="13"/>
      <w:bookmarkEnd w:id="14"/>
      <w:bookmarkEnd w:id="15"/>
    </w:p>
    <w:p w14:paraId="596794F5">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项目概况</w:t>
      </w:r>
    </w:p>
    <w:p w14:paraId="53DADC7E">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color w:val="auto"/>
          <w:kern w:val="21"/>
          <w:sz w:val="21"/>
          <w:szCs w:val="21"/>
          <w:highlight w:val="none"/>
          <w:lang w:eastAsia="zh-CN"/>
        </w:rPr>
        <w:t>AI赋能千行百业超级联赛对外宣传服务</w:t>
      </w:r>
      <w:r>
        <w:rPr>
          <w:rFonts w:hint="eastAsia" w:ascii="宋体" w:hAnsi="宋体" w:eastAsia="宋体" w:cs="宋体"/>
          <w:color w:val="auto"/>
          <w:kern w:val="21"/>
          <w:sz w:val="21"/>
          <w:szCs w:val="21"/>
          <w:highlight w:val="none"/>
        </w:rPr>
        <w:t>的潜在供应商应在“广西政府采购云平台”</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"https://www.zcygov.cn/）获取（下载）获取竞争性磋商文件，并于" </w:instrText>
      </w:r>
      <w:r>
        <w:rPr>
          <w:rFonts w:hint="eastAsia" w:ascii="宋体" w:hAnsi="宋体" w:eastAsia="宋体" w:cs="宋体"/>
          <w:color w:val="auto"/>
          <w:kern w:val="21"/>
          <w:sz w:val="21"/>
          <w:szCs w:val="21"/>
          <w:highlight w:val="none"/>
        </w:rPr>
        <w:fldChar w:fldCharType="separate"/>
      </w:r>
      <w:r>
        <w:rPr>
          <w:rStyle w:val="39"/>
          <w:rFonts w:hint="eastAsia" w:ascii="宋体" w:hAnsi="宋体" w:eastAsia="宋体" w:cs="宋体"/>
          <w:color w:val="auto"/>
          <w:kern w:val="21"/>
          <w:sz w:val="21"/>
          <w:szCs w:val="21"/>
          <w:highlight w:val="none"/>
          <w:u w:val="none"/>
        </w:rPr>
        <w:t>获取（下载）竞争性磋商文件，并于</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25</w:t>
      </w:r>
      <w:r>
        <w:rPr>
          <w:rFonts w:hint="eastAsia" w:ascii="宋体" w:hAnsi="宋体" w:eastAsia="宋体" w:cs="宋体"/>
          <w:color w:val="auto"/>
          <w:kern w:val="21"/>
          <w:sz w:val="21"/>
          <w:szCs w:val="21"/>
          <w:highlight w:val="none"/>
        </w:rPr>
        <w:t>日</w:t>
      </w:r>
      <w:r>
        <w:rPr>
          <w:rFonts w:hint="eastAsia" w:ascii="宋体" w:hAnsi="宋体" w:cs="宋体"/>
          <w:color w:val="auto"/>
          <w:kern w:val="21"/>
          <w:sz w:val="21"/>
          <w:szCs w:val="21"/>
          <w:highlight w:val="none"/>
          <w:lang w:val="en-US" w:eastAsia="zh-CN"/>
        </w:rPr>
        <w:t>9</w:t>
      </w:r>
      <w:r>
        <w:rPr>
          <w:rFonts w:hint="eastAsia" w:ascii="宋体" w:hAnsi="宋体" w:eastAsia="宋体" w:cs="宋体"/>
          <w:color w:val="auto"/>
          <w:kern w:val="21"/>
          <w:sz w:val="21"/>
          <w:szCs w:val="21"/>
          <w:highlight w:val="none"/>
        </w:rPr>
        <w:t>时</w:t>
      </w:r>
      <w:r>
        <w:rPr>
          <w:rFonts w:hint="eastAsia" w:ascii="宋体" w:hAnsi="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0分</w:t>
      </w:r>
      <w:r>
        <w:rPr>
          <w:rFonts w:hint="eastAsia" w:ascii="宋体" w:hAnsi="宋体" w:eastAsia="宋体" w:cs="宋体"/>
          <w:bCs/>
          <w:color w:val="auto"/>
          <w:kern w:val="21"/>
          <w:sz w:val="21"/>
          <w:szCs w:val="21"/>
          <w:highlight w:val="none"/>
        </w:rPr>
        <w:t>（北京时间）前提交响应文件</w:t>
      </w:r>
      <w:r>
        <w:rPr>
          <w:rFonts w:hint="eastAsia" w:ascii="宋体" w:hAnsi="宋体" w:eastAsia="宋体" w:cs="宋体"/>
          <w:color w:val="auto"/>
          <w:kern w:val="21"/>
          <w:sz w:val="21"/>
          <w:szCs w:val="21"/>
          <w:highlight w:val="none"/>
        </w:rPr>
        <w:t>。</w:t>
      </w:r>
    </w:p>
    <w:p w14:paraId="19958CCA">
      <w:pPr>
        <w:keepNext/>
        <w:keepLines/>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p>
    <w:p w14:paraId="4DA2E6C5">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一、项目基本情况</w:t>
      </w:r>
      <w:bookmarkEnd w:id="4"/>
      <w:bookmarkEnd w:id="5"/>
      <w:bookmarkEnd w:id="6"/>
      <w:bookmarkEnd w:id="7"/>
      <w:bookmarkEnd w:id="8"/>
    </w:p>
    <w:p w14:paraId="41EB629B">
      <w:pPr>
        <w:pageBreakBefore w:val="0"/>
        <w:kinsoku/>
        <w:wordWrap/>
        <w:autoSpaceDE/>
        <w:autoSpaceDN/>
        <w:bidi w:val="0"/>
        <w:adjustRightInd/>
        <w:snapToGrid/>
        <w:spacing w:line="360" w:lineRule="auto"/>
        <w:ind w:firstLine="420" w:firstLineChars="200"/>
        <w:textAlignment w:val="auto"/>
        <w:rPr>
          <w:rFonts w:hint="default"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项目编号：</w:t>
      </w:r>
      <w:r>
        <w:rPr>
          <w:rFonts w:hint="eastAsia" w:ascii="宋体" w:hAnsi="宋体" w:cs="宋体"/>
          <w:color w:val="auto"/>
          <w:kern w:val="21"/>
          <w:sz w:val="21"/>
          <w:szCs w:val="21"/>
          <w:highlight w:val="none"/>
          <w:lang w:eastAsia="zh-CN"/>
        </w:rPr>
        <w:t>GXZC2025-C3-003466-GXTF</w:t>
      </w:r>
      <w:r>
        <w:rPr>
          <w:rFonts w:hint="eastAsia" w:ascii="宋体" w:hAnsi="宋体" w:cs="宋体"/>
          <w:color w:val="auto"/>
          <w:kern w:val="21"/>
          <w:sz w:val="21"/>
          <w:szCs w:val="21"/>
          <w:highlight w:val="none"/>
          <w:lang w:val="en-US" w:eastAsia="zh-CN"/>
        </w:rPr>
        <w:t xml:space="preserve">         </w:t>
      </w:r>
    </w:p>
    <w:p w14:paraId="3F033AD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项目名称：</w:t>
      </w:r>
      <w:r>
        <w:rPr>
          <w:rFonts w:hint="eastAsia" w:ascii="宋体" w:hAnsi="宋体" w:cs="宋体"/>
          <w:color w:val="auto"/>
          <w:kern w:val="21"/>
          <w:sz w:val="21"/>
          <w:szCs w:val="21"/>
          <w:highlight w:val="none"/>
          <w:lang w:eastAsia="zh-CN"/>
        </w:rPr>
        <w:t>AI赋能千行百业超级联赛对外宣传服务</w:t>
      </w:r>
    </w:p>
    <w:p w14:paraId="4D60DCCD">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采购方式：□竞争性谈判 ☑竞争性磋商 □询价</w:t>
      </w:r>
    </w:p>
    <w:p w14:paraId="5DB6527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预算金额：198万元</w:t>
      </w:r>
    </w:p>
    <w:p w14:paraId="7B320B7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16" w:name="_Toc28359013"/>
      <w:bookmarkStart w:id="17" w:name="_Toc35393799"/>
      <w:bookmarkStart w:id="18" w:name="_Toc44229879"/>
      <w:bookmarkStart w:id="19" w:name="_Toc28359090"/>
      <w:bookmarkStart w:id="20" w:name="_Toc35393630"/>
      <w:r>
        <w:rPr>
          <w:rFonts w:hint="eastAsia" w:ascii="宋体" w:hAnsi="宋体" w:eastAsia="宋体" w:cs="宋体"/>
          <w:color w:val="auto"/>
          <w:kern w:val="21"/>
          <w:sz w:val="21"/>
          <w:szCs w:val="21"/>
          <w:highlight w:val="none"/>
        </w:rPr>
        <w:t>采购需求：</w:t>
      </w:r>
      <w:r>
        <w:rPr>
          <w:rFonts w:hint="eastAsia" w:ascii="宋体" w:hAnsi="宋体" w:cs="宋体"/>
          <w:color w:val="auto"/>
          <w:kern w:val="21"/>
          <w:sz w:val="21"/>
          <w:szCs w:val="21"/>
          <w:highlight w:val="none"/>
          <w:lang w:eastAsia="zh-CN"/>
        </w:rPr>
        <w:t>AI赋能千行百业超级联赛对外宣传服务</w:t>
      </w:r>
      <w:r>
        <w:rPr>
          <w:rFonts w:hint="eastAsia" w:ascii="宋体" w:hAnsi="宋体" w:eastAsia="宋体" w:cs="宋体"/>
          <w:color w:val="auto"/>
          <w:kern w:val="21"/>
          <w:sz w:val="21"/>
          <w:szCs w:val="21"/>
          <w:highlight w:val="none"/>
        </w:rPr>
        <w:t>1项。如需进一步了解详细内容，详见竞争性磋商文件。</w:t>
      </w:r>
    </w:p>
    <w:p w14:paraId="34BEF5F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合同履行期限：合同签订之日起至</w:t>
      </w:r>
      <w:r>
        <w:rPr>
          <w:rFonts w:hint="eastAsia" w:ascii="宋体" w:hAnsi="宋体" w:cs="宋体"/>
          <w:color w:val="auto"/>
          <w:kern w:val="21"/>
          <w:sz w:val="21"/>
          <w:szCs w:val="21"/>
          <w:highlight w:val="none"/>
          <w:lang w:val="en-US" w:eastAsia="zh-CN"/>
        </w:rPr>
        <w:t>全部</w:t>
      </w:r>
      <w:r>
        <w:rPr>
          <w:rFonts w:hint="eastAsia" w:ascii="宋体" w:hAnsi="宋体" w:eastAsia="宋体" w:cs="宋体"/>
          <w:color w:val="auto"/>
          <w:kern w:val="21"/>
          <w:sz w:val="21"/>
          <w:szCs w:val="21"/>
          <w:highlight w:val="none"/>
        </w:rPr>
        <w:t>活动结束后40个工作日。</w:t>
      </w:r>
    </w:p>
    <w:p w14:paraId="0C0E1A1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本项目不接受联合体响应。</w:t>
      </w:r>
    </w:p>
    <w:p w14:paraId="1F653620">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b/>
          <w:color w:val="auto"/>
          <w:kern w:val="21"/>
          <w:sz w:val="21"/>
          <w:szCs w:val="21"/>
          <w:highlight w:val="none"/>
        </w:rPr>
        <w:t>二、供应商的资格条件</w:t>
      </w:r>
      <w:bookmarkEnd w:id="16"/>
      <w:bookmarkEnd w:id="17"/>
      <w:bookmarkEnd w:id="18"/>
      <w:bookmarkEnd w:id="19"/>
      <w:bookmarkEnd w:id="20"/>
    </w:p>
    <w:p w14:paraId="21791A09">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1.满足《中华人民共和国政府采购法》第二十二条规定。</w:t>
      </w:r>
    </w:p>
    <w:p w14:paraId="11ADBD4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2.落实政府采购政策需满足的资格要求：</w:t>
      </w:r>
    </w:p>
    <w:p w14:paraId="771C137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□专门面向中小企业采购的项目（供应商应为中小微企业、监狱企业、残疾人福利性单位）</w:t>
      </w:r>
    </w:p>
    <w:p w14:paraId="09121E0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☑非专门面向中小企业采购的项目</w:t>
      </w:r>
    </w:p>
    <w:p w14:paraId="7C79901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其他要求：无</w:t>
      </w:r>
    </w:p>
    <w:p w14:paraId="6180146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lang w:eastAsia="zh-CN"/>
        </w:rPr>
      </w:pPr>
      <w:r>
        <w:rPr>
          <w:rFonts w:hint="eastAsia" w:ascii="宋体" w:hAnsi="宋体" w:eastAsia="宋体" w:cs="宋体"/>
          <w:color w:val="auto"/>
          <w:kern w:val="21"/>
          <w:sz w:val="21"/>
          <w:szCs w:val="21"/>
          <w:highlight w:val="none"/>
        </w:rPr>
        <w:t>3.本项目的特定资格要求：</w:t>
      </w:r>
      <w:r>
        <w:rPr>
          <w:rFonts w:hint="eastAsia" w:ascii="宋体" w:hAnsi="宋体" w:cs="宋体"/>
          <w:color w:val="auto"/>
          <w:kern w:val="21"/>
          <w:sz w:val="21"/>
          <w:szCs w:val="21"/>
          <w:highlight w:val="none"/>
          <w:lang w:val="en-US" w:eastAsia="zh-CN"/>
        </w:rPr>
        <w:t>无</w:t>
      </w:r>
    </w:p>
    <w:p w14:paraId="58F401D6">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三、获取采购文件</w:t>
      </w:r>
      <w:bookmarkEnd w:id="9"/>
      <w:bookmarkEnd w:id="10"/>
      <w:bookmarkEnd w:id="11"/>
      <w:bookmarkEnd w:id="12"/>
    </w:p>
    <w:p w14:paraId="2F0A0EA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21" w:name="_Toc35393624"/>
      <w:bookmarkStart w:id="22" w:name="_Toc35393793"/>
      <w:bookmarkStart w:id="23" w:name="_Toc28359082"/>
      <w:bookmarkStart w:id="24" w:name="_Toc28359005"/>
      <w:r>
        <w:rPr>
          <w:rFonts w:hint="eastAsia" w:ascii="宋体" w:hAnsi="宋体" w:eastAsia="宋体" w:cs="宋体"/>
          <w:color w:val="auto"/>
          <w:kern w:val="21"/>
          <w:sz w:val="21"/>
          <w:szCs w:val="21"/>
          <w:highlight w:val="none"/>
        </w:rPr>
        <w:t>1.时间：202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14</w:t>
      </w:r>
      <w:r>
        <w:rPr>
          <w:rFonts w:hint="eastAsia" w:ascii="宋体" w:hAnsi="宋体" w:eastAsia="宋体" w:cs="宋体"/>
          <w:color w:val="auto"/>
          <w:kern w:val="21"/>
          <w:sz w:val="21"/>
          <w:szCs w:val="21"/>
          <w:highlight w:val="none"/>
        </w:rPr>
        <w:t>日起至202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21</w:t>
      </w:r>
      <w:r>
        <w:rPr>
          <w:rFonts w:hint="eastAsia" w:ascii="宋体" w:hAnsi="宋体" w:eastAsia="宋体" w:cs="宋体"/>
          <w:color w:val="auto"/>
          <w:kern w:val="21"/>
          <w:sz w:val="21"/>
          <w:szCs w:val="21"/>
          <w:highlight w:val="none"/>
        </w:rPr>
        <w:t>日，每天上午</w:t>
      </w:r>
      <w:r>
        <w:rPr>
          <w:rFonts w:hint="eastAsia" w:ascii="宋体" w:hAnsi="宋体" w:eastAsia="宋体" w:cs="宋体"/>
          <w:color w:val="auto"/>
          <w:kern w:val="21"/>
          <w:sz w:val="21"/>
          <w:szCs w:val="21"/>
          <w:highlight w:val="none"/>
          <w:u w:val="single"/>
        </w:rPr>
        <w:t>0：00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，下午</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23：59</w:t>
      </w:r>
      <w:r>
        <w:rPr>
          <w:rFonts w:hint="eastAsia" w:ascii="宋体" w:hAnsi="宋体" w:eastAsia="宋体" w:cs="宋体"/>
          <w:color w:val="auto"/>
          <w:kern w:val="21"/>
          <w:sz w:val="21"/>
          <w:szCs w:val="21"/>
          <w:highlight w:val="none"/>
        </w:rPr>
        <w:t>（北京时间，法定节假日除外）。</w:t>
      </w:r>
    </w:p>
    <w:p w14:paraId="640929B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2.地点：“广西政府采购云平台”</w:t>
      </w:r>
    </w:p>
    <w:p w14:paraId="585A3F0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1F27B479">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4.售价：采购文件工本费每本</w:t>
      </w:r>
      <w:r>
        <w:rPr>
          <w:rFonts w:hint="eastAsia" w:ascii="宋体" w:hAnsi="宋体" w:eastAsia="宋体" w:cs="宋体"/>
          <w:color w:val="auto"/>
          <w:kern w:val="21"/>
          <w:sz w:val="21"/>
          <w:szCs w:val="21"/>
          <w:highlight w:val="none"/>
          <w:u w:val="single"/>
        </w:rPr>
        <w:t xml:space="preserve"> 0 </w:t>
      </w:r>
      <w:r>
        <w:rPr>
          <w:rFonts w:hint="eastAsia" w:ascii="宋体" w:hAnsi="宋体" w:eastAsia="宋体" w:cs="宋体"/>
          <w:color w:val="auto"/>
          <w:kern w:val="21"/>
          <w:sz w:val="21"/>
          <w:szCs w:val="21"/>
          <w:highlight w:val="none"/>
        </w:rPr>
        <w:t>元。</w:t>
      </w:r>
    </w:p>
    <w:p w14:paraId="624E93D2">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w:t>
      </w:r>
      <w:bookmarkEnd w:id="21"/>
      <w:bookmarkEnd w:id="22"/>
      <w:bookmarkEnd w:id="23"/>
      <w:bookmarkEnd w:id="24"/>
      <w:r>
        <w:rPr>
          <w:rFonts w:hint="eastAsia" w:ascii="宋体" w:hAnsi="宋体" w:eastAsia="宋体" w:cs="宋体"/>
          <w:b/>
          <w:bCs/>
          <w:color w:val="auto"/>
          <w:kern w:val="21"/>
          <w:sz w:val="21"/>
          <w:szCs w:val="21"/>
          <w:highlight w:val="none"/>
        </w:rPr>
        <w:t>响应文件提交</w:t>
      </w:r>
    </w:p>
    <w:p w14:paraId="2D3BBE0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1.响应文件提交截止时间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25</w:t>
      </w:r>
      <w:r>
        <w:rPr>
          <w:rFonts w:hint="eastAsia" w:ascii="宋体" w:hAnsi="宋体" w:eastAsia="宋体" w:cs="宋体"/>
          <w:color w:val="auto"/>
          <w:kern w:val="21"/>
          <w:sz w:val="21"/>
          <w:szCs w:val="21"/>
          <w:highlight w:val="none"/>
        </w:rPr>
        <w:t>日</w:t>
      </w:r>
      <w:r>
        <w:rPr>
          <w:rFonts w:hint="eastAsia" w:ascii="宋体" w:hAnsi="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7926A3A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2.响应文件提交地点：“广西政府采购云平台”。</w:t>
      </w:r>
    </w:p>
    <w:p w14:paraId="33D73655">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五、开启（首次响应文件开启时间）</w:t>
      </w:r>
    </w:p>
    <w:p w14:paraId="1DF64D62">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1.时间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11</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25</w:t>
      </w:r>
      <w:r>
        <w:rPr>
          <w:rFonts w:hint="eastAsia" w:ascii="宋体" w:hAnsi="宋体" w:eastAsia="宋体" w:cs="宋体"/>
          <w:color w:val="auto"/>
          <w:kern w:val="21"/>
          <w:sz w:val="21"/>
          <w:szCs w:val="21"/>
          <w:highlight w:val="none"/>
        </w:rPr>
        <w:t>日</w:t>
      </w:r>
      <w:r>
        <w:rPr>
          <w:rFonts w:hint="eastAsia" w:ascii="宋体" w:hAnsi="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7F9A539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 xml:space="preserve">2.地点：“广西政府采购云平台”电子开标大厅（南宁市青秀区金湖路52-1号东方曼哈顿大厦20楼广西壮族自治区通信产业服务有限公司开评标室）    </w:t>
      </w:r>
    </w:p>
    <w:p w14:paraId="2B982623">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5" w:name="_Toc28359084"/>
      <w:bookmarkStart w:id="26" w:name="_Toc35393794"/>
      <w:bookmarkStart w:id="27" w:name="_Toc35393625"/>
      <w:bookmarkStart w:id="28" w:name="_Toc28359007"/>
      <w:r>
        <w:rPr>
          <w:rFonts w:hint="eastAsia" w:ascii="宋体" w:hAnsi="宋体" w:eastAsia="宋体" w:cs="宋体"/>
          <w:b/>
          <w:bCs/>
          <w:color w:val="auto"/>
          <w:kern w:val="21"/>
          <w:sz w:val="21"/>
          <w:szCs w:val="21"/>
          <w:highlight w:val="none"/>
        </w:rPr>
        <w:t>六、公告期限</w:t>
      </w:r>
      <w:bookmarkEnd w:id="25"/>
      <w:bookmarkEnd w:id="26"/>
      <w:bookmarkEnd w:id="27"/>
      <w:bookmarkEnd w:id="28"/>
    </w:p>
    <w:p w14:paraId="0BC95DA4">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自本公告发布之日起5个工作日。</w:t>
      </w:r>
    </w:p>
    <w:p w14:paraId="7545108F">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9" w:name="_Toc35393626"/>
      <w:bookmarkStart w:id="30" w:name="_Toc35393795"/>
      <w:r>
        <w:rPr>
          <w:rFonts w:hint="eastAsia" w:ascii="宋体" w:hAnsi="宋体" w:eastAsia="宋体" w:cs="宋体"/>
          <w:b/>
          <w:bCs/>
          <w:color w:val="auto"/>
          <w:kern w:val="21"/>
          <w:sz w:val="21"/>
          <w:szCs w:val="21"/>
          <w:highlight w:val="none"/>
        </w:rPr>
        <w:t>七、其他补充事宜</w:t>
      </w:r>
      <w:bookmarkEnd w:id="29"/>
      <w:bookmarkEnd w:id="30"/>
    </w:p>
    <w:p w14:paraId="46BEC0C2">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w:t>
      </w:r>
      <w:r>
        <w:rPr>
          <w:rFonts w:hint="eastAsia" w:ascii="宋体" w:hAnsi="宋体" w:eastAsia="宋体" w:cs="宋体"/>
          <w:bCs/>
          <w:color w:val="auto"/>
          <w:kern w:val="21"/>
          <w:sz w:val="21"/>
          <w:szCs w:val="21"/>
          <w:highlight w:val="none"/>
          <w:lang w:bidi="ar"/>
        </w:rPr>
        <w:t>磋商保证金（人民币）</w:t>
      </w:r>
      <w:r>
        <w:rPr>
          <w:rFonts w:hint="eastAsia" w:ascii="宋体" w:hAnsi="宋体" w:eastAsia="宋体" w:cs="宋体"/>
          <w:color w:val="auto"/>
          <w:kern w:val="21"/>
          <w:sz w:val="21"/>
          <w:szCs w:val="21"/>
          <w:highlight w:val="none"/>
          <w:lang w:bidi="ar"/>
        </w:rPr>
        <w:t>：</w:t>
      </w:r>
      <w:r>
        <w:rPr>
          <w:rFonts w:hint="eastAsia" w:ascii="宋体" w:hAnsi="宋体" w:eastAsia="宋体" w:cs="宋体"/>
          <w:color w:val="auto"/>
          <w:kern w:val="21"/>
          <w:sz w:val="21"/>
          <w:szCs w:val="21"/>
          <w:highlight w:val="none"/>
          <w:u w:val="single"/>
          <w:lang w:bidi="ar"/>
        </w:rPr>
        <w:t>1</w:t>
      </w:r>
      <w:r>
        <w:rPr>
          <w:rFonts w:hint="eastAsia" w:ascii="宋体" w:hAnsi="宋体" w:cs="宋体"/>
          <w:color w:val="auto"/>
          <w:kern w:val="21"/>
          <w:sz w:val="21"/>
          <w:szCs w:val="21"/>
          <w:highlight w:val="none"/>
          <w:u w:val="single"/>
          <w:lang w:val="en-US" w:eastAsia="zh-CN" w:bidi="ar"/>
        </w:rPr>
        <w:t>5</w:t>
      </w:r>
      <w:r>
        <w:rPr>
          <w:rFonts w:hint="eastAsia" w:ascii="宋体" w:hAnsi="宋体" w:eastAsia="宋体" w:cs="宋体"/>
          <w:color w:val="auto"/>
          <w:kern w:val="21"/>
          <w:sz w:val="21"/>
          <w:szCs w:val="21"/>
          <w:highlight w:val="none"/>
          <w:u w:val="single"/>
          <w:lang w:bidi="ar"/>
        </w:rPr>
        <w:t xml:space="preserve">000.00 </w:t>
      </w:r>
      <w:r>
        <w:rPr>
          <w:rFonts w:hint="eastAsia" w:ascii="宋体" w:hAnsi="宋体" w:eastAsia="宋体" w:cs="宋体"/>
          <w:color w:val="auto"/>
          <w:kern w:val="21"/>
          <w:sz w:val="21"/>
          <w:szCs w:val="21"/>
          <w:highlight w:val="none"/>
          <w:lang w:bidi="ar"/>
        </w:rPr>
        <w:t>元。</w:t>
      </w:r>
      <w:r>
        <w:rPr>
          <w:rFonts w:hint="eastAsia" w:ascii="宋体" w:hAnsi="宋体" w:eastAsia="宋体" w:cs="宋体"/>
          <w:bCs/>
          <w:color w:val="auto"/>
          <w:kern w:val="21"/>
          <w:sz w:val="21"/>
          <w:szCs w:val="21"/>
          <w:highlight w:val="none"/>
          <w:lang w:bidi="ar"/>
        </w:rPr>
        <w:t>（必须足额</w:t>
      </w:r>
      <w:r>
        <w:rPr>
          <w:rFonts w:hint="eastAsia" w:ascii="宋体" w:hAnsi="宋体" w:eastAsia="宋体" w:cs="宋体"/>
          <w:bCs/>
          <w:color w:val="auto"/>
          <w:kern w:val="21"/>
          <w:sz w:val="21"/>
          <w:szCs w:val="21"/>
          <w:highlight w:val="none"/>
          <w:lang w:val="en-US" w:eastAsia="zh-CN" w:bidi="ar"/>
        </w:rPr>
        <w:t>缴</w:t>
      </w:r>
      <w:r>
        <w:rPr>
          <w:rFonts w:hint="eastAsia" w:ascii="宋体" w:hAnsi="宋体" w:eastAsia="宋体" w:cs="宋体"/>
          <w:bCs/>
          <w:color w:val="auto"/>
          <w:kern w:val="21"/>
          <w:sz w:val="21"/>
          <w:szCs w:val="21"/>
          <w:highlight w:val="none"/>
          <w:lang w:bidi="ar"/>
        </w:rPr>
        <w:t>纳）</w:t>
      </w:r>
    </w:p>
    <w:p w14:paraId="54BE9ED4">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bCs/>
          <w:kern w:val="21"/>
          <w:szCs w:val="21"/>
          <w:highlight w:val="none"/>
          <w:lang w:bidi="ar"/>
        </w:rPr>
        <w:t>竞标人应于响应文件递交截止时间前将磋商保证金以银行转账、电汇、网上支付、支票、汇票、本票或者金融机构、担保机构、保险机构出具的保函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等非现金形式提交。采用支票、汇票、本票或者金融机构、担保机构、保险机构出具的保函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等形式的，</w:t>
      </w:r>
      <w:r>
        <w:rPr>
          <w:rFonts w:hint="eastAsia" w:ascii="宋体" w:hAnsi="宋体" w:cs="宋体"/>
          <w:kern w:val="21"/>
          <w:szCs w:val="21"/>
          <w:highlight w:val="none"/>
        </w:rPr>
        <w:t>竞标人</w:t>
      </w:r>
      <w:r>
        <w:rPr>
          <w:rFonts w:hint="eastAsia" w:ascii="宋体" w:hAnsi="宋体" w:cs="宋体"/>
          <w:kern w:val="21"/>
          <w:szCs w:val="21"/>
          <w:highlight w:val="none"/>
          <w:lang w:val="en-US" w:eastAsia="zh-CN"/>
        </w:rPr>
        <w:t>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前将单独密封的支票、汇票、本票或者保函、保险单原件提交给采购代理机构，</w:t>
      </w:r>
      <w:r>
        <w:rPr>
          <w:rFonts w:hint="eastAsia" w:ascii="宋体" w:hAnsi="宋体" w:cs="宋体"/>
          <w:kern w:val="21"/>
          <w:szCs w:val="21"/>
          <w:highlight w:val="none"/>
        </w:rPr>
        <w:t>否则</w:t>
      </w:r>
      <w:r>
        <w:rPr>
          <w:rFonts w:hint="eastAsia" w:ascii="宋体" w:hAnsi="宋体" w:cs="宋体"/>
          <w:kern w:val="21"/>
          <w:szCs w:val="21"/>
          <w:highlight w:val="none"/>
          <w:lang w:val="en-US" w:eastAsia="zh-CN"/>
        </w:rPr>
        <w:t>视为无效磋商保证金</w:t>
      </w:r>
      <w:r>
        <w:rPr>
          <w:rFonts w:hint="eastAsia" w:ascii="宋体" w:hAnsi="宋体" w:cs="宋体"/>
          <w:bCs/>
          <w:kern w:val="21"/>
          <w:szCs w:val="21"/>
          <w:highlight w:val="none"/>
          <w:lang w:bidi="ar"/>
        </w:rPr>
        <w:t>；采用银行转账、电汇、网上支付形式的，竞标人须于响应文件递交截止时间前将磋商保证金从竞标人基本账户转至采购代理机构指定账户（</w:t>
      </w:r>
      <w:r>
        <w:rPr>
          <w:rFonts w:hint="eastAsia" w:ascii="宋体" w:hAnsi="宋体" w:cs="宋体"/>
          <w:b/>
          <w:bCs/>
          <w:kern w:val="21"/>
          <w:szCs w:val="21"/>
          <w:highlight w:val="none"/>
          <w:lang w:bidi="ar"/>
        </w:rPr>
        <w:t>缴纳时注明项目编号</w:t>
      </w:r>
      <w:r>
        <w:rPr>
          <w:rFonts w:hint="eastAsia" w:ascii="宋体" w:hAnsi="宋体" w:cs="宋体"/>
          <w:bCs/>
          <w:kern w:val="21"/>
          <w:szCs w:val="21"/>
          <w:highlight w:val="none"/>
          <w:lang w:bidi="ar"/>
        </w:rPr>
        <w:t>）</w:t>
      </w:r>
      <w:r>
        <w:rPr>
          <w:rFonts w:hint="eastAsia" w:ascii="宋体" w:hAnsi="宋体" w:eastAsia="宋体" w:cs="宋体"/>
          <w:bCs/>
          <w:color w:val="auto"/>
          <w:kern w:val="21"/>
          <w:sz w:val="21"/>
          <w:szCs w:val="21"/>
          <w:highlight w:val="none"/>
          <w:lang w:bidi="ar"/>
        </w:rPr>
        <w:t>。</w:t>
      </w:r>
    </w:p>
    <w:p w14:paraId="75095795">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开户名称：广西壮族自治区通信产业服务有限公司招标中心</w:t>
      </w:r>
    </w:p>
    <w:p w14:paraId="3275A90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开户行：中国建设银行股份有限公司南宁大学路支行</w:t>
      </w:r>
    </w:p>
    <w:p w14:paraId="73A0F65D">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账号：45050160485100001383-0007</w:t>
      </w:r>
    </w:p>
    <w:p w14:paraId="06064C9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2.网上查询地址：中国政府采购网、广西壮族自治区政府采购网。</w:t>
      </w:r>
    </w:p>
    <w:p w14:paraId="125FD344">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470A9A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.对在“信用中国”网站（www.creditchina.gov.cn）、中国政府采购网（</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"http://www.ccgp.gov.cn" </w:instrText>
      </w:r>
      <w:r>
        <w:rPr>
          <w:rFonts w:hint="eastAsia" w:ascii="宋体" w:hAnsi="宋体" w:eastAsia="宋体" w:cs="宋体"/>
          <w:color w:val="auto"/>
          <w:kern w:val="21"/>
          <w:sz w:val="21"/>
          <w:szCs w:val="21"/>
          <w:highlight w:val="none"/>
        </w:rPr>
        <w:fldChar w:fldCharType="separate"/>
      </w:r>
      <w:r>
        <w:rPr>
          <w:rStyle w:val="39"/>
          <w:rFonts w:hint="eastAsia" w:ascii="宋体" w:hAnsi="宋体" w:eastAsia="宋体" w:cs="宋体"/>
          <w:color w:val="auto"/>
          <w:kern w:val="21"/>
          <w:sz w:val="21"/>
          <w:szCs w:val="21"/>
          <w:highlight w:val="none"/>
        </w:rPr>
        <w:t>www.ccgp.gov.cn</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192C40B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.本项目需要落实的政府采购政策：</w:t>
      </w:r>
    </w:p>
    <w:p w14:paraId="4F024144">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（1）政府采购促进中小企业发展。</w:t>
      </w:r>
    </w:p>
    <w:p w14:paraId="1519FF5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（2）政府采购促进残疾人就业政策。</w:t>
      </w:r>
    </w:p>
    <w:p w14:paraId="48CD13E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（3）政府采购支持监狱企业发展。</w:t>
      </w:r>
    </w:p>
    <w:p w14:paraId="78BE370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（4）扶持不发达地区和少数民族地区政策。</w:t>
      </w:r>
    </w:p>
    <w:p w14:paraId="167D7B6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.在线竞标响应（电子竞标）说明及注意事项</w:t>
      </w:r>
    </w:p>
    <w:p w14:paraId="612CD490">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bCs/>
          <w:color w:val="auto"/>
          <w:kern w:val="21"/>
          <w:sz w:val="21"/>
          <w:szCs w:val="21"/>
          <w:highlight w:val="none"/>
        </w:rPr>
        <w:t>供应商在“广西政府采购云平台”提交电子响应文件时，请填写参加远程采购活动经办人联系方式</w:t>
      </w:r>
      <w:r>
        <w:rPr>
          <w:rFonts w:hint="eastAsia" w:ascii="宋体" w:hAnsi="宋体" w:eastAsia="宋体" w:cs="宋体"/>
          <w:color w:val="auto"/>
          <w:kern w:val="21"/>
          <w:sz w:val="21"/>
          <w:szCs w:val="21"/>
          <w:highlight w:val="none"/>
        </w:rPr>
        <w:t>。电子竞标具体操作流程见“广西政府采购云电子卖场首页右上角—服务中心—帮助中心-项目采购-常见问题”。</w:t>
      </w:r>
    </w:p>
    <w:p w14:paraId="7268E347">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315320FC">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397ABB2C">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（4）本项目不接受未登录“广西政府采购云平台”获取本项目采购文件的供应商竞标。</w:t>
      </w:r>
    </w:p>
    <w:p w14:paraId="1BC10A76">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注：1）为确保网上操作合法、有效和安全，请供应商确保在电子竞标过程中能够对相关数据电文进行加密和使用电子签章，妥善保管CA数字证书并使用有效的CA数字证书参与整个竞标活动。</w:t>
      </w:r>
    </w:p>
    <w:p w14:paraId="100D20B0">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1303DC8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7</w:t>
      </w:r>
      <w:r>
        <w:rPr>
          <w:rFonts w:hint="eastAsia" w:ascii="宋体" w:hAnsi="宋体" w:eastAsia="宋体" w:cs="宋体"/>
          <w:color w:val="auto"/>
          <w:kern w:val="21"/>
          <w:sz w:val="21"/>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205C408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8</w:t>
      </w:r>
      <w:r>
        <w:rPr>
          <w:rFonts w:hint="eastAsia" w:ascii="宋体" w:hAnsi="宋体" w:eastAsia="宋体" w:cs="宋体"/>
          <w:color w:val="auto"/>
          <w:kern w:val="21"/>
          <w:sz w:val="21"/>
          <w:szCs w:val="21"/>
          <w:highlight w:val="none"/>
        </w:rPr>
        <w:t xml:space="preserve">.若对项目采购电子交易系统操作有疑问，可登录“广西政府采购云平台”（https://www.gcy.zfcg.gxzf.gov.cn/），点击右侧咨询小采，获取采小蜜智能服务管家帮助，或拨打政采云服务热线95763获取热线服务帮助。 </w:t>
      </w:r>
    </w:p>
    <w:p w14:paraId="47CCDEB1">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lang w:eastAsia="zh-CN"/>
        </w:rPr>
      </w:pPr>
      <w:r>
        <w:rPr>
          <w:rFonts w:hint="eastAsia" w:ascii="宋体" w:hAnsi="宋体" w:eastAsia="宋体" w:cs="宋体"/>
          <w:b/>
          <w:color w:val="auto"/>
          <w:kern w:val="21"/>
          <w:sz w:val="21"/>
          <w:szCs w:val="21"/>
          <w:highlight w:val="none"/>
        </w:rPr>
        <w:t>八、凡对本次采购提出询问，请按以下方式联系</w:t>
      </w:r>
      <w:r>
        <w:rPr>
          <w:rFonts w:hint="eastAsia" w:ascii="宋体" w:hAnsi="宋体" w:cs="宋体"/>
          <w:b/>
          <w:color w:val="auto"/>
          <w:kern w:val="21"/>
          <w:sz w:val="21"/>
          <w:szCs w:val="21"/>
          <w:highlight w:val="none"/>
          <w:lang w:eastAsia="zh-CN"/>
        </w:rPr>
        <w:t>：</w:t>
      </w:r>
    </w:p>
    <w:p w14:paraId="19DB629E">
      <w:pPr>
        <w:pStyle w:val="13"/>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1.采购人信息</w:t>
      </w:r>
    </w:p>
    <w:p w14:paraId="196E2C4A">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称：广西壮族自治区大数据发展局</w:t>
      </w:r>
    </w:p>
    <w:p w14:paraId="48ACBE59">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址：南宁市良庆区体强路18号</w:t>
      </w:r>
    </w:p>
    <w:p w14:paraId="59DBCAEE">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项目联系人：卫薇</w:t>
      </w:r>
    </w:p>
    <w:p w14:paraId="36457DA5">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项目联系方式：0771-6116943</w:t>
      </w:r>
    </w:p>
    <w:p w14:paraId="5BE21831">
      <w:pPr>
        <w:pStyle w:val="13"/>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2.采购代理机构信息</w:t>
      </w:r>
    </w:p>
    <w:p w14:paraId="1534A128">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称：广西壮族自治区通信产业服务有限公司</w:t>
      </w:r>
    </w:p>
    <w:p w14:paraId="3D012F9D">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址：南宁市青秀区金湖路52-1号东方曼哈顿大厦20楼2003B</w:t>
      </w:r>
    </w:p>
    <w:p w14:paraId="77E56756">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项目联系人：唐佳乐、覃振祝、</w:t>
      </w:r>
      <w:r>
        <w:rPr>
          <w:rFonts w:hint="eastAsia" w:ascii="宋体" w:hAnsi="宋体" w:cs="宋体"/>
          <w:color w:val="auto"/>
          <w:kern w:val="21"/>
          <w:sz w:val="21"/>
          <w:szCs w:val="21"/>
          <w:highlight w:val="none"/>
          <w:lang w:val="en-US" w:eastAsia="zh-CN"/>
        </w:rPr>
        <w:t>郭耀洲、黎明华、</w:t>
      </w:r>
      <w:r>
        <w:rPr>
          <w:rFonts w:hint="eastAsia" w:ascii="宋体" w:hAnsi="宋体" w:eastAsia="宋体" w:cs="宋体"/>
          <w:color w:val="auto"/>
          <w:kern w:val="21"/>
          <w:sz w:val="21"/>
          <w:szCs w:val="21"/>
          <w:highlight w:val="none"/>
        </w:rPr>
        <w:t>陆秋</w:t>
      </w:r>
      <w:bookmarkStart w:id="114" w:name="_GoBack"/>
      <w:bookmarkEnd w:id="114"/>
      <w:r>
        <w:rPr>
          <w:rFonts w:hint="eastAsia" w:ascii="宋体" w:hAnsi="宋体" w:eastAsia="宋体" w:cs="宋体"/>
          <w:color w:val="auto"/>
          <w:kern w:val="21"/>
          <w:sz w:val="21"/>
          <w:szCs w:val="21"/>
          <w:highlight w:val="none"/>
        </w:rPr>
        <w:t>云</w:t>
      </w:r>
    </w:p>
    <w:p w14:paraId="1FD9AE4D">
      <w:pPr>
        <w:pStyle w:val="13"/>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项目联系方式：13878854248、18178633229</w:t>
      </w:r>
    </w:p>
    <w:p w14:paraId="4C908D04">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2E673E1A">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13FAFE17">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广西壮族自治区通信产业服务有限公司</w:t>
      </w:r>
    </w:p>
    <w:p w14:paraId="5C71A2F0">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b w:val="0"/>
          <w:bCs/>
          <w:color w:val="auto"/>
          <w:kern w:val="21"/>
          <w:sz w:val="21"/>
          <w:szCs w:val="21"/>
          <w:highlight w:val="none"/>
        </w:rPr>
      </w:pPr>
      <w:r>
        <w:rPr>
          <w:rFonts w:hint="eastAsia" w:ascii="宋体" w:hAnsi="宋体" w:eastAsia="宋体" w:cs="宋体"/>
          <w:b w:val="0"/>
          <w:bCs/>
          <w:color w:val="auto"/>
          <w:kern w:val="21"/>
          <w:sz w:val="21"/>
          <w:szCs w:val="21"/>
          <w:highlight w:val="none"/>
        </w:rPr>
        <w:t>202</w:t>
      </w:r>
      <w:r>
        <w:rPr>
          <w:rFonts w:hint="eastAsia" w:ascii="宋体" w:hAnsi="宋体" w:eastAsia="宋体" w:cs="宋体"/>
          <w:b w:val="0"/>
          <w:bCs/>
          <w:color w:val="auto"/>
          <w:kern w:val="21"/>
          <w:sz w:val="21"/>
          <w:szCs w:val="21"/>
          <w:highlight w:val="none"/>
          <w:lang w:val="en-US" w:eastAsia="zh-CN"/>
        </w:rPr>
        <w:t>5</w:t>
      </w:r>
      <w:r>
        <w:rPr>
          <w:rFonts w:hint="eastAsia" w:ascii="宋体" w:hAnsi="宋体" w:eastAsia="宋体" w:cs="宋体"/>
          <w:b w:val="0"/>
          <w:bCs/>
          <w:color w:val="auto"/>
          <w:kern w:val="21"/>
          <w:sz w:val="21"/>
          <w:szCs w:val="21"/>
          <w:highlight w:val="none"/>
        </w:rPr>
        <w:t>年</w:t>
      </w:r>
      <w:r>
        <w:rPr>
          <w:rFonts w:hint="eastAsia" w:ascii="宋体" w:hAnsi="宋体" w:eastAsia="宋体" w:cs="宋体"/>
          <w:b w:val="0"/>
          <w:bCs/>
          <w:color w:val="auto"/>
          <w:kern w:val="21"/>
          <w:sz w:val="21"/>
          <w:szCs w:val="21"/>
          <w:highlight w:val="none"/>
          <w:lang w:val="en-US" w:eastAsia="zh-CN"/>
        </w:rPr>
        <w:t>11</w:t>
      </w:r>
      <w:r>
        <w:rPr>
          <w:rFonts w:hint="eastAsia" w:ascii="宋体" w:hAnsi="宋体" w:eastAsia="宋体" w:cs="宋体"/>
          <w:b w:val="0"/>
          <w:bCs/>
          <w:color w:val="auto"/>
          <w:kern w:val="21"/>
          <w:sz w:val="21"/>
          <w:szCs w:val="21"/>
          <w:highlight w:val="none"/>
        </w:rPr>
        <w:t>月</w:t>
      </w:r>
      <w:r>
        <w:rPr>
          <w:rFonts w:hint="eastAsia" w:ascii="宋体" w:hAnsi="宋体" w:cs="宋体"/>
          <w:b w:val="0"/>
          <w:bCs/>
          <w:color w:val="auto"/>
          <w:kern w:val="21"/>
          <w:sz w:val="21"/>
          <w:szCs w:val="21"/>
          <w:highlight w:val="none"/>
          <w:lang w:val="en-US" w:eastAsia="zh-CN"/>
        </w:rPr>
        <w:t>14</w:t>
      </w:r>
      <w:r>
        <w:rPr>
          <w:rFonts w:hint="eastAsia" w:ascii="宋体" w:hAnsi="宋体" w:eastAsia="宋体" w:cs="宋体"/>
          <w:b w:val="0"/>
          <w:bCs/>
          <w:color w:val="auto"/>
          <w:kern w:val="21"/>
          <w:sz w:val="21"/>
          <w:szCs w:val="21"/>
          <w:highlight w:val="none"/>
        </w:rPr>
        <w:t>日</w:t>
      </w:r>
    </w:p>
    <w:p w14:paraId="6D0DB62E">
      <w:pPr>
        <w:pStyle w:val="2"/>
        <w:spacing w:before="0" w:after="0" w:line="579" w:lineRule="auto"/>
        <w:jc w:val="center"/>
        <w:rPr>
          <w:rFonts w:ascii="宋体" w:hAnsi="宋体" w:cs="宋体"/>
          <w:color w:val="auto"/>
          <w:kern w:val="21"/>
          <w:highlight w:val="none"/>
        </w:rPr>
      </w:pPr>
      <w:r>
        <w:rPr>
          <w:rFonts w:hint="eastAsia" w:ascii="宋体" w:hAnsi="宋体" w:cs="宋体"/>
          <w:bCs w:val="0"/>
          <w:color w:val="auto"/>
          <w:kern w:val="21"/>
          <w:sz w:val="32"/>
          <w:szCs w:val="32"/>
          <w:highlight w:val="none"/>
        </w:rPr>
        <w:br w:type="page"/>
      </w:r>
      <w:bookmarkStart w:id="31" w:name="_Toc16716"/>
      <w:bookmarkStart w:id="32" w:name="_Toc12314"/>
      <w:r>
        <w:rPr>
          <w:rFonts w:hint="eastAsia" w:ascii="宋体" w:hAnsi="宋体" w:cs="宋体"/>
          <w:bCs w:val="0"/>
          <w:color w:val="auto"/>
          <w:kern w:val="21"/>
          <w:sz w:val="32"/>
          <w:szCs w:val="32"/>
          <w:highlight w:val="none"/>
        </w:rPr>
        <w:t>第二章 采购需求</w:t>
      </w:r>
      <w:bookmarkEnd w:id="31"/>
      <w:bookmarkEnd w:id="32"/>
    </w:p>
    <w:p w14:paraId="3890D4F5">
      <w:pPr>
        <w:spacing w:line="360" w:lineRule="auto"/>
        <w:jc w:val="left"/>
        <w:rPr>
          <w:rFonts w:ascii="宋体" w:hAnsi="宋体" w:cs="宋体"/>
          <w:b/>
          <w:bCs/>
          <w:color w:val="auto"/>
          <w:kern w:val="21"/>
          <w:szCs w:val="21"/>
          <w:highlight w:val="none"/>
        </w:rPr>
      </w:pPr>
      <w:r>
        <w:rPr>
          <w:rFonts w:hint="eastAsia" w:ascii="宋体" w:hAnsi="宋体" w:cs="宋体"/>
          <w:b/>
          <w:bCs/>
          <w:color w:val="auto"/>
          <w:kern w:val="21"/>
          <w:szCs w:val="21"/>
          <w:highlight w:val="none"/>
        </w:rPr>
        <w:t>▲说明：</w:t>
      </w:r>
    </w:p>
    <w:p w14:paraId="03115AD2">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highlight w:val="none"/>
        </w:rPr>
        <w:t>1. 为落实政府采购政策需满足的要求：</w:t>
      </w:r>
    </w:p>
    <w:p w14:paraId="61C9467A">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（1）本竞争性磋商采购文件所称中小企业必须符合《政府采购促进中小企业发展管理办法》（财库〔2020〕46号）的规定。</w:t>
      </w:r>
    </w:p>
    <w:p w14:paraId="58B1AD6F">
      <w:pPr>
        <w:tabs>
          <w:tab w:val="left" w:pos="180"/>
          <w:tab w:val="left" w:pos="1620"/>
        </w:tabs>
        <w:spacing w:line="360" w:lineRule="auto"/>
        <w:ind w:firstLine="420" w:firstLineChars="200"/>
        <w:rPr>
          <w:rFonts w:ascii="宋体" w:hAnsi="宋体" w:cs="宋体"/>
          <w:b/>
          <w:bCs/>
          <w:color w:val="auto"/>
          <w:kern w:val="21"/>
          <w:szCs w:val="21"/>
          <w:highlight w:val="none"/>
        </w:rPr>
      </w:pPr>
      <w:r>
        <w:rPr>
          <w:rFonts w:hint="eastAsia" w:ascii="宋体" w:hAnsi="宋体" w:cs="宋体"/>
          <w:color w:val="auto"/>
          <w:kern w:val="21"/>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FFBB598">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4BCE8B1F">
      <w:pPr>
        <w:spacing w:line="360" w:lineRule="auto"/>
        <w:ind w:firstLine="413" w:firstLineChars="196"/>
        <w:rPr>
          <w:rFonts w:ascii="宋体" w:hAnsi="宋体" w:cs="宋体"/>
          <w:b/>
          <w:bCs/>
          <w:color w:val="auto"/>
          <w:kern w:val="21"/>
          <w:szCs w:val="21"/>
          <w:highlight w:val="none"/>
        </w:rPr>
      </w:pPr>
      <w:r>
        <w:rPr>
          <w:rFonts w:hint="eastAsia" w:ascii="宋体" w:hAnsi="宋体" w:cs="宋体"/>
          <w:b/>
          <w:bCs/>
          <w:color w:val="auto"/>
          <w:kern w:val="21"/>
          <w:szCs w:val="21"/>
          <w:highlight w:val="none"/>
        </w:rPr>
        <w:t>2. 标“▲”为实质性参数要求和条件，供应商必须满足并在响应文件中如实作出响应，否则视为无效。</w:t>
      </w:r>
    </w:p>
    <w:p w14:paraId="03B5A4FD">
      <w:pPr>
        <w:pStyle w:val="13"/>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3. 供应商必须自行为其竞标产品侵犯他人的知识产权或者专利成果的行为承担相应法律责任。</w:t>
      </w:r>
    </w:p>
    <w:tbl>
      <w:tblPr>
        <w:tblStyle w:val="32"/>
        <w:tblW w:w="95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2"/>
        <w:gridCol w:w="795"/>
        <w:gridCol w:w="570"/>
        <w:gridCol w:w="525"/>
        <w:gridCol w:w="5880"/>
        <w:gridCol w:w="1300"/>
      </w:tblGrid>
      <w:tr w14:paraId="2EC20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9592" w:type="dxa"/>
            <w:gridSpan w:val="6"/>
            <w:tcBorders>
              <w:top w:val="single" w:color="auto" w:sz="4" w:space="0"/>
              <w:left w:val="single" w:color="auto" w:sz="4" w:space="0"/>
              <w:right w:val="single" w:color="auto" w:sz="4" w:space="0"/>
            </w:tcBorders>
            <w:noWrap w:val="0"/>
            <w:vAlign w:val="center"/>
          </w:tcPr>
          <w:p w14:paraId="5F889306">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服务需求一览表</w:t>
            </w:r>
          </w:p>
        </w:tc>
      </w:tr>
      <w:tr w14:paraId="38816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5D3D4CAF">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序号</w:t>
            </w:r>
          </w:p>
        </w:tc>
        <w:tc>
          <w:tcPr>
            <w:tcW w:w="795" w:type="dxa"/>
            <w:tcBorders>
              <w:top w:val="single" w:color="auto" w:sz="4" w:space="0"/>
              <w:left w:val="single" w:color="auto" w:sz="4" w:space="0"/>
              <w:right w:val="single" w:color="auto" w:sz="4" w:space="0"/>
            </w:tcBorders>
            <w:noWrap w:val="0"/>
            <w:vAlign w:val="center"/>
          </w:tcPr>
          <w:p w14:paraId="5E366E9E">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标的名称</w:t>
            </w:r>
          </w:p>
        </w:tc>
        <w:tc>
          <w:tcPr>
            <w:tcW w:w="570" w:type="dxa"/>
            <w:tcBorders>
              <w:top w:val="single" w:color="auto" w:sz="4" w:space="0"/>
              <w:left w:val="single" w:color="auto" w:sz="4" w:space="0"/>
              <w:right w:val="single" w:color="auto" w:sz="4" w:space="0"/>
            </w:tcBorders>
            <w:noWrap w:val="0"/>
            <w:vAlign w:val="center"/>
          </w:tcPr>
          <w:p w14:paraId="1364F35C">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单位</w:t>
            </w:r>
          </w:p>
        </w:tc>
        <w:tc>
          <w:tcPr>
            <w:tcW w:w="525" w:type="dxa"/>
            <w:tcBorders>
              <w:top w:val="single" w:color="auto" w:sz="4" w:space="0"/>
              <w:left w:val="single" w:color="auto" w:sz="4" w:space="0"/>
              <w:right w:val="single" w:color="auto" w:sz="4" w:space="0"/>
            </w:tcBorders>
            <w:noWrap w:val="0"/>
            <w:vAlign w:val="center"/>
          </w:tcPr>
          <w:p w14:paraId="1AAE3E1C">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数量</w:t>
            </w:r>
          </w:p>
        </w:tc>
        <w:tc>
          <w:tcPr>
            <w:tcW w:w="5880" w:type="dxa"/>
            <w:tcBorders>
              <w:top w:val="single" w:color="auto" w:sz="4" w:space="0"/>
              <w:left w:val="single" w:color="auto" w:sz="4" w:space="0"/>
              <w:right w:val="single" w:color="auto" w:sz="4" w:space="0"/>
            </w:tcBorders>
            <w:noWrap w:val="0"/>
            <w:vAlign w:val="center"/>
          </w:tcPr>
          <w:p w14:paraId="77ACAD75">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服务要求</w:t>
            </w:r>
          </w:p>
        </w:tc>
        <w:tc>
          <w:tcPr>
            <w:tcW w:w="1300" w:type="dxa"/>
            <w:tcBorders>
              <w:top w:val="single" w:color="auto" w:sz="4" w:space="0"/>
              <w:left w:val="single" w:color="auto" w:sz="4" w:space="0"/>
              <w:right w:val="single" w:color="auto" w:sz="4" w:space="0"/>
            </w:tcBorders>
            <w:noWrap w:val="0"/>
            <w:vAlign w:val="center"/>
          </w:tcPr>
          <w:p w14:paraId="2DBC7FE0">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中小企业划分标准所属行业名称</w:t>
            </w:r>
          </w:p>
        </w:tc>
      </w:tr>
      <w:tr w14:paraId="1D2A1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51974C30">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795" w:type="dxa"/>
            <w:tcBorders>
              <w:top w:val="single" w:color="auto" w:sz="4" w:space="0"/>
              <w:left w:val="single" w:color="auto" w:sz="4" w:space="0"/>
              <w:right w:val="single" w:color="auto" w:sz="4" w:space="0"/>
            </w:tcBorders>
            <w:noWrap w:val="0"/>
            <w:vAlign w:val="center"/>
          </w:tcPr>
          <w:p w14:paraId="193E57C1">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AI赋能千行百业超级联赛对外宣传服务</w:t>
            </w:r>
          </w:p>
        </w:tc>
        <w:tc>
          <w:tcPr>
            <w:tcW w:w="570" w:type="dxa"/>
            <w:tcBorders>
              <w:top w:val="single" w:color="auto" w:sz="4" w:space="0"/>
              <w:left w:val="single" w:color="auto" w:sz="4" w:space="0"/>
              <w:right w:val="single" w:color="auto" w:sz="4" w:space="0"/>
            </w:tcBorders>
            <w:noWrap w:val="0"/>
            <w:vAlign w:val="center"/>
          </w:tcPr>
          <w:p w14:paraId="51AE8329">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w:t>
            </w:r>
          </w:p>
        </w:tc>
        <w:tc>
          <w:tcPr>
            <w:tcW w:w="525" w:type="dxa"/>
            <w:tcBorders>
              <w:top w:val="single" w:color="auto" w:sz="4" w:space="0"/>
              <w:left w:val="single" w:color="auto" w:sz="4" w:space="0"/>
              <w:right w:val="single" w:color="auto" w:sz="4" w:space="0"/>
            </w:tcBorders>
            <w:noWrap w:val="0"/>
            <w:vAlign w:val="center"/>
          </w:tcPr>
          <w:p w14:paraId="5052AFEA">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5880" w:type="dxa"/>
            <w:tcBorders>
              <w:top w:val="single" w:color="auto" w:sz="4" w:space="0"/>
              <w:left w:val="single" w:color="auto" w:sz="4" w:space="0"/>
              <w:right w:val="single" w:color="auto" w:sz="4" w:space="0"/>
            </w:tcBorders>
            <w:noWrap w:val="0"/>
            <w:vAlign w:val="center"/>
          </w:tcPr>
          <w:p w14:paraId="3F89A02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1C1F23"/>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val="en-US" w:eastAsia="zh-CN"/>
              </w:rPr>
              <w:t>采购专业服务机构服务，提供AI赋能千行百业超级联赛对外宣传服务，制定对外宣传推广方</w:t>
            </w:r>
            <w:r>
              <w:rPr>
                <w:rFonts w:hint="eastAsia" w:ascii="宋体" w:hAnsi="宋体" w:eastAsia="宋体" w:cs="宋体"/>
                <w:color w:val="1C1F23"/>
                <w:kern w:val="0"/>
                <w:sz w:val="21"/>
                <w:szCs w:val="21"/>
                <w:highlight w:val="none"/>
                <w:shd w:val="clear" w:color="auto" w:fill="FFFFFF"/>
                <w:lang w:val="en-US" w:eastAsia="zh-CN"/>
              </w:rPr>
              <w:t>案，按照进度完成各项宣传工作。具体内容如下：</w:t>
            </w:r>
          </w:p>
          <w:p w14:paraId="49D37E4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val="0"/>
                <w:color w:val="1C1F23"/>
                <w:kern w:val="0"/>
                <w:sz w:val="21"/>
                <w:szCs w:val="21"/>
                <w:highlight w:val="none"/>
                <w:shd w:val="clear" w:color="auto" w:fill="FFFFFF"/>
                <w:lang w:val="en-US"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color w:val="auto"/>
                <w:kern w:val="2"/>
                <w:sz w:val="21"/>
                <w:szCs w:val="21"/>
                <w:highlight w:val="none"/>
                <w:shd w:val="clear" w:color="auto" w:fill="auto"/>
                <w:lang w:val="en-US" w:eastAsia="zh-CN"/>
              </w:rPr>
              <w:t>海外媒体渠道建设与国际通稿发布。</w:t>
            </w:r>
            <w:r>
              <w:rPr>
                <w:rFonts w:hint="eastAsia" w:ascii="宋体" w:hAnsi="宋体" w:eastAsia="宋体" w:cs="宋体"/>
                <w:b w:val="0"/>
                <w:bCs w:val="0"/>
                <w:color w:val="1C1F23"/>
                <w:kern w:val="0"/>
                <w:sz w:val="21"/>
                <w:szCs w:val="21"/>
                <w:highlight w:val="none"/>
                <w:shd w:val="clear" w:color="auto" w:fill="FFFFFF"/>
                <w:lang w:val="en-US" w:eastAsia="zh-CN"/>
              </w:rPr>
              <w:t>建立并运营海外媒体（以东盟国家为重点）合作网络，组织撰写与发布多语种A超新闻通稿，确保赛事信息在境外主流媒体和行业媒体的广泛落地。</w:t>
            </w:r>
          </w:p>
          <w:p w14:paraId="49E652F9">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（二）海外社交矩阵运营与话题营销。</w:t>
            </w:r>
            <w:r>
              <w:rPr>
                <w:rFonts w:hint="eastAsia" w:ascii="宋体" w:hAnsi="宋体" w:eastAsia="宋体" w:cs="宋体"/>
                <w:b w:val="0"/>
                <w:bCs w:val="0"/>
                <w:color w:val="1C1F23"/>
                <w:kern w:val="0"/>
                <w:sz w:val="21"/>
                <w:szCs w:val="21"/>
                <w:highlight w:val="none"/>
                <w:shd w:val="clear" w:color="auto" w:fill="FFFFFF"/>
                <w:lang w:val="en-US" w:eastAsia="zh-CN"/>
              </w:rPr>
              <w:t>运营或合作海外主流社交媒体账号，策划并执行国际线上话题活动，通过内容推送与广告投放，精准触达海外目标受众，提升A超国际热度。</w:t>
            </w:r>
          </w:p>
          <w:p w14:paraId="6135F73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val="0"/>
                <w:color w:val="1C1F23"/>
                <w:kern w:val="0"/>
                <w:sz w:val="21"/>
                <w:szCs w:val="21"/>
                <w:highlight w:val="none"/>
                <w:shd w:val="clear" w:color="auto" w:fill="FFFFFF"/>
                <w:lang w:val="en-US" w:eastAsia="zh-CN"/>
              </w:rPr>
            </w:pPr>
            <w:r>
              <w:rPr>
                <w:rFonts w:hint="eastAsia" w:ascii="宋体" w:hAnsi="宋体" w:eastAsia="宋体" w:cs="宋体"/>
                <w:b/>
                <w:bCs/>
                <w:sz w:val="21"/>
                <w:szCs w:val="21"/>
                <w:highlight w:val="none"/>
                <w:lang w:val="en-US" w:eastAsia="zh-CN"/>
              </w:rPr>
              <w:t>（三）多语种外宣产品定制与推广。</w:t>
            </w:r>
            <w:r>
              <w:rPr>
                <w:rFonts w:hint="eastAsia" w:ascii="宋体" w:hAnsi="宋体" w:eastAsia="宋体" w:cs="宋体"/>
                <w:b w:val="0"/>
                <w:bCs w:val="0"/>
                <w:color w:val="1C1F23"/>
                <w:kern w:val="0"/>
                <w:sz w:val="21"/>
                <w:szCs w:val="21"/>
                <w:highlight w:val="none"/>
                <w:shd w:val="clear" w:color="auto" w:fill="FFFFFF"/>
                <w:lang w:val="en-US" w:eastAsia="zh-CN"/>
              </w:rPr>
              <w:t>基于国内生产的通用素材，进行多语种编译、本地化适配与深度加工，制作适用于海外传播的专题视频、深度报道等定制化产品。</w:t>
            </w:r>
          </w:p>
          <w:p w14:paraId="714F32A7">
            <w:pPr>
              <w:keepNext w:val="0"/>
              <w:keepLines w:val="0"/>
              <w:pageBreakBefore w:val="0"/>
              <w:widowControl w:val="0"/>
              <w:tabs>
                <w:tab w:val="left" w:pos="2005"/>
              </w:tabs>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color w:val="1C1F23"/>
                <w:kern w:val="0"/>
                <w:sz w:val="21"/>
                <w:szCs w:val="21"/>
                <w:highlight w:val="none"/>
                <w:shd w:val="clear" w:color="auto" w:fill="FFFFFF"/>
                <w:lang w:val="en-US" w:eastAsia="zh-CN"/>
              </w:rPr>
            </w:pPr>
            <w:r>
              <w:rPr>
                <w:rFonts w:hint="eastAsia" w:ascii="宋体" w:hAnsi="宋体" w:eastAsia="宋体" w:cs="宋体"/>
                <w:b/>
                <w:bCs/>
                <w:sz w:val="21"/>
                <w:szCs w:val="21"/>
                <w:highlight w:val="none"/>
                <w:lang w:val="en-US" w:eastAsia="zh-CN"/>
              </w:rPr>
              <w:t>（四）国际化品牌活动与创新传播。</w:t>
            </w:r>
            <w:r>
              <w:rPr>
                <w:rFonts w:hint="eastAsia" w:ascii="宋体" w:hAnsi="宋体" w:eastAsia="宋体" w:cs="宋体"/>
                <w:b w:val="0"/>
                <w:bCs w:val="0"/>
                <w:color w:val="1C1F23"/>
                <w:kern w:val="0"/>
                <w:sz w:val="21"/>
                <w:szCs w:val="21"/>
                <w:highlight w:val="none"/>
                <w:shd w:val="clear" w:color="auto" w:fill="FFFFFF"/>
                <w:lang w:val="en-US" w:eastAsia="zh-CN"/>
              </w:rPr>
              <w:t>策划面向国</w:t>
            </w:r>
            <w:r>
              <w:rPr>
                <w:rFonts w:hint="eastAsia" w:ascii="宋体" w:hAnsi="宋体" w:eastAsia="宋体" w:cs="宋体"/>
                <w:color w:val="1C1F23"/>
                <w:kern w:val="0"/>
                <w:sz w:val="21"/>
                <w:szCs w:val="21"/>
                <w:highlight w:val="none"/>
                <w:shd w:val="clear" w:color="auto" w:fill="FFFFFF"/>
                <w:lang w:val="en-US" w:eastAsia="zh-CN"/>
              </w:rPr>
              <w:t>际的线上品牌活动，创新运用符合国际传播趋势的载体与形式，重点塑造并推广联赛的国际化品牌形象。</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97"/>
              <w:gridCol w:w="531"/>
              <w:gridCol w:w="443"/>
              <w:gridCol w:w="3354"/>
            </w:tblGrid>
            <w:tr w14:paraId="149C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14:paraId="0F693D5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b/>
                      <w:bCs/>
                      <w:color w:val="auto"/>
                      <w:sz w:val="21"/>
                      <w:szCs w:val="21"/>
                      <w:highlight w:val="none"/>
                      <w:vertAlign w:val="baseline"/>
                      <w:lang w:val="en" w:eastAsia="zh-CN"/>
                    </w:rPr>
                  </w:pPr>
                  <w:r>
                    <w:rPr>
                      <w:rFonts w:hint="eastAsia" w:ascii="宋体" w:hAnsi="宋体" w:eastAsia="宋体" w:cs="宋体"/>
                      <w:b/>
                      <w:bCs/>
                      <w:color w:val="auto"/>
                      <w:sz w:val="21"/>
                      <w:szCs w:val="21"/>
                      <w:highlight w:val="none"/>
                      <w:vertAlign w:val="baseline"/>
                      <w:lang w:val="en" w:eastAsia="zh-CN"/>
                    </w:rPr>
                    <w:t>序号</w:t>
                  </w:r>
                </w:p>
              </w:tc>
              <w:tc>
                <w:tcPr>
                  <w:tcW w:w="842" w:type="pct"/>
                  <w:noWrap w:val="0"/>
                  <w:vAlign w:val="center"/>
                </w:tcPr>
                <w:p w14:paraId="1FD4BBE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 w:eastAsia="zh-CN"/>
                    </w:rPr>
                    <w:t>项目内容</w:t>
                  </w:r>
                </w:p>
              </w:tc>
              <w:tc>
                <w:tcPr>
                  <w:tcW w:w="354" w:type="pct"/>
                  <w:noWrap w:val="0"/>
                  <w:vAlign w:val="center"/>
                </w:tcPr>
                <w:p w14:paraId="64D36EA5">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b/>
                      <w:bCs/>
                      <w:color w:val="auto"/>
                      <w:sz w:val="21"/>
                      <w:szCs w:val="21"/>
                      <w:highlight w:val="none"/>
                      <w:vertAlign w:val="baseline"/>
                      <w:lang w:val="en" w:eastAsia="zh-CN"/>
                    </w:rPr>
                  </w:pPr>
                  <w:r>
                    <w:rPr>
                      <w:rFonts w:hint="eastAsia" w:ascii="宋体" w:hAnsi="宋体" w:eastAsia="宋体" w:cs="宋体"/>
                      <w:b/>
                      <w:bCs/>
                      <w:color w:val="auto"/>
                      <w:sz w:val="21"/>
                      <w:szCs w:val="21"/>
                      <w:highlight w:val="none"/>
                      <w:vertAlign w:val="baseline"/>
                      <w:lang w:val="en" w:eastAsia="zh-CN"/>
                    </w:rPr>
                    <w:t>数量</w:t>
                  </w:r>
                </w:p>
              </w:tc>
              <w:tc>
                <w:tcPr>
                  <w:tcW w:w="421" w:type="pct"/>
                  <w:noWrap w:val="0"/>
                  <w:vAlign w:val="center"/>
                </w:tcPr>
                <w:p w14:paraId="55586E9E">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b/>
                      <w:bCs/>
                      <w:color w:val="auto"/>
                      <w:sz w:val="21"/>
                      <w:szCs w:val="21"/>
                      <w:highlight w:val="none"/>
                      <w:vertAlign w:val="baseline"/>
                      <w:lang w:val="en" w:eastAsia="zh-CN"/>
                    </w:rPr>
                  </w:pPr>
                  <w:r>
                    <w:rPr>
                      <w:rFonts w:hint="eastAsia" w:ascii="宋体" w:hAnsi="宋体" w:eastAsia="宋体" w:cs="宋体"/>
                      <w:b/>
                      <w:bCs/>
                      <w:color w:val="auto"/>
                      <w:sz w:val="21"/>
                      <w:szCs w:val="21"/>
                      <w:highlight w:val="none"/>
                      <w:vertAlign w:val="baseline"/>
                      <w:lang w:val="en" w:eastAsia="zh-CN"/>
                    </w:rPr>
                    <w:t>单位</w:t>
                  </w:r>
                </w:p>
              </w:tc>
              <w:tc>
                <w:tcPr>
                  <w:tcW w:w="2994" w:type="pct"/>
                  <w:noWrap w:val="0"/>
                  <w:vAlign w:val="center"/>
                </w:tcPr>
                <w:p w14:paraId="00130877">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val="en-US" w:eastAsia="zh-CN"/>
                    </w:rPr>
                    <w:t>内容及要求</w:t>
                  </w:r>
                </w:p>
              </w:tc>
            </w:tr>
            <w:tr w14:paraId="346D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14:paraId="5650306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842" w:type="pct"/>
                  <w:noWrap w:val="0"/>
                  <w:vAlign w:val="center"/>
                </w:tcPr>
                <w:p w14:paraId="3CE54BE7">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kern w:val="2"/>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shd w:val="clear" w:color="auto" w:fill="auto"/>
                      <w:lang w:val="en-US" w:eastAsia="zh-CN"/>
                      <w14:textFill>
                        <w14:solidFill>
                          <w14:schemeClr w14:val="tx1"/>
                        </w14:solidFill>
                      </w14:textFill>
                    </w:rPr>
                    <w:t>国内官方主流媒体推广渠道构建</w:t>
                  </w:r>
                </w:p>
              </w:tc>
              <w:tc>
                <w:tcPr>
                  <w:tcW w:w="354" w:type="pct"/>
                  <w:noWrap w:val="0"/>
                  <w:vAlign w:val="center"/>
                </w:tcPr>
                <w:p w14:paraId="5AA1AEAD">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421" w:type="pct"/>
                  <w:noWrap w:val="0"/>
                  <w:vAlign w:val="center"/>
                </w:tcPr>
                <w:p w14:paraId="2CF53FC6">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家</w:t>
                  </w:r>
                </w:p>
              </w:tc>
              <w:tc>
                <w:tcPr>
                  <w:tcW w:w="2994" w:type="pct"/>
                  <w:noWrap w:val="0"/>
                  <w:vAlign w:val="center"/>
                </w:tcPr>
                <w:p w14:paraId="3AC56CC3">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整合涵盖至少4家</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省级及以上官方主流媒体（须包含至少1家广西区内官方主流媒体）</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确保媒体矩阵的权威性与覆盖面；在选定的媒体平台内完成具备清晰内容架构、便捷浏览体验且支持信息实时更新功能的大赛专属专题或专栏策划与搭建，并通过该专题或专栏及时发布大赛重点新闻、赛程进度、亮点活动、获奖动态等核心信息。</w:t>
                  </w:r>
                </w:p>
              </w:tc>
            </w:tr>
            <w:tr w14:paraId="1830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14:paraId="3F0EBB8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842" w:type="pct"/>
                  <w:noWrap w:val="0"/>
                  <w:vAlign w:val="center"/>
                </w:tcPr>
                <w:p w14:paraId="6F32E613">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shd w:val="clear" w:color="auto" w:fill="auto"/>
                      <w:lang w:val="en-US" w:eastAsia="zh-CN"/>
                      <w14:textFill>
                        <w14:solidFill>
                          <w14:schemeClr w14:val="tx1"/>
                        </w14:solidFill>
                      </w14:textFill>
                    </w:rPr>
                    <w:t>海外媒体合作网络搭建与运营服务</w:t>
                  </w:r>
                </w:p>
              </w:tc>
              <w:tc>
                <w:tcPr>
                  <w:tcW w:w="354" w:type="pct"/>
                  <w:noWrap w:val="0"/>
                  <w:vAlign w:val="center"/>
                </w:tcPr>
                <w:p w14:paraId="19AEDD99">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421" w:type="pct"/>
                  <w:noWrap w:val="0"/>
                  <w:vAlign w:val="center"/>
                </w:tcPr>
                <w:p w14:paraId="21692D0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项</w:t>
                  </w:r>
                </w:p>
              </w:tc>
              <w:tc>
                <w:tcPr>
                  <w:tcW w:w="2994" w:type="pct"/>
                  <w:noWrap w:val="0"/>
                  <w:vAlign w:val="center"/>
                </w:tcPr>
                <w:p w14:paraId="620CE157">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筛选、对接东盟国家主流媒体（如新闻网站、报纸、电视台等）及行业媒体（AI、科技、赛事相关领域），能提供不少于8家东盟国家主流媒体（每个主要国家至少1家），并在合作的境外主流媒体和行业媒体、海外社交媒体上发布各类形式的内容不少于400条次。</w:t>
                  </w:r>
                </w:p>
              </w:tc>
            </w:tr>
            <w:tr w14:paraId="0B86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14:paraId="5C4D8180">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842" w:type="pct"/>
                  <w:noWrap w:val="0"/>
                  <w:vAlign w:val="center"/>
                </w:tcPr>
                <w:p w14:paraId="610DE83C">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shd w:val="clear" w:color="auto" w:fill="auto"/>
                      <w:lang w:val="en-US" w:eastAsia="zh-CN"/>
                      <w14:textFill>
                        <w14:solidFill>
                          <w14:schemeClr w14:val="tx1"/>
                        </w14:solidFill>
                      </w14:textFill>
                    </w:rPr>
                    <w:t>多语种稿件撰写与发布服务</w:t>
                  </w:r>
                </w:p>
              </w:tc>
              <w:tc>
                <w:tcPr>
                  <w:tcW w:w="354" w:type="pct"/>
                  <w:noWrap w:val="0"/>
                  <w:vAlign w:val="center"/>
                </w:tcPr>
                <w:p w14:paraId="7A3FF57A">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200</w:t>
                  </w:r>
                </w:p>
              </w:tc>
              <w:tc>
                <w:tcPr>
                  <w:tcW w:w="421" w:type="pct"/>
                  <w:noWrap w:val="0"/>
                  <w:vAlign w:val="center"/>
                </w:tcPr>
                <w:p w14:paraId="7EB22F1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条</w:t>
                  </w:r>
                </w:p>
              </w:tc>
              <w:tc>
                <w:tcPr>
                  <w:tcW w:w="2994" w:type="pct"/>
                  <w:noWrap w:val="0"/>
                  <w:vAlign w:val="center"/>
                </w:tcPr>
                <w:p w14:paraId="05B1BB6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根据赛事进展编制稿件不少于200条次，并翻译为东盟主要语种（如</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英语、</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泰语、越南语、马来语、印尼语等）；要求通稿撰写团队包含中文专业撰稿人及东盟主要语种翻译人员（翻译内容符合目标语言文化习惯、无语法错误、准确传递赛事核心信息），且需在赛事关键节点48小时内完成至少5家主流媒体发布。</w:t>
                  </w:r>
                </w:p>
              </w:tc>
            </w:tr>
            <w:tr w14:paraId="00A6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14:paraId="659FCBA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842" w:type="pct"/>
                  <w:noWrap w:val="0"/>
                  <w:vAlign w:val="center"/>
                </w:tcPr>
                <w:p w14:paraId="4841F00B">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shd w:val="clear" w:color="auto" w:fill="auto"/>
                      <w:lang w:val="en-US" w:eastAsia="zh-CN"/>
                      <w14:textFill>
                        <w14:solidFill>
                          <w14:schemeClr w14:val="tx1"/>
                        </w14:solidFill>
                      </w14:textFill>
                    </w:rPr>
                    <w:t>海外社交矩阵运营服务</w:t>
                  </w:r>
                </w:p>
              </w:tc>
              <w:tc>
                <w:tcPr>
                  <w:tcW w:w="354" w:type="pct"/>
                  <w:noWrap w:val="0"/>
                  <w:vAlign w:val="center"/>
                </w:tcPr>
                <w:p w14:paraId="7172D50C">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421" w:type="pct"/>
                  <w:noWrap w:val="0"/>
                  <w:vAlign w:val="center"/>
                </w:tcPr>
                <w:p w14:paraId="08BD4E9C">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个</w:t>
                  </w:r>
                </w:p>
              </w:tc>
              <w:tc>
                <w:tcPr>
                  <w:tcW w:w="2994" w:type="pct"/>
                  <w:noWrap w:val="0"/>
                  <w:vAlign w:val="center"/>
                </w:tcPr>
                <w:p w14:paraId="62924D50">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运营或合作管理海外主流社交平台账号（如Facebook、Twitter、Instagram</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、x</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等，结合东盟用户习惯筛选核心平台，至少覆盖3个）。负责日常内容更新、粉丝互动及评论回复工作，内容风格需贴合平台用户偏好并匹配赛事节奏，确保稳定且高频的内容输出频次，维持账号活跃度与受众粘性。</w:t>
                  </w:r>
                </w:p>
              </w:tc>
            </w:tr>
            <w:tr w14:paraId="78E8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14:paraId="39B3777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842" w:type="pct"/>
                  <w:noWrap w:val="0"/>
                  <w:vAlign w:val="center"/>
                </w:tcPr>
                <w:p w14:paraId="2A3CC0C3">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线上话题活动策划与执行服务</w:t>
                  </w:r>
                </w:p>
              </w:tc>
              <w:tc>
                <w:tcPr>
                  <w:tcW w:w="354" w:type="pct"/>
                  <w:noWrap w:val="0"/>
                  <w:vAlign w:val="center"/>
                </w:tcPr>
                <w:p w14:paraId="4A5A3FD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21" w:type="pct"/>
                  <w:noWrap w:val="0"/>
                  <w:vAlign w:val="center"/>
                </w:tcPr>
                <w:p w14:paraId="7BDCE5BB">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w:t>
                  </w:r>
                </w:p>
              </w:tc>
              <w:tc>
                <w:tcPr>
                  <w:tcW w:w="2994" w:type="pct"/>
                  <w:noWrap w:val="0"/>
                  <w:vAlign w:val="center"/>
                </w:tcPr>
                <w:p w14:paraId="0764A9E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需结合A超赛事及子赛道特色，策划具有传播力的主题及多元内容形式。覆盖多社交平台，联动AI行业KOL与媒体推广。制定分阶段执行计划，实时监控舆情与活动数据并动态优化。确保话题曝光量、互动率达标，具备完善的技术及舆论风险应对方案，提交活动总结报告。</w:t>
                  </w:r>
                </w:p>
              </w:tc>
            </w:tr>
            <w:tr w14:paraId="2D91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14:paraId="6F4CAE7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strike/>
                      <w:dstrike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842" w:type="pct"/>
                  <w:noWrap w:val="0"/>
                  <w:vAlign w:val="center"/>
                </w:tcPr>
                <w:p w14:paraId="343C9CF6">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strike/>
                      <w:dstrike w:val="0"/>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定制化外宣产品制作</w:t>
                  </w:r>
                </w:p>
              </w:tc>
              <w:tc>
                <w:tcPr>
                  <w:tcW w:w="354" w:type="pct"/>
                  <w:noWrap w:val="0"/>
                  <w:vAlign w:val="center"/>
                </w:tcPr>
                <w:p w14:paraId="1AFAF86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strike w:val="0"/>
                      <w:dstrike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50</w:t>
                  </w:r>
                </w:p>
              </w:tc>
              <w:tc>
                <w:tcPr>
                  <w:tcW w:w="421" w:type="pct"/>
                  <w:noWrap w:val="0"/>
                  <w:vAlign w:val="center"/>
                </w:tcPr>
                <w:p w14:paraId="168190E9">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p w14:paraId="6F262965">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strike w:val="0"/>
                      <w:dstrike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个/篇</w:t>
                  </w:r>
                </w:p>
              </w:tc>
              <w:tc>
                <w:tcPr>
                  <w:tcW w:w="2994" w:type="pct"/>
                  <w:noWrap w:val="0"/>
                  <w:vAlign w:val="center"/>
                </w:tcPr>
                <w:p w14:paraId="1B19A2B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围绕A超各分子赛道赛的应用领域场景、赛事动态与亮点，制作适用于海外传播的20个以上视频（时长1—5分钟、分辨率不低于1080P、画面流畅、目标语种配音清晰、字幕准确）、以及原创报道30篇以上（含图文报道、视频报道等形式）。</w:t>
                  </w:r>
                </w:p>
              </w:tc>
            </w:tr>
            <w:tr w14:paraId="35AB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14:paraId="7F09F5D6">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842" w:type="pct"/>
                  <w:noWrap w:val="0"/>
                  <w:vAlign w:val="center"/>
                </w:tcPr>
                <w:p w14:paraId="547C228E">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国际化品牌活动与创新传播</w:t>
                  </w:r>
                </w:p>
              </w:tc>
              <w:tc>
                <w:tcPr>
                  <w:tcW w:w="354" w:type="pct"/>
                  <w:noWrap w:val="0"/>
                  <w:vAlign w:val="center"/>
                </w:tcPr>
                <w:p w14:paraId="18CFFAE9">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21" w:type="pct"/>
                  <w:noWrap w:val="0"/>
                  <w:vAlign w:val="center"/>
                </w:tcPr>
                <w:p w14:paraId="6130BC07">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w:t>
                  </w:r>
                </w:p>
              </w:tc>
              <w:tc>
                <w:tcPr>
                  <w:tcW w:w="2994" w:type="pct"/>
                  <w:noWrap w:val="0"/>
                  <w:vAlign w:val="center"/>
                </w:tcPr>
                <w:p w14:paraId="1BA7BA5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firstLine="0" w:firstLineChars="0"/>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围绕A超国际化品牌形象，策划面向全球（重点面向东盟国家）的传播活动；对重点赛事、活动进行直播/录播；联动海外当地行业机构、媒体及意见领袖扩大影响力，助力赛事吸引全球参与者，提升A超在国际尤其是东盟市场的品牌认知度与行业号召力。</w:t>
                  </w:r>
                </w:p>
              </w:tc>
            </w:tr>
          </w:tbl>
          <w:p w14:paraId="70B569A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lang w:eastAsia="zh-CN"/>
              </w:rPr>
            </w:pPr>
          </w:p>
        </w:tc>
        <w:tc>
          <w:tcPr>
            <w:tcW w:w="1300" w:type="dxa"/>
            <w:tcBorders>
              <w:top w:val="single" w:color="auto" w:sz="4" w:space="0"/>
              <w:left w:val="single" w:color="auto" w:sz="4" w:space="0"/>
              <w:right w:val="single" w:color="auto" w:sz="4" w:space="0"/>
            </w:tcBorders>
            <w:noWrap w:val="0"/>
            <w:vAlign w:val="center"/>
          </w:tcPr>
          <w:p w14:paraId="77F18CB2">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其他未列明行业</w:t>
            </w:r>
          </w:p>
        </w:tc>
      </w:tr>
      <w:tr w14:paraId="28D12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0AC1AF3C">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▲商务条款</w:t>
            </w:r>
          </w:p>
        </w:tc>
        <w:tc>
          <w:tcPr>
            <w:tcW w:w="9070" w:type="dxa"/>
            <w:gridSpan w:val="5"/>
            <w:tcBorders>
              <w:top w:val="single" w:color="auto" w:sz="4" w:space="0"/>
              <w:left w:val="single" w:color="auto" w:sz="4" w:space="0"/>
              <w:bottom w:val="single" w:color="auto" w:sz="4" w:space="0"/>
              <w:right w:val="single" w:color="auto" w:sz="4" w:space="0"/>
            </w:tcBorders>
            <w:noWrap w:val="0"/>
            <w:vAlign w:val="top"/>
          </w:tcPr>
          <w:p w14:paraId="794589B9">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一、合同签订</w:t>
            </w:r>
            <w:r>
              <w:rPr>
                <w:rFonts w:hint="eastAsia" w:ascii="宋体" w:hAnsi="宋体" w:cs="宋体"/>
                <w:b/>
                <w:bCs/>
                <w:color w:val="auto"/>
                <w:kern w:val="21"/>
                <w:sz w:val="21"/>
                <w:szCs w:val="21"/>
                <w:highlight w:val="none"/>
                <w:lang w:eastAsia="zh-CN"/>
              </w:rPr>
              <w:t>期限</w:t>
            </w:r>
            <w:r>
              <w:rPr>
                <w:rFonts w:hint="eastAsia" w:ascii="宋体" w:hAnsi="宋体" w:eastAsia="宋体" w:cs="宋体"/>
                <w:b/>
                <w:bCs/>
                <w:color w:val="auto"/>
                <w:kern w:val="21"/>
                <w:sz w:val="21"/>
                <w:szCs w:val="21"/>
                <w:highlight w:val="none"/>
              </w:rPr>
              <w:t>：自成交通知书发出之日起25日内。</w:t>
            </w:r>
          </w:p>
          <w:p w14:paraId="54CE974D">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二、服务期：合同签订之日起至全部活动结束后40个工作日。</w:t>
            </w:r>
          </w:p>
          <w:p w14:paraId="387DE091">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三、服务地点：广西壮族自治区南宁市内采购人指定地点。</w:t>
            </w:r>
          </w:p>
          <w:p w14:paraId="0CC4B4A8">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四、报价要求：</w:t>
            </w:r>
            <w:r>
              <w:rPr>
                <w:rFonts w:hint="eastAsia" w:ascii="宋体" w:hAnsi="宋体" w:eastAsia="宋体" w:cs="宋体"/>
                <w:color w:val="auto"/>
                <w:kern w:val="21"/>
                <w:sz w:val="21"/>
                <w:szCs w:val="21"/>
                <w:highlight w:val="none"/>
              </w:rPr>
              <w:t>本项目磋商报价（及最终报价）为完成采购人指定内容的整体包干价，包括但不限于技术工作费、人工费、设计费、材料费、验收费、差旅费、管理费、劳务费、邮寄费、维护、保险、利润及税金等所有费用。因磋商供应商自身原因造成漏报、少报皆由磋商供应商自行承担责任，采购人不再补偿。除政策性文件规定以外，磋商供应商所报价格在合同实施期间不因市场变化因素而变动。</w:t>
            </w:r>
          </w:p>
          <w:p w14:paraId="310DCCC7">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bCs/>
                <w:color w:val="auto"/>
                <w:kern w:val="21"/>
                <w:sz w:val="21"/>
                <w:szCs w:val="21"/>
                <w:highlight w:val="none"/>
              </w:rPr>
              <w:t>五、付款方式：</w:t>
            </w:r>
            <w:r>
              <w:rPr>
                <w:rFonts w:hint="eastAsia" w:ascii="宋体" w:hAnsi="宋体" w:eastAsia="宋体" w:cs="宋体"/>
                <w:color w:val="auto"/>
                <w:kern w:val="2"/>
                <w:sz w:val="21"/>
                <w:szCs w:val="21"/>
                <w:highlight w:val="none"/>
                <w:lang w:val="en-US" w:eastAsia="zh-CN" w:bidi="ar"/>
              </w:rPr>
              <w:t>自合同签订之日起10个工作日内，采购人向成交供应商支付合同金额的40%；服务成果提交并通过采购人组织专家验收后10个工作日内，采购人向成交供应商支付合同金额的60%。每次付款前，成交供应商需向采购人提供请款函及等额合法有效的增值税发票，否则采购人有权顺延付款且无需承担任何逾期付款责任。</w:t>
            </w:r>
          </w:p>
          <w:p w14:paraId="46DCF436">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1"/>
                <w:sz w:val="21"/>
                <w:szCs w:val="21"/>
                <w:highlight w:val="none"/>
              </w:rPr>
              <w:t>六</w:t>
            </w:r>
            <w:r>
              <w:rPr>
                <w:rFonts w:hint="eastAsia" w:ascii="宋体" w:hAnsi="宋体" w:eastAsia="宋体" w:cs="宋体"/>
                <w:b/>
                <w:bCs/>
                <w:color w:val="auto"/>
                <w:sz w:val="21"/>
                <w:szCs w:val="21"/>
                <w:highlight w:val="none"/>
              </w:rPr>
              <w:t>、项目人员要求</w:t>
            </w:r>
          </w:p>
          <w:p w14:paraId="03F51377">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1.项目人员：活动期间应组建包含项目负责人及项目专职人</w:t>
            </w:r>
            <w:r>
              <w:rPr>
                <w:rFonts w:hint="eastAsia" w:ascii="宋体" w:hAnsi="宋体" w:cs="宋体"/>
                <w:b w:val="0"/>
                <w:bCs w:val="0"/>
                <w:color w:val="auto"/>
                <w:sz w:val="21"/>
                <w:szCs w:val="21"/>
                <w:highlight w:val="none"/>
                <w:lang w:val="en-US" w:eastAsia="zh-CN"/>
              </w:rPr>
              <w:t>员在</w:t>
            </w:r>
            <w:r>
              <w:rPr>
                <w:rFonts w:hint="eastAsia" w:ascii="宋体" w:hAnsi="宋体" w:eastAsia="宋体" w:cs="宋体"/>
                <w:b w:val="0"/>
                <w:bCs w:val="0"/>
                <w:color w:val="auto"/>
                <w:sz w:val="21"/>
                <w:szCs w:val="21"/>
                <w:highlight w:val="none"/>
              </w:rPr>
              <w:t>内的完备的项目团队以保障项目顺利实施。</w:t>
            </w:r>
          </w:p>
          <w:p w14:paraId="7EDA37E3">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2.应急处理：活动期间，服务工作人员需服从采购</w:t>
            </w:r>
            <w:r>
              <w:rPr>
                <w:rFonts w:hint="eastAsia" w:ascii="宋体" w:hAnsi="宋体" w:eastAsia="宋体" w:cs="宋体"/>
                <w:color w:val="auto"/>
                <w:kern w:val="2"/>
                <w:sz w:val="21"/>
                <w:szCs w:val="21"/>
                <w:highlight w:val="none"/>
                <w:lang w:val="en-US" w:eastAsia="zh-CN" w:bidi="ar"/>
              </w:rPr>
              <w:t>人</w:t>
            </w:r>
            <w:r>
              <w:rPr>
                <w:rFonts w:hint="eastAsia" w:ascii="宋体" w:hAnsi="宋体" w:eastAsia="宋体" w:cs="宋体"/>
                <w:b w:val="0"/>
                <w:bCs w:val="0"/>
                <w:color w:val="auto"/>
                <w:sz w:val="21"/>
                <w:szCs w:val="21"/>
                <w:highlight w:val="none"/>
              </w:rPr>
              <w:t>负责人的工作安排，对外宣传工作保持工作日5*8小时响应。如遇特别紧急或重大问题，应在5分钟内通过微信、短信、电话等方式报告相关负责人，并在30分钟内处理解决。</w:t>
            </w:r>
          </w:p>
          <w:p w14:paraId="51EF98DA">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七、提交成果要求</w:t>
            </w:r>
          </w:p>
          <w:p w14:paraId="7B1B0101">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1.按采购需求要求提交各项服务的成果。</w:t>
            </w:r>
          </w:p>
          <w:p w14:paraId="36ED007D">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2.完成服务成果的具体清单（如原创内容和作品、推送渠道、赛事广告、多语种推广、专题视频、活动直录播等）、证明、最终结案报告等。</w:t>
            </w:r>
          </w:p>
          <w:p w14:paraId="14DB8886">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八、验收要求及标准</w:t>
            </w:r>
          </w:p>
          <w:p w14:paraId="34C7CA06">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（1）根据采购需求的要求进行验收，在验收时由采购人对照采购文件服务要求全面核对检验，如不符合采购文件的技术需求及要求以及提供虚假承诺的，按相关规定做退货处理及违约处理，</w:t>
            </w:r>
            <w:r>
              <w:rPr>
                <w:rFonts w:hint="eastAsia" w:ascii="宋体" w:hAnsi="宋体" w:eastAsia="宋体" w:cs="宋体"/>
                <w:sz w:val="21"/>
                <w:szCs w:val="21"/>
                <w:highlight w:val="none"/>
                <w:lang w:bidi="ar"/>
              </w:rPr>
              <w:t>供应商</w:t>
            </w:r>
            <w:r>
              <w:rPr>
                <w:rFonts w:hint="eastAsia" w:ascii="宋体" w:hAnsi="宋体" w:eastAsia="宋体" w:cs="宋体"/>
                <w:sz w:val="21"/>
                <w:szCs w:val="21"/>
                <w:highlight w:val="none"/>
              </w:rPr>
              <w:t>承担所有责任和费用，采购人保留进一步追究责任的权利。</w:t>
            </w:r>
          </w:p>
          <w:p w14:paraId="5848CE69">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（2）必要时采购人可委托第三方检测机构开展采购项目验收工作。</w:t>
            </w:r>
          </w:p>
          <w:p w14:paraId="5708A7BC">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rPr>
              <w:t>在约定的期限内完成本项目采购人最终确认的需求，认为可以验收的，以书面方式通知采购人。</w:t>
            </w:r>
          </w:p>
          <w:p w14:paraId="2D504D04">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highlight w:val="none"/>
              </w:rPr>
              <w:t>（4）验收过程中所产生的一切费用均由</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rPr>
              <w:t>承担。报价时应考虑相关费用。</w:t>
            </w:r>
          </w:p>
        </w:tc>
      </w:tr>
    </w:tbl>
    <w:p w14:paraId="13FC500B">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577723D1">
      <w:pPr>
        <w:spacing w:line="528" w:lineRule="exact"/>
        <w:jc w:val="left"/>
        <w:rPr>
          <w:rFonts w:hint="eastAsia" w:ascii="宋体" w:hAnsi="宋体" w:eastAsia="宋体" w:cs="宋体"/>
          <w:b/>
          <w:bCs/>
          <w:color w:val="auto"/>
          <w:kern w:val="21"/>
          <w:sz w:val="32"/>
          <w:szCs w:val="32"/>
          <w:highlight w:val="none"/>
          <w:lang w:val="en-US" w:eastAsia="zh-CN"/>
        </w:rPr>
      </w:pPr>
      <w:r>
        <w:rPr>
          <w:rFonts w:hint="eastAsia" w:ascii="宋体" w:hAnsi="宋体" w:eastAsia="宋体" w:cs="宋体"/>
          <w:b/>
          <w:bCs/>
          <w:color w:val="auto"/>
          <w:kern w:val="21"/>
          <w:sz w:val="32"/>
          <w:szCs w:val="32"/>
          <w:highlight w:val="none"/>
          <w:lang w:eastAsia="zh-CN"/>
        </w:rPr>
        <w:t>附件</w:t>
      </w:r>
      <w:r>
        <w:rPr>
          <w:rFonts w:hint="eastAsia" w:ascii="宋体" w:hAnsi="宋体" w:eastAsia="宋体" w:cs="宋体"/>
          <w:b/>
          <w:bCs/>
          <w:color w:val="auto"/>
          <w:kern w:val="21"/>
          <w:sz w:val="32"/>
          <w:szCs w:val="32"/>
          <w:highlight w:val="none"/>
          <w:lang w:val="en-US" w:eastAsia="zh-CN"/>
        </w:rPr>
        <w:t>1：</w:t>
      </w:r>
    </w:p>
    <w:p w14:paraId="3A2557AE">
      <w:pPr>
        <w:spacing w:line="528" w:lineRule="exact"/>
        <w:jc w:val="center"/>
        <w:rPr>
          <w:rFonts w:ascii="宋体" w:hAnsi="宋体" w:cs="宋体"/>
          <w:color w:val="auto"/>
          <w:kern w:val="21"/>
          <w:sz w:val="40"/>
          <w:szCs w:val="40"/>
          <w:highlight w:val="none"/>
        </w:rPr>
      </w:pPr>
      <w:r>
        <w:rPr>
          <w:rFonts w:hint="eastAsia" w:ascii="Arial Unicode MS" w:hAnsi="Arial Unicode MS" w:eastAsia="Arial Unicode MS" w:cs="Arial Unicode MS"/>
          <w:b/>
          <w:bCs/>
          <w:color w:val="auto"/>
          <w:sz w:val="40"/>
          <w:szCs w:val="40"/>
          <w:highlight w:val="none"/>
        </w:rPr>
        <w:t>节能产品政府采购品目清单</w:t>
      </w:r>
    </w:p>
    <w:p w14:paraId="7F347706">
      <w:pPr>
        <w:rPr>
          <w:rFonts w:ascii="宋体" w:hAnsi="宋体" w:cs="宋体"/>
          <w:color w:val="auto"/>
          <w:kern w:val="21"/>
          <w:sz w:val="20"/>
          <w:szCs w:val="20"/>
          <w:highlight w:val="none"/>
        </w:rPr>
      </w:pPr>
    </w:p>
    <w:tbl>
      <w:tblPr>
        <w:tblStyle w:val="32"/>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6"/>
        <w:gridCol w:w="1516"/>
        <w:gridCol w:w="1612"/>
        <w:gridCol w:w="4335"/>
      </w:tblGrid>
      <w:tr w14:paraId="75B0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70" w:type="dxa"/>
            <w:shd w:val="clear" w:color="auto" w:fill="D7D7D7"/>
            <w:noWrap w:val="0"/>
            <w:vAlign w:val="top"/>
          </w:tcPr>
          <w:p w14:paraId="106600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品目序号</w:t>
            </w:r>
          </w:p>
        </w:tc>
        <w:tc>
          <w:tcPr>
            <w:tcW w:w="4244" w:type="dxa"/>
            <w:gridSpan w:val="3"/>
            <w:shd w:val="clear" w:color="auto" w:fill="D7D7D7"/>
            <w:noWrap w:val="0"/>
            <w:vAlign w:val="center"/>
          </w:tcPr>
          <w:p w14:paraId="3EC7EC4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名称</w:t>
            </w:r>
          </w:p>
        </w:tc>
        <w:tc>
          <w:tcPr>
            <w:tcW w:w="4335" w:type="dxa"/>
            <w:shd w:val="clear" w:color="auto" w:fill="D7D7D7"/>
            <w:noWrap w:val="0"/>
            <w:vAlign w:val="center"/>
          </w:tcPr>
          <w:p w14:paraId="4C93178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依据的标准</w:t>
            </w:r>
          </w:p>
        </w:tc>
      </w:tr>
      <w:tr w14:paraId="54AD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4E1232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116" w:type="dxa"/>
            <w:vMerge w:val="restart"/>
            <w:noWrap w:val="0"/>
            <w:vAlign w:val="center"/>
          </w:tcPr>
          <w:p w14:paraId="240DB7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A020101计算机设备</w:t>
            </w:r>
          </w:p>
        </w:tc>
        <w:tc>
          <w:tcPr>
            <w:tcW w:w="1516" w:type="dxa"/>
            <w:noWrap w:val="0"/>
            <w:vAlign w:val="center"/>
          </w:tcPr>
          <w:p w14:paraId="47E32D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★A02010104台式计算机</w:t>
            </w:r>
          </w:p>
        </w:tc>
        <w:tc>
          <w:tcPr>
            <w:tcW w:w="1612" w:type="dxa"/>
            <w:noWrap w:val="0"/>
            <w:vAlign w:val="center"/>
          </w:tcPr>
          <w:p w14:paraId="66B906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F6DF3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49E7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5251C9F1">
            <w:pPr>
              <w:widowControl/>
              <w:jc w:val="left"/>
              <w:rPr>
                <w:rFonts w:ascii="宋体" w:hAnsi="宋体" w:cs="宋体"/>
                <w:color w:val="auto"/>
                <w:kern w:val="0"/>
                <w:sz w:val="18"/>
                <w:szCs w:val="18"/>
                <w:highlight w:val="none"/>
              </w:rPr>
            </w:pPr>
          </w:p>
        </w:tc>
        <w:tc>
          <w:tcPr>
            <w:tcW w:w="1116" w:type="dxa"/>
            <w:vMerge w:val="continue"/>
            <w:noWrap w:val="0"/>
            <w:vAlign w:val="center"/>
          </w:tcPr>
          <w:p w14:paraId="400B1CF1">
            <w:pPr>
              <w:widowControl/>
              <w:jc w:val="left"/>
              <w:rPr>
                <w:rFonts w:ascii="宋体" w:hAnsi="宋体" w:cs="宋体"/>
                <w:color w:val="auto"/>
                <w:kern w:val="0"/>
                <w:sz w:val="18"/>
                <w:szCs w:val="18"/>
                <w:highlight w:val="none"/>
              </w:rPr>
            </w:pPr>
          </w:p>
        </w:tc>
        <w:tc>
          <w:tcPr>
            <w:tcW w:w="1516" w:type="dxa"/>
            <w:noWrap w:val="0"/>
            <w:vAlign w:val="center"/>
          </w:tcPr>
          <w:p w14:paraId="3BDAFB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★A02010105便携式计算机</w:t>
            </w:r>
          </w:p>
        </w:tc>
        <w:tc>
          <w:tcPr>
            <w:tcW w:w="1612" w:type="dxa"/>
            <w:noWrap w:val="0"/>
            <w:vAlign w:val="center"/>
          </w:tcPr>
          <w:p w14:paraId="74A6CD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F7F72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5F5D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1B11A0F0">
            <w:pPr>
              <w:widowControl/>
              <w:jc w:val="left"/>
              <w:rPr>
                <w:rFonts w:ascii="宋体" w:hAnsi="宋体" w:cs="宋体"/>
                <w:color w:val="auto"/>
                <w:kern w:val="0"/>
                <w:sz w:val="18"/>
                <w:szCs w:val="18"/>
                <w:highlight w:val="none"/>
              </w:rPr>
            </w:pPr>
          </w:p>
        </w:tc>
        <w:tc>
          <w:tcPr>
            <w:tcW w:w="1116" w:type="dxa"/>
            <w:vMerge w:val="continue"/>
            <w:noWrap w:val="0"/>
            <w:vAlign w:val="center"/>
          </w:tcPr>
          <w:p w14:paraId="12A12305">
            <w:pPr>
              <w:widowControl/>
              <w:jc w:val="left"/>
              <w:rPr>
                <w:rFonts w:ascii="宋体" w:hAnsi="宋体" w:cs="宋体"/>
                <w:color w:val="auto"/>
                <w:kern w:val="0"/>
                <w:sz w:val="18"/>
                <w:szCs w:val="18"/>
                <w:highlight w:val="none"/>
              </w:rPr>
            </w:pPr>
          </w:p>
        </w:tc>
        <w:tc>
          <w:tcPr>
            <w:tcW w:w="1516" w:type="dxa"/>
            <w:noWrap w:val="0"/>
            <w:vAlign w:val="center"/>
          </w:tcPr>
          <w:p w14:paraId="795A36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★A02010107平板式微型计算机</w:t>
            </w:r>
          </w:p>
        </w:tc>
        <w:tc>
          <w:tcPr>
            <w:tcW w:w="1612" w:type="dxa"/>
            <w:noWrap w:val="0"/>
            <w:vAlign w:val="center"/>
          </w:tcPr>
          <w:p w14:paraId="11C756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377ED0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0304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45358B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116" w:type="dxa"/>
            <w:vMerge w:val="restart"/>
            <w:noWrap w:val="0"/>
            <w:vAlign w:val="center"/>
          </w:tcPr>
          <w:p w14:paraId="45DDE3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A020106输入输出设备</w:t>
            </w:r>
          </w:p>
        </w:tc>
        <w:tc>
          <w:tcPr>
            <w:tcW w:w="1516" w:type="dxa"/>
            <w:vMerge w:val="restart"/>
            <w:noWrap w:val="0"/>
            <w:vAlign w:val="center"/>
          </w:tcPr>
          <w:p w14:paraId="3ACD4E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A02010601打印设备</w:t>
            </w:r>
          </w:p>
        </w:tc>
        <w:tc>
          <w:tcPr>
            <w:tcW w:w="1612" w:type="dxa"/>
            <w:noWrap w:val="0"/>
            <w:vAlign w:val="center"/>
          </w:tcPr>
          <w:p w14:paraId="39EC1F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A0201060101喷墨打印机</w:t>
            </w:r>
          </w:p>
        </w:tc>
        <w:tc>
          <w:tcPr>
            <w:tcW w:w="4335" w:type="dxa"/>
            <w:noWrap w:val="0"/>
            <w:vAlign w:val="center"/>
          </w:tcPr>
          <w:p w14:paraId="346C5B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5557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EF0F7AA">
            <w:pPr>
              <w:widowControl/>
              <w:jc w:val="left"/>
              <w:rPr>
                <w:rFonts w:ascii="宋体" w:hAnsi="宋体" w:cs="宋体"/>
                <w:color w:val="auto"/>
                <w:kern w:val="0"/>
                <w:sz w:val="18"/>
                <w:szCs w:val="18"/>
                <w:highlight w:val="none"/>
              </w:rPr>
            </w:pPr>
          </w:p>
        </w:tc>
        <w:tc>
          <w:tcPr>
            <w:tcW w:w="1116" w:type="dxa"/>
            <w:vMerge w:val="continue"/>
            <w:noWrap w:val="0"/>
            <w:vAlign w:val="center"/>
          </w:tcPr>
          <w:p w14:paraId="4AFFDD39">
            <w:pPr>
              <w:widowControl/>
              <w:jc w:val="left"/>
              <w:rPr>
                <w:rFonts w:ascii="宋体" w:hAnsi="宋体" w:cs="宋体"/>
                <w:color w:val="auto"/>
                <w:kern w:val="0"/>
                <w:sz w:val="18"/>
                <w:szCs w:val="18"/>
                <w:highlight w:val="none"/>
              </w:rPr>
            </w:pPr>
          </w:p>
        </w:tc>
        <w:tc>
          <w:tcPr>
            <w:tcW w:w="1516" w:type="dxa"/>
            <w:vMerge w:val="continue"/>
            <w:noWrap w:val="0"/>
            <w:vAlign w:val="center"/>
          </w:tcPr>
          <w:p w14:paraId="43609AA8">
            <w:pPr>
              <w:widowControl/>
              <w:jc w:val="left"/>
              <w:rPr>
                <w:rFonts w:ascii="宋体" w:hAnsi="宋体" w:cs="宋体"/>
                <w:color w:val="auto"/>
                <w:kern w:val="0"/>
                <w:sz w:val="18"/>
                <w:szCs w:val="18"/>
                <w:highlight w:val="none"/>
              </w:rPr>
            </w:pPr>
          </w:p>
        </w:tc>
        <w:tc>
          <w:tcPr>
            <w:tcW w:w="1612" w:type="dxa"/>
            <w:noWrap w:val="0"/>
            <w:vAlign w:val="center"/>
          </w:tcPr>
          <w:p w14:paraId="467719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★A0201060102激光打印机</w:t>
            </w:r>
          </w:p>
        </w:tc>
        <w:tc>
          <w:tcPr>
            <w:tcW w:w="4335" w:type="dxa"/>
            <w:noWrap w:val="0"/>
            <w:vAlign w:val="center"/>
          </w:tcPr>
          <w:p w14:paraId="1C308F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0DD5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6C77712">
            <w:pPr>
              <w:widowControl/>
              <w:jc w:val="left"/>
              <w:rPr>
                <w:rFonts w:ascii="宋体" w:hAnsi="宋体" w:cs="宋体"/>
                <w:color w:val="auto"/>
                <w:kern w:val="0"/>
                <w:sz w:val="18"/>
                <w:szCs w:val="18"/>
                <w:highlight w:val="none"/>
              </w:rPr>
            </w:pPr>
          </w:p>
        </w:tc>
        <w:tc>
          <w:tcPr>
            <w:tcW w:w="1116" w:type="dxa"/>
            <w:vMerge w:val="continue"/>
            <w:noWrap w:val="0"/>
            <w:vAlign w:val="center"/>
          </w:tcPr>
          <w:p w14:paraId="4BC3E0A5">
            <w:pPr>
              <w:widowControl/>
              <w:jc w:val="left"/>
              <w:rPr>
                <w:rFonts w:ascii="宋体" w:hAnsi="宋体" w:cs="宋体"/>
                <w:color w:val="auto"/>
                <w:kern w:val="0"/>
                <w:sz w:val="18"/>
                <w:szCs w:val="18"/>
                <w:highlight w:val="none"/>
              </w:rPr>
            </w:pPr>
          </w:p>
        </w:tc>
        <w:tc>
          <w:tcPr>
            <w:tcW w:w="1516" w:type="dxa"/>
            <w:vMerge w:val="continue"/>
            <w:noWrap w:val="0"/>
            <w:vAlign w:val="center"/>
          </w:tcPr>
          <w:p w14:paraId="0A28472F">
            <w:pPr>
              <w:widowControl/>
              <w:jc w:val="left"/>
              <w:rPr>
                <w:rFonts w:ascii="宋体" w:hAnsi="宋体" w:cs="宋体"/>
                <w:color w:val="auto"/>
                <w:kern w:val="0"/>
                <w:sz w:val="18"/>
                <w:szCs w:val="18"/>
                <w:highlight w:val="none"/>
              </w:rPr>
            </w:pPr>
          </w:p>
        </w:tc>
        <w:tc>
          <w:tcPr>
            <w:tcW w:w="1612" w:type="dxa"/>
            <w:noWrap w:val="0"/>
            <w:vAlign w:val="center"/>
          </w:tcPr>
          <w:p w14:paraId="407C81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★A0201060104针式打印机</w:t>
            </w:r>
          </w:p>
        </w:tc>
        <w:tc>
          <w:tcPr>
            <w:tcW w:w="4335" w:type="dxa"/>
            <w:noWrap w:val="0"/>
            <w:vAlign w:val="center"/>
          </w:tcPr>
          <w:p w14:paraId="60909B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0366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9B1A06F">
            <w:pPr>
              <w:widowControl/>
              <w:jc w:val="left"/>
              <w:rPr>
                <w:rFonts w:ascii="宋体" w:hAnsi="宋体" w:cs="宋体"/>
                <w:color w:val="auto"/>
                <w:kern w:val="0"/>
                <w:sz w:val="18"/>
                <w:szCs w:val="18"/>
                <w:highlight w:val="none"/>
              </w:rPr>
            </w:pPr>
          </w:p>
        </w:tc>
        <w:tc>
          <w:tcPr>
            <w:tcW w:w="1116" w:type="dxa"/>
            <w:vMerge w:val="continue"/>
            <w:noWrap w:val="0"/>
            <w:vAlign w:val="center"/>
          </w:tcPr>
          <w:p w14:paraId="1F838BE6">
            <w:pPr>
              <w:widowControl/>
              <w:jc w:val="left"/>
              <w:rPr>
                <w:rFonts w:ascii="宋体" w:hAnsi="宋体" w:cs="宋体"/>
                <w:color w:val="auto"/>
                <w:kern w:val="0"/>
                <w:sz w:val="18"/>
                <w:szCs w:val="18"/>
                <w:highlight w:val="none"/>
              </w:rPr>
            </w:pPr>
          </w:p>
        </w:tc>
        <w:tc>
          <w:tcPr>
            <w:tcW w:w="1516" w:type="dxa"/>
            <w:noWrap w:val="0"/>
            <w:vAlign w:val="center"/>
          </w:tcPr>
          <w:p w14:paraId="5D6902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A02010604显示设备</w:t>
            </w:r>
          </w:p>
        </w:tc>
        <w:tc>
          <w:tcPr>
            <w:tcW w:w="1612" w:type="dxa"/>
            <w:noWrap w:val="0"/>
            <w:vAlign w:val="center"/>
          </w:tcPr>
          <w:p w14:paraId="1FE371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★A0201060401液晶显示器</w:t>
            </w:r>
          </w:p>
        </w:tc>
        <w:tc>
          <w:tcPr>
            <w:tcW w:w="4335" w:type="dxa"/>
            <w:noWrap w:val="0"/>
            <w:vAlign w:val="center"/>
          </w:tcPr>
          <w:p w14:paraId="661BE7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《计算机显示器能效限定值及能效等级》（GB21520）</w:t>
            </w:r>
          </w:p>
        </w:tc>
      </w:tr>
      <w:tr w14:paraId="1DFD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33D70DC3">
            <w:pPr>
              <w:widowControl/>
              <w:jc w:val="left"/>
              <w:rPr>
                <w:rFonts w:ascii="宋体" w:hAnsi="宋体" w:cs="宋体"/>
                <w:color w:val="auto"/>
                <w:kern w:val="0"/>
                <w:sz w:val="18"/>
                <w:szCs w:val="18"/>
                <w:highlight w:val="none"/>
              </w:rPr>
            </w:pPr>
          </w:p>
        </w:tc>
        <w:tc>
          <w:tcPr>
            <w:tcW w:w="1116" w:type="dxa"/>
            <w:vMerge w:val="continue"/>
            <w:noWrap w:val="0"/>
            <w:vAlign w:val="center"/>
          </w:tcPr>
          <w:p w14:paraId="0EEDA611">
            <w:pPr>
              <w:widowControl/>
              <w:jc w:val="left"/>
              <w:rPr>
                <w:rFonts w:ascii="宋体" w:hAnsi="宋体" w:cs="宋体"/>
                <w:color w:val="auto"/>
                <w:kern w:val="0"/>
                <w:sz w:val="18"/>
                <w:szCs w:val="18"/>
                <w:highlight w:val="none"/>
              </w:rPr>
            </w:pPr>
          </w:p>
        </w:tc>
        <w:tc>
          <w:tcPr>
            <w:tcW w:w="1516" w:type="dxa"/>
            <w:noWrap w:val="0"/>
            <w:vAlign w:val="center"/>
          </w:tcPr>
          <w:p w14:paraId="6A40B8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A02010609图形图像输入设备</w:t>
            </w:r>
          </w:p>
        </w:tc>
        <w:tc>
          <w:tcPr>
            <w:tcW w:w="1612" w:type="dxa"/>
            <w:noWrap w:val="0"/>
            <w:vAlign w:val="center"/>
          </w:tcPr>
          <w:p w14:paraId="2B5D81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A0201060901扫描仪</w:t>
            </w:r>
          </w:p>
        </w:tc>
        <w:tc>
          <w:tcPr>
            <w:tcW w:w="4335" w:type="dxa"/>
            <w:noWrap w:val="0"/>
            <w:vAlign w:val="center"/>
          </w:tcPr>
          <w:p w14:paraId="789C48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参照《复印机、打印机和传真机能效限定值及能效等级》（GB21521</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中打印速度为15页/分的针式打印机相关要求</w:t>
            </w:r>
          </w:p>
        </w:tc>
      </w:tr>
      <w:tr w14:paraId="1AB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157F91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116" w:type="dxa"/>
            <w:noWrap w:val="0"/>
            <w:vAlign w:val="center"/>
          </w:tcPr>
          <w:p w14:paraId="7308EE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A020202投影仪</w:t>
            </w:r>
          </w:p>
        </w:tc>
        <w:tc>
          <w:tcPr>
            <w:tcW w:w="1516" w:type="dxa"/>
            <w:noWrap w:val="0"/>
            <w:vAlign w:val="center"/>
          </w:tcPr>
          <w:p w14:paraId="01BA6D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653DB8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47AD76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《投影机能效限定值及能效等级》（GB32028）</w:t>
            </w:r>
          </w:p>
        </w:tc>
      </w:tr>
      <w:tr w14:paraId="792C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278D3B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116" w:type="dxa"/>
            <w:noWrap w:val="0"/>
            <w:vAlign w:val="center"/>
          </w:tcPr>
          <w:p w14:paraId="05030D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A020204多功能一体机</w:t>
            </w:r>
          </w:p>
        </w:tc>
        <w:tc>
          <w:tcPr>
            <w:tcW w:w="1516" w:type="dxa"/>
            <w:noWrap w:val="0"/>
            <w:vAlign w:val="center"/>
          </w:tcPr>
          <w:p w14:paraId="7F4145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76C9D7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39FDB6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156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64B498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116" w:type="dxa"/>
            <w:noWrap w:val="0"/>
            <w:vAlign w:val="center"/>
          </w:tcPr>
          <w:p w14:paraId="08D08B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A020519泵</w:t>
            </w:r>
          </w:p>
        </w:tc>
        <w:tc>
          <w:tcPr>
            <w:tcW w:w="1516" w:type="dxa"/>
            <w:noWrap w:val="0"/>
            <w:vAlign w:val="center"/>
          </w:tcPr>
          <w:p w14:paraId="08D7AB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A02051901离心泵</w:t>
            </w:r>
          </w:p>
        </w:tc>
        <w:tc>
          <w:tcPr>
            <w:tcW w:w="1612" w:type="dxa"/>
            <w:noWrap w:val="0"/>
            <w:vAlign w:val="center"/>
          </w:tcPr>
          <w:p w14:paraId="0E881D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E3CA8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《清水离心泵能效限定值及节能评价值》（GB19762）</w:t>
            </w:r>
          </w:p>
        </w:tc>
      </w:tr>
      <w:tr w14:paraId="3630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restart"/>
            <w:noWrap w:val="0"/>
            <w:vAlign w:val="center"/>
          </w:tcPr>
          <w:p w14:paraId="21427A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116" w:type="dxa"/>
            <w:vMerge w:val="restart"/>
            <w:noWrap w:val="0"/>
            <w:vAlign w:val="center"/>
          </w:tcPr>
          <w:p w14:paraId="4AAF95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A020523制冷空调设备</w:t>
            </w:r>
          </w:p>
        </w:tc>
        <w:tc>
          <w:tcPr>
            <w:tcW w:w="1516" w:type="dxa"/>
            <w:vMerge w:val="restart"/>
            <w:noWrap w:val="0"/>
            <w:vAlign w:val="center"/>
          </w:tcPr>
          <w:p w14:paraId="451C45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★A02052301制冷压缩机</w:t>
            </w:r>
          </w:p>
        </w:tc>
        <w:tc>
          <w:tcPr>
            <w:tcW w:w="1612" w:type="dxa"/>
            <w:noWrap w:val="0"/>
            <w:vAlign w:val="center"/>
          </w:tcPr>
          <w:p w14:paraId="7E70D3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w:t>
            </w:r>
          </w:p>
        </w:tc>
        <w:tc>
          <w:tcPr>
            <w:tcW w:w="4335" w:type="dxa"/>
            <w:noWrap w:val="0"/>
            <w:vAlign w:val="center"/>
          </w:tcPr>
          <w:p w14:paraId="0B9076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《冷水机组能效限定值及能效等级》（GB19577），《低环境温度空气源热泵（冷水）机组能效限定值及能效等级》（GB37480）</w:t>
            </w:r>
          </w:p>
        </w:tc>
      </w:tr>
      <w:tr w14:paraId="594D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404AD7F1">
            <w:pPr>
              <w:widowControl/>
              <w:jc w:val="left"/>
              <w:rPr>
                <w:rFonts w:ascii="宋体" w:hAnsi="宋体" w:cs="宋体"/>
                <w:color w:val="auto"/>
                <w:kern w:val="0"/>
                <w:sz w:val="18"/>
                <w:szCs w:val="18"/>
                <w:highlight w:val="none"/>
              </w:rPr>
            </w:pPr>
          </w:p>
        </w:tc>
        <w:tc>
          <w:tcPr>
            <w:tcW w:w="1116" w:type="dxa"/>
            <w:vMerge w:val="continue"/>
            <w:noWrap w:val="0"/>
            <w:vAlign w:val="center"/>
          </w:tcPr>
          <w:p w14:paraId="23416CE6">
            <w:pPr>
              <w:widowControl/>
              <w:jc w:val="left"/>
              <w:rPr>
                <w:rFonts w:ascii="宋体" w:hAnsi="宋体" w:cs="宋体"/>
                <w:color w:val="auto"/>
                <w:kern w:val="0"/>
                <w:sz w:val="18"/>
                <w:szCs w:val="18"/>
                <w:highlight w:val="none"/>
              </w:rPr>
            </w:pPr>
          </w:p>
        </w:tc>
        <w:tc>
          <w:tcPr>
            <w:tcW w:w="1516" w:type="dxa"/>
            <w:vMerge w:val="continue"/>
            <w:noWrap w:val="0"/>
            <w:vAlign w:val="center"/>
          </w:tcPr>
          <w:p w14:paraId="640E91D7">
            <w:pPr>
              <w:widowControl/>
              <w:jc w:val="left"/>
              <w:rPr>
                <w:rFonts w:ascii="宋体" w:hAnsi="宋体" w:cs="宋体"/>
                <w:color w:val="auto"/>
                <w:kern w:val="0"/>
                <w:sz w:val="18"/>
                <w:szCs w:val="18"/>
                <w:highlight w:val="none"/>
              </w:rPr>
            </w:pPr>
          </w:p>
        </w:tc>
        <w:tc>
          <w:tcPr>
            <w:tcW w:w="1612" w:type="dxa"/>
            <w:noWrap w:val="0"/>
            <w:vAlign w:val="center"/>
          </w:tcPr>
          <w:p w14:paraId="021215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水源热泵机组</w:t>
            </w:r>
          </w:p>
        </w:tc>
        <w:tc>
          <w:tcPr>
            <w:tcW w:w="4335" w:type="dxa"/>
            <w:noWrap w:val="0"/>
            <w:vAlign w:val="center"/>
          </w:tcPr>
          <w:p w14:paraId="70CAB0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《水（地）源热泵机组能效限定值及能效等级》（GB30721）</w:t>
            </w:r>
          </w:p>
        </w:tc>
      </w:tr>
      <w:tr w14:paraId="7E77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A3165A3">
            <w:pPr>
              <w:widowControl/>
              <w:jc w:val="left"/>
              <w:rPr>
                <w:rFonts w:ascii="宋体" w:hAnsi="宋体" w:cs="宋体"/>
                <w:color w:val="auto"/>
                <w:kern w:val="0"/>
                <w:sz w:val="18"/>
                <w:szCs w:val="18"/>
                <w:highlight w:val="none"/>
              </w:rPr>
            </w:pPr>
          </w:p>
        </w:tc>
        <w:tc>
          <w:tcPr>
            <w:tcW w:w="1116" w:type="dxa"/>
            <w:vMerge w:val="continue"/>
            <w:noWrap w:val="0"/>
            <w:vAlign w:val="center"/>
          </w:tcPr>
          <w:p w14:paraId="7BDEFB64">
            <w:pPr>
              <w:widowControl/>
              <w:jc w:val="left"/>
              <w:rPr>
                <w:rFonts w:ascii="宋体" w:hAnsi="宋体" w:cs="宋体"/>
                <w:color w:val="auto"/>
                <w:kern w:val="0"/>
                <w:sz w:val="18"/>
                <w:szCs w:val="18"/>
                <w:highlight w:val="none"/>
              </w:rPr>
            </w:pPr>
          </w:p>
        </w:tc>
        <w:tc>
          <w:tcPr>
            <w:tcW w:w="1516" w:type="dxa"/>
            <w:vMerge w:val="continue"/>
            <w:noWrap w:val="0"/>
            <w:vAlign w:val="center"/>
          </w:tcPr>
          <w:p w14:paraId="039AC347">
            <w:pPr>
              <w:widowControl/>
              <w:jc w:val="left"/>
              <w:rPr>
                <w:rFonts w:ascii="宋体" w:hAnsi="宋体" w:cs="宋体"/>
                <w:color w:val="auto"/>
                <w:kern w:val="0"/>
                <w:sz w:val="18"/>
                <w:szCs w:val="18"/>
                <w:highlight w:val="none"/>
              </w:rPr>
            </w:pPr>
          </w:p>
        </w:tc>
        <w:tc>
          <w:tcPr>
            <w:tcW w:w="1612" w:type="dxa"/>
            <w:noWrap w:val="0"/>
            <w:vAlign w:val="center"/>
          </w:tcPr>
          <w:p w14:paraId="2811F1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w:t>
            </w:r>
          </w:p>
        </w:tc>
        <w:tc>
          <w:tcPr>
            <w:tcW w:w="4335" w:type="dxa"/>
            <w:noWrap w:val="0"/>
            <w:vAlign w:val="center"/>
          </w:tcPr>
          <w:p w14:paraId="315E90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《溴化锂吸收式冷水机组能效限定值及能效等级》（GB29540）</w:t>
            </w:r>
          </w:p>
        </w:tc>
      </w:tr>
      <w:tr w14:paraId="48CF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F9E1DBB">
            <w:pPr>
              <w:widowControl/>
              <w:jc w:val="left"/>
              <w:rPr>
                <w:rFonts w:ascii="宋体" w:hAnsi="宋体" w:cs="宋体"/>
                <w:color w:val="auto"/>
                <w:kern w:val="0"/>
                <w:sz w:val="18"/>
                <w:szCs w:val="18"/>
                <w:highlight w:val="none"/>
              </w:rPr>
            </w:pPr>
          </w:p>
        </w:tc>
        <w:tc>
          <w:tcPr>
            <w:tcW w:w="1116" w:type="dxa"/>
            <w:vMerge w:val="continue"/>
            <w:noWrap w:val="0"/>
            <w:vAlign w:val="center"/>
          </w:tcPr>
          <w:p w14:paraId="11B6ED17">
            <w:pPr>
              <w:widowControl/>
              <w:jc w:val="left"/>
              <w:rPr>
                <w:rFonts w:ascii="宋体" w:hAnsi="宋体" w:cs="宋体"/>
                <w:color w:val="auto"/>
                <w:kern w:val="0"/>
                <w:sz w:val="18"/>
                <w:szCs w:val="18"/>
                <w:highlight w:val="none"/>
              </w:rPr>
            </w:pPr>
          </w:p>
        </w:tc>
        <w:tc>
          <w:tcPr>
            <w:tcW w:w="1516" w:type="dxa"/>
            <w:vMerge w:val="restart"/>
            <w:noWrap w:val="0"/>
            <w:vAlign w:val="center"/>
          </w:tcPr>
          <w:p w14:paraId="5AB61D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★A02052305空调机组</w:t>
            </w:r>
          </w:p>
        </w:tc>
        <w:tc>
          <w:tcPr>
            <w:tcW w:w="1612" w:type="dxa"/>
            <w:noWrap w:val="0"/>
            <w:vAlign w:val="center"/>
          </w:tcPr>
          <w:p w14:paraId="2D0C1FB1">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多联式空调（热泵）机组</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4335" w:type="dxa"/>
            <w:noWrap w:val="0"/>
            <w:vAlign w:val="center"/>
          </w:tcPr>
          <w:p w14:paraId="4FD964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745E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30A62EC0">
            <w:pPr>
              <w:widowControl/>
              <w:jc w:val="left"/>
              <w:rPr>
                <w:rFonts w:ascii="宋体" w:hAnsi="宋体" w:cs="宋体"/>
                <w:color w:val="auto"/>
                <w:kern w:val="0"/>
                <w:sz w:val="18"/>
                <w:szCs w:val="18"/>
                <w:highlight w:val="none"/>
              </w:rPr>
            </w:pPr>
          </w:p>
        </w:tc>
        <w:tc>
          <w:tcPr>
            <w:tcW w:w="1116" w:type="dxa"/>
            <w:vMerge w:val="continue"/>
            <w:noWrap w:val="0"/>
            <w:vAlign w:val="center"/>
          </w:tcPr>
          <w:p w14:paraId="0EAD22A8">
            <w:pPr>
              <w:widowControl/>
              <w:jc w:val="left"/>
              <w:rPr>
                <w:rFonts w:ascii="宋体" w:hAnsi="宋体" w:cs="宋体"/>
                <w:color w:val="auto"/>
                <w:kern w:val="0"/>
                <w:sz w:val="18"/>
                <w:szCs w:val="18"/>
                <w:highlight w:val="none"/>
              </w:rPr>
            </w:pPr>
          </w:p>
        </w:tc>
        <w:tc>
          <w:tcPr>
            <w:tcW w:w="1516" w:type="dxa"/>
            <w:vMerge w:val="continue"/>
            <w:noWrap w:val="0"/>
            <w:vAlign w:val="center"/>
          </w:tcPr>
          <w:p w14:paraId="6D5F3B71">
            <w:pPr>
              <w:widowControl/>
              <w:jc w:val="left"/>
              <w:rPr>
                <w:rFonts w:ascii="宋体" w:hAnsi="宋体" w:cs="宋体"/>
                <w:color w:val="auto"/>
                <w:kern w:val="0"/>
                <w:sz w:val="18"/>
                <w:szCs w:val="18"/>
                <w:highlight w:val="none"/>
              </w:rPr>
            </w:pPr>
          </w:p>
        </w:tc>
        <w:tc>
          <w:tcPr>
            <w:tcW w:w="1612" w:type="dxa"/>
            <w:noWrap w:val="0"/>
            <w:vAlign w:val="center"/>
          </w:tcPr>
          <w:p w14:paraId="447FDABF">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4335" w:type="dxa"/>
            <w:noWrap w:val="0"/>
            <w:vAlign w:val="center"/>
          </w:tcPr>
          <w:p w14:paraId="2202A3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《单元式空气调节机能效限定值及能效等级》（GB19576）《风管送风式空调机组能效限定值及能效等级》（GB37479）</w:t>
            </w:r>
          </w:p>
        </w:tc>
      </w:tr>
      <w:tr w14:paraId="7A5F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61B3271F">
            <w:pPr>
              <w:widowControl/>
              <w:jc w:val="left"/>
              <w:rPr>
                <w:rFonts w:ascii="宋体" w:hAnsi="宋体" w:cs="宋体"/>
                <w:color w:val="auto"/>
                <w:kern w:val="0"/>
                <w:sz w:val="18"/>
                <w:szCs w:val="18"/>
                <w:highlight w:val="none"/>
              </w:rPr>
            </w:pPr>
          </w:p>
        </w:tc>
        <w:tc>
          <w:tcPr>
            <w:tcW w:w="1116" w:type="dxa"/>
            <w:vMerge w:val="continue"/>
            <w:noWrap w:val="0"/>
            <w:vAlign w:val="center"/>
          </w:tcPr>
          <w:p w14:paraId="112E635D">
            <w:pPr>
              <w:widowControl/>
              <w:jc w:val="left"/>
              <w:rPr>
                <w:rFonts w:ascii="宋体" w:hAnsi="宋体" w:cs="宋体"/>
                <w:color w:val="auto"/>
                <w:kern w:val="0"/>
                <w:sz w:val="18"/>
                <w:szCs w:val="18"/>
                <w:highlight w:val="none"/>
              </w:rPr>
            </w:pPr>
          </w:p>
        </w:tc>
        <w:tc>
          <w:tcPr>
            <w:tcW w:w="1516" w:type="dxa"/>
            <w:noWrap w:val="0"/>
            <w:vAlign w:val="center"/>
          </w:tcPr>
          <w:p w14:paraId="040645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★A02052309专用制冷、空调设备</w:t>
            </w:r>
          </w:p>
        </w:tc>
        <w:tc>
          <w:tcPr>
            <w:tcW w:w="1612" w:type="dxa"/>
            <w:noWrap w:val="0"/>
            <w:vAlign w:val="center"/>
          </w:tcPr>
          <w:p w14:paraId="0B745C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机房空调</w:t>
            </w:r>
          </w:p>
        </w:tc>
        <w:tc>
          <w:tcPr>
            <w:tcW w:w="4335" w:type="dxa"/>
            <w:noWrap w:val="0"/>
            <w:vAlign w:val="center"/>
          </w:tcPr>
          <w:p w14:paraId="30F27E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w:t>
            </w:r>
          </w:p>
        </w:tc>
      </w:tr>
      <w:tr w14:paraId="06BB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65FF99AB">
            <w:pPr>
              <w:widowControl/>
              <w:jc w:val="left"/>
              <w:rPr>
                <w:rFonts w:ascii="宋体" w:hAnsi="宋体" w:cs="宋体"/>
                <w:color w:val="auto"/>
                <w:kern w:val="0"/>
                <w:sz w:val="18"/>
                <w:szCs w:val="18"/>
                <w:highlight w:val="none"/>
              </w:rPr>
            </w:pPr>
          </w:p>
        </w:tc>
        <w:tc>
          <w:tcPr>
            <w:tcW w:w="1116" w:type="dxa"/>
            <w:vMerge w:val="continue"/>
            <w:noWrap w:val="0"/>
            <w:vAlign w:val="center"/>
          </w:tcPr>
          <w:p w14:paraId="713C36DE">
            <w:pPr>
              <w:widowControl/>
              <w:jc w:val="left"/>
              <w:rPr>
                <w:rFonts w:ascii="宋体" w:hAnsi="宋体" w:cs="宋体"/>
                <w:color w:val="auto"/>
                <w:kern w:val="0"/>
                <w:sz w:val="18"/>
                <w:szCs w:val="18"/>
                <w:highlight w:val="none"/>
              </w:rPr>
            </w:pPr>
          </w:p>
        </w:tc>
        <w:tc>
          <w:tcPr>
            <w:tcW w:w="1516" w:type="dxa"/>
            <w:noWrap w:val="0"/>
            <w:vAlign w:val="center"/>
          </w:tcPr>
          <w:p w14:paraId="612F104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A02052399其他制冷空调设备</w:t>
            </w:r>
          </w:p>
        </w:tc>
        <w:tc>
          <w:tcPr>
            <w:tcW w:w="1612" w:type="dxa"/>
            <w:noWrap w:val="0"/>
            <w:vAlign w:val="center"/>
          </w:tcPr>
          <w:p w14:paraId="3A511D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冷却塔</w:t>
            </w:r>
          </w:p>
        </w:tc>
        <w:tc>
          <w:tcPr>
            <w:tcW w:w="4335" w:type="dxa"/>
            <w:noWrap w:val="0"/>
            <w:vAlign w:val="center"/>
          </w:tcPr>
          <w:p w14:paraId="4F2233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《机械通风冷却塔第1部分：中小型开式冷却塔》（GB/T7190.1）；《机械通风冷却塔第2部分：大型开式冷却塔》（GB/T7190.2）</w:t>
            </w:r>
          </w:p>
        </w:tc>
      </w:tr>
      <w:tr w14:paraId="5FE3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23063C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116" w:type="dxa"/>
            <w:noWrap w:val="0"/>
            <w:vAlign w:val="center"/>
          </w:tcPr>
          <w:p w14:paraId="778E22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A020601电机</w:t>
            </w:r>
          </w:p>
        </w:tc>
        <w:tc>
          <w:tcPr>
            <w:tcW w:w="1516" w:type="dxa"/>
            <w:noWrap w:val="0"/>
            <w:vAlign w:val="center"/>
          </w:tcPr>
          <w:p w14:paraId="3E3735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4A459F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33CBD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《中小型三相异步电动机能效限定值及能效等级》（GB18613）</w:t>
            </w:r>
          </w:p>
        </w:tc>
      </w:tr>
      <w:tr w14:paraId="4700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6AC6F6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1116" w:type="dxa"/>
            <w:noWrap w:val="0"/>
            <w:vAlign w:val="center"/>
          </w:tcPr>
          <w:p w14:paraId="22763D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A020602变压器</w:t>
            </w:r>
          </w:p>
        </w:tc>
        <w:tc>
          <w:tcPr>
            <w:tcW w:w="1516" w:type="dxa"/>
            <w:noWrap w:val="0"/>
            <w:vAlign w:val="center"/>
          </w:tcPr>
          <w:p w14:paraId="70966A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配电变压器</w:t>
            </w:r>
          </w:p>
        </w:tc>
        <w:tc>
          <w:tcPr>
            <w:tcW w:w="1612" w:type="dxa"/>
            <w:noWrap w:val="0"/>
            <w:vAlign w:val="center"/>
          </w:tcPr>
          <w:p w14:paraId="320B97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5C282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《三相配电变压器能效限定值及能效等级》（GB20052）</w:t>
            </w:r>
          </w:p>
        </w:tc>
      </w:tr>
      <w:tr w14:paraId="029F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61C156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116" w:type="dxa"/>
            <w:noWrap w:val="0"/>
            <w:vAlign w:val="center"/>
          </w:tcPr>
          <w:p w14:paraId="46BE37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★A020609镇流器</w:t>
            </w:r>
          </w:p>
        </w:tc>
        <w:tc>
          <w:tcPr>
            <w:tcW w:w="1516" w:type="dxa"/>
            <w:noWrap w:val="0"/>
            <w:vAlign w:val="center"/>
          </w:tcPr>
          <w:p w14:paraId="6F4847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管型荧光灯镇流器</w:t>
            </w:r>
          </w:p>
        </w:tc>
        <w:tc>
          <w:tcPr>
            <w:tcW w:w="1612" w:type="dxa"/>
            <w:noWrap w:val="0"/>
            <w:vAlign w:val="center"/>
          </w:tcPr>
          <w:p w14:paraId="33690E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D8EB3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《管形荧光灯镇流器能效限定值及能效等级》（GB17896）</w:t>
            </w:r>
          </w:p>
        </w:tc>
      </w:tr>
      <w:tr w14:paraId="54AC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56BB82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116" w:type="dxa"/>
            <w:vMerge w:val="restart"/>
            <w:noWrap w:val="0"/>
            <w:vAlign w:val="center"/>
          </w:tcPr>
          <w:p w14:paraId="39C890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A020618生活用电器</w:t>
            </w:r>
          </w:p>
        </w:tc>
        <w:tc>
          <w:tcPr>
            <w:tcW w:w="1516" w:type="dxa"/>
            <w:noWrap w:val="0"/>
            <w:vAlign w:val="center"/>
          </w:tcPr>
          <w:p w14:paraId="6A8849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A0206180101电冰箱</w:t>
            </w:r>
          </w:p>
        </w:tc>
        <w:tc>
          <w:tcPr>
            <w:tcW w:w="1612" w:type="dxa"/>
            <w:noWrap w:val="0"/>
            <w:vAlign w:val="center"/>
          </w:tcPr>
          <w:p w14:paraId="194A07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5D6C6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《家用电冰箱耗电量限定值及能效等级》（GB 12021.2）</w:t>
            </w:r>
          </w:p>
        </w:tc>
      </w:tr>
      <w:tr w14:paraId="104C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5EE01BE8">
            <w:pPr>
              <w:widowControl/>
              <w:jc w:val="left"/>
              <w:rPr>
                <w:rFonts w:ascii="宋体" w:hAnsi="宋体" w:cs="宋体"/>
                <w:color w:val="auto"/>
                <w:kern w:val="0"/>
                <w:sz w:val="18"/>
                <w:szCs w:val="18"/>
                <w:highlight w:val="none"/>
              </w:rPr>
            </w:pPr>
          </w:p>
        </w:tc>
        <w:tc>
          <w:tcPr>
            <w:tcW w:w="1116" w:type="dxa"/>
            <w:vMerge w:val="continue"/>
            <w:noWrap w:val="0"/>
            <w:vAlign w:val="center"/>
          </w:tcPr>
          <w:p w14:paraId="44E6A2F0">
            <w:pPr>
              <w:widowControl/>
              <w:jc w:val="left"/>
              <w:rPr>
                <w:rFonts w:ascii="宋体" w:hAnsi="宋体" w:cs="宋体"/>
                <w:color w:val="auto"/>
                <w:kern w:val="0"/>
                <w:sz w:val="18"/>
                <w:szCs w:val="18"/>
                <w:highlight w:val="none"/>
              </w:rPr>
            </w:pPr>
          </w:p>
        </w:tc>
        <w:tc>
          <w:tcPr>
            <w:tcW w:w="1516" w:type="dxa"/>
            <w:vMerge w:val="restart"/>
            <w:noWrap w:val="0"/>
            <w:vAlign w:val="center"/>
          </w:tcPr>
          <w:p w14:paraId="206652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★A0206180203空调机</w:t>
            </w:r>
          </w:p>
        </w:tc>
        <w:tc>
          <w:tcPr>
            <w:tcW w:w="1612" w:type="dxa"/>
            <w:noWrap w:val="0"/>
            <w:vAlign w:val="center"/>
          </w:tcPr>
          <w:p w14:paraId="41A255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房间空气调节器</w:t>
            </w:r>
          </w:p>
        </w:tc>
        <w:tc>
          <w:tcPr>
            <w:tcW w:w="4335" w:type="dxa"/>
            <w:noWrap w:val="0"/>
            <w:vAlign w:val="center"/>
          </w:tcPr>
          <w:p w14:paraId="625F46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《转速可控型房间空气调节器能效限定值及能效等级》（GB21455-2013），待2019年修订发布后，按《房间空气调节器能效限定值及能效等级》</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GB21455-2019</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实施。</w:t>
            </w:r>
          </w:p>
        </w:tc>
      </w:tr>
      <w:tr w14:paraId="6A15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3F0F1A5">
            <w:pPr>
              <w:widowControl/>
              <w:jc w:val="left"/>
              <w:rPr>
                <w:rFonts w:ascii="宋体" w:hAnsi="宋体" w:cs="宋体"/>
                <w:color w:val="auto"/>
                <w:kern w:val="0"/>
                <w:sz w:val="18"/>
                <w:szCs w:val="18"/>
                <w:highlight w:val="none"/>
              </w:rPr>
            </w:pPr>
          </w:p>
        </w:tc>
        <w:tc>
          <w:tcPr>
            <w:tcW w:w="1116" w:type="dxa"/>
            <w:vMerge w:val="continue"/>
            <w:noWrap w:val="0"/>
            <w:vAlign w:val="center"/>
          </w:tcPr>
          <w:p w14:paraId="5D7537AF">
            <w:pPr>
              <w:widowControl/>
              <w:jc w:val="left"/>
              <w:rPr>
                <w:rFonts w:ascii="宋体" w:hAnsi="宋体" w:cs="宋体"/>
                <w:color w:val="auto"/>
                <w:kern w:val="0"/>
                <w:sz w:val="18"/>
                <w:szCs w:val="18"/>
                <w:highlight w:val="none"/>
              </w:rPr>
            </w:pPr>
          </w:p>
        </w:tc>
        <w:tc>
          <w:tcPr>
            <w:tcW w:w="1516" w:type="dxa"/>
            <w:vMerge w:val="continue"/>
            <w:noWrap w:val="0"/>
            <w:vAlign w:val="center"/>
          </w:tcPr>
          <w:p w14:paraId="6CD948B3">
            <w:pPr>
              <w:widowControl/>
              <w:jc w:val="left"/>
              <w:rPr>
                <w:rFonts w:ascii="宋体" w:hAnsi="宋体" w:cs="宋体"/>
                <w:color w:val="auto"/>
                <w:kern w:val="0"/>
                <w:sz w:val="18"/>
                <w:szCs w:val="18"/>
                <w:highlight w:val="none"/>
              </w:rPr>
            </w:pPr>
          </w:p>
        </w:tc>
        <w:tc>
          <w:tcPr>
            <w:tcW w:w="1612" w:type="dxa"/>
            <w:noWrap w:val="0"/>
            <w:vAlign w:val="center"/>
          </w:tcPr>
          <w:p w14:paraId="6855A8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多联式空调（热泵）机组（制冷量≤ 14000W）</w:t>
            </w:r>
          </w:p>
        </w:tc>
        <w:tc>
          <w:tcPr>
            <w:tcW w:w="4335" w:type="dxa"/>
            <w:noWrap w:val="0"/>
            <w:vAlign w:val="center"/>
          </w:tcPr>
          <w:p w14:paraId="28A299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1C05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3CDB5E5C">
            <w:pPr>
              <w:widowControl/>
              <w:jc w:val="left"/>
              <w:rPr>
                <w:rFonts w:ascii="宋体" w:hAnsi="宋体" w:cs="宋体"/>
                <w:color w:val="auto"/>
                <w:kern w:val="0"/>
                <w:sz w:val="18"/>
                <w:szCs w:val="18"/>
                <w:highlight w:val="none"/>
              </w:rPr>
            </w:pPr>
          </w:p>
        </w:tc>
        <w:tc>
          <w:tcPr>
            <w:tcW w:w="1116" w:type="dxa"/>
            <w:vMerge w:val="continue"/>
            <w:noWrap w:val="0"/>
            <w:vAlign w:val="center"/>
          </w:tcPr>
          <w:p w14:paraId="679A9B0F">
            <w:pPr>
              <w:widowControl/>
              <w:jc w:val="left"/>
              <w:rPr>
                <w:rFonts w:ascii="宋体" w:hAnsi="宋体" w:cs="宋体"/>
                <w:color w:val="auto"/>
                <w:kern w:val="0"/>
                <w:sz w:val="18"/>
                <w:szCs w:val="18"/>
                <w:highlight w:val="none"/>
              </w:rPr>
            </w:pPr>
          </w:p>
        </w:tc>
        <w:tc>
          <w:tcPr>
            <w:tcW w:w="1516" w:type="dxa"/>
            <w:vMerge w:val="continue"/>
            <w:noWrap w:val="0"/>
            <w:vAlign w:val="center"/>
          </w:tcPr>
          <w:p w14:paraId="629D40CE">
            <w:pPr>
              <w:widowControl/>
              <w:jc w:val="left"/>
              <w:rPr>
                <w:rFonts w:ascii="宋体" w:hAnsi="宋体" w:cs="宋体"/>
                <w:color w:val="auto"/>
                <w:kern w:val="0"/>
                <w:sz w:val="18"/>
                <w:szCs w:val="18"/>
                <w:highlight w:val="none"/>
              </w:rPr>
            </w:pPr>
          </w:p>
        </w:tc>
        <w:tc>
          <w:tcPr>
            <w:tcW w:w="1612" w:type="dxa"/>
            <w:noWrap w:val="0"/>
            <w:vAlign w:val="center"/>
          </w:tcPr>
          <w:p w14:paraId="40C64CA2">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制冷量≤14000W</w:t>
            </w:r>
            <w:r>
              <w:rPr>
                <w:rFonts w:hint="eastAsia" w:ascii="宋体" w:hAnsi="宋体" w:cs="宋体"/>
                <w:color w:val="auto"/>
                <w:kern w:val="0"/>
                <w:sz w:val="18"/>
                <w:szCs w:val="18"/>
                <w:highlight w:val="none"/>
                <w:lang w:eastAsia="zh-CN"/>
              </w:rPr>
              <w:t>）</w:t>
            </w:r>
          </w:p>
        </w:tc>
        <w:tc>
          <w:tcPr>
            <w:tcW w:w="4335" w:type="dxa"/>
            <w:noWrap w:val="0"/>
            <w:vAlign w:val="center"/>
          </w:tcPr>
          <w:p w14:paraId="4BF639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《单元式空气调节机能效限定值及能源效率等级》（GB19576）《风管送风式空调机组能效限定值及能效等级》（GB37479）</w:t>
            </w:r>
          </w:p>
        </w:tc>
      </w:tr>
      <w:tr w14:paraId="38A7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5E5A725D">
            <w:pPr>
              <w:widowControl/>
              <w:jc w:val="left"/>
              <w:rPr>
                <w:rFonts w:ascii="宋体" w:hAnsi="宋体" w:cs="宋体"/>
                <w:color w:val="auto"/>
                <w:kern w:val="0"/>
                <w:sz w:val="18"/>
                <w:szCs w:val="18"/>
                <w:highlight w:val="none"/>
              </w:rPr>
            </w:pPr>
          </w:p>
        </w:tc>
        <w:tc>
          <w:tcPr>
            <w:tcW w:w="1116" w:type="dxa"/>
            <w:vMerge w:val="continue"/>
            <w:noWrap w:val="0"/>
            <w:vAlign w:val="center"/>
          </w:tcPr>
          <w:p w14:paraId="784AA64C">
            <w:pPr>
              <w:widowControl/>
              <w:jc w:val="left"/>
              <w:rPr>
                <w:rFonts w:ascii="宋体" w:hAnsi="宋体" w:cs="宋体"/>
                <w:color w:val="auto"/>
                <w:kern w:val="0"/>
                <w:sz w:val="18"/>
                <w:szCs w:val="18"/>
                <w:highlight w:val="none"/>
              </w:rPr>
            </w:pPr>
          </w:p>
        </w:tc>
        <w:tc>
          <w:tcPr>
            <w:tcW w:w="1516" w:type="dxa"/>
            <w:noWrap w:val="0"/>
            <w:vAlign w:val="center"/>
          </w:tcPr>
          <w:p w14:paraId="15FF49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A0206180301洗衣机</w:t>
            </w:r>
          </w:p>
        </w:tc>
        <w:tc>
          <w:tcPr>
            <w:tcW w:w="1612" w:type="dxa"/>
            <w:noWrap w:val="0"/>
            <w:vAlign w:val="center"/>
          </w:tcPr>
          <w:p w14:paraId="3078ED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CDB76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《电动洗衣机能效水效限定值及等级》（GB12021.4）</w:t>
            </w:r>
          </w:p>
        </w:tc>
      </w:tr>
      <w:tr w14:paraId="2CB0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B262BBC">
            <w:pPr>
              <w:widowControl/>
              <w:jc w:val="left"/>
              <w:rPr>
                <w:rFonts w:ascii="宋体" w:hAnsi="宋体" w:cs="宋体"/>
                <w:color w:val="auto"/>
                <w:kern w:val="0"/>
                <w:sz w:val="18"/>
                <w:szCs w:val="18"/>
                <w:highlight w:val="none"/>
              </w:rPr>
            </w:pPr>
          </w:p>
        </w:tc>
        <w:tc>
          <w:tcPr>
            <w:tcW w:w="1116" w:type="dxa"/>
            <w:vMerge w:val="continue"/>
            <w:noWrap w:val="0"/>
            <w:vAlign w:val="center"/>
          </w:tcPr>
          <w:p w14:paraId="56AD99FE">
            <w:pPr>
              <w:widowControl/>
              <w:jc w:val="left"/>
              <w:rPr>
                <w:rFonts w:ascii="宋体" w:hAnsi="宋体" w:cs="宋体"/>
                <w:color w:val="auto"/>
                <w:kern w:val="0"/>
                <w:sz w:val="18"/>
                <w:szCs w:val="18"/>
                <w:highlight w:val="none"/>
              </w:rPr>
            </w:pPr>
          </w:p>
        </w:tc>
        <w:tc>
          <w:tcPr>
            <w:tcW w:w="1516" w:type="dxa"/>
            <w:vMerge w:val="restart"/>
            <w:noWrap w:val="0"/>
            <w:vAlign w:val="center"/>
          </w:tcPr>
          <w:p w14:paraId="3FDD56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A02061808热水器</w:t>
            </w:r>
          </w:p>
        </w:tc>
        <w:tc>
          <w:tcPr>
            <w:tcW w:w="1612" w:type="dxa"/>
            <w:noWrap w:val="0"/>
            <w:vAlign w:val="center"/>
          </w:tcPr>
          <w:p w14:paraId="071D0E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★电热水器</w:t>
            </w:r>
          </w:p>
        </w:tc>
        <w:tc>
          <w:tcPr>
            <w:tcW w:w="4335" w:type="dxa"/>
            <w:noWrap w:val="0"/>
            <w:vAlign w:val="center"/>
          </w:tcPr>
          <w:p w14:paraId="09173E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《储水式电热水器能效限定值及能效等级》（GB21519）</w:t>
            </w:r>
          </w:p>
        </w:tc>
      </w:tr>
      <w:tr w14:paraId="412A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3055FC0">
            <w:pPr>
              <w:widowControl/>
              <w:jc w:val="left"/>
              <w:rPr>
                <w:rFonts w:ascii="宋体" w:hAnsi="宋体" w:cs="宋体"/>
                <w:color w:val="auto"/>
                <w:kern w:val="0"/>
                <w:sz w:val="18"/>
                <w:szCs w:val="18"/>
                <w:highlight w:val="none"/>
              </w:rPr>
            </w:pPr>
          </w:p>
        </w:tc>
        <w:tc>
          <w:tcPr>
            <w:tcW w:w="1116" w:type="dxa"/>
            <w:vMerge w:val="continue"/>
            <w:noWrap w:val="0"/>
            <w:vAlign w:val="center"/>
          </w:tcPr>
          <w:p w14:paraId="7991408A">
            <w:pPr>
              <w:widowControl/>
              <w:jc w:val="left"/>
              <w:rPr>
                <w:rFonts w:ascii="宋体" w:hAnsi="宋体" w:cs="宋体"/>
                <w:color w:val="auto"/>
                <w:kern w:val="0"/>
                <w:sz w:val="18"/>
                <w:szCs w:val="18"/>
                <w:highlight w:val="none"/>
              </w:rPr>
            </w:pPr>
          </w:p>
        </w:tc>
        <w:tc>
          <w:tcPr>
            <w:tcW w:w="1516" w:type="dxa"/>
            <w:vMerge w:val="continue"/>
            <w:noWrap w:val="0"/>
            <w:vAlign w:val="center"/>
          </w:tcPr>
          <w:p w14:paraId="6EBFBCD0">
            <w:pPr>
              <w:widowControl/>
              <w:jc w:val="left"/>
              <w:rPr>
                <w:rFonts w:ascii="宋体" w:hAnsi="宋体" w:cs="宋体"/>
                <w:color w:val="auto"/>
                <w:kern w:val="0"/>
                <w:sz w:val="18"/>
                <w:szCs w:val="18"/>
                <w:highlight w:val="none"/>
              </w:rPr>
            </w:pPr>
          </w:p>
        </w:tc>
        <w:tc>
          <w:tcPr>
            <w:tcW w:w="1612" w:type="dxa"/>
            <w:noWrap w:val="0"/>
            <w:vAlign w:val="center"/>
          </w:tcPr>
          <w:p w14:paraId="1EFEF4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燃气热水器</w:t>
            </w:r>
          </w:p>
        </w:tc>
        <w:tc>
          <w:tcPr>
            <w:tcW w:w="4335" w:type="dxa"/>
            <w:noWrap w:val="0"/>
            <w:vAlign w:val="center"/>
          </w:tcPr>
          <w:p w14:paraId="1888B0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《家用燃气快速热水器和燃气采暖热水炉能效限定值及能效等级》（GB20665）</w:t>
            </w:r>
          </w:p>
        </w:tc>
      </w:tr>
      <w:tr w14:paraId="5A42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254796B">
            <w:pPr>
              <w:widowControl/>
              <w:jc w:val="left"/>
              <w:rPr>
                <w:rFonts w:ascii="宋体" w:hAnsi="宋体" w:cs="宋体"/>
                <w:color w:val="auto"/>
                <w:kern w:val="0"/>
                <w:sz w:val="18"/>
                <w:szCs w:val="18"/>
                <w:highlight w:val="none"/>
              </w:rPr>
            </w:pPr>
          </w:p>
        </w:tc>
        <w:tc>
          <w:tcPr>
            <w:tcW w:w="1116" w:type="dxa"/>
            <w:vMerge w:val="continue"/>
            <w:noWrap w:val="0"/>
            <w:vAlign w:val="center"/>
          </w:tcPr>
          <w:p w14:paraId="6FA578CB">
            <w:pPr>
              <w:widowControl/>
              <w:jc w:val="left"/>
              <w:rPr>
                <w:rFonts w:ascii="宋体" w:hAnsi="宋体" w:cs="宋体"/>
                <w:color w:val="auto"/>
                <w:kern w:val="0"/>
                <w:sz w:val="18"/>
                <w:szCs w:val="18"/>
                <w:highlight w:val="none"/>
              </w:rPr>
            </w:pPr>
          </w:p>
        </w:tc>
        <w:tc>
          <w:tcPr>
            <w:tcW w:w="1516" w:type="dxa"/>
            <w:vMerge w:val="continue"/>
            <w:noWrap w:val="0"/>
            <w:vAlign w:val="center"/>
          </w:tcPr>
          <w:p w14:paraId="184B631C">
            <w:pPr>
              <w:widowControl/>
              <w:jc w:val="left"/>
              <w:rPr>
                <w:rFonts w:ascii="宋体" w:hAnsi="宋体" w:cs="宋体"/>
                <w:color w:val="auto"/>
                <w:kern w:val="0"/>
                <w:sz w:val="18"/>
                <w:szCs w:val="18"/>
                <w:highlight w:val="none"/>
              </w:rPr>
            </w:pPr>
          </w:p>
        </w:tc>
        <w:tc>
          <w:tcPr>
            <w:tcW w:w="1612" w:type="dxa"/>
            <w:noWrap w:val="0"/>
            <w:vAlign w:val="center"/>
          </w:tcPr>
          <w:p w14:paraId="1A8B84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热泵热水器</w:t>
            </w:r>
          </w:p>
        </w:tc>
        <w:tc>
          <w:tcPr>
            <w:tcW w:w="4335" w:type="dxa"/>
            <w:noWrap w:val="0"/>
            <w:vAlign w:val="center"/>
          </w:tcPr>
          <w:p w14:paraId="2F2F03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《热泵热水机（器）能效限定值及能效等级》（GB29541）</w:t>
            </w:r>
          </w:p>
        </w:tc>
      </w:tr>
      <w:tr w14:paraId="15A8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1599E34">
            <w:pPr>
              <w:widowControl/>
              <w:jc w:val="left"/>
              <w:rPr>
                <w:rFonts w:ascii="宋体" w:hAnsi="宋体" w:cs="宋体"/>
                <w:color w:val="auto"/>
                <w:kern w:val="0"/>
                <w:sz w:val="18"/>
                <w:szCs w:val="18"/>
                <w:highlight w:val="none"/>
              </w:rPr>
            </w:pPr>
          </w:p>
        </w:tc>
        <w:tc>
          <w:tcPr>
            <w:tcW w:w="1116" w:type="dxa"/>
            <w:vMerge w:val="continue"/>
            <w:noWrap w:val="0"/>
            <w:vAlign w:val="center"/>
          </w:tcPr>
          <w:p w14:paraId="5C8CE0FE">
            <w:pPr>
              <w:widowControl/>
              <w:jc w:val="left"/>
              <w:rPr>
                <w:rFonts w:ascii="宋体" w:hAnsi="宋体" w:cs="宋体"/>
                <w:color w:val="auto"/>
                <w:kern w:val="0"/>
                <w:sz w:val="18"/>
                <w:szCs w:val="18"/>
                <w:highlight w:val="none"/>
              </w:rPr>
            </w:pPr>
          </w:p>
        </w:tc>
        <w:tc>
          <w:tcPr>
            <w:tcW w:w="1516" w:type="dxa"/>
            <w:vMerge w:val="continue"/>
            <w:noWrap w:val="0"/>
            <w:vAlign w:val="center"/>
          </w:tcPr>
          <w:p w14:paraId="30D8D045">
            <w:pPr>
              <w:widowControl/>
              <w:jc w:val="left"/>
              <w:rPr>
                <w:rFonts w:ascii="宋体" w:hAnsi="宋体" w:cs="宋体"/>
                <w:color w:val="auto"/>
                <w:kern w:val="0"/>
                <w:sz w:val="18"/>
                <w:szCs w:val="18"/>
                <w:highlight w:val="none"/>
              </w:rPr>
            </w:pPr>
          </w:p>
        </w:tc>
        <w:tc>
          <w:tcPr>
            <w:tcW w:w="1612" w:type="dxa"/>
            <w:noWrap w:val="0"/>
            <w:vAlign w:val="center"/>
          </w:tcPr>
          <w:p w14:paraId="7CB460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太阳能热水系统</w:t>
            </w:r>
          </w:p>
        </w:tc>
        <w:tc>
          <w:tcPr>
            <w:tcW w:w="4335" w:type="dxa"/>
            <w:noWrap w:val="0"/>
            <w:vAlign w:val="center"/>
          </w:tcPr>
          <w:p w14:paraId="6C19B1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《家用太阳能热水系统能效限定值及能效等级》（GB26969）</w:t>
            </w:r>
          </w:p>
        </w:tc>
      </w:tr>
      <w:tr w14:paraId="3B8B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1DFBAA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116" w:type="dxa"/>
            <w:vMerge w:val="restart"/>
            <w:noWrap w:val="0"/>
            <w:vAlign w:val="center"/>
          </w:tcPr>
          <w:p w14:paraId="023A95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A020619照明设备</w:t>
            </w:r>
          </w:p>
        </w:tc>
        <w:tc>
          <w:tcPr>
            <w:tcW w:w="1516" w:type="dxa"/>
            <w:noWrap w:val="0"/>
            <w:vAlign w:val="center"/>
          </w:tcPr>
          <w:p w14:paraId="1F21A6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w:t>
            </w:r>
          </w:p>
        </w:tc>
        <w:tc>
          <w:tcPr>
            <w:tcW w:w="1612" w:type="dxa"/>
            <w:noWrap w:val="0"/>
            <w:vAlign w:val="center"/>
          </w:tcPr>
          <w:p w14:paraId="6C5280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546E2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《普通照明用双端荧光灯能效限定值及能效等级》（GB19043）</w:t>
            </w:r>
          </w:p>
        </w:tc>
      </w:tr>
      <w:tr w14:paraId="79D1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BD34F78">
            <w:pPr>
              <w:widowControl/>
              <w:jc w:val="left"/>
              <w:rPr>
                <w:rFonts w:ascii="宋体" w:hAnsi="宋体" w:cs="宋体"/>
                <w:color w:val="auto"/>
                <w:kern w:val="0"/>
                <w:sz w:val="18"/>
                <w:szCs w:val="18"/>
                <w:highlight w:val="none"/>
              </w:rPr>
            </w:pPr>
          </w:p>
        </w:tc>
        <w:tc>
          <w:tcPr>
            <w:tcW w:w="1116" w:type="dxa"/>
            <w:vMerge w:val="continue"/>
            <w:noWrap w:val="0"/>
            <w:vAlign w:val="center"/>
          </w:tcPr>
          <w:p w14:paraId="520243DF">
            <w:pPr>
              <w:widowControl/>
              <w:jc w:val="left"/>
              <w:rPr>
                <w:rFonts w:ascii="宋体" w:hAnsi="宋体" w:cs="宋体"/>
                <w:color w:val="auto"/>
                <w:kern w:val="0"/>
                <w:sz w:val="18"/>
                <w:szCs w:val="18"/>
                <w:highlight w:val="none"/>
              </w:rPr>
            </w:pPr>
          </w:p>
        </w:tc>
        <w:tc>
          <w:tcPr>
            <w:tcW w:w="1516" w:type="dxa"/>
            <w:noWrap w:val="0"/>
            <w:vAlign w:val="center"/>
          </w:tcPr>
          <w:p w14:paraId="2992A4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LED道路/隧道照明产品</w:t>
            </w:r>
          </w:p>
        </w:tc>
        <w:tc>
          <w:tcPr>
            <w:tcW w:w="1612" w:type="dxa"/>
            <w:noWrap w:val="0"/>
            <w:vAlign w:val="center"/>
          </w:tcPr>
          <w:p w14:paraId="7EF93F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68949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《道路和隧道照明用LED灯具能效限定值及能效等级》（GB37478）</w:t>
            </w:r>
          </w:p>
        </w:tc>
      </w:tr>
      <w:tr w14:paraId="5D04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7B18895D">
            <w:pPr>
              <w:widowControl/>
              <w:jc w:val="left"/>
              <w:rPr>
                <w:rFonts w:ascii="宋体" w:hAnsi="宋体" w:cs="宋体"/>
                <w:color w:val="auto"/>
                <w:kern w:val="0"/>
                <w:sz w:val="18"/>
                <w:szCs w:val="18"/>
                <w:highlight w:val="none"/>
              </w:rPr>
            </w:pPr>
          </w:p>
        </w:tc>
        <w:tc>
          <w:tcPr>
            <w:tcW w:w="1116" w:type="dxa"/>
            <w:vMerge w:val="continue"/>
            <w:noWrap w:val="0"/>
            <w:vAlign w:val="center"/>
          </w:tcPr>
          <w:p w14:paraId="3B9BE880">
            <w:pPr>
              <w:widowControl/>
              <w:jc w:val="left"/>
              <w:rPr>
                <w:rFonts w:ascii="宋体" w:hAnsi="宋体" w:cs="宋体"/>
                <w:color w:val="auto"/>
                <w:kern w:val="0"/>
                <w:sz w:val="18"/>
                <w:szCs w:val="18"/>
                <w:highlight w:val="none"/>
              </w:rPr>
            </w:pPr>
          </w:p>
        </w:tc>
        <w:tc>
          <w:tcPr>
            <w:tcW w:w="1516" w:type="dxa"/>
            <w:noWrap w:val="0"/>
            <w:vAlign w:val="center"/>
          </w:tcPr>
          <w:p w14:paraId="287376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LED筒灯</w:t>
            </w:r>
          </w:p>
        </w:tc>
        <w:tc>
          <w:tcPr>
            <w:tcW w:w="1612" w:type="dxa"/>
            <w:noWrap w:val="0"/>
            <w:vAlign w:val="center"/>
          </w:tcPr>
          <w:p w14:paraId="718C60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6B6E3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7A83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46822396">
            <w:pPr>
              <w:widowControl/>
              <w:jc w:val="left"/>
              <w:rPr>
                <w:rFonts w:ascii="宋体" w:hAnsi="宋体" w:cs="宋体"/>
                <w:color w:val="auto"/>
                <w:kern w:val="0"/>
                <w:sz w:val="18"/>
                <w:szCs w:val="18"/>
                <w:highlight w:val="none"/>
              </w:rPr>
            </w:pPr>
          </w:p>
        </w:tc>
        <w:tc>
          <w:tcPr>
            <w:tcW w:w="1116" w:type="dxa"/>
            <w:vMerge w:val="continue"/>
            <w:noWrap w:val="0"/>
            <w:vAlign w:val="center"/>
          </w:tcPr>
          <w:p w14:paraId="1F5B629D">
            <w:pPr>
              <w:widowControl/>
              <w:jc w:val="left"/>
              <w:rPr>
                <w:rFonts w:ascii="宋体" w:hAnsi="宋体" w:cs="宋体"/>
                <w:color w:val="auto"/>
                <w:kern w:val="0"/>
                <w:sz w:val="18"/>
                <w:szCs w:val="18"/>
                <w:highlight w:val="none"/>
              </w:rPr>
            </w:pPr>
          </w:p>
        </w:tc>
        <w:tc>
          <w:tcPr>
            <w:tcW w:w="1516" w:type="dxa"/>
            <w:noWrap w:val="0"/>
            <w:vAlign w:val="center"/>
          </w:tcPr>
          <w:p w14:paraId="5F8070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普通照明用非定向自镇流LED灯</w:t>
            </w:r>
          </w:p>
        </w:tc>
        <w:tc>
          <w:tcPr>
            <w:tcW w:w="1612" w:type="dxa"/>
            <w:noWrap w:val="0"/>
            <w:vAlign w:val="center"/>
          </w:tcPr>
          <w:p w14:paraId="4995FA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85DC0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1D3C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noWrap w:val="0"/>
            <w:vAlign w:val="center"/>
          </w:tcPr>
          <w:p w14:paraId="1E3398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116" w:type="dxa"/>
            <w:noWrap w:val="0"/>
            <w:vAlign w:val="center"/>
          </w:tcPr>
          <w:p w14:paraId="729CA2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★A020910电视设备</w:t>
            </w:r>
          </w:p>
        </w:tc>
        <w:tc>
          <w:tcPr>
            <w:tcW w:w="1516" w:type="dxa"/>
            <w:noWrap w:val="0"/>
            <w:vAlign w:val="center"/>
          </w:tcPr>
          <w:p w14:paraId="783701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A02091001普通电视设备（电视机）</w:t>
            </w:r>
          </w:p>
        </w:tc>
        <w:tc>
          <w:tcPr>
            <w:tcW w:w="1612" w:type="dxa"/>
            <w:noWrap w:val="0"/>
            <w:vAlign w:val="center"/>
          </w:tcPr>
          <w:p w14:paraId="10E24C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92047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《平板电视能效限定值及能效等级》（GB24850）</w:t>
            </w:r>
          </w:p>
        </w:tc>
      </w:tr>
      <w:tr w14:paraId="7990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noWrap w:val="0"/>
            <w:vAlign w:val="center"/>
          </w:tcPr>
          <w:p w14:paraId="7272B1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1116" w:type="dxa"/>
            <w:noWrap w:val="0"/>
            <w:vAlign w:val="center"/>
          </w:tcPr>
          <w:p w14:paraId="07109C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★A020911视频设备</w:t>
            </w:r>
          </w:p>
        </w:tc>
        <w:tc>
          <w:tcPr>
            <w:tcW w:w="1516" w:type="dxa"/>
            <w:noWrap w:val="0"/>
            <w:vAlign w:val="center"/>
          </w:tcPr>
          <w:p w14:paraId="6BDC4F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A02091107视频监控设备</w:t>
            </w:r>
          </w:p>
        </w:tc>
        <w:tc>
          <w:tcPr>
            <w:tcW w:w="1612" w:type="dxa"/>
            <w:noWrap w:val="0"/>
            <w:vAlign w:val="center"/>
          </w:tcPr>
          <w:p w14:paraId="4B23E2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监视器</w:t>
            </w:r>
          </w:p>
        </w:tc>
        <w:tc>
          <w:tcPr>
            <w:tcW w:w="4335" w:type="dxa"/>
            <w:noWrap w:val="0"/>
            <w:vAlign w:val="center"/>
          </w:tcPr>
          <w:p w14:paraId="2350D9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以射频信号为主要信号输入的监视器应符合《平板电视能效限定值及能效等级》（GB24850），以数字信号为主要信号输入的监视器应符合《计算机显示器能效限定值及能效等级》（GB21520）</w:t>
            </w:r>
          </w:p>
        </w:tc>
      </w:tr>
      <w:tr w14:paraId="70D3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4B6AA8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1116" w:type="dxa"/>
            <w:noWrap w:val="0"/>
            <w:vAlign w:val="center"/>
          </w:tcPr>
          <w:p w14:paraId="435AB2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A031210饮食炊事机械</w:t>
            </w:r>
          </w:p>
        </w:tc>
        <w:tc>
          <w:tcPr>
            <w:tcW w:w="1516" w:type="dxa"/>
            <w:noWrap w:val="0"/>
            <w:vAlign w:val="center"/>
          </w:tcPr>
          <w:p w14:paraId="11CBB6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w:t>
            </w:r>
          </w:p>
        </w:tc>
        <w:tc>
          <w:tcPr>
            <w:tcW w:w="1612" w:type="dxa"/>
            <w:noWrap w:val="0"/>
            <w:vAlign w:val="center"/>
          </w:tcPr>
          <w:p w14:paraId="214008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44D4C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《商用燃气灶具能效限定值及能效等级》（GB30531）</w:t>
            </w:r>
          </w:p>
        </w:tc>
      </w:tr>
      <w:tr w14:paraId="27F6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vMerge w:val="restart"/>
            <w:noWrap w:val="0"/>
            <w:vAlign w:val="center"/>
          </w:tcPr>
          <w:p w14:paraId="7BF772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1116" w:type="dxa"/>
            <w:vMerge w:val="restart"/>
            <w:noWrap w:val="0"/>
            <w:vAlign w:val="center"/>
          </w:tcPr>
          <w:p w14:paraId="2E0EA7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★A060805便器</w:t>
            </w:r>
          </w:p>
        </w:tc>
        <w:tc>
          <w:tcPr>
            <w:tcW w:w="1516" w:type="dxa"/>
            <w:noWrap w:val="0"/>
            <w:vAlign w:val="center"/>
          </w:tcPr>
          <w:p w14:paraId="5E5C3A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w:t>
            </w:r>
          </w:p>
        </w:tc>
        <w:tc>
          <w:tcPr>
            <w:tcW w:w="1612" w:type="dxa"/>
            <w:noWrap w:val="0"/>
            <w:vAlign w:val="center"/>
          </w:tcPr>
          <w:p w14:paraId="65A50F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C36C7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《坐便器水效限定值及水效等级》（GB25502）</w:t>
            </w:r>
          </w:p>
        </w:tc>
      </w:tr>
      <w:tr w14:paraId="0899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4894F28">
            <w:pPr>
              <w:widowControl/>
              <w:jc w:val="left"/>
              <w:rPr>
                <w:rFonts w:ascii="宋体" w:hAnsi="宋体" w:cs="宋体"/>
                <w:color w:val="auto"/>
                <w:kern w:val="0"/>
                <w:sz w:val="18"/>
                <w:szCs w:val="18"/>
                <w:highlight w:val="none"/>
              </w:rPr>
            </w:pPr>
          </w:p>
        </w:tc>
        <w:tc>
          <w:tcPr>
            <w:tcW w:w="1116" w:type="dxa"/>
            <w:vMerge w:val="continue"/>
            <w:noWrap w:val="0"/>
            <w:vAlign w:val="center"/>
          </w:tcPr>
          <w:p w14:paraId="24683ADF">
            <w:pPr>
              <w:widowControl/>
              <w:jc w:val="left"/>
              <w:rPr>
                <w:rFonts w:ascii="宋体" w:hAnsi="宋体" w:cs="宋体"/>
                <w:color w:val="auto"/>
                <w:kern w:val="0"/>
                <w:sz w:val="18"/>
                <w:szCs w:val="18"/>
                <w:highlight w:val="none"/>
              </w:rPr>
            </w:pPr>
          </w:p>
        </w:tc>
        <w:tc>
          <w:tcPr>
            <w:tcW w:w="1516" w:type="dxa"/>
            <w:noWrap w:val="0"/>
            <w:vAlign w:val="center"/>
          </w:tcPr>
          <w:p w14:paraId="25EB48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w:t>
            </w:r>
          </w:p>
        </w:tc>
        <w:tc>
          <w:tcPr>
            <w:tcW w:w="1612" w:type="dxa"/>
            <w:noWrap w:val="0"/>
            <w:vAlign w:val="center"/>
          </w:tcPr>
          <w:p w14:paraId="76DFB7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07B3F3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《蹲便器用水效率限定值及用水效率等级》（GB30717）</w:t>
            </w:r>
          </w:p>
        </w:tc>
      </w:tr>
      <w:tr w14:paraId="6A40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33D1D56E">
            <w:pPr>
              <w:widowControl/>
              <w:jc w:val="left"/>
              <w:rPr>
                <w:rFonts w:ascii="宋体" w:hAnsi="宋体" w:cs="宋体"/>
                <w:color w:val="auto"/>
                <w:kern w:val="0"/>
                <w:sz w:val="18"/>
                <w:szCs w:val="18"/>
                <w:highlight w:val="none"/>
              </w:rPr>
            </w:pPr>
          </w:p>
        </w:tc>
        <w:tc>
          <w:tcPr>
            <w:tcW w:w="1116" w:type="dxa"/>
            <w:vMerge w:val="continue"/>
            <w:noWrap w:val="0"/>
            <w:vAlign w:val="center"/>
          </w:tcPr>
          <w:p w14:paraId="79383CFE">
            <w:pPr>
              <w:widowControl/>
              <w:jc w:val="left"/>
              <w:rPr>
                <w:rFonts w:ascii="宋体" w:hAnsi="宋体" w:cs="宋体"/>
                <w:color w:val="auto"/>
                <w:kern w:val="0"/>
                <w:sz w:val="18"/>
                <w:szCs w:val="18"/>
                <w:highlight w:val="none"/>
              </w:rPr>
            </w:pPr>
          </w:p>
        </w:tc>
        <w:tc>
          <w:tcPr>
            <w:tcW w:w="1516" w:type="dxa"/>
            <w:noWrap w:val="0"/>
            <w:vAlign w:val="center"/>
          </w:tcPr>
          <w:p w14:paraId="13FCD8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w:t>
            </w:r>
          </w:p>
        </w:tc>
        <w:tc>
          <w:tcPr>
            <w:tcW w:w="1612" w:type="dxa"/>
            <w:noWrap w:val="0"/>
            <w:vAlign w:val="center"/>
          </w:tcPr>
          <w:p w14:paraId="0DC5BF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4C9170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《小便器用水效率限定值及用水效率等级》（GB28377）</w:t>
            </w:r>
          </w:p>
        </w:tc>
      </w:tr>
      <w:tr w14:paraId="647A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7A7FAC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1116" w:type="dxa"/>
            <w:noWrap w:val="0"/>
            <w:vAlign w:val="center"/>
          </w:tcPr>
          <w:p w14:paraId="56F7B6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★A060806水嘴</w:t>
            </w:r>
          </w:p>
        </w:tc>
        <w:tc>
          <w:tcPr>
            <w:tcW w:w="1516" w:type="dxa"/>
            <w:noWrap w:val="0"/>
            <w:vAlign w:val="center"/>
          </w:tcPr>
          <w:p w14:paraId="629015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603157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59330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《水嘴用水效率限定值及用水效率等级》（GB 25501）</w:t>
            </w:r>
          </w:p>
        </w:tc>
      </w:tr>
      <w:tr w14:paraId="626E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0E0F13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17</w:t>
            </w:r>
          </w:p>
        </w:tc>
        <w:tc>
          <w:tcPr>
            <w:tcW w:w="1116" w:type="dxa"/>
            <w:noWrap w:val="0"/>
            <w:vAlign w:val="center"/>
          </w:tcPr>
          <w:p w14:paraId="0D796B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A060807便器冲洗阀</w:t>
            </w:r>
          </w:p>
        </w:tc>
        <w:tc>
          <w:tcPr>
            <w:tcW w:w="1516" w:type="dxa"/>
            <w:noWrap w:val="0"/>
            <w:vAlign w:val="center"/>
          </w:tcPr>
          <w:p w14:paraId="1F2444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53737B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86A46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《便器冲洗阀用水效率限定值及用水效率等级》（GB28379）</w:t>
            </w:r>
          </w:p>
        </w:tc>
      </w:tr>
      <w:tr w14:paraId="3099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C5165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1116" w:type="dxa"/>
            <w:noWrap w:val="0"/>
            <w:vAlign w:val="center"/>
          </w:tcPr>
          <w:p w14:paraId="4BACB7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A060810淋浴器</w:t>
            </w:r>
          </w:p>
        </w:tc>
        <w:tc>
          <w:tcPr>
            <w:tcW w:w="1516" w:type="dxa"/>
            <w:noWrap w:val="0"/>
            <w:vAlign w:val="center"/>
          </w:tcPr>
          <w:p w14:paraId="6ED088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0665FB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1F990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《淋浴器用水效率限定值及用水效率等级》（GB28378）</w:t>
            </w:r>
          </w:p>
        </w:tc>
      </w:tr>
    </w:tbl>
    <w:p w14:paraId="2E9627A9">
      <w:pPr>
        <w:rPr>
          <w:rFonts w:ascii="宋体" w:hAnsi="宋体" w:cs="宋体"/>
          <w:color w:val="auto"/>
          <w:kern w:val="21"/>
          <w:sz w:val="20"/>
          <w:szCs w:val="20"/>
          <w:highlight w:val="none"/>
        </w:rPr>
      </w:pPr>
    </w:p>
    <w:p w14:paraId="2F13FF16">
      <w:pPr>
        <w:pStyle w:val="15"/>
        <w:spacing w:after="0"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注：1.节能产品认证应依据相关国家标准的最新版本，依据国家标准中二级能效（水效）指标。</w:t>
      </w:r>
    </w:p>
    <w:p w14:paraId="1F8B1A58">
      <w:pPr>
        <w:pStyle w:val="18"/>
        <w:spacing w:line="360" w:lineRule="auto"/>
        <w:jc w:val="left"/>
        <w:rPr>
          <w:rFonts w:hAnsi="宋体" w:cs="宋体"/>
          <w:color w:val="auto"/>
          <w:kern w:val="21"/>
          <w:sz w:val="32"/>
          <w:szCs w:val="32"/>
          <w:highlight w:val="none"/>
        </w:rPr>
      </w:pPr>
      <w:r>
        <w:rPr>
          <w:rFonts w:hint="eastAsia" w:hAnsi="宋体" w:cs="宋体"/>
          <w:color w:val="auto"/>
          <w:kern w:val="21"/>
          <w:sz w:val="24"/>
          <w:szCs w:val="24"/>
          <w:highlight w:val="none"/>
        </w:rPr>
        <w:t xml:space="preserve">    2.以“★”标注的为政府强制采购产品。</w:t>
      </w:r>
      <w:r>
        <w:rPr>
          <w:rFonts w:hint="eastAsia" w:hAnsi="宋体" w:cs="宋体"/>
          <w:color w:val="auto"/>
          <w:kern w:val="21"/>
          <w:highlight w:val="none"/>
        </w:rPr>
        <w:br w:type="page"/>
      </w:r>
      <w:r>
        <w:rPr>
          <w:rFonts w:hint="eastAsia" w:hAnsi="宋体" w:cs="宋体"/>
          <w:b/>
          <w:bCs/>
          <w:color w:val="auto"/>
          <w:kern w:val="21"/>
          <w:sz w:val="32"/>
          <w:szCs w:val="32"/>
          <w:highlight w:val="none"/>
        </w:rPr>
        <w:t>附件2：</w:t>
      </w:r>
    </w:p>
    <w:p w14:paraId="0BFB07B0">
      <w:pPr>
        <w:spacing w:line="528" w:lineRule="exact"/>
        <w:jc w:val="center"/>
        <w:rPr>
          <w:rFonts w:ascii="宋体" w:hAnsi="宋体" w:cs="宋体"/>
          <w:b/>
          <w:bCs/>
          <w:color w:val="auto"/>
          <w:kern w:val="21"/>
          <w:sz w:val="40"/>
          <w:szCs w:val="40"/>
          <w:highlight w:val="none"/>
        </w:rPr>
      </w:pPr>
      <w:r>
        <w:rPr>
          <w:rFonts w:hint="eastAsia" w:ascii="宋体" w:hAnsi="宋体" w:cs="宋体"/>
          <w:b/>
          <w:bCs/>
          <w:color w:val="auto"/>
          <w:kern w:val="21"/>
          <w:sz w:val="40"/>
          <w:szCs w:val="40"/>
          <w:highlight w:val="none"/>
        </w:rPr>
        <w:t>中小微企业划型标准</w:t>
      </w:r>
    </w:p>
    <w:tbl>
      <w:tblPr>
        <w:tblStyle w:val="32"/>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334D494B">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758FB8AE">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55E5539">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856FEA0">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79A9B9B">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120D96F3">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68D055B5">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微型</w:t>
            </w:r>
          </w:p>
        </w:tc>
      </w:tr>
      <w:tr w14:paraId="7F2CDA4D">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7D505595">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173D76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EEC87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E2B948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CA6209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744CB78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05BC40D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AC4F786">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55D0C58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0141A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92211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15E770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20C4C9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1073C1C3">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32DBB0B">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01A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DF7CD6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D5C93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8DF95C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35C721A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4642BCE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D1B6E07">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1DA22F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AE160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163F6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62F1E9E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3367645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5F852E19">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3ADE0B3">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E1BCEF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72A63C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C8A1C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6729D96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1575222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Z＜300</w:t>
            </w:r>
          </w:p>
        </w:tc>
      </w:tr>
      <w:tr w14:paraId="754373BC">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49910A4">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A5747E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A45A8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1069F6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3DD7333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1A047BC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X＜5</w:t>
            </w:r>
          </w:p>
        </w:tc>
      </w:tr>
      <w:tr w14:paraId="7765A2A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2228296">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4B22E0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93EB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A4E80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1D9EE60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17BE3FE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Y＜1000</w:t>
            </w:r>
          </w:p>
        </w:tc>
      </w:tr>
      <w:tr w14:paraId="7C4B6BF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402A1F7">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1CBB19A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E5D6C6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B6211B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464CACE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1E226B1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24D478F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436C34F">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52CAFA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F1DA9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5C51D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C6D05F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69CC21A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7BA75BB7">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19B6E6A">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7A734CF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ADE8A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CA3C3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C3188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1CA2CD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2A89AD3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D3DA337">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F6B868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FD28DE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1E313A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58B9E89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ADA74C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w:t>
            </w:r>
          </w:p>
        </w:tc>
      </w:tr>
      <w:tr w14:paraId="330F0037">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C0EBAFC">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6196B7D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0009FF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66670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325A0E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48DFECD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64322AFD">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39210FA">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077B03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46A19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E7410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34E9E39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78330E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7F3EA6CC">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E53252D">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64FDFB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5AE3A4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0C105B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8E9159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67CF7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3C10EA27">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86F2AAB">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17F4883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C26D2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60F7C5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520A67C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435FFF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0350A4BB">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12A633E">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0415522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F5332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6496FC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315683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217EC4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50F46CA5">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0B3F1CD">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3E21CE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0A3F5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8D3A7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B68ABE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D7B87C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78950C3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2E8FBD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2F4E970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34044B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AB672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513B41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6A925A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10BB648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9F9928C">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206CC1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A2EC9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6B293A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7CC6CBD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FDF6E3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734BBEE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54DCAA3">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B43823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D48E68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B93C74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29E5287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759357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5982359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F3D8978">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94D34D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AE362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EBB28C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3769D0F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12561B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7CFF596B">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D4B912A">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263F8D3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7421EC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003BFA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3F3A22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2C7EF4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354C96F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B9C0510">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4E8AE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0B163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7301E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25E851A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2ED80D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032FEBF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FAD4EB2">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5AE419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17D1D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BA5816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77D7779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6E547CB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3CECFBC0">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65C073F">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030CDAA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FA7A72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308301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39157BF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3EB0790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Y＜2000</w:t>
            </w:r>
          </w:p>
        </w:tc>
      </w:tr>
      <w:tr w14:paraId="6CCF113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0CE3732">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12F86E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51535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97E2A7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40452E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2017346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4E09363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2FD0B76">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A51D5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F1CDA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098F44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1F79D85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2743952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Y＜500</w:t>
            </w:r>
          </w:p>
        </w:tc>
      </w:tr>
      <w:tr w14:paraId="012DB67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34E2A4C">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B11C5D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02C09D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CC3DA8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D828CE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C4845F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7CDE1CB0">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F150447">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87631B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8F34F6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089A3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3E590D0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3355AFC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038D2C83">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6E129F59">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63AAF3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CFC406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02871C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AD983A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208F51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bl>
    <w:p w14:paraId="6694774F">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01DEA2A">
      <w:pPr>
        <w:pStyle w:val="18"/>
        <w:spacing w:line="360" w:lineRule="auto"/>
        <w:jc w:val="center"/>
        <w:outlineLvl w:val="0"/>
        <w:rPr>
          <w:rFonts w:hAnsi="宋体" w:cs="宋体"/>
          <w:color w:val="auto"/>
          <w:kern w:val="21"/>
          <w:highlight w:val="none"/>
        </w:rPr>
        <w:sectPr>
          <w:footerReference r:id="rId9" w:type="default"/>
          <w:pgSz w:w="11911" w:h="16838"/>
          <w:pgMar w:top="1440" w:right="1440" w:bottom="1440" w:left="1440" w:header="720" w:footer="720" w:gutter="0"/>
          <w:pgNumType w:start="1"/>
          <w:cols w:space="720" w:num="1"/>
          <w:docGrid w:linePitch="331" w:charSpace="0"/>
        </w:sectPr>
      </w:pPr>
    </w:p>
    <w:p w14:paraId="500A70A0">
      <w:pPr>
        <w:pStyle w:val="2"/>
        <w:spacing w:before="0" w:after="0" w:line="360" w:lineRule="auto"/>
        <w:jc w:val="center"/>
        <w:rPr>
          <w:rFonts w:ascii="宋体" w:hAnsi="宋体" w:cs="宋体"/>
          <w:color w:val="auto"/>
          <w:kern w:val="21"/>
          <w:highlight w:val="none"/>
        </w:rPr>
      </w:pPr>
      <w:bookmarkStart w:id="33" w:name="_Toc16233"/>
      <w:bookmarkStart w:id="34" w:name="_Toc24485"/>
      <w:r>
        <w:rPr>
          <w:rFonts w:hint="eastAsia" w:ascii="宋体" w:hAnsi="宋体" w:cs="宋体"/>
          <w:bCs w:val="0"/>
          <w:color w:val="auto"/>
          <w:kern w:val="21"/>
          <w:sz w:val="32"/>
          <w:szCs w:val="32"/>
          <w:highlight w:val="none"/>
        </w:rPr>
        <w:t>第三章 供应商须知</w:t>
      </w:r>
      <w:bookmarkEnd w:id="33"/>
      <w:bookmarkEnd w:id="34"/>
    </w:p>
    <w:p w14:paraId="01B9DFEF">
      <w:pPr>
        <w:pStyle w:val="3"/>
        <w:spacing w:before="0" w:after="0" w:line="360" w:lineRule="auto"/>
        <w:jc w:val="center"/>
        <w:rPr>
          <w:rFonts w:ascii="宋体" w:hAnsi="宋体" w:cs="宋体"/>
          <w:bCs w:val="0"/>
          <w:color w:val="auto"/>
          <w:kern w:val="21"/>
          <w:highlight w:val="none"/>
        </w:rPr>
      </w:pPr>
      <w:bookmarkStart w:id="35" w:name="_Toc26015"/>
      <w:bookmarkStart w:id="36" w:name="_Toc23404"/>
      <w:r>
        <w:rPr>
          <w:rFonts w:hint="eastAsia" w:ascii="宋体" w:hAnsi="宋体" w:cs="宋体"/>
          <w:bCs w:val="0"/>
          <w:color w:val="auto"/>
          <w:kern w:val="21"/>
          <w:highlight w:val="none"/>
        </w:rPr>
        <w:t>第一节 供应商须知前附表</w:t>
      </w:r>
      <w:bookmarkEnd w:id="35"/>
      <w:bookmarkEnd w:id="36"/>
    </w:p>
    <w:p w14:paraId="215C97A5">
      <w:pPr>
        <w:spacing w:line="400" w:lineRule="exact"/>
        <w:jc w:val="center"/>
        <w:rPr>
          <w:rFonts w:ascii="宋体" w:hAnsi="宋体" w:cs="宋体"/>
          <w:b/>
          <w:color w:val="auto"/>
          <w:kern w:val="21"/>
          <w:sz w:val="32"/>
          <w:szCs w:val="32"/>
          <w:highlight w:val="none"/>
        </w:rPr>
      </w:pPr>
    </w:p>
    <w:tbl>
      <w:tblPr>
        <w:tblStyle w:val="32"/>
        <w:tblW w:w="10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786"/>
        <w:gridCol w:w="6853"/>
      </w:tblGrid>
      <w:tr w14:paraId="7EC6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7" w:type="dxa"/>
            <w:noWrap w:val="0"/>
            <w:vAlign w:val="center"/>
          </w:tcPr>
          <w:p w14:paraId="28F6849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条款号</w:t>
            </w:r>
          </w:p>
        </w:tc>
        <w:tc>
          <w:tcPr>
            <w:tcW w:w="2786" w:type="dxa"/>
            <w:noWrap w:val="0"/>
            <w:vAlign w:val="center"/>
          </w:tcPr>
          <w:p w14:paraId="579ECF6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条款内容</w:t>
            </w:r>
          </w:p>
        </w:tc>
        <w:tc>
          <w:tcPr>
            <w:tcW w:w="6853" w:type="dxa"/>
            <w:noWrap w:val="0"/>
            <w:vAlign w:val="center"/>
          </w:tcPr>
          <w:p w14:paraId="34E6721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具体要求</w:t>
            </w:r>
          </w:p>
        </w:tc>
      </w:tr>
      <w:tr w14:paraId="7C21B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top"/>
          </w:tcPr>
          <w:p w14:paraId="30CCAD0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w:t>
            </w:r>
          </w:p>
        </w:tc>
        <w:tc>
          <w:tcPr>
            <w:tcW w:w="2786" w:type="dxa"/>
            <w:noWrap w:val="0"/>
            <w:vAlign w:val="center"/>
          </w:tcPr>
          <w:p w14:paraId="5C35232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供应商资格条件</w:t>
            </w:r>
          </w:p>
        </w:tc>
        <w:tc>
          <w:tcPr>
            <w:tcW w:w="6853" w:type="dxa"/>
            <w:noWrap w:val="0"/>
            <w:vAlign w:val="center"/>
          </w:tcPr>
          <w:p w14:paraId="057BD95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供应商资格条件要求详见公告</w:t>
            </w:r>
          </w:p>
        </w:tc>
      </w:tr>
      <w:tr w14:paraId="18F37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145212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w:t>
            </w:r>
          </w:p>
        </w:tc>
        <w:tc>
          <w:tcPr>
            <w:tcW w:w="2786" w:type="dxa"/>
            <w:noWrap w:val="0"/>
            <w:vAlign w:val="center"/>
          </w:tcPr>
          <w:p w14:paraId="036FFAF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是否接受联合体竞标</w:t>
            </w:r>
          </w:p>
        </w:tc>
        <w:tc>
          <w:tcPr>
            <w:tcW w:w="6853" w:type="dxa"/>
            <w:noWrap w:val="0"/>
            <w:vAlign w:val="center"/>
          </w:tcPr>
          <w:p w14:paraId="3385055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w:t>
            </w:r>
          </w:p>
        </w:tc>
      </w:tr>
      <w:tr w14:paraId="4E6E2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DC92FA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5.2</w:t>
            </w:r>
          </w:p>
        </w:tc>
        <w:tc>
          <w:tcPr>
            <w:tcW w:w="2786" w:type="dxa"/>
            <w:noWrap w:val="0"/>
            <w:vAlign w:val="center"/>
          </w:tcPr>
          <w:p w14:paraId="68D6C84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联合体竞标要求</w:t>
            </w:r>
          </w:p>
        </w:tc>
        <w:tc>
          <w:tcPr>
            <w:tcW w:w="6853" w:type="dxa"/>
            <w:noWrap w:val="0"/>
            <w:vAlign w:val="center"/>
          </w:tcPr>
          <w:p w14:paraId="0D3B90B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无</w:t>
            </w:r>
          </w:p>
        </w:tc>
      </w:tr>
      <w:tr w14:paraId="7E122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5C71494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6.1</w:t>
            </w:r>
          </w:p>
        </w:tc>
        <w:tc>
          <w:tcPr>
            <w:tcW w:w="2786" w:type="dxa"/>
            <w:noWrap w:val="0"/>
            <w:vAlign w:val="center"/>
          </w:tcPr>
          <w:p w14:paraId="2EE9AF1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是否允许分包</w:t>
            </w:r>
          </w:p>
        </w:tc>
        <w:tc>
          <w:tcPr>
            <w:tcW w:w="6853" w:type="dxa"/>
            <w:noWrap w:val="0"/>
            <w:vAlign w:val="center"/>
          </w:tcPr>
          <w:p w14:paraId="547E24DD">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☑不允许分包</w:t>
            </w:r>
          </w:p>
          <w:p w14:paraId="510720D6">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□允许分包</w:t>
            </w:r>
          </w:p>
          <w:p w14:paraId="7588B1F0">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分包内容：</w:t>
            </w:r>
          </w:p>
          <w:p w14:paraId="01918C9A">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分包金额或者比例：</w:t>
            </w:r>
          </w:p>
        </w:tc>
      </w:tr>
      <w:tr w14:paraId="0CB42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71E3E9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12.1.1</w:t>
            </w:r>
          </w:p>
        </w:tc>
        <w:tc>
          <w:tcPr>
            <w:tcW w:w="2786" w:type="dxa"/>
            <w:noWrap w:val="0"/>
            <w:vAlign w:val="center"/>
          </w:tcPr>
          <w:p w14:paraId="2269EE3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资格证明文件组成</w:t>
            </w:r>
          </w:p>
          <w:p w14:paraId="416AB22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335A134E">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9F65D99">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7E741AF8">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1E3FAE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4.供应商财务状况报告</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提供上一年度的审计报告</w:t>
            </w:r>
            <w:r>
              <w:rPr>
                <w:rFonts w:hint="eastAsia" w:ascii="宋体" w:hAnsi="宋体" w:cs="宋体"/>
                <w:color w:val="auto"/>
                <w:kern w:val="21"/>
                <w:szCs w:val="21"/>
                <w:highlight w:val="none"/>
                <w:lang w:val="en-US" w:eastAsia="zh-CN"/>
              </w:rPr>
              <w:t>或</w:t>
            </w:r>
            <w:r>
              <w:rPr>
                <w:rFonts w:hint="eastAsia" w:ascii="宋体" w:hAnsi="宋体" w:cs="宋体"/>
                <w:color w:val="auto"/>
                <w:kern w:val="21"/>
                <w:szCs w:val="21"/>
                <w:highlight w:val="none"/>
              </w:rPr>
              <w:t>响应文件递交截止之日前12个月内任意一个月的财务</w:t>
            </w:r>
            <w:r>
              <w:rPr>
                <w:rFonts w:hint="eastAsia" w:ascii="宋体" w:hAnsi="宋体" w:cs="宋体"/>
                <w:color w:val="auto"/>
                <w:kern w:val="21"/>
                <w:szCs w:val="21"/>
                <w:highlight w:val="none"/>
                <w:lang w:val="en-US" w:eastAsia="zh-CN"/>
              </w:rPr>
              <w:t>报表</w:t>
            </w:r>
            <w:r>
              <w:rPr>
                <w:rFonts w:hint="eastAsia" w:ascii="宋体" w:hAnsi="宋体" w:cs="宋体"/>
                <w:color w:val="auto"/>
                <w:kern w:val="21"/>
                <w:szCs w:val="21"/>
                <w:highlight w:val="none"/>
              </w:rPr>
              <w:t>复印件</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2CA4ED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5.供应商直接控股、管理关系信息表（格式后附）；（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7EAB5E60">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rPr>
              <w:t>6.资格声明函（格式后附）；</w:t>
            </w:r>
            <w:r>
              <w:rPr>
                <w:rFonts w:hint="eastAsia" w:ascii="宋体" w:hAnsi="宋体" w:cs="宋体"/>
                <w:b/>
                <w:bCs/>
                <w:color w:val="auto"/>
                <w:kern w:val="21"/>
                <w:szCs w:val="21"/>
                <w:highlight w:val="none"/>
              </w:rPr>
              <w:t>（必须提供，否则作无效响应处理）</w:t>
            </w:r>
          </w:p>
          <w:p w14:paraId="635F3492">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lang w:val="en-US" w:eastAsia="zh-CN"/>
              </w:rPr>
              <w:t>7.</w:t>
            </w:r>
            <w:r>
              <w:rPr>
                <w:rFonts w:hint="eastAsia" w:ascii="宋体" w:hAnsi="宋体" w:cs="宋体"/>
                <w:color w:val="auto"/>
                <w:kern w:val="21"/>
                <w:szCs w:val="21"/>
                <w:highlight w:val="none"/>
              </w:rPr>
              <w:t>除磋商文件规定必须提供以外，供应商认为需要提供的其他证明材料。</w:t>
            </w:r>
          </w:p>
          <w:p w14:paraId="4EFCEC6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注：1.以上标明“必须提供”的材料属于复印件的，必须加盖供应商电子公章，否则响应文件按无效响应处理。</w:t>
            </w:r>
          </w:p>
          <w:p w14:paraId="4C272374">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default" w:eastAsia="宋体"/>
                <w:color w:val="auto"/>
                <w:highlight w:val="none"/>
                <w:lang w:val="en-US" w:eastAsia="zh-CN"/>
              </w:rPr>
            </w:pPr>
            <w:r>
              <w:rPr>
                <w:rFonts w:hint="eastAsia" w:ascii="宋体" w:hAnsi="宋体" w:cs="宋体"/>
                <w:b/>
                <w:color w:val="auto"/>
                <w:kern w:val="21"/>
                <w:szCs w:val="21"/>
                <w:highlight w:val="none"/>
              </w:rPr>
              <w:t>2.联合体竞标时，第1-5项资格证明文件联合体各方均必须分别提供，联合体各方分别盖章，否则响应文件按无效响应处理。</w:t>
            </w:r>
          </w:p>
        </w:tc>
      </w:tr>
      <w:tr w14:paraId="4C12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63FA108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12.1.2</w:t>
            </w:r>
          </w:p>
        </w:tc>
        <w:tc>
          <w:tcPr>
            <w:tcW w:w="2786" w:type="dxa"/>
            <w:noWrap w:val="0"/>
            <w:vAlign w:val="center"/>
          </w:tcPr>
          <w:p w14:paraId="528EA48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商务文件组成</w:t>
            </w:r>
          </w:p>
        </w:tc>
        <w:tc>
          <w:tcPr>
            <w:tcW w:w="6853" w:type="dxa"/>
            <w:noWrap w:val="0"/>
            <w:vAlign w:val="center"/>
          </w:tcPr>
          <w:p w14:paraId="510FEDB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1.无串通竞标行为的承诺函（格式后附）；（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7098CB4B">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2.法定代表人身份证明书及法定代表人有效身份证正反面复印件（格式后附）；（</w:t>
            </w:r>
            <w:r>
              <w:rPr>
                <w:rFonts w:hint="eastAsia" w:ascii="宋体" w:hAnsi="宋体" w:cs="宋体"/>
                <w:b/>
                <w:bCs/>
                <w:color w:val="auto"/>
                <w:kern w:val="21"/>
                <w:szCs w:val="21"/>
                <w:highlight w:val="none"/>
              </w:rPr>
              <w:t>除自然人竞标外</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707951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3.法定代表人授权委托书及委托代理人有效身份证正反面复印件（格式后附）；（</w:t>
            </w:r>
            <w:r>
              <w:rPr>
                <w:rFonts w:hint="eastAsia" w:ascii="宋体" w:hAnsi="宋体" w:cs="宋体"/>
                <w:b/>
                <w:color w:val="auto"/>
                <w:kern w:val="21"/>
                <w:szCs w:val="21"/>
                <w:highlight w:val="none"/>
              </w:rPr>
              <w:t>委托时必须提供，否则作无效响应处理</w:t>
            </w:r>
            <w:r>
              <w:rPr>
                <w:rFonts w:hint="eastAsia" w:ascii="宋体" w:hAnsi="宋体" w:cs="宋体"/>
                <w:color w:val="auto"/>
                <w:kern w:val="21"/>
                <w:szCs w:val="21"/>
                <w:highlight w:val="none"/>
              </w:rPr>
              <w:t>）</w:t>
            </w:r>
          </w:p>
          <w:p w14:paraId="5E778F1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4.商务条款偏离表（格式后附）；（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219A52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5.磋商保证金的相关证明复印件；（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E4DA7D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6.竞标人情况介绍（格式自拟）；</w:t>
            </w:r>
          </w:p>
          <w:p w14:paraId="2CC59EC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7.供应商认为需要提供的其他有关资料。</w:t>
            </w:r>
          </w:p>
          <w:p w14:paraId="32D15C3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 1.法定代表人授权委托书必须由法定代表人及委托代理人签字，并加盖供应商电子公章，否则响应文件按无效响应处理。</w:t>
            </w:r>
          </w:p>
          <w:p w14:paraId="2D59940D">
            <w:pPr>
              <w:keepNext w:val="0"/>
              <w:keepLines w:val="0"/>
              <w:pageBreakBefore w:val="0"/>
              <w:widowControl w:val="0"/>
              <w:kinsoku/>
              <w:overflowPunct/>
              <w:topLinePunct w:val="0"/>
              <w:autoSpaceDE/>
              <w:autoSpaceDN/>
              <w:bidi w:val="0"/>
              <w:adjustRightInd/>
              <w:snapToGrid/>
              <w:spacing w:line="360" w:lineRule="auto"/>
              <w:ind w:firstLine="413" w:firstLineChars="196"/>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2.以上标明“必须提供”的材料属于复印件的扫描件的，必须加盖供应商电子公章，否则响应文件按无效响应处理。</w:t>
            </w:r>
          </w:p>
        </w:tc>
      </w:tr>
      <w:tr w14:paraId="269E8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72DAAF2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6F5A2F2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技术文件组成</w:t>
            </w:r>
          </w:p>
        </w:tc>
        <w:tc>
          <w:tcPr>
            <w:tcW w:w="6853" w:type="dxa"/>
            <w:noWrap w:val="0"/>
            <w:vAlign w:val="center"/>
          </w:tcPr>
          <w:p w14:paraId="4218DA5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1.服务需求偏离表（格式后附）；（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1DA74B5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2.技术服务方案；（</w:t>
            </w:r>
            <w:r>
              <w:rPr>
                <w:rFonts w:hint="eastAsia" w:ascii="宋体" w:hAnsi="宋体" w:cs="宋体"/>
                <w:b/>
                <w:color w:val="auto"/>
                <w:kern w:val="21"/>
                <w:szCs w:val="21"/>
                <w:highlight w:val="none"/>
              </w:rPr>
              <w:t>如有请提供</w:t>
            </w:r>
            <w:r>
              <w:rPr>
                <w:rFonts w:hint="eastAsia" w:ascii="宋体" w:hAnsi="宋体" w:cs="宋体"/>
                <w:color w:val="auto"/>
                <w:kern w:val="21"/>
                <w:szCs w:val="21"/>
                <w:highlight w:val="none"/>
              </w:rPr>
              <w:t>）</w:t>
            </w:r>
          </w:p>
          <w:p w14:paraId="062BB24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color w:val="auto"/>
                <w:kern w:val="21"/>
                <w:szCs w:val="21"/>
                <w:highlight w:val="none"/>
              </w:rPr>
              <w:t>3.</w:t>
            </w:r>
            <w:r>
              <w:rPr>
                <w:rFonts w:hint="eastAsia" w:ascii="宋体" w:hAnsi="宋体" w:cs="宋体"/>
                <w:color w:val="auto"/>
                <w:kern w:val="21"/>
                <w:szCs w:val="21"/>
                <w:highlight w:val="none"/>
                <w:lang w:val="en-US" w:eastAsia="zh-CN"/>
              </w:rPr>
              <w:t>售后</w:t>
            </w:r>
            <w:r>
              <w:rPr>
                <w:rFonts w:hint="eastAsia" w:ascii="宋体" w:hAnsi="宋体" w:cs="宋体"/>
                <w:color w:val="auto"/>
                <w:kern w:val="21"/>
                <w:szCs w:val="21"/>
                <w:highlight w:val="none"/>
              </w:rPr>
              <w:t>服务方案；</w:t>
            </w:r>
            <w:r>
              <w:rPr>
                <w:rFonts w:hint="eastAsia" w:ascii="宋体" w:hAnsi="宋体" w:cs="宋体"/>
                <w:b/>
                <w:bCs/>
                <w:color w:val="auto"/>
                <w:kern w:val="21"/>
                <w:szCs w:val="21"/>
                <w:highlight w:val="none"/>
              </w:rPr>
              <w:t>（必须提供，否则作无效响应处理）</w:t>
            </w:r>
          </w:p>
          <w:p w14:paraId="17D6F2D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4.项目实施人员一览表；（</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2B4D03A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5.对应采购需求的服务需求、商务条款提供的其他文件资料；</w:t>
            </w:r>
          </w:p>
          <w:p w14:paraId="4A1DD42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6.供应商认为需要提供的其他有关资料。</w:t>
            </w:r>
          </w:p>
          <w:p w14:paraId="6DB3D27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注：以上标明“必须提供”的材料属于复印件的扫描件的，必须加盖供应商电子公章，否则响应文件按无效响应处理。</w:t>
            </w:r>
          </w:p>
        </w:tc>
      </w:tr>
      <w:tr w14:paraId="0777A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2903CD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12.1.3</w:t>
            </w:r>
          </w:p>
        </w:tc>
        <w:tc>
          <w:tcPr>
            <w:tcW w:w="2786" w:type="dxa"/>
            <w:noWrap w:val="0"/>
            <w:vAlign w:val="center"/>
          </w:tcPr>
          <w:p w14:paraId="60012BC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b/>
                <w:bCs/>
                <w:color w:val="auto"/>
                <w:kern w:val="21"/>
                <w:szCs w:val="21"/>
                <w:highlight w:val="none"/>
              </w:rPr>
              <w:t>报价文件组成</w:t>
            </w:r>
          </w:p>
        </w:tc>
        <w:tc>
          <w:tcPr>
            <w:tcW w:w="6853" w:type="dxa"/>
            <w:noWrap w:val="0"/>
            <w:vAlign w:val="center"/>
          </w:tcPr>
          <w:p w14:paraId="57745C3F">
            <w:pPr>
              <w:keepNext w:val="0"/>
              <w:keepLines w:val="0"/>
              <w:pageBreakBefore w:val="0"/>
              <w:widowControl w:val="0"/>
              <w:tabs>
                <w:tab w:val="left" w:pos="459"/>
              </w:tabs>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1.响应函（格式后附）；</w:t>
            </w:r>
            <w:r>
              <w:rPr>
                <w:rFonts w:hint="eastAsia" w:ascii="宋体" w:hAnsi="宋体" w:cs="宋体"/>
                <w:b/>
                <w:color w:val="auto"/>
                <w:kern w:val="21"/>
                <w:szCs w:val="21"/>
                <w:highlight w:val="none"/>
              </w:rPr>
              <w:t>（必须提供，否则作无效响应处理）</w:t>
            </w:r>
          </w:p>
          <w:p w14:paraId="4A310C0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2.响应报价表（格式后附）；（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94D888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3.中小企业声明函（格式后附）。</w:t>
            </w:r>
          </w:p>
        </w:tc>
      </w:tr>
      <w:tr w14:paraId="6C674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B2823A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12.2</w:t>
            </w:r>
          </w:p>
        </w:tc>
        <w:tc>
          <w:tcPr>
            <w:tcW w:w="2786" w:type="dxa"/>
            <w:noWrap w:val="0"/>
            <w:vAlign w:val="center"/>
          </w:tcPr>
          <w:p w14:paraId="426A8DC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响应文件电子版要求</w:t>
            </w:r>
          </w:p>
        </w:tc>
        <w:tc>
          <w:tcPr>
            <w:tcW w:w="6853" w:type="dxa"/>
            <w:noWrap w:val="0"/>
            <w:vAlign w:val="center"/>
          </w:tcPr>
          <w:p w14:paraId="04EE98C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kern w:val="21"/>
                <w:szCs w:val="21"/>
                <w:highlight w:val="none"/>
              </w:rPr>
              <w:t>否则作无效响应处理</w:t>
            </w:r>
            <w:r>
              <w:rPr>
                <w:rFonts w:hint="eastAsia" w:ascii="宋体" w:hAnsi="宋体" w:cs="宋体"/>
                <w:color w:val="auto"/>
                <w:kern w:val="21"/>
                <w:szCs w:val="21"/>
                <w:highlight w:val="none"/>
              </w:rPr>
              <w:t>。</w:t>
            </w:r>
          </w:p>
          <w:p w14:paraId="2635B2E0">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2.响应文件电子版密封方式：电子响应文件通过平台有效CA加密后在“广西政府采购云平台”投送。</w:t>
            </w:r>
          </w:p>
          <w:p w14:paraId="4AA7031B">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▲未传输递交电子响应文件的，竞标无效。</w:t>
            </w:r>
          </w:p>
        </w:tc>
      </w:tr>
      <w:tr w14:paraId="7C7C3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E71039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15.2</w:t>
            </w:r>
          </w:p>
        </w:tc>
        <w:tc>
          <w:tcPr>
            <w:tcW w:w="2786" w:type="dxa"/>
            <w:noWrap w:val="0"/>
            <w:vAlign w:val="center"/>
          </w:tcPr>
          <w:p w14:paraId="0CC7DBB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响应报价要求</w:t>
            </w:r>
          </w:p>
        </w:tc>
        <w:tc>
          <w:tcPr>
            <w:tcW w:w="6853" w:type="dxa"/>
            <w:noWrap w:val="0"/>
            <w:vAlign w:val="center"/>
          </w:tcPr>
          <w:p w14:paraId="79793F0C">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kern w:val="21"/>
                <w:szCs w:val="21"/>
                <w:highlight w:val="none"/>
              </w:rPr>
              <w:t>（采购需求另有约定的，从其约定）</w:t>
            </w:r>
          </w:p>
        </w:tc>
      </w:tr>
      <w:tr w14:paraId="650A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5D3CFBD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16.2</w:t>
            </w:r>
          </w:p>
        </w:tc>
        <w:tc>
          <w:tcPr>
            <w:tcW w:w="2786" w:type="dxa"/>
            <w:noWrap w:val="0"/>
            <w:vAlign w:val="center"/>
          </w:tcPr>
          <w:p w14:paraId="10B9A16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竞标有效期</w:t>
            </w:r>
          </w:p>
        </w:tc>
        <w:tc>
          <w:tcPr>
            <w:tcW w:w="6853" w:type="dxa"/>
            <w:noWrap w:val="0"/>
            <w:vAlign w:val="center"/>
          </w:tcPr>
          <w:p w14:paraId="5285256A">
            <w:pPr>
              <w:pStyle w:val="12"/>
              <w:keepNext w:val="0"/>
              <w:keepLines w:val="0"/>
              <w:pageBreakBefore w:val="0"/>
              <w:widowControl w:val="0"/>
              <w:tabs>
                <w:tab w:val="clear" w:pos="454"/>
              </w:tabs>
              <w:kinsoku/>
              <w:overflowPunct/>
              <w:topLinePunct w:val="0"/>
              <w:autoSpaceDE/>
              <w:autoSpaceDN/>
              <w:bidi w:val="0"/>
              <w:adjustRightInd/>
              <w:snapToGrid/>
              <w:spacing w:after="0" w:afterLines="0" w:line="360" w:lineRule="auto"/>
              <w:ind w:left="283" w:hanging="283" w:hangingChars="135"/>
              <w:textAlignment w:val="auto"/>
              <w:rPr>
                <w:rFonts w:ascii="宋体" w:hAnsi="宋体" w:cs="宋体"/>
                <w:color w:val="auto"/>
                <w:kern w:val="21"/>
                <w:sz w:val="21"/>
                <w:szCs w:val="21"/>
                <w:highlight w:val="none"/>
              </w:rPr>
            </w:pPr>
            <w:r>
              <w:rPr>
                <w:rFonts w:hint="eastAsia" w:ascii="宋体" w:hAnsi="宋体" w:cs="宋体"/>
                <w:color w:val="auto"/>
                <w:kern w:val="21"/>
                <w:sz w:val="21"/>
                <w:szCs w:val="21"/>
                <w:highlight w:val="none"/>
              </w:rPr>
              <w:t>自首次响应文件提交截止之日起</w:t>
            </w:r>
            <w:r>
              <w:rPr>
                <w:rFonts w:hint="eastAsia" w:ascii="宋体" w:hAnsi="宋体" w:cs="宋体"/>
                <w:color w:val="auto"/>
                <w:kern w:val="21"/>
                <w:sz w:val="21"/>
                <w:szCs w:val="21"/>
                <w:highlight w:val="none"/>
                <w:u w:val="single"/>
              </w:rPr>
              <w:t xml:space="preserve"> 90 </w:t>
            </w:r>
            <w:r>
              <w:rPr>
                <w:rFonts w:hint="eastAsia" w:ascii="宋体" w:hAnsi="宋体" w:cs="宋体"/>
                <w:color w:val="auto"/>
                <w:kern w:val="21"/>
                <w:sz w:val="21"/>
                <w:szCs w:val="21"/>
                <w:highlight w:val="none"/>
              </w:rPr>
              <w:t>日。</w:t>
            </w:r>
          </w:p>
        </w:tc>
      </w:tr>
      <w:tr w14:paraId="685DA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222CFA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17.1</w:t>
            </w:r>
          </w:p>
        </w:tc>
        <w:tc>
          <w:tcPr>
            <w:tcW w:w="2786" w:type="dxa"/>
            <w:noWrap w:val="0"/>
            <w:vAlign w:val="center"/>
          </w:tcPr>
          <w:p w14:paraId="47B3130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w:t>
            </w:r>
          </w:p>
        </w:tc>
        <w:tc>
          <w:tcPr>
            <w:tcW w:w="6853" w:type="dxa"/>
            <w:noWrap w:val="0"/>
            <w:vAlign w:val="center"/>
          </w:tcPr>
          <w:p w14:paraId="29310D7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磋商保证金金额：详见磋商公告；</w:t>
            </w:r>
          </w:p>
          <w:p w14:paraId="3289C08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磋商保证金缴纳方式：详见磋商公告；</w:t>
            </w:r>
          </w:p>
          <w:p w14:paraId="4630234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磋商保证金指定账户：详见磋商公告；</w:t>
            </w:r>
          </w:p>
          <w:p w14:paraId="3F01205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一、磋商保证金缴纳相关要求：</w:t>
            </w:r>
          </w:p>
          <w:p w14:paraId="5AE260D4">
            <w:pPr>
              <w:spacing w:line="360" w:lineRule="auto"/>
              <w:rPr>
                <w:rFonts w:ascii="宋体" w:hAnsi="宋体" w:cs="宋体"/>
                <w:kern w:val="21"/>
                <w:szCs w:val="21"/>
                <w:highlight w:val="none"/>
              </w:rPr>
            </w:pPr>
            <w:r>
              <w:rPr>
                <w:rFonts w:hint="eastAsia" w:ascii="宋体" w:hAnsi="宋体" w:cs="宋体"/>
                <w:kern w:val="21"/>
                <w:szCs w:val="21"/>
                <w:highlight w:val="none"/>
              </w:rPr>
              <w:t>1.磋商保证金采用</w:t>
            </w:r>
            <w:r>
              <w:rPr>
                <w:rFonts w:hint="eastAsia" w:ascii="宋体" w:hAnsi="宋体" w:cs="宋体"/>
                <w:bCs/>
                <w:kern w:val="21"/>
                <w:szCs w:val="21"/>
                <w:highlight w:val="none"/>
                <w:lang w:bidi="ar"/>
              </w:rPr>
              <w:t>银行转账、电汇、网上支付</w:t>
            </w:r>
            <w:r>
              <w:rPr>
                <w:rFonts w:hint="eastAsia" w:ascii="宋体" w:hAnsi="宋体" w:cs="宋体"/>
                <w:kern w:val="21"/>
                <w:szCs w:val="21"/>
                <w:highlight w:val="none"/>
              </w:rPr>
              <w:t>方式提交的，在响应文件提交截止时间前交至采购代理机构指定账户并且到账，竞标人应将转账汇款凭证的复印件作为磋商保证金提交证明，放置于响应文件中，否则响应文件作无效处理。</w:t>
            </w:r>
          </w:p>
          <w:p w14:paraId="25126428">
            <w:pPr>
              <w:spacing w:line="360" w:lineRule="auto"/>
              <w:rPr>
                <w:rFonts w:ascii="宋体" w:hAnsi="宋体" w:cs="宋体"/>
                <w:kern w:val="21"/>
                <w:szCs w:val="21"/>
                <w:highlight w:val="none"/>
              </w:rPr>
            </w:pPr>
            <w:r>
              <w:rPr>
                <w:rFonts w:hint="eastAsia" w:ascii="宋体" w:hAnsi="宋体" w:cs="宋体"/>
                <w:kern w:val="21"/>
                <w:szCs w:val="21"/>
                <w:highlight w:val="none"/>
              </w:rPr>
              <w:t>2.磋商保证金采用支票、汇票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包含电子保函</w:t>
            </w:r>
            <w:r>
              <w:rPr>
                <w:rFonts w:hint="eastAsia" w:ascii="宋体" w:hAnsi="宋体" w:cs="宋体"/>
                <w:kern w:val="21"/>
                <w:szCs w:val="21"/>
                <w:highlight w:val="none"/>
                <w:lang w:eastAsia="zh-CN"/>
              </w:rPr>
              <w:t>）</w:t>
            </w:r>
            <w:r>
              <w:rPr>
                <w:rFonts w:hint="eastAsia" w:ascii="宋体" w:hAnsi="宋体" w:cs="宋体"/>
                <w:kern w:val="21"/>
                <w:szCs w:val="21"/>
                <w:highlight w:val="none"/>
              </w:rPr>
              <w:t>、保险单</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w:t>
            </w:r>
            <w:r>
              <w:rPr>
                <w:rFonts w:hint="eastAsia" w:ascii="宋体" w:hAnsi="宋体" w:cs="宋体"/>
                <w:kern w:val="21"/>
                <w:szCs w:val="21"/>
                <w:highlight w:val="none"/>
              </w:rPr>
              <w:t>保单</w:t>
            </w:r>
            <w:r>
              <w:rPr>
                <w:rFonts w:hint="eastAsia" w:ascii="宋体" w:hAnsi="宋体" w:cs="宋体"/>
                <w:kern w:val="21"/>
                <w:szCs w:val="21"/>
                <w:highlight w:val="none"/>
                <w:lang w:eastAsia="zh-CN"/>
              </w:rPr>
              <w:t>）</w:t>
            </w:r>
            <w:r>
              <w:rPr>
                <w:rFonts w:hint="eastAsia" w:ascii="宋体" w:hAnsi="宋体" w:cs="宋体"/>
                <w:kern w:val="21"/>
                <w:szCs w:val="21"/>
                <w:highlight w:val="none"/>
              </w:rPr>
              <w:t>方式提交的，竞标人应将支票、汇票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kern w:val="21"/>
                <w:szCs w:val="21"/>
                <w:highlight w:val="none"/>
              </w:rPr>
              <w:t>保函、保险单的复印件作为磋商保证金提交凭证，放置于响应文件中，否则响应文件作无效处理。竞标人</w:t>
            </w:r>
            <w:r>
              <w:rPr>
                <w:rFonts w:hint="eastAsia" w:ascii="宋体" w:hAnsi="宋体" w:cs="宋体"/>
                <w:kern w:val="21"/>
                <w:szCs w:val="21"/>
                <w:highlight w:val="none"/>
                <w:lang w:val="en-US" w:eastAsia="zh-CN"/>
              </w:rPr>
              <w:t>必须在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采用现场或邮寄方式（现场提交地址：南宁市青秀区金湖路52-1号东方曼哈顿大厦20楼2003B；邮寄地址：南宁市青秀区金湖路52-1号东方曼哈顿大厦20楼2003B，收件人：陆秋云，联系方式：18178633229）将单独密封的支票、汇票、本票或者保函、保险单原件提交给采购代理机构，未按时提交的，</w:t>
            </w:r>
            <w:r>
              <w:rPr>
                <w:rFonts w:hint="eastAsia" w:ascii="宋体" w:hAnsi="宋体" w:cs="宋体"/>
                <w:kern w:val="21"/>
                <w:szCs w:val="21"/>
                <w:highlight w:val="none"/>
              </w:rPr>
              <w:t>响应文件作无效处理。</w:t>
            </w:r>
          </w:p>
          <w:p w14:paraId="0B759F8F">
            <w:pPr>
              <w:spacing w:line="360" w:lineRule="auto"/>
              <w:rPr>
                <w:rFonts w:ascii="宋体" w:hAnsi="宋体" w:cs="宋体"/>
                <w:kern w:val="21"/>
                <w:szCs w:val="21"/>
                <w:highlight w:val="none"/>
              </w:rPr>
            </w:pPr>
            <w:r>
              <w:rPr>
                <w:rFonts w:hint="eastAsia" w:ascii="宋体" w:hAnsi="宋体" w:cs="宋体"/>
                <w:kern w:val="21"/>
                <w:szCs w:val="21"/>
                <w:highlight w:val="none"/>
              </w:rPr>
              <w:t>3.竞标人为联合体的，可以由联合体中的一方或者多方共同缴纳磋商保证金，其缴纳的保证金对联合体各方均具有约束力。</w:t>
            </w:r>
          </w:p>
          <w:p w14:paraId="76B733AC">
            <w:pPr>
              <w:spacing w:line="360" w:lineRule="auto"/>
              <w:rPr>
                <w:rFonts w:ascii="宋体" w:hAnsi="宋体" w:cs="宋体"/>
                <w:kern w:val="21"/>
                <w:szCs w:val="21"/>
                <w:highlight w:val="none"/>
              </w:rPr>
            </w:pPr>
            <w:r>
              <w:rPr>
                <w:rFonts w:hint="eastAsia" w:ascii="宋体" w:hAnsi="宋体" w:cs="宋体"/>
                <w:kern w:val="21"/>
                <w:szCs w:val="21"/>
                <w:highlight w:val="none"/>
              </w:rPr>
              <w:t>备注：</w:t>
            </w:r>
          </w:p>
          <w:p w14:paraId="5815C263">
            <w:pPr>
              <w:spacing w:line="360" w:lineRule="auto"/>
              <w:rPr>
                <w:rFonts w:ascii="宋体" w:hAnsi="宋体" w:cs="宋体"/>
                <w:kern w:val="21"/>
                <w:szCs w:val="21"/>
                <w:highlight w:val="none"/>
              </w:rPr>
            </w:pPr>
            <w:r>
              <w:rPr>
                <w:rFonts w:hint="eastAsia" w:ascii="宋体" w:hAnsi="宋体" w:cs="宋体"/>
                <w:kern w:val="21"/>
                <w:szCs w:val="21"/>
                <w:highlight w:val="none"/>
              </w:rPr>
              <w:t>1.响应文件提交截止时间后提交的，或未足额缴纳的，或保函、保险单额度不足的，视为无效磋商保证金。</w:t>
            </w:r>
          </w:p>
          <w:p w14:paraId="4BA6543C">
            <w:pPr>
              <w:spacing w:line="360" w:lineRule="auto"/>
              <w:rPr>
                <w:rFonts w:ascii="宋体" w:hAnsi="宋体" w:cs="宋体"/>
                <w:kern w:val="21"/>
                <w:szCs w:val="21"/>
                <w:highlight w:val="none"/>
              </w:rPr>
            </w:pPr>
            <w:r>
              <w:rPr>
                <w:rFonts w:hint="eastAsia" w:ascii="宋体" w:hAnsi="宋体" w:cs="宋体"/>
                <w:kern w:val="21"/>
                <w:szCs w:val="21"/>
                <w:highlight w:val="none"/>
              </w:rPr>
              <w:t>2.竞标人采用现钞方式或从个人账户（自然人竞标除外）转出的磋商保证金，视为无效磋商保证金。</w:t>
            </w:r>
          </w:p>
          <w:p w14:paraId="5AC13152">
            <w:pPr>
              <w:spacing w:line="360" w:lineRule="auto"/>
              <w:rPr>
                <w:rFonts w:ascii="宋体" w:hAnsi="宋体" w:cs="宋体"/>
                <w:kern w:val="21"/>
                <w:szCs w:val="21"/>
                <w:highlight w:val="none"/>
              </w:rPr>
            </w:pPr>
            <w:r>
              <w:rPr>
                <w:rFonts w:hint="eastAsia" w:ascii="宋体" w:hAnsi="宋体" w:cs="宋体"/>
                <w:kern w:val="21"/>
                <w:szCs w:val="21"/>
                <w:highlight w:val="none"/>
              </w:rPr>
              <w:t>3.支票、汇票或本票出现无效或者背书情形的，视为无效磋商保证金。</w:t>
            </w:r>
          </w:p>
          <w:p w14:paraId="754D1E69">
            <w:pPr>
              <w:spacing w:line="360" w:lineRule="auto"/>
              <w:rPr>
                <w:rFonts w:ascii="宋体" w:hAnsi="宋体" w:cs="宋体"/>
                <w:kern w:val="21"/>
                <w:szCs w:val="21"/>
                <w:highlight w:val="none"/>
              </w:rPr>
            </w:pPr>
            <w:r>
              <w:rPr>
                <w:rFonts w:hint="eastAsia" w:ascii="宋体" w:hAnsi="宋体" w:cs="宋体"/>
                <w:kern w:val="21"/>
                <w:szCs w:val="21"/>
                <w:highlight w:val="none"/>
              </w:rPr>
              <w:t>4.支票、汇票、本票、保函、保险单有效期低于竞标有效期的，视为无效磋商保证金。</w:t>
            </w:r>
          </w:p>
          <w:p w14:paraId="340116EB">
            <w:pPr>
              <w:spacing w:line="360" w:lineRule="auto"/>
              <w:rPr>
                <w:rFonts w:ascii="宋体" w:hAnsi="宋体" w:cs="宋体"/>
                <w:kern w:val="21"/>
                <w:szCs w:val="21"/>
                <w:highlight w:val="none"/>
              </w:rPr>
            </w:pPr>
            <w:r>
              <w:rPr>
                <w:rFonts w:hint="eastAsia" w:ascii="宋体" w:hAnsi="宋体" w:cs="宋体"/>
                <w:kern w:val="21"/>
                <w:szCs w:val="21"/>
                <w:highlight w:val="none"/>
              </w:rPr>
              <w:t>5.磋商保证金采用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出具的保函为有条件保函的，视为无效磋商保证金。</w:t>
            </w:r>
          </w:p>
          <w:p w14:paraId="75AA2F5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二、磋商保证金退还：</w:t>
            </w:r>
          </w:p>
          <w:p w14:paraId="643BA2E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1.未成交供应商的磋商保证金自成交通知书发出之日起5个工作日内退还，退还方式如下：</w:t>
            </w:r>
          </w:p>
          <w:p w14:paraId="368F841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（1）采用银行转账方式的，以转账方式退回到供应商银行账户。</w:t>
            </w:r>
          </w:p>
          <w:p w14:paraId="7AF26E2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（2）采用支票、汇票或本票方式的，以转账方式退回到供应商银行账户或由供应商代表持相关授权证明材料至磋商保证金收取单位办理支票、汇票或本票原件退还手续。</w:t>
            </w:r>
          </w:p>
          <w:p w14:paraId="12578C2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（3）采用金融机构、担保机构、保险机构出具的保函、保险单方式的，由供应商代表持相关授权证明材料至磋商保证金收取单位办理保函、保险单原件退还手续。</w:t>
            </w:r>
          </w:p>
          <w:p w14:paraId="468FE79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2.成交供应商的磋商保证金自合同签订并送达采购代理机构存档后5个工作日内退还，退还方式同未成交供应商。</w:t>
            </w:r>
          </w:p>
        </w:tc>
      </w:tr>
      <w:tr w14:paraId="17ACB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6E27155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20.1</w:t>
            </w:r>
          </w:p>
        </w:tc>
        <w:tc>
          <w:tcPr>
            <w:tcW w:w="2786" w:type="dxa"/>
            <w:noWrap w:val="0"/>
            <w:vAlign w:val="center"/>
          </w:tcPr>
          <w:p w14:paraId="5527458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首次响应文件提交起止时间</w:t>
            </w:r>
          </w:p>
        </w:tc>
        <w:tc>
          <w:tcPr>
            <w:tcW w:w="6853" w:type="dxa"/>
            <w:noWrap w:val="0"/>
            <w:vAlign w:val="center"/>
          </w:tcPr>
          <w:p w14:paraId="588FFA4E">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5AFCB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39EDBD8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3F79073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首次响应文件提交地点</w:t>
            </w:r>
          </w:p>
        </w:tc>
        <w:tc>
          <w:tcPr>
            <w:tcW w:w="6853" w:type="dxa"/>
            <w:noWrap w:val="0"/>
            <w:vAlign w:val="center"/>
          </w:tcPr>
          <w:p w14:paraId="41DA384E">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1915D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FC407E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21</w:t>
            </w:r>
          </w:p>
        </w:tc>
        <w:tc>
          <w:tcPr>
            <w:tcW w:w="2786" w:type="dxa"/>
            <w:noWrap w:val="0"/>
            <w:vAlign w:val="center"/>
          </w:tcPr>
          <w:p w14:paraId="4191982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首次响应文件的撤回</w:t>
            </w:r>
          </w:p>
        </w:tc>
        <w:tc>
          <w:tcPr>
            <w:tcW w:w="6853" w:type="dxa"/>
            <w:noWrap w:val="0"/>
            <w:vAlign w:val="center"/>
          </w:tcPr>
          <w:p w14:paraId="4027ABBE">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详见竞争性磋商公告。</w:t>
            </w:r>
          </w:p>
        </w:tc>
      </w:tr>
      <w:tr w14:paraId="5A7DF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5767B44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26.2</w:t>
            </w:r>
          </w:p>
        </w:tc>
        <w:tc>
          <w:tcPr>
            <w:tcW w:w="2786" w:type="dxa"/>
            <w:noWrap w:val="0"/>
            <w:vAlign w:val="center"/>
          </w:tcPr>
          <w:p w14:paraId="079F830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磋商的顺序</w:t>
            </w:r>
          </w:p>
          <w:p w14:paraId="7391B4A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632391C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□按照提交首次响应文件的顺序，通知磋商时，若某供应商无法通知到时，该供应商排序到最后磋商，按照签到的顺序由其下一位供应商先参与磋商。</w:t>
            </w:r>
          </w:p>
          <w:p w14:paraId="6BA14D58">
            <w:pPr>
              <w:pStyle w:val="13"/>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☑随机排序</w:t>
            </w:r>
          </w:p>
        </w:tc>
      </w:tr>
      <w:tr w14:paraId="60165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1EA2D36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00A3874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评审得分相同时成交原则</w:t>
            </w:r>
          </w:p>
        </w:tc>
        <w:tc>
          <w:tcPr>
            <w:tcW w:w="6853" w:type="dxa"/>
            <w:noWrap w:val="0"/>
            <w:vAlign w:val="center"/>
          </w:tcPr>
          <w:p w14:paraId="2A96B0C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评审得分相同时，按照最后磋商报价由低到高顺序依次推荐；评审得分相同且最后磋商报价相同的，按以下原则确定成交候选人的顺序。</w:t>
            </w:r>
          </w:p>
          <w:p w14:paraId="1289227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☑依次按带“▲”的实质性要求正偏离项数多的优先、均无正偏离或者正偏离项数一致时负偏离项数少的优先、质量保证期长优先、交货期短优先、故障响应时间短优先的顺序排列。</w:t>
            </w:r>
          </w:p>
          <w:p w14:paraId="5FA74D7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□由磋商小组推荐代表随机抽取。</w:t>
            </w:r>
          </w:p>
        </w:tc>
      </w:tr>
      <w:tr w14:paraId="363F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11225D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szCs w:val="21"/>
                <w:highlight w:val="none"/>
              </w:rPr>
              <w:t>26.3</w:t>
            </w:r>
          </w:p>
        </w:tc>
        <w:tc>
          <w:tcPr>
            <w:tcW w:w="2786" w:type="dxa"/>
            <w:noWrap w:val="0"/>
            <w:vAlign w:val="center"/>
          </w:tcPr>
          <w:p w14:paraId="2394F87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商务/技术要求允许负偏离的条款数</w:t>
            </w:r>
          </w:p>
        </w:tc>
        <w:tc>
          <w:tcPr>
            <w:tcW w:w="6853" w:type="dxa"/>
            <w:noWrap w:val="0"/>
            <w:vAlign w:val="center"/>
          </w:tcPr>
          <w:p w14:paraId="4A3EC1A1">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p w14:paraId="04275C96">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tc>
      </w:tr>
      <w:tr w14:paraId="2F52C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0E8DDD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28</w:t>
            </w:r>
          </w:p>
        </w:tc>
        <w:tc>
          <w:tcPr>
            <w:tcW w:w="2786" w:type="dxa"/>
            <w:noWrap w:val="0"/>
            <w:vAlign w:val="center"/>
          </w:tcPr>
          <w:p w14:paraId="4821769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履约保证金</w:t>
            </w:r>
          </w:p>
        </w:tc>
        <w:tc>
          <w:tcPr>
            <w:tcW w:w="6853" w:type="dxa"/>
            <w:noWrap w:val="0"/>
            <w:vAlign w:val="center"/>
          </w:tcPr>
          <w:p w14:paraId="7C54AFCB">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本项目不收取履约保证金。</w:t>
            </w:r>
          </w:p>
        </w:tc>
      </w:tr>
      <w:tr w14:paraId="4CC5A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03B18A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29.6</w:t>
            </w:r>
          </w:p>
        </w:tc>
        <w:tc>
          <w:tcPr>
            <w:tcW w:w="2786" w:type="dxa"/>
            <w:noWrap w:val="0"/>
            <w:vAlign w:val="center"/>
          </w:tcPr>
          <w:p w14:paraId="285A67F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签订合同携带的材料</w:t>
            </w:r>
          </w:p>
        </w:tc>
        <w:tc>
          <w:tcPr>
            <w:tcW w:w="6853" w:type="dxa"/>
            <w:noWrap w:val="0"/>
            <w:vAlign w:val="center"/>
          </w:tcPr>
          <w:p w14:paraId="3CA96703">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val="en-US" w:eastAsia="zh-CN"/>
              </w:rPr>
              <w:t>如</w:t>
            </w:r>
            <w:r>
              <w:rPr>
                <w:rFonts w:hint="eastAsia" w:ascii="宋体" w:hAnsi="宋体" w:cs="宋体"/>
                <w:color w:val="auto"/>
                <w:kern w:val="21"/>
                <w:szCs w:val="21"/>
                <w:highlight w:val="none"/>
              </w:rPr>
              <w:t>签订电子合同的，使用的有效CA证书加盖单位电子公章</w:t>
            </w:r>
            <w:r>
              <w:rPr>
                <w:rFonts w:hint="eastAsia" w:ascii="宋体" w:hAnsi="宋体" w:cs="宋体"/>
                <w:color w:val="auto"/>
                <w:kern w:val="21"/>
                <w:szCs w:val="21"/>
                <w:highlight w:val="none"/>
                <w:lang w:eastAsia="zh-CN"/>
              </w:rPr>
              <w:t>。</w:t>
            </w:r>
          </w:p>
        </w:tc>
      </w:tr>
      <w:tr w14:paraId="2CC7D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65D2741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31.2</w:t>
            </w:r>
          </w:p>
        </w:tc>
        <w:tc>
          <w:tcPr>
            <w:tcW w:w="2786" w:type="dxa"/>
            <w:noWrap w:val="0"/>
            <w:vAlign w:val="center"/>
          </w:tcPr>
          <w:p w14:paraId="162CDD8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接收质疑函方式</w:t>
            </w:r>
          </w:p>
        </w:tc>
        <w:tc>
          <w:tcPr>
            <w:tcW w:w="6853" w:type="dxa"/>
            <w:noWrap w:val="0"/>
            <w:vAlign w:val="center"/>
          </w:tcPr>
          <w:p w14:paraId="21BE224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以书面形式</w:t>
            </w:r>
          </w:p>
        </w:tc>
      </w:tr>
      <w:tr w14:paraId="23D97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7A893C9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47DAC12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质疑联系部门及联系方式</w:t>
            </w:r>
          </w:p>
        </w:tc>
        <w:tc>
          <w:tcPr>
            <w:tcW w:w="6853" w:type="dxa"/>
            <w:noWrap w:val="0"/>
            <w:vAlign w:val="center"/>
          </w:tcPr>
          <w:p w14:paraId="09A2BF8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广西壮族自治区通信产业服务有限公司</w:t>
            </w:r>
          </w:p>
          <w:p w14:paraId="32EA935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通讯地址：南宁市青秀区金湖路52-1号东方曼哈顿大厦20楼2003B</w:t>
            </w:r>
          </w:p>
          <w:p w14:paraId="4D2F047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bCs/>
                <w:color w:val="auto"/>
                <w:kern w:val="21"/>
                <w:szCs w:val="21"/>
                <w:highlight w:val="none"/>
              </w:rPr>
              <w:t>联系电话：13878854248、18178633229</w:t>
            </w:r>
          </w:p>
        </w:tc>
      </w:tr>
      <w:tr w14:paraId="2A15F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07E106A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10E4534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现场提交质疑办理业务时间</w:t>
            </w:r>
          </w:p>
        </w:tc>
        <w:tc>
          <w:tcPr>
            <w:tcW w:w="6853" w:type="dxa"/>
            <w:noWrap w:val="0"/>
            <w:vAlign w:val="center"/>
          </w:tcPr>
          <w:p w14:paraId="6F4BF72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质疑期内每个工作日</w:t>
            </w:r>
            <w:r>
              <w:rPr>
                <w:rFonts w:hint="eastAsia" w:ascii="宋体" w:hAnsi="宋体" w:cs="宋体"/>
                <w:color w:val="auto"/>
                <w:kern w:val="21"/>
                <w:szCs w:val="21"/>
                <w:highlight w:val="none"/>
                <w:u w:val="single"/>
              </w:rPr>
              <w:t xml:space="preserve">9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12</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w:t>
            </w:r>
            <w:r>
              <w:rPr>
                <w:rFonts w:hint="eastAsia" w:ascii="宋体" w:hAnsi="宋体" w:cs="宋体"/>
                <w:color w:val="auto"/>
                <w:kern w:val="21"/>
                <w:szCs w:val="21"/>
                <w:highlight w:val="none"/>
                <w:u w:val="single"/>
              </w:rPr>
              <w:t>14</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 xml:space="preserve">17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w:t>
            </w:r>
          </w:p>
        </w:tc>
      </w:tr>
      <w:tr w14:paraId="7C5B5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E3833A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31.6</w:t>
            </w:r>
          </w:p>
        </w:tc>
        <w:tc>
          <w:tcPr>
            <w:tcW w:w="2786" w:type="dxa"/>
            <w:noWrap w:val="0"/>
            <w:vAlign w:val="center"/>
          </w:tcPr>
          <w:p w14:paraId="26411E3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投诉受理方式</w:t>
            </w:r>
          </w:p>
        </w:tc>
        <w:tc>
          <w:tcPr>
            <w:tcW w:w="6853" w:type="dxa"/>
            <w:noWrap w:val="0"/>
            <w:vAlign w:val="center"/>
          </w:tcPr>
          <w:p w14:paraId="4D2787F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1.受理方式：纸质方式受理，投诉书正、副本（经过质疑的事项才可投诉）。</w:t>
            </w:r>
          </w:p>
          <w:p w14:paraId="26DD35F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2.邮寄信息：</w:t>
            </w:r>
          </w:p>
          <w:p w14:paraId="64861A1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名称：广西壮族自治区财政厅政府采购监督管理处</w:t>
            </w:r>
          </w:p>
          <w:p w14:paraId="0A84CCB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地址：南宁市青秀区桃源路69号广西财政大厦</w:t>
            </w:r>
          </w:p>
          <w:p w14:paraId="5374D2C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联系电话：0771-5331544</w:t>
            </w:r>
          </w:p>
        </w:tc>
      </w:tr>
      <w:tr w14:paraId="01629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AC03B0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33</w:t>
            </w:r>
          </w:p>
        </w:tc>
        <w:tc>
          <w:tcPr>
            <w:tcW w:w="2786" w:type="dxa"/>
            <w:noWrap w:val="0"/>
            <w:vAlign w:val="center"/>
          </w:tcPr>
          <w:p w14:paraId="7482305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采购代理费</w:t>
            </w:r>
          </w:p>
        </w:tc>
        <w:tc>
          <w:tcPr>
            <w:tcW w:w="6853" w:type="dxa"/>
            <w:noWrap w:val="0"/>
            <w:vAlign w:val="center"/>
          </w:tcPr>
          <w:p w14:paraId="5974006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1.是否收取采购代理服务费：</w:t>
            </w:r>
          </w:p>
          <w:p w14:paraId="7CE93F7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    □ 否</w:t>
            </w:r>
          </w:p>
          <w:p w14:paraId="6A6FF2A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2.采购代理服务费支付方式：</w:t>
            </w:r>
          </w:p>
          <w:p w14:paraId="7C60C12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☑本项目代理服务费由</w:t>
            </w:r>
            <w:r>
              <w:rPr>
                <w:rFonts w:hint="eastAsia" w:ascii="宋体" w:hAnsi="宋体" w:cs="宋体"/>
                <w:color w:val="auto"/>
                <w:kern w:val="21"/>
                <w:szCs w:val="21"/>
                <w:highlight w:val="none"/>
                <w:u w:val="single"/>
              </w:rPr>
              <w:t>成交供应商</w:t>
            </w:r>
            <w:r>
              <w:rPr>
                <w:rFonts w:hint="eastAsia" w:ascii="宋体" w:hAnsi="宋体" w:cs="宋体"/>
                <w:color w:val="auto"/>
                <w:kern w:val="21"/>
                <w:szCs w:val="21"/>
                <w:highlight w:val="none"/>
              </w:rPr>
              <w:t>领取成交通知书前，一次性向采购代理机构支付。</w:t>
            </w:r>
          </w:p>
          <w:p w14:paraId="6CE6354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□采购人支付。</w:t>
            </w:r>
          </w:p>
          <w:p w14:paraId="3533CB2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3.以成交金额为计费额，按服务采购采用差额定率累进法计算出收费基准价格，采购代理收费以收费基准价格计算收取。</w:t>
            </w:r>
          </w:p>
          <w:p w14:paraId="0CB538B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4.采购代理服务费收取标准：</w:t>
            </w:r>
          </w:p>
          <w:p w14:paraId="731078D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（1）采购代理机构按（桂价费〔2011〕55号）收费标准，按差额定率累进法计取采购代理服务费。签订合同前，成交供应商须向采购代理机构一次付清采购代理服务费。</w:t>
            </w:r>
          </w:p>
          <w:p w14:paraId="60D9A62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（2）代理服务收费标准</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459"/>
              <w:gridCol w:w="1270"/>
              <w:gridCol w:w="1250"/>
            </w:tblGrid>
            <w:tr w14:paraId="6BE5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3EC996A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费率</w:t>
                  </w:r>
                </w:p>
                <w:p w14:paraId="7916470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成交金额</w:t>
                  </w:r>
                </w:p>
              </w:tc>
              <w:tc>
                <w:tcPr>
                  <w:tcW w:w="1101" w:type="pct"/>
                  <w:tcBorders>
                    <w:top w:val="single" w:color="auto" w:sz="4" w:space="0"/>
                    <w:left w:val="single" w:color="auto" w:sz="4" w:space="0"/>
                    <w:bottom w:val="single" w:color="auto" w:sz="4" w:space="0"/>
                    <w:right w:val="single" w:color="auto" w:sz="4" w:space="0"/>
                  </w:tcBorders>
                  <w:noWrap w:val="0"/>
                  <w:vAlign w:val="center"/>
                </w:tcPr>
                <w:p w14:paraId="377E4465">
                  <w:pPr>
                    <w:keepNext w:val="0"/>
                    <w:keepLines w:val="0"/>
                    <w:pageBreakBefore w:val="0"/>
                    <w:widowControl w:val="0"/>
                    <w:kinsoku/>
                    <w:overflowPunct/>
                    <w:topLinePunct w:val="0"/>
                    <w:autoSpaceDE/>
                    <w:autoSpaceDN/>
                    <w:bidi w:val="0"/>
                    <w:adjustRightInd/>
                    <w:snapToGrid/>
                    <w:spacing w:line="360" w:lineRule="auto"/>
                    <w:ind w:firstLine="105" w:firstLineChars="50"/>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货物</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528AE84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服务</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14299AF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工程</w:t>
                  </w:r>
                </w:p>
              </w:tc>
            </w:tr>
            <w:tr w14:paraId="55FE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21D49CA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100万元以下</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7355268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2A9F630">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6C60054">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1.0% </w:t>
                  </w:r>
                </w:p>
              </w:tc>
            </w:tr>
            <w:tr w14:paraId="0E31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2C070F8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100～500万元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E83B78B">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53DD4051">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7A604528">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0.7% </w:t>
                  </w:r>
                </w:p>
              </w:tc>
            </w:tr>
            <w:tr w14:paraId="203F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563122B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500～1000万元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25AAA78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6B6087F3">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0.45%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5433317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0.55%</w:t>
                  </w:r>
                </w:p>
              </w:tc>
            </w:tr>
            <w:tr w14:paraId="75B6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7B9052B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1000～5000万元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4384478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C7A690B">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1404BA4">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0.35% </w:t>
                  </w:r>
                </w:p>
              </w:tc>
            </w:tr>
            <w:tr w14:paraId="093D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036C63B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5000万元～1亿元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F57D90D">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FB66E47">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0.1%</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FC5D56E">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w:t>
                  </w:r>
                </w:p>
              </w:tc>
            </w:tr>
            <w:tr w14:paraId="405B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18A9B0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5B185B0">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D8C854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641F402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r>
            <w:tr w14:paraId="02B2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36A090D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2941CC5">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5D04BE8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69C65C4B">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r>
            <w:tr w14:paraId="41B8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7E75B5D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10～50亿元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ED300A3">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58" w:type="pct"/>
                  <w:tcBorders>
                    <w:top w:val="single" w:color="auto" w:sz="4" w:space="0"/>
                    <w:left w:val="single" w:color="auto" w:sz="4" w:space="0"/>
                    <w:bottom w:val="single" w:color="auto" w:sz="4" w:space="0"/>
                    <w:right w:val="single" w:color="auto" w:sz="4" w:space="0"/>
                  </w:tcBorders>
                  <w:noWrap w:val="0"/>
                  <w:vAlign w:val="top"/>
                </w:tcPr>
                <w:p w14:paraId="6B73C13D">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F28ED4C">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r>
            <w:tr w14:paraId="7E0B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0311985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50～100亿元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69FDB81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CA8E22B">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BCE9A94">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r>
            <w:tr w14:paraId="0EF0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7A7B925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100亿以上</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052889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A5081F2">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c>
                <w:tcPr>
                  <w:tcW w:w="943" w:type="pct"/>
                  <w:tcBorders>
                    <w:top w:val="single" w:color="auto" w:sz="4" w:space="0"/>
                    <w:left w:val="single" w:color="auto" w:sz="4" w:space="0"/>
                    <w:bottom w:val="single" w:color="auto" w:sz="4" w:space="0"/>
                    <w:right w:val="single" w:color="auto" w:sz="4" w:space="0"/>
                  </w:tcBorders>
                  <w:noWrap w:val="0"/>
                  <w:vAlign w:val="top"/>
                </w:tcPr>
                <w:p w14:paraId="68AB7227">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r>
          </w:tbl>
          <w:p w14:paraId="6E0AD34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5.采购代理服务费收取银行账户</w:t>
            </w:r>
          </w:p>
          <w:p w14:paraId="2109FFA7">
            <w:pPr>
              <w:pStyle w:val="18"/>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开户名称：广西壮族自治区通信产业服务有限公司招标中心</w:t>
            </w:r>
          </w:p>
          <w:p w14:paraId="7383CBC9">
            <w:pPr>
              <w:pStyle w:val="18"/>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开户行：中国建设银行股份有限公司南宁大学路支行</w:t>
            </w:r>
          </w:p>
          <w:p w14:paraId="43E37D63">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 xml:space="preserve">账号：45050160485100001383-0007 </w:t>
            </w:r>
          </w:p>
        </w:tc>
      </w:tr>
      <w:tr w14:paraId="0F6F0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CAFC3B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34.1</w:t>
            </w:r>
          </w:p>
        </w:tc>
        <w:tc>
          <w:tcPr>
            <w:tcW w:w="2786" w:type="dxa"/>
            <w:noWrap w:val="0"/>
            <w:vAlign w:val="center"/>
          </w:tcPr>
          <w:p w14:paraId="7FC023F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解释</w:t>
            </w:r>
          </w:p>
        </w:tc>
        <w:tc>
          <w:tcPr>
            <w:tcW w:w="6853" w:type="dxa"/>
            <w:noWrap w:val="0"/>
            <w:vAlign w:val="center"/>
          </w:tcPr>
          <w:p w14:paraId="752D41B7">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b/>
                <w:color w:val="auto"/>
                <w:kern w:val="21"/>
                <w:sz w:val="21"/>
                <w:highlight w:val="none"/>
              </w:rPr>
            </w:pPr>
            <w:r>
              <w:rPr>
                <w:rFonts w:hint="eastAsia" w:hAnsi="宋体" w:cs="宋体"/>
                <w:color w:val="auto"/>
                <w:kern w:val="21"/>
                <w:sz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kern w:val="21"/>
                <w:sz w:val="21"/>
                <w:highlight w:val="none"/>
              </w:rPr>
              <w:t>由采购人或者采购代理机构负责解释。</w:t>
            </w:r>
          </w:p>
          <w:p w14:paraId="78F00001">
            <w:pPr>
              <w:keepNext w:val="0"/>
              <w:keepLines w:val="0"/>
              <w:pageBreakBefore w:val="0"/>
              <w:widowControl w:val="0"/>
              <w:tabs>
                <w:tab w:val="left" w:pos="1080"/>
              </w:tabs>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79D6A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3E7CD9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34.2</w:t>
            </w:r>
          </w:p>
        </w:tc>
        <w:tc>
          <w:tcPr>
            <w:tcW w:w="2786" w:type="dxa"/>
            <w:noWrap w:val="0"/>
            <w:vAlign w:val="center"/>
          </w:tcPr>
          <w:p w14:paraId="7219D19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其他</w:t>
            </w:r>
          </w:p>
        </w:tc>
        <w:tc>
          <w:tcPr>
            <w:tcW w:w="6853" w:type="dxa"/>
            <w:noWrap w:val="0"/>
            <w:vAlign w:val="center"/>
          </w:tcPr>
          <w:p w14:paraId="6985A62C">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1.本磋商文件中描述供应商的“公章”是指供应商通过指定电子化政府采购平台办理数字证书（CA认证）获得的以法定主体为名称制作的电子印章。</w:t>
            </w:r>
          </w:p>
          <w:p w14:paraId="2DA139F6">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248A7EEC">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EAE009">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4.自然人竞标的，磋商文件规定盖公章处由自然人摁手指指印。</w:t>
            </w:r>
          </w:p>
          <w:p w14:paraId="35BECE2B">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5.本磋商文件所称的“以上”“以下”“以内”“届满”，包括本数；所称的“不满”“超过”“以外”，不包括本数。</w:t>
            </w:r>
          </w:p>
        </w:tc>
      </w:tr>
    </w:tbl>
    <w:p w14:paraId="22BB30E3">
      <w:pPr>
        <w:pStyle w:val="3"/>
        <w:spacing w:line="420" w:lineRule="exact"/>
        <w:jc w:val="center"/>
        <w:rPr>
          <w:rFonts w:ascii="宋体" w:hAnsi="宋体" w:cs="宋体"/>
          <w:b w:val="0"/>
          <w:color w:val="auto"/>
          <w:kern w:val="21"/>
          <w:highlight w:val="none"/>
        </w:rPr>
      </w:pPr>
      <w:r>
        <w:rPr>
          <w:rFonts w:hint="eastAsia" w:ascii="宋体" w:hAnsi="宋体" w:cs="宋体"/>
          <w:b w:val="0"/>
          <w:color w:val="auto"/>
          <w:kern w:val="21"/>
          <w:highlight w:val="none"/>
        </w:rPr>
        <w:br w:type="page"/>
      </w:r>
      <w:bookmarkStart w:id="37" w:name="_Toc10889"/>
      <w:bookmarkStart w:id="38" w:name="_Toc21056"/>
      <w:r>
        <w:rPr>
          <w:rFonts w:hint="eastAsia" w:ascii="宋体" w:hAnsi="宋体" w:cs="宋体"/>
          <w:bCs w:val="0"/>
          <w:color w:val="auto"/>
          <w:kern w:val="21"/>
          <w:sz w:val="24"/>
          <w:szCs w:val="24"/>
          <w:highlight w:val="none"/>
        </w:rPr>
        <w:t>第二节 供应商须知正文</w:t>
      </w:r>
      <w:bookmarkEnd w:id="37"/>
      <w:bookmarkEnd w:id="38"/>
    </w:p>
    <w:p w14:paraId="6EC85E1D">
      <w:pPr>
        <w:pStyle w:val="4"/>
        <w:spacing w:before="0" w:after="0" w:line="360" w:lineRule="auto"/>
        <w:ind w:firstLine="482" w:firstLineChars="200"/>
        <w:rPr>
          <w:rFonts w:ascii="宋体" w:hAnsi="宋体" w:cs="宋体"/>
          <w:bCs w:val="0"/>
          <w:color w:val="auto"/>
          <w:kern w:val="21"/>
          <w:sz w:val="24"/>
          <w:szCs w:val="24"/>
          <w:highlight w:val="none"/>
        </w:rPr>
      </w:pPr>
      <w:bookmarkStart w:id="39" w:name="_Toc28059"/>
      <w:bookmarkStart w:id="40" w:name="_Toc22837"/>
      <w:r>
        <w:rPr>
          <w:rFonts w:hint="eastAsia" w:ascii="宋体" w:hAnsi="宋体" w:cs="宋体"/>
          <w:bCs w:val="0"/>
          <w:color w:val="auto"/>
          <w:kern w:val="21"/>
          <w:sz w:val="24"/>
          <w:szCs w:val="24"/>
          <w:highlight w:val="none"/>
        </w:rPr>
        <w:t>一、总则</w:t>
      </w:r>
      <w:bookmarkEnd w:id="39"/>
      <w:bookmarkEnd w:id="40"/>
    </w:p>
    <w:p w14:paraId="36FBC53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1.适用范围</w:t>
      </w:r>
    </w:p>
    <w:p w14:paraId="0A3E956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D067DD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1.2本竞争性磋商文件（以下简称磋商文件）适用于本项目的所有采购程序和环节（法律、法规另有规定的，从其规定）。</w:t>
      </w:r>
    </w:p>
    <w:p w14:paraId="173CE0B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2.定义</w:t>
      </w:r>
    </w:p>
    <w:p w14:paraId="29C3B53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2.1“采购人”是指依法进行政府采购的国家机关、事业单位、团体组织。</w:t>
      </w:r>
    </w:p>
    <w:p w14:paraId="4802DE0F">
      <w:pPr>
        <w:spacing w:line="360" w:lineRule="auto"/>
        <w:ind w:firstLine="480" w:firstLineChars="200"/>
        <w:rPr>
          <w:rFonts w:ascii="宋体" w:hAnsi="宋体" w:cs="宋体"/>
          <w:color w:val="auto"/>
          <w:kern w:val="21"/>
          <w:sz w:val="24"/>
          <w:highlight w:val="none"/>
          <w:u w:val="single"/>
        </w:rPr>
      </w:pPr>
      <w:r>
        <w:rPr>
          <w:rFonts w:hint="eastAsia" w:ascii="宋体" w:hAnsi="宋体" w:cs="宋体"/>
          <w:color w:val="auto"/>
          <w:kern w:val="21"/>
          <w:sz w:val="24"/>
          <w:highlight w:val="none"/>
        </w:rPr>
        <w:t>2.2“采购代理机构”是指政府采购集中采购机构和集中采购机构以外的采购代理机构。</w:t>
      </w:r>
    </w:p>
    <w:p w14:paraId="3617C1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2.3“供应商”是指向采购人提供货物、工程或者服务的法人、其他组织或者自然人。</w:t>
      </w:r>
    </w:p>
    <w:p w14:paraId="2DACCD6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2.4“服务”是指除货物和工程以外的其他政府采购对象。</w:t>
      </w:r>
    </w:p>
    <w:p w14:paraId="1C07368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2.5“竞标”是指供应商按照本项目竞争性磋商公告或者邀请函规定的方式获取磋商文件、提交响应文件并希望获得标的的行为。</w:t>
      </w:r>
    </w:p>
    <w:p w14:paraId="0E7B955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2.6“响应文件”是指：供应商根据本磋商文件要求，编制包含资格证明、报价商务技术等所有内容的文件。</w:t>
      </w:r>
    </w:p>
    <w:p w14:paraId="3A59412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2.7“实质性要求”是指磋商文件中已经指明不满足则响应文件按无效响应处理的条款，或者不能负偏离的条款，或者采购需求中带“▲”的条款。</w:t>
      </w:r>
    </w:p>
    <w:p w14:paraId="5C86179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2.8“正偏离”，是指响应文件对磋商文件“采购需求”中有关条款作出的响应优于条款要求并有利于采购人的情形。</w:t>
      </w:r>
    </w:p>
    <w:p w14:paraId="74623D3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2.9“负偏离”，是指响应文件对磋商文件“采购需求”中有关条款作出的响应不满足条款要求，导致采购人要求不能得到满足的情形。</w:t>
      </w:r>
    </w:p>
    <w:p w14:paraId="04A699F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2.10“允许负偏离的条款”是指采购需求中的不属于“实质性要求”的条款。</w:t>
      </w:r>
    </w:p>
    <w:p w14:paraId="016A37F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2.11“书面形式”是指合同书、信件和数据电文（包括电报、电传、传真、电子数据交换和电子邮件）等可以有形地表现所载内容的形式。</w:t>
      </w:r>
    </w:p>
    <w:p w14:paraId="125D8EC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2.12“首次报价”是指供应商提交的首次响应文件中的报价。</w:t>
      </w:r>
    </w:p>
    <w:p w14:paraId="629170D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2.13“评审报价”是指供应商提交的最后报价并经修正（如有）和政策功能价格扣除（如有）后的价格。</w:t>
      </w:r>
    </w:p>
    <w:p w14:paraId="7E9F10E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3.供应商的资格条件</w:t>
      </w:r>
    </w:p>
    <w:p w14:paraId="5D315B6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供应商的资格条件详见“供应商须知前附表”。</w:t>
      </w:r>
    </w:p>
    <w:p w14:paraId="49DF497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4.磋商费用</w:t>
      </w:r>
    </w:p>
    <w:p w14:paraId="4860BE4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供应商应承担参与本次采购活动有关的所有费用，包括但不限于勘查现场、编制和提交响应文件、参加磋商与应答、签订合同等，不论竞标结果如何，均应自行承担。</w:t>
      </w:r>
    </w:p>
    <w:p w14:paraId="32A7EBB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5.联合体竞标</w:t>
      </w:r>
    </w:p>
    <w:p w14:paraId="2B2799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5.1本项目是否接受联合体竞标，详见“供应商须知前附表”。</w:t>
      </w:r>
    </w:p>
    <w:p w14:paraId="097888F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5.2如接受联合体竞标，联合体竞标要求详见“供应商须知前附表”。</w:t>
      </w:r>
    </w:p>
    <w:p w14:paraId="5C9C3D53">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193946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 xml:space="preserve">6.转包与分包             </w:t>
      </w:r>
    </w:p>
    <w:p w14:paraId="3FA037E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6.1本项目是否允许分包详见“供应商须知前附表”，本项目不允许违法分包。</w:t>
      </w:r>
    </w:p>
    <w:p w14:paraId="1210073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A153A6E">
      <w:pPr>
        <w:spacing w:line="360" w:lineRule="auto"/>
        <w:ind w:firstLine="482" w:firstLineChars="200"/>
        <w:rPr>
          <w:rFonts w:ascii="宋体" w:hAnsi="宋体" w:cs="宋体"/>
          <w:b/>
          <w:bCs/>
          <w:color w:val="auto"/>
          <w:kern w:val="21"/>
          <w:sz w:val="24"/>
          <w:highlight w:val="none"/>
        </w:rPr>
      </w:pPr>
      <w:bookmarkStart w:id="41" w:name="_Toc254970532"/>
      <w:bookmarkStart w:id="42" w:name="_Toc254970673"/>
      <w:r>
        <w:rPr>
          <w:rFonts w:hint="eastAsia" w:ascii="宋体" w:hAnsi="宋体" w:cs="宋体"/>
          <w:b/>
          <w:bCs/>
          <w:color w:val="auto"/>
          <w:kern w:val="21"/>
          <w:sz w:val="24"/>
          <w:highlight w:val="none"/>
        </w:rPr>
        <w:t>7.特别说明</w:t>
      </w:r>
      <w:bookmarkEnd w:id="41"/>
      <w:bookmarkEnd w:id="42"/>
    </w:p>
    <w:p w14:paraId="29635C8A">
      <w:pPr>
        <w:spacing w:line="360" w:lineRule="auto"/>
        <w:ind w:firstLine="480" w:firstLineChars="200"/>
        <w:rPr>
          <w:rFonts w:ascii="宋体" w:hAnsi="宋体" w:cs="宋体"/>
          <w:color w:val="auto"/>
          <w:kern w:val="21"/>
          <w:sz w:val="24"/>
          <w:highlight w:val="none"/>
        </w:rPr>
      </w:pPr>
      <w:bookmarkStart w:id="43" w:name="_8.1提供相同品牌产品且通过资格审查、符合性审查的不同投标人参加同一合"/>
      <w:bookmarkEnd w:id="43"/>
      <w:r>
        <w:rPr>
          <w:rFonts w:hint="eastAsia" w:ascii="宋体" w:hAnsi="宋体" w:cs="宋体"/>
          <w:color w:val="auto"/>
          <w:kern w:val="21"/>
          <w:sz w:val="24"/>
          <w:highlight w:val="none"/>
        </w:rPr>
        <w:t>7.1</w:t>
      </w:r>
      <w:bookmarkStart w:id="44" w:name="_Hlk65832145"/>
      <w:r>
        <w:rPr>
          <w:rFonts w:hint="eastAsia" w:ascii="宋体" w:hAnsi="宋体" w:cs="宋体"/>
          <w:color w:val="auto"/>
          <w:kern w:val="21"/>
          <w:sz w:val="24"/>
          <w:highlight w:val="none"/>
        </w:rPr>
        <w:t>如果本磋商文件要求提供供应商或制造商的资格、信誉、荣誉、业绩与企业认证等材料的，资格、信誉、荣誉、业绩与企业认证等必须为供应商或者制造商所拥有或自身获得。</w:t>
      </w:r>
    </w:p>
    <w:bookmarkEnd w:id="44"/>
    <w:p w14:paraId="0C8FD4F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7.2供应商应仔细阅读磋商文件的所有内容，按照磋商文件的要求提交响应文件，并对所提供的全部资料的真实性承担法律责任。</w:t>
      </w:r>
    </w:p>
    <w:p w14:paraId="318BD52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7.3供应商在竞标活动中提供任何虚假材料</w:t>
      </w:r>
      <w:r>
        <w:rPr>
          <w:rFonts w:hint="eastAsia" w:ascii="宋体" w:hAnsi="宋体" w:cs="宋体"/>
          <w:color w:val="auto"/>
          <w:kern w:val="21"/>
          <w:sz w:val="24"/>
          <w:highlight w:val="none"/>
          <w:lang w:eastAsia="zh-CN"/>
        </w:rPr>
        <w:t>，</w:t>
      </w:r>
      <w:r>
        <w:rPr>
          <w:rFonts w:hint="eastAsia" w:ascii="宋体" w:hAnsi="宋体" w:cs="宋体"/>
          <w:color w:val="auto"/>
          <w:kern w:val="21"/>
          <w:sz w:val="24"/>
          <w:highlight w:val="none"/>
        </w:rPr>
        <w:t>其响应文件作无效处理，并报监管部门查处；签订合同后发现的，成交供应商须依照《中华人民共和国消费者权益保护法》规定赔偿采购人，且民事赔偿并不免除违法供应商的行政与刑事责任。</w:t>
      </w:r>
    </w:p>
    <w:p w14:paraId="6BC5C6F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7.4在政府采购活动中，采购人员及相关人员与供应商有下列利害关系之一的，应当回避：</w:t>
      </w:r>
    </w:p>
    <w:p w14:paraId="054D2EA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（1）参加采购活动前3年内与供应商存在劳动关系；</w:t>
      </w:r>
    </w:p>
    <w:p w14:paraId="6E94E0D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（2）参加采购活动前3年内担任供应商的董事、监事；</w:t>
      </w:r>
    </w:p>
    <w:p w14:paraId="507A02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（3）参加采购活动前3年内是供应商的控股股东或者实际控制人；</w:t>
      </w:r>
    </w:p>
    <w:p w14:paraId="4D1D572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（4）与供应商的法定代表人或者负责人有夫妻、直系血亲、三代以内旁系血亲或者近姻亲关系；</w:t>
      </w:r>
    </w:p>
    <w:p w14:paraId="2F48AB2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（5）与供应商有其他可能影响政府采购活动公平、公正进行的关系。</w:t>
      </w:r>
    </w:p>
    <w:p w14:paraId="52EC75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F230D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7.5有下列情形之一的视为供应商相互串通竞标，响应文件将被视为无效：</w:t>
      </w:r>
    </w:p>
    <w:p w14:paraId="27E86FF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（1）不同供应商的响应文件由同一单位或者个人编制；或者不同供应商报名的IP地址一致的；或者编制响应文件硬件设备CPU编号、硬盘编号、网卡地址一致的情况。</w:t>
      </w:r>
    </w:p>
    <w:p w14:paraId="6DC05F4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3A4D811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（3）不同的供应商的响应文件载明的项目管理员为同一个人；</w:t>
      </w:r>
    </w:p>
    <w:p w14:paraId="68DC356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（4）不同供应商的响应文件异常一致或者报价呈规律性差异；</w:t>
      </w:r>
    </w:p>
    <w:p w14:paraId="73FABDE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5D5BC732">
      <w:pPr>
        <w:tabs>
          <w:tab w:val="left" w:pos="6931"/>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r>
        <w:rPr>
          <w:rFonts w:hint="eastAsia" w:ascii="宋体" w:hAnsi="宋体" w:cs="宋体"/>
          <w:color w:val="auto"/>
          <w:kern w:val="21"/>
          <w:sz w:val="24"/>
          <w:highlight w:val="none"/>
        </w:rPr>
        <w:tab/>
      </w:r>
    </w:p>
    <w:p w14:paraId="0BAC122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7.6供应商有下列情形之一的，属于恶意串通行为，将报同级监督管理部门：</w:t>
      </w:r>
    </w:p>
    <w:p w14:paraId="44E080B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16D9E1C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10038A7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（3）供应商之间协商报价、技术方案等响应文件或者响应文件的实质性内容；</w:t>
      </w:r>
    </w:p>
    <w:p w14:paraId="1651C78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2E3504D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（5）供应商之间事先约定一致抬高或者压低报价，或者在政府采购活动中事先约定轮流以高价位或者低价位成交，或者事先约定由某一特定供应商成交，然后再参加竞标；</w:t>
      </w:r>
    </w:p>
    <w:p w14:paraId="341C08C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12DD278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3B2C43DB">
      <w:pPr>
        <w:pStyle w:val="4"/>
        <w:spacing w:before="0" w:after="0" w:line="360" w:lineRule="auto"/>
        <w:ind w:firstLine="482" w:firstLineChars="200"/>
        <w:rPr>
          <w:rFonts w:ascii="宋体" w:hAnsi="宋体" w:cs="宋体"/>
          <w:color w:val="auto"/>
          <w:kern w:val="21"/>
          <w:sz w:val="24"/>
          <w:szCs w:val="24"/>
          <w:highlight w:val="none"/>
        </w:rPr>
      </w:pPr>
      <w:bookmarkStart w:id="45" w:name="_Toc254970534"/>
      <w:bookmarkStart w:id="46" w:name="_Toc3880"/>
      <w:bookmarkStart w:id="47" w:name="_Toc15027"/>
      <w:bookmarkStart w:id="48" w:name="_Toc254970675"/>
      <w:r>
        <w:rPr>
          <w:rFonts w:hint="eastAsia" w:ascii="宋体" w:hAnsi="宋体" w:cs="宋体"/>
          <w:color w:val="auto"/>
          <w:kern w:val="21"/>
          <w:sz w:val="24"/>
          <w:szCs w:val="24"/>
          <w:highlight w:val="none"/>
        </w:rPr>
        <w:t>二、磋商文件</w:t>
      </w:r>
      <w:bookmarkEnd w:id="45"/>
      <w:bookmarkEnd w:id="46"/>
      <w:bookmarkEnd w:id="47"/>
      <w:bookmarkEnd w:id="48"/>
    </w:p>
    <w:p w14:paraId="3B95E2A7">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8.磋商文件的构成</w:t>
      </w:r>
    </w:p>
    <w:p w14:paraId="3184B45C">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第一章 竞争性磋商公告；</w:t>
      </w:r>
    </w:p>
    <w:p w14:paraId="17C8DB48">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第二章 采购需求；</w:t>
      </w:r>
    </w:p>
    <w:p w14:paraId="39EF4EF3">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 xml:space="preserve">第三章 供应商须知； </w:t>
      </w:r>
    </w:p>
    <w:p w14:paraId="2B164E5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第四章 评审程序、评审方法和评审标准；</w:t>
      </w:r>
    </w:p>
    <w:p w14:paraId="72C5B976">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第五章 响应文件格式；</w:t>
      </w:r>
    </w:p>
    <w:p w14:paraId="4D663392">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第六章 合同文本；</w:t>
      </w:r>
    </w:p>
    <w:p w14:paraId="06146DA6">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第七章 质疑、投诉材料格式。</w:t>
      </w:r>
    </w:p>
    <w:p w14:paraId="38A5471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9.供应商的询问</w:t>
      </w:r>
    </w:p>
    <w:p w14:paraId="4CF1E67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7448958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10.磋商文件的澄清和修改</w:t>
      </w:r>
    </w:p>
    <w:p w14:paraId="20742FD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8F6BA88">
      <w:pPr>
        <w:spacing w:line="360" w:lineRule="auto"/>
        <w:ind w:firstLine="482" w:firstLineChars="200"/>
        <w:rPr>
          <w:rFonts w:ascii="宋体" w:hAnsi="宋体" w:cs="宋体"/>
          <w:b/>
          <w:color w:val="auto"/>
          <w:kern w:val="21"/>
          <w:sz w:val="24"/>
          <w:highlight w:val="none"/>
        </w:rPr>
      </w:pPr>
      <w:r>
        <w:rPr>
          <w:rFonts w:hint="eastAsia" w:ascii="宋体" w:hAnsi="宋体" w:cs="宋体"/>
          <w:b/>
          <w:color w:val="auto"/>
          <w:kern w:val="21"/>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17F90D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3E417DF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10.4</w:t>
      </w:r>
      <w:r>
        <w:rPr>
          <w:rFonts w:hint="eastAsia" w:ascii="宋体" w:hAnsi="宋体" w:cs="宋体"/>
          <w:color w:val="auto"/>
          <w:kern w:val="21"/>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8FEADE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10.5采购人和采购代理机构可以视采购具体情况，变更提交首次响应文件截止时间和竞谈时间，将变更时间将在“采购文件公告”中规定的政府采购信息发布媒体上发布更正公告。</w:t>
      </w:r>
    </w:p>
    <w:p w14:paraId="03BD6B4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w:t>
      </w:r>
      <w:r>
        <w:rPr>
          <w:rFonts w:hint="eastAsia" w:ascii="宋体" w:hAnsi="宋体" w:cs="宋体"/>
          <w:b/>
          <w:color w:val="auto"/>
          <w:kern w:val="21"/>
          <w:sz w:val="24"/>
          <w:highlight w:val="none"/>
        </w:rPr>
        <w:t>响应文件未按磋商文件的澄清、修改的内容编制，又不符合实质性要求的，其响应文件作无效处理。</w:t>
      </w:r>
    </w:p>
    <w:p w14:paraId="542C74F9">
      <w:pPr>
        <w:pStyle w:val="4"/>
        <w:spacing w:before="0" w:after="0" w:line="360" w:lineRule="auto"/>
        <w:ind w:firstLine="482" w:firstLineChars="200"/>
        <w:rPr>
          <w:rFonts w:ascii="宋体" w:hAnsi="宋体" w:cs="宋体"/>
          <w:color w:val="auto"/>
          <w:kern w:val="21"/>
          <w:sz w:val="24"/>
          <w:szCs w:val="24"/>
          <w:highlight w:val="none"/>
        </w:rPr>
      </w:pPr>
      <w:bookmarkStart w:id="49" w:name="_Toc23011"/>
      <w:bookmarkStart w:id="50" w:name="_Toc14557"/>
      <w:r>
        <w:rPr>
          <w:rFonts w:hint="eastAsia" w:ascii="宋体" w:hAnsi="宋体" w:cs="宋体"/>
          <w:color w:val="auto"/>
          <w:kern w:val="21"/>
          <w:sz w:val="24"/>
          <w:szCs w:val="24"/>
          <w:highlight w:val="none"/>
        </w:rPr>
        <w:t>三、响应文件的编制</w:t>
      </w:r>
      <w:bookmarkEnd w:id="49"/>
      <w:bookmarkEnd w:id="50"/>
    </w:p>
    <w:p w14:paraId="464FF81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11.响应文件的编制原则</w:t>
      </w:r>
    </w:p>
    <w:p w14:paraId="6F7F902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供应商必须按照磋商文件的要求编制响应文件，并对其提交的响应文件的真实性、合法性承担法律责任。响应文件必须对磋商文件作出实质性响应。</w:t>
      </w:r>
    </w:p>
    <w:p w14:paraId="06812A1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12.响应文件的组成</w:t>
      </w:r>
    </w:p>
    <w:p w14:paraId="7B048FF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12.1响应文件由资格证明文件、报价文件、商务和技术文件三部分组成。</w:t>
      </w:r>
    </w:p>
    <w:p w14:paraId="5451D1F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12.1.1资格证明文件：详见须知前附表</w:t>
      </w:r>
    </w:p>
    <w:p w14:paraId="1183299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12.1.2商务技术文件：详见须知前附表</w:t>
      </w:r>
    </w:p>
    <w:p w14:paraId="480AB97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12.1.3报价文件：详见须知前附表</w:t>
      </w:r>
    </w:p>
    <w:p w14:paraId="5FEE0C7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12.2响应文件电子版要求：详见须知前附表</w:t>
      </w:r>
    </w:p>
    <w:p w14:paraId="2890761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12.3响应文件编制基本要求：详见须知前附表</w:t>
      </w:r>
    </w:p>
    <w:p w14:paraId="0B1854D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13.计量单位</w:t>
      </w:r>
    </w:p>
    <w:p w14:paraId="1804028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磋商文件已有明确规定的，使用磋商文件规定的计量单位；磋商文件没有规定的，应采用中华人民共和国法定计量单位，货币种类为人民币，否则视同未响应。</w:t>
      </w:r>
    </w:p>
    <w:p w14:paraId="753B296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14.竞标的风险</w:t>
      </w:r>
    </w:p>
    <w:p w14:paraId="2C71DDE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供应商没有按照磋商文件要求提供全部资料，或者供应商没有对磋商文件在各方面作出实质性响应可能导致其响应无效，是供应商应当考虑的风险。</w:t>
      </w:r>
    </w:p>
    <w:p w14:paraId="56BAF42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15.响应报价要求和构成</w:t>
      </w:r>
    </w:p>
    <w:p w14:paraId="26D1AA22">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15.1响应报价应按“第五章 响应文件格式”中“响应报价表”格式填写。</w:t>
      </w:r>
    </w:p>
    <w:p w14:paraId="3B83A595">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15.2响应报价的价格构成见“供应商须知前附表”。</w:t>
      </w:r>
    </w:p>
    <w:p w14:paraId="15DA085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15.3响应报价要求</w:t>
      </w:r>
    </w:p>
    <w:p w14:paraId="1429DF6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15.3.1供应商的响应报价应符合以下要求，否则响应文件按无效响应处理：</w:t>
      </w:r>
    </w:p>
    <w:p w14:paraId="42DBBD1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（1）供应商必须就“采购需求”中所竞标的全部内容分别作完整唯一总价报价，不得存在漏项报价；</w:t>
      </w:r>
    </w:p>
    <w:p w14:paraId="789DB8F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（2）供应商必须就所竞标的单项内容</w:t>
      </w:r>
      <w:r>
        <w:rPr>
          <w:rFonts w:hint="eastAsia" w:ascii="宋体" w:hAnsi="宋体" w:cs="宋体"/>
          <w:color w:val="auto"/>
          <w:kern w:val="21"/>
          <w:sz w:val="24"/>
          <w:highlight w:val="none"/>
          <w:lang w:eastAsia="zh-CN"/>
        </w:rPr>
        <w:t>做</w:t>
      </w:r>
      <w:r>
        <w:rPr>
          <w:rFonts w:hint="eastAsia" w:ascii="宋体" w:hAnsi="宋体" w:cs="宋体"/>
          <w:color w:val="auto"/>
          <w:kern w:val="21"/>
          <w:sz w:val="24"/>
          <w:highlight w:val="none"/>
        </w:rPr>
        <w:t>唯一报价。</w:t>
      </w:r>
    </w:p>
    <w:p w14:paraId="7584BBF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15.3.2响应报价（包含首次报价、最后报价）超过规定的采购预算金额或者最高限价的，其响应文件将作无效处理。</w:t>
      </w:r>
    </w:p>
    <w:p w14:paraId="04413E7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15.3.3</w:t>
      </w:r>
      <w:bookmarkStart w:id="51" w:name="_Hlk42592874"/>
      <w:r>
        <w:rPr>
          <w:rFonts w:hint="eastAsia" w:ascii="宋体" w:hAnsi="宋体" w:cs="宋体"/>
          <w:color w:val="auto"/>
          <w:kern w:val="21"/>
          <w:sz w:val="24"/>
          <w:highlight w:val="none"/>
        </w:rPr>
        <w:t>响应报价（包含首次报价、最后报价）超过采购预算金额或者最高限价的，其响应文件将作无效处理。</w:t>
      </w:r>
    </w:p>
    <w:bookmarkEnd w:id="51"/>
    <w:p w14:paraId="6CDFE15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16.竞标有效期</w:t>
      </w:r>
    </w:p>
    <w:p w14:paraId="5BEA110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16.1竞标有效期是指为保证采购人有足够的时间在提交响应文件后完成评审、确定成交供应商、合同签订等工作而要求供应商提交的响应文件在一定时间内保持有效的期限。</w:t>
      </w:r>
    </w:p>
    <w:p w14:paraId="2D44F37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16.2 竞标有效期应由供应商按“供应商须知前附表”规定的期限作出响应。</w:t>
      </w:r>
    </w:p>
    <w:p w14:paraId="31A9959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16.3供应商的响应文件在竞标有效期内均保持有效。</w:t>
      </w:r>
    </w:p>
    <w:p w14:paraId="5004E49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17.磋商保证金</w:t>
      </w:r>
    </w:p>
    <w:p w14:paraId="0A33BE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17.1竞标人须按须知前附表的规定提交磋商保证金。否则，其响应文件将被拒绝。</w:t>
      </w:r>
    </w:p>
    <w:p w14:paraId="1F4D1D9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17.2磋商保证金按须知前附表的规定退还竞标人。</w:t>
      </w:r>
    </w:p>
    <w:p w14:paraId="7B20572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17.3磋商供应商有下列情形之一的，保证金将不予退还：</w:t>
      </w:r>
    </w:p>
    <w:p w14:paraId="6132408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1）磋商供应商在提交竞争性磋商响应文件截止时间后撤回竞争性磋商响应文件的；</w:t>
      </w:r>
    </w:p>
    <w:p w14:paraId="71048AB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2）磋商供应商在竞争性磋商响应文件中提供虚假材料的；</w:t>
      </w:r>
    </w:p>
    <w:p w14:paraId="761102B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3）除因不可抗力或竞争性磋商文件认可的情形以外，成交供应商不与采购人签订合同的；</w:t>
      </w:r>
    </w:p>
    <w:p w14:paraId="05789B1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4）磋商供应商与采购人、其他供应商或者采购代理机构恶意串通的。</w:t>
      </w:r>
    </w:p>
    <w:p w14:paraId="4FFCF5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5）法律法规规定的其他情形。</w:t>
      </w:r>
    </w:p>
    <w:p w14:paraId="476D1B4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75AE83C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18.响应文件编制的要求</w:t>
      </w:r>
    </w:p>
    <w:p w14:paraId="2BEC704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152D8B0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18.2响应文件应按资格证明、报价分别编制，商务技术文件合并编制，本磋商只接受电子版响应文件，要求见本章“12.2响应文件电子版要求”。</w:t>
      </w:r>
    </w:p>
    <w:p w14:paraId="5B19599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w:t>
      </w:r>
      <w:bookmarkStart w:id="52" w:name="_Hlk65832699"/>
      <w:r>
        <w:rPr>
          <w:rFonts w:hint="eastAsia" w:ascii="宋体" w:hAnsi="宋体" w:cs="宋体"/>
          <w:color w:val="auto"/>
          <w:kern w:val="21"/>
          <w:sz w:val="24"/>
          <w:highlight w:val="none"/>
        </w:rPr>
        <w:t>3响应文件须由供应商在</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第五章 响应文件格式</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规定位置进行签署、盖章</w:t>
      </w:r>
      <w:bookmarkEnd w:id="52"/>
      <w:r>
        <w:rPr>
          <w:rFonts w:hint="eastAsia" w:ascii="宋体" w:hAnsi="宋体" w:cs="宋体"/>
          <w:color w:val="auto"/>
          <w:kern w:val="21"/>
          <w:sz w:val="24"/>
          <w:highlight w:val="none"/>
        </w:rPr>
        <w:t>，否则其响应文件按无效响应处理。骑缝盖公章不视为在规定位置盖章。</w:t>
      </w:r>
    </w:p>
    <w:p w14:paraId="4B47697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18.4响应文件中标注的供应商名称应与营业执照（事业单位法人证书、执业许可证、自然人身份证）及电子公章一致，否则其响应文件按无效响应处理。</w:t>
      </w:r>
    </w:p>
    <w:p w14:paraId="53F8528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18.5响应文件应避免涂改、行间插字或者删除，否则其响应文件按无效响应处理。</w:t>
      </w:r>
    </w:p>
    <w:p w14:paraId="15AFFEC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19.响应文件的密封和标记</w:t>
      </w:r>
    </w:p>
    <w:p w14:paraId="57573EB3">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19FD8EB">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19.2使用“政采云电子交易客户端”需要提前申领CA数字证书，申领流程见该项目采购公告。</w:t>
      </w:r>
    </w:p>
    <w:p w14:paraId="597BE81A">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C6B8AC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20.响应文件的提交</w:t>
      </w:r>
    </w:p>
    <w:p w14:paraId="27E383F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20.1供应商必须在“供应商须知前附表”规定的时间和地点提交响应文件。</w:t>
      </w:r>
    </w:p>
    <w:p w14:paraId="1BFE8FB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20.2 在响应文件提交截止时间以后，不能补充、修改响应文件。</w:t>
      </w:r>
    </w:p>
    <w:p w14:paraId="6EEF48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20.3 在提交“最后报价”后，供应商不能退出磋商。</w:t>
      </w:r>
    </w:p>
    <w:p w14:paraId="3E1DEF4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2F67C3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20.5 采购机构不可视情况延长提交响应文件的截止时间。</w:t>
      </w:r>
    </w:p>
    <w:p w14:paraId="1E1DEC9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21.首次响应文件的补充、修改与撤回</w:t>
      </w:r>
    </w:p>
    <w:p w14:paraId="72C8EB0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详见“供应商须知前附表”。</w:t>
      </w:r>
    </w:p>
    <w:p w14:paraId="5F3F2CA9">
      <w:pPr>
        <w:spacing w:line="360" w:lineRule="auto"/>
        <w:ind w:firstLine="482" w:firstLineChars="200"/>
        <w:rPr>
          <w:rFonts w:ascii="宋体" w:hAnsi="宋体" w:cs="宋体"/>
          <w:b/>
          <w:bCs/>
          <w:color w:val="auto"/>
          <w:kern w:val="21"/>
          <w:sz w:val="24"/>
          <w:highlight w:val="none"/>
        </w:rPr>
      </w:pPr>
      <w:bookmarkStart w:id="53" w:name="_Hlk45702405"/>
      <w:r>
        <w:rPr>
          <w:rFonts w:hint="eastAsia" w:ascii="宋体" w:hAnsi="宋体" w:cs="宋体"/>
          <w:b/>
          <w:bCs/>
          <w:color w:val="auto"/>
          <w:kern w:val="21"/>
          <w:sz w:val="24"/>
          <w:highlight w:val="none"/>
        </w:rPr>
        <w:t>22. 首次响应文件的退回</w:t>
      </w:r>
    </w:p>
    <w:p w14:paraId="15014D2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D90338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23. 截止时间后的撤回</w:t>
      </w:r>
    </w:p>
    <w:p w14:paraId="2B9E8C5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供应商在首次响应文件提交截止时间后可向采购人、采购代理机构书面申请撤回响应文件。</w:t>
      </w:r>
      <w:bookmarkEnd w:id="53"/>
    </w:p>
    <w:p w14:paraId="217B2F48">
      <w:pPr>
        <w:pStyle w:val="4"/>
        <w:spacing w:before="0" w:after="0" w:line="360" w:lineRule="auto"/>
        <w:ind w:firstLine="482" w:firstLineChars="200"/>
        <w:rPr>
          <w:rFonts w:ascii="宋体" w:hAnsi="宋体" w:cs="宋体"/>
          <w:color w:val="auto"/>
          <w:kern w:val="21"/>
          <w:sz w:val="24"/>
          <w:szCs w:val="24"/>
          <w:highlight w:val="none"/>
        </w:rPr>
      </w:pPr>
      <w:bookmarkStart w:id="54" w:name="_Toc25792"/>
      <w:bookmarkStart w:id="55" w:name="_Toc32029"/>
      <w:r>
        <w:rPr>
          <w:rFonts w:hint="eastAsia" w:ascii="宋体" w:hAnsi="宋体" w:cs="宋体"/>
          <w:color w:val="auto"/>
          <w:kern w:val="21"/>
          <w:sz w:val="24"/>
          <w:szCs w:val="24"/>
          <w:highlight w:val="none"/>
        </w:rPr>
        <w:t>四、评审及磋商</w:t>
      </w:r>
      <w:bookmarkEnd w:id="54"/>
      <w:bookmarkEnd w:id="55"/>
    </w:p>
    <w:p w14:paraId="1D2BAEA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24.磋商小组成立</w:t>
      </w:r>
    </w:p>
    <w:p w14:paraId="2B792D0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B6D3A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A2879CE">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25.首次响应文件的开启</w:t>
      </w:r>
    </w:p>
    <w:p w14:paraId="7765591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25.1首次响应文件由磋商小组或者采购代理机构在“供应商须知前附表”规定的时间开启。</w:t>
      </w:r>
    </w:p>
    <w:p w14:paraId="5E8A10AD">
      <w:pPr>
        <w:pStyle w:val="18"/>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25.2 </w:t>
      </w:r>
      <w:r>
        <w:rPr>
          <w:rFonts w:hint="eastAsia" w:hAnsi="宋体" w:cs="宋体"/>
          <w:bCs/>
          <w:color w:val="auto"/>
          <w:kern w:val="21"/>
          <w:sz w:val="24"/>
          <w:szCs w:val="24"/>
          <w:highlight w:val="none"/>
        </w:rPr>
        <w:t>响应文件解密</w:t>
      </w:r>
    </w:p>
    <w:p w14:paraId="7C3588CE">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采购代理机构将在“供应商须知前附表”规定的时</w:t>
      </w:r>
      <w:r>
        <w:rPr>
          <w:rFonts w:hint="eastAsia" w:hAnsi="宋体" w:cs="宋体"/>
          <w:color w:val="auto"/>
          <w:kern w:val="21"/>
          <w:sz w:val="24"/>
          <w:szCs w:val="24"/>
          <w:highlight w:val="none"/>
        </w:rPr>
        <w:t>间通过电子交易平台组织响应文件开启，采购机构依托电子交易平台发起开始解密指令，供应商的法定代表人或其委托代理人</w:t>
      </w:r>
      <w:r>
        <w:rPr>
          <w:rFonts w:hint="eastAsia" w:hAnsi="宋体" w:cs="宋体"/>
          <w:b/>
          <w:color w:val="auto"/>
          <w:kern w:val="21"/>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kern w:val="21"/>
          <w:sz w:val="24"/>
          <w:szCs w:val="24"/>
          <w:highlight w:val="none"/>
        </w:rPr>
        <w:t>。未在规定时间内解密的，</w:t>
      </w:r>
      <w:r>
        <w:rPr>
          <w:rFonts w:hint="eastAsia" w:hAnsi="宋体" w:cs="宋体"/>
          <w:b/>
          <w:color w:val="auto"/>
          <w:kern w:val="21"/>
          <w:sz w:val="24"/>
          <w:szCs w:val="24"/>
          <w:highlight w:val="none"/>
        </w:rPr>
        <w:t>视为响应文件无效。</w:t>
      </w:r>
      <w:r>
        <w:rPr>
          <w:rFonts w:hint="eastAsia" w:hAnsi="宋体" w:cs="宋体"/>
          <w:color w:val="auto"/>
          <w:kern w:val="21"/>
          <w:sz w:val="24"/>
          <w:szCs w:val="24"/>
          <w:highlight w:val="none"/>
        </w:rPr>
        <w:t>（解密</w:t>
      </w:r>
      <w:r>
        <w:rPr>
          <w:rFonts w:hint="eastAsia" w:hAnsi="宋体" w:cs="宋体"/>
          <w:bCs/>
          <w:color w:val="auto"/>
          <w:kern w:val="21"/>
          <w:sz w:val="24"/>
          <w:szCs w:val="24"/>
          <w:highlight w:val="none"/>
        </w:rPr>
        <w:t>异常情况处理：详见本章</w:t>
      </w:r>
      <w:r>
        <w:rPr>
          <w:rFonts w:hint="eastAsia" w:hAnsi="宋体" w:cs="宋体"/>
          <w:color w:val="auto"/>
          <w:kern w:val="21"/>
          <w:sz w:val="24"/>
          <w:szCs w:val="24"/>
          <w:highlight w:val="none"/>
        </w:rPr>
        <w:t>26.4 电子交易活动的中止。）</w:t>
      </w:r>
    </w:p>
    <w:p w14:paraId="742A351A">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如</w:t>
      </w:r>
      <w:r>
        <w:rPr>
          <w:rFonts w:hint="eastAsia" w:hAnsi="宋体" w:cs="宋体"/>
          <w:bCs/>
          <w:color w:val="auto"/>
          <w:kern w:val="21"/>
          <w:sz w:val="24"/>
          <w:szCs w:val="24"/>
          <w:highlight w:val="none"/>
        </w:rPr>
        <w:t>供应商成功解密响应文件，但未在“广西政府采购云平台”电子开标大厅参加磋商的，视同认可磋商过程和结果，</w:t>
      </w:r>
      <w:r>
        <w:rPr>
          <w:rFonts w:hint="eastAsia" w:hAnsi="宋体" w:cs="宋体"/>
          <w:color w:val="auto"/>
          <w:kern w:val="21"/>
          <w:sz w:val="24"/>
          <w:szCs w:val="24"/>
          <w:highlight w:val="none"/>
        </w:rPr>
        <w:t>由此产生的后果由供应商自行负责。 参与磋商的供应商不足3家的，不得磋商。</w:t>
      </w:r>
    </w:p>
    <w:p w14:paraId="4FA1437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26.评审程序、评审方法和评审标准</w:t>
      </w:r>
    </w:p>
    <w:p w14:paraId="73E8B66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26.1磋商小组按照“第四章 评审程序、评审方法和评审标准”规定的方法、评审因素、标准和程序对响应文件进行评审。</w:t>
      </w:r>
    </w:p>
    <w:p w14:paraId="3749BB4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26.2磋商顺序详见“供应商须知前附表”。</w:t>
      </w:r>
    </w:p>
    <w:p w14:paraId="4634EA0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26.3商务/技术要求允许负偏离的条款数详见“供应商须知前附表”。</w:t>
      </w:r>
    </w:p>
    <w:p w14:paraId="650A4C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26.4电子交易活动的中止。采购过程中出现以下情形，导致电子交易平台无法正常运行，或者无法保证电子交易的公平、公正和安全时，采购机构可中止电子交易活动：</w:t>
      </w:r>
    </w:p>
    <w:p w14:paraId="1C32ED5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（1）电子交易平台发生故障而无法登录访问的； </w:t>
      </w:r>
    </w:p>
    <w:p w14:paraId="217E69B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（2）电子交易平台应用或数据库出现错误，不能进行正常操作的；</w:t>
      </w:r>
    </w:p>
    <w:p w14:paraId="44AA6C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（3）电子交易平台发现严重安全漏洞，有潜在泄密危险的；</w:t>
      </w:r>
    </w:p>
    <w:p w14:paraId="5C9C762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（4）病毒发作导致不能进行正常操作的； </w:t>
      </w:r>
    </w:p>
    <w:p w14:paraId="6318938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（4）其他无法保证电子交易的公平、公正和安全的情况。</w:t>
      </w:r>
    </w:p>
    <w:p w14:paraId="3B4732C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ascii="宋体" w:hAnsi="宋体" w:cs="宋体"/>
          <w:color w:val="auto"/>
          <w:kern w:val="21"/>
          <w:sz w:val="24"/>
          <w:highlight w:val="none"/>
          <w:lang w:eastAsia="zh-CN"/>
        </w:rPr>
        <w:t>做出</w:t>
      </w:r>
      <w:r>
        <w:rPr>
          <w:rFonts w:hint="eastAsia" w:ascii="宋体" w:hAnsi="宋体" w:cs="宋体"/>
          <w:color w:val="auto"/>
          <w:kern w:val="21"/>
          <w:sz w:val="24"/>
          <w:highlight w:val="none"/>
        </w:rPr>
        <w:t>妥善保密处理，并报财政部门备案。</w:t>
      </w:r>
    </w:p>
    <w:p w14:paraId="3C700A25">
      <w:pPr>
        <w:pStyle w:val="4"/>
        <w:spacing w:before="0" w:after="0" w:line="360" w:lineRule="auto"/>
        <w:ind w:firstLine="482" w:firstLineChars="200"/>
        <w:rPr>
          <w:rFonts w:ascii="宋体" w:hAnsi="宋体" w:cs="宋体"/>
          <w:color w:val="auto"/>
          <w:kern w:val="21"/>
          <w:sz w:val="24"/>
          <w:szCs w:val="24"/>
          <w:highlight w:val="none"/>
        </w:rPr>
      </w:pPr>
      <w:bookmarkStart w:id="56" w:name="_Toc5249"/>
      <w:bookmarkStart w:id="57" w:name="_Toc767"/>
      <w:r>
        <w:rPr>
          <w:rFonts w:hint="eastAsia" w:ascii="宋体" w:hAnsi="宋体" w:cs="宋体"/>
          <w:color w:val="auto"/>
          <w:kern w:val="21"/>
          <w:sz w:val="24"/>
          <w:szCs w:val="24"/>
          <w:highlight w:val="none"/>
        </w:rPr>
        <w:t>五、成交及合同</w:t>
      </w:r>
      <w:bookmarkEnd w:id="56"/>
      <w:bookmarkEnd w:id="57"/>
    </w:p>
    <w:p w14:paraId="786746E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27.确定成交供应商及结果公告</w:t>
      </w:r>
    </w:p>
    <w:p w14:paraId="3DF10DF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27.1确定成交供应商。由采购人直接委托评审专家确定，评审报告提出的排序第一的供应商为成交供应商。</w:t>
      </w:r>
    </w:p>
    <w:p w14:paraId="33C3ABB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27.2成交通知及成交结果公告。成交供应商确定后2个工作日内，在省级以上财政部门指定的媒体上公告成交结果，同时向成交供应商发出成交通知书，成交通知书规定签订合同的时间不得超过25日。</w:t>
      </w:r>
    </w:p>
    <w:p w14:paraId="36F198F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4F636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EF5794A">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27.5</w:t>
      </w:r>
      <w:r>
        <w:rPr>
          <w:rFonts w:hint="eastAsia" w:ascii="宋体" w:hAnsi="宋体" w:cs="宋体"/>
          <w:color w:val="auto"/>
          <w:kern w:val="21"/>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217143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28.履约保证金</w:t>
      </w:r>
    </w:p>
    <w:p w14:paraId="624F4024">
      <w:pPr>
        <w:spacing w:line="360" w:lineRule="auto"/>
        <w:ind w:firstLine="480" w:firstLineChars="200"/>
        <w:rPr>
          <w:rFonts w:ascii="宋体" w:hAnsi="宋体" w:cs="宋体"/>
          <w:b/>
          <w:bCs/>
          <w:color w:val="auto"/>
          <w:kern w:val="21"/>
          <w:sz w:val="24"/>
          <w:highlight w:val="none"/>
        </w:rPr>
      </w:pPr>
      <w:r>
        <w:rPr>
          <w:rFonts w:hint="eastAsia" w:ascii="宋体" w:hAnsi="宋体" w:cs="宋体"/>
          <w:color w:val="auto"/>
          <w:kern w:val="21"/>
          <w:sz w:val="24"/>
          <w:highlight w:val="none"/>
        </w:rPr>
        <w:t>详见“供应商须知前附表”</w:t>
      </w:r>
    </w:p>
    <w:p w14:paraId="38DBA72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29.签订合同</w:t>
      </w:r>
    </w:p>
    <w:p w14:paraId="1574F04F">
      <w:pPr>
        <w:pStyle w:val="84"/>
        <w:adjustRightInd/>
        <w:spacing w:before="0"/>
        <w:ind w:firstLine="480"/>
        <w:rPr>
          <w:rFonts w:ascii="宋体" w:hAnsi="宋体" w:cs="宋体"/>
          <w:color w:val="auto"/>
          <w:kern w:val="21"/>
          <w:szCs w:val="24"/>
          <w:highlight w:val="none"/>
          <w:lang w:val="zh-CN"/>
        </w:rPr>
      </w:pPr>
      <w:r>
        <w:rPr>
          <w:rFonts w:hint="eastAsia" w:ascii="宋体" w:hAnsi="宋体" w:cs="宋体"/>
          <w:color w:val="auto"/>
          <w:kern w:val="21"/>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21"/>
          <w:szCs w:val="24"/>
          <w:highlight w:val="none"/>
          <w:lang w:val="zh-CN"/>
        </w:rPr>
        <w:t>如成交供应商为联合体的，由联合体成员各方法定代表人或其授权代表与采购人代表签订合同。</w:t>
      </w:r>
    </w:p>
    <w:p w14:paraId="3A7FF6A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9ED6BF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77F2D7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29.4成交供应商拒绝签订政府采购合同的，其保证金将不予退还，并上缴国库，给采购人造成损失的，还应当赔偿损失，并作为不良行为记录在案。</w:t>
      </w:r>
    </w:p>
    <w:p w14:paraId="5DA6319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29.5如签订合同并生效后，供应商无故拒绝或延期，除按照合同条款处理外，列入不良行为记录，并给予通报。</w:t>
      </w:r>
    </w:p>
    <w:p w14:paraId="1DA61EE8">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29.6采购合同由采购人与成交供应商根据磋商文件、响应文件等内容通过政府采购电子交易平台在线签订，自动备案，在线签订须携带的材料见“ 供应商须知前附表”。</w:t>
      </w:r>
    </w:p>
    <w:p w14:paraId="496E57A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30.政府采购合同公告</w:t>
      </w:r>
    </w:p>
    <w:p w14:paraId="2DD554A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28544F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31. 询问、质疑和投诉</w:t>
      </w:r>
    </w:p>
    <w:p w14:paraId="423D3A4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31.1供应商对政府采购活动事项有疑问的，可以向采购人、采购代理机构提出询问，采购人或者采购代理机构应当在3个工作日内对供应商依法提出的询问作出答复。</w:t>
      </w:r>
    </w:p>
    <w:p w14:paraId="55DD2A7C">
      <w:pPr>
        <w:spacing w:line="360" w:lineRule="auto"/>
        <w:ind w:firstLine="480" w:firstLineChars="200"/>
        <w:rPr>
          <w:rFonts w:ascii="宋体" w:hAnsi="宋体" w:cs="宋体"/>
          <w:b/>
          <w:color w:val="auto"/>
          <w:kern w:val="21"/>
          <w:sz w:val="24"/>
          <w:highlight w:val="none"/>
        </w:rPr>
      </w:pPr>
      <w:r>
        <w:rPr>
          <w:rFonts w:hint="eastAsia" w:ascii="宋体" w:hAnsi="宋体" w:cs="宋体"/>
          <w:color w:val="auto"/>
          <w:kern w:val="21"/>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kern w:val="21"/>
          <w:sz w:val="24"/>
          <w:highlight w:val="none"/>
          <w:shd w:val="clear" w:color="auto" w:fill="FFFFFF"/>
        </w:rPr>
        <w:t>接收质疑函的方式、联系部门、联系电话和通讯地址等信息详见</w:t>
      </w:r>
      <w:r>
        <w:rPr>
          <w:rFonts w:hint="eastAsia" w:ascii="宋体" w:hAnsi="宋体" w:cs="宋体"/>
          <w:color w:val="auto"/>
          <w:kern w:val="21"/>
          <w:sz w:val="24"/>
          <w:highlight w:val="none"/>
        </w:rPr>
        <w:t>“供应商须知前附表”。</w:t>
      </w:r>
      <w:r>
        <w:rPr>
          <w:rFonts w:hint="eastAsia" w:ascii="宋体" w:hAnsi="宋体" w:cs="宋体"/>
          <w:b/>
          <w:color w:val="auto"/>
          <w:kern w:val="21"/>
          <w:sz w:val="24"/>
          <w:highlight w:val="none"/>
        </w:rPr>
        <w:t xml:space="preserve">具体质疑起算时间及处理方式如下： </w:t>
      </w:r>
    </w:p>
    <w:p w14:paraId="0E864373">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kern w:val="21"/>
          <w:sz w:val="24"/>
          <w:highlight w:val="none"/>
        </w:rPr>
        <w:t>委托代理协议无特殊约定的，</w:t>
      </w:r>
      <w:r>
        <w:rPr>
          <w:rFonts w:hint="eastAsia" w:ascii="宋体" w:hAnsi="宋体" w:cs="宋体"/>
          <w:bCs/>
          <w:color w:val="auto"/>
          <w:kern w:val="21"/>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4715B63B">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89C1303">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（3）供应商认为成交结果使自己的权益受到损害的，应当在成交结果公告期限届满之日起7个工作日内提出质疑，由采购人受理并负责答复。</w:t>
      </w:r>
    </w:p>
    <w:p w14:paraId="7A346E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DFC19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kern w:val="21"/>
          <w:sz w:val="24"/>
          <w:highlight w:val="none"/>
        </w:rPr>
        <w:t>（质疑函格式后附）</w:t>
      </w:r>
      <w:r>
        <w:rPr>
          <w:rFonts w:hint="eastAsia" w:ascii="宋体" w:hAnsi="宋体" w:cs="宋体"/>
          <w:color w:val="auto"/>
          <w:kern w:val="21"/>
          <w:sz w:val="24"/>
          <w:highlight w:val="none"/>
        </w:rPr>
        <w:t>：</w:t>
      </w:r>
    </w:p>
    <w:p w14:paraId="48F748C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（1）供应商的姓名或者名称、地址、邮编、联系人及联系电话；</w:t>
      </w:r>
    </w:p>
    <w:p w14:paraId="4A65E97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（2）质疑项目的名称、编号；</w:t>
      </w:r>
    </w:p>
    <w:p w14:paraId="08C70A2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（3）具体、明确的质疑事项和与质疑事项相关的请求；</w:t>
      </w:r>
    </w:p>
    <w:p w14:paraId="041A82E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（4）事实依据；</w:t>
      </w:r>
    </w:p>
    <w:p w14:paraId="48ED0FC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（5）必要的法律依据；</w:t>
      </w:r>
    </w:p>
    <w:p w14:paraId="404C6B1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（6）提出质疑的日期。</w:t>
      </w:r>
    </w:p>
    <w:p w14:paraId="38F42D1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供应商为自然人的，应当由本人签字；供应商为法人或者其他组织的，应当由法定代表人、主要负责人，或者其委托代理人签字或者盖章，并加盖公章。</w:t>
      </w:r>
    </w:p>
    <w:p w14:paraId="6555C54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5643F01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（一）对采购文件提出的质疑，依法通过澄清或者修改可以继续开展采购活动的，澄清或者修改采购文件后继续开展采购活动；否则应当修改采购文件后重新开展采购活动。</w:t>
      </w:r>
    </w:p>
    <w:p w14:paraId="0058B17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7467410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质疑答复导致成交结果改变的，采购人或者采购代理机构应当将有关情况书面报告本级财政部门。</w:t>
      </w:r>
    </w:p>
    <w:p w14:paraId="0C76653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8" w:name="_Toc80205930"/>
    </w:p>
    <w:p w14:paraId="27809FF6">
      <w:pPr>
        <w:pStyle w:val="4"/>
        <w:spacing w:before="0" w:after="0" w:line="360" w:lineRule="auto"/>
        <w:ind w:firstLine="482" w:firstLineChars="200"/>
        <w:rPr>
          <w:rFonts w:ascii="宋体" w:hAnsi="宋体" w:cs="宋体"/>
          <w:color w:val="auto"/>
          <w:kern w:val="21"/>
          <w:sz w:val="24"/>
          <w:szCs w:val="24"/>
          <w:highlight w:val="none"/>
        </w:rPr>
      </w:pPr>
      <w:bookmarkStart w:id="59" w:name="_Toc208"/>
      <w:bookmarkStart w:id="60" w:name="_Toc11194"/>
      <w:r>
        <w:rPr>
          <w:rFonts w:hint="eastAsia" w:ascii="宋体" w:hAnsi="宋体" w:cs="宋体"/>
          <w:color w:val="auto"/>
          <w:kern w:val="21"/>
          <w:sz w:val="24"/>
          <w:szCs w:val="24"/>
          <w:highlight w:val="none"/>
        </w:rPr>
        <w:t>六、验收</w:t>
      </w:r>
      <w:bookmarkEnd w:id="58"/>
      <w:bookmarkEnd w:id="59"/>
      <w:bookmarkEnd w:id="60"/>
    </w:p>
    <w:p w14:paraId="7B9ED671">
      <w:pPr>
        <w:tabs>
          <w:tab w:val="left" w:pos="0"/>
        </w:tabs>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32.验收</w:t>
      </w:r>
    </w:p>
    <w:p w14:paraId="3A19EE87">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4D97008">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32.2采购人可以邀请参加本项目的其他供应商或者第三方机构参与验收。参与验收的供应商或者第三方机构的意见作为验收书的参考资料一并存档。</w:t>
      </w:r>
    </w:p>
    <w:p w14:paraId="3D34EA33">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31F8A94">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69CF09E">
      <w:pPr>
        <w:pStyle w:val="4"/>
        <w:spacing w:before="0" w:after="0" w:line="360" w:lineRule="auto"/>
        <w:ind w:firstLine="482" w:firstLineChars="200"/>
        <w:rPr>
          <w:rFonts w:ascii="宋体" w:hAnsi="宋体" w:cs="宋体"/>
          <w:color w:val="auto"/>
          <w:kern w:val="21"/>
          <w:sz w:val="24"/>
          <w:szCs w:val="24"/>
          <w:highlight w:val="none"/>
        </w:rPr>
      </w:pPr>
      <w:bookmarkStart w:id="61" w:name="_Toc17250"/>
      <w:bookmarkStart w:id="62" w:name="_Toc11157"/>
      <w:r>
        <w:rPr>
          <w:rFonts w:hint="eastAsia" w:ascii="宋体" w:hAnsi="宋体" w:cs="宋体"/>
          <w:color w:val="auto"/>
          <w:kern w:val="21"/>
          <w:sz w:val="24"/>
          <w:szCs w:val="24"/>
          <w:highlight w:val="none"/>
        </w:rPr>
        <w:t>七、其他事项</w:t>
      </w:r>
      <w:bookmarkEnd w:id="61"/>
      <w:bookmarkEnd w:id="62"/>
    </w:p>
    <w:p w14:paraId="00AECE97">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33.代理服务费</w:t>
      </w:r>
    </w:p>
    <w:p w14:paraId="7BD14176">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代理服务收费标准及缴费账户详见“供应商须知前附表”，供应商为联合体的，可以由联合体中的一方或者多方共同缴纳代理服务费。</w:t>
      </w:r>
    </w:p>
    <w:p w14:paraId="3308ADB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34.需要补充的其他内容</w:t>
      </w:r>
    </w:p>
    <w:p w14:paraId="6E617F0E">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34.1本磋商文件解释规则详见“供应商须知前附表”。</w:t>
      </w:r>
    </w:p>
    <w:p w14:paraId="09ED3561">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34.2 其他事项详见“供应商须知前附表”。</w:t>
      </w:r>
    </w:p>
    <w:p w14:paraId="587577D4">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3CB0B8F6">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以联合体形式参加政府采购活动，联合体各方均为中小企业的，联合体视同中小企业。其中，联合体各方均为小微企业的，联合体视同小微企业。</w:t>
      </w:r>
    </w:p>
    <w:p w14:paraId="6C19FC99">
      <w:pPr>
        <w:pStyle w:val="18"/>
        <w:spacing w:line="360" w:lineRule="auto"/>
        <w:ind w:firstLine="480" w:firstLineChars="200"/>
        <w:textAlignment w:val="center"/>
        <w:rPr>
          <w:rFonts w:hAnsi="宋体" w:cs="宋体"/>
          <w:color w:val="auto"/>
          <w:kern w:val="21"/>
          <w:sz w:val="21"/>
          <w:highlight w:val="none"/>
        </w:rPr>
      </w:pPr>
      <w:r>
        <w:rPr>
          <w:rFonts w:hint="eastAsia" w:hAnsi="宋体" w:cs="宋体"/>
          <w:color w:val="auto"/>
          <w:kern w:val="21"/>
          <w:sz w:val="24"/>
          <w:szCs w:val="24"/>
          <w:highlight w:val="none"/>
        </w:rPr>
        <w:t>依据本文件规定享受扶持政策获得政府采购合同的，小微企业不得将合同分包给大中型企业，中型企业不得将合同分包给大型企业。</w:t>
      </w:r>
    </w:p>
    <w:p w14:paraId="6BEEB5C2">
      <w:pPr>
        <w:pStyle w:val="18"/>
        <w:spacing w:line="360" w:lineRule="auto"/>
        <w:textAlignment w:val="center"/>
        <w:rPr>
          <w:rFonts w:hAnsi="宋体" w:cs="宋体"/>
          <w:color w:val="auto"/>
          <w:kern w:val="21"/>
          <w:highlight w:val="none"/>
        </w:rPr>
      </w:pPr>
    </w:p>
    <w:p w14:paraId="21815962">
      <w:pPr>
        <w:pStyle w:val="2"/>
        <w:spacing w:before="0" w:after="0" w:line="360" w:lineRule="auto"/>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br w:type="page"/>
      </w:r>
      <w:bookmarkStart w:id="63" w:name="_Toc18526"/>
      <w:bookmarkStart w:id="64" w:name="_Toc28814"/>
      <w:r>
        <w:rPr>
          <w:rFonts w:hint="eastAsia" w:ascii="宋体" w:hAnsi="宋体" w:cs="宋体"/>
          <w:color w:val="auto"/>
          <w:kern w:val="21"/>
          <w:sz w:val="32"/>
          <w:szCs w:val="32"/>
          <w:highlight w:val="none"/>
        </w:rPr>
        <w:t>第四章 评审程序、评审方法和评审标准</w:t>
      </w:r>
      <w:bookmarkEnd w:id="63"/>
      <w:bookmarkEnd w:id="64"/>
    </w:p>
    <w:p w14:paraId="599B2376">
      <w:pPr>
        <w:pStyle w:val="3"/>
        <w:spacing w:line="360" w:lineRule="auto"/>
        <w:jc w:val="center"/>
        <w:rPr>
          <w:rFonts w:ascii="宋体" w:hAnsi="宋体" w:cs="宋体"/>
          <w:bCs w:val="0"/>
          <w:color w:val="auto"/>
          <w:kern w:val="21"/>
          <w:highlight w:val="none"/>
        </w:rPr>
      </w:pPr>
      <w:bookmarkStart w:id="65" w:name="_Toc27075"/>
      <w:bookmarkStart w:id="66" w:name="_Toc31735"/>
      <w:r>
        <w:rPr>
          <w:rFonts w:hint="eastAsia" w:ascii="宋体" w:hAnsi="宋体" w:cs="宋体"/>
          <w:bCs w:val="0"/>
          <w:color w:val="auto"/>
          <w:kern w:val="21"/>
          <w:highlight w:val="none"/>
        </w:rPr>
        <w:t>第一节 评审程序和评审方法</w:t>
      </w:r>
      <w:bookmarkEnd w:id="65"/>
      <w:bookmarkEnd w:id="66"/>
    </w:p>
    <w:p w14:paraId="568F56A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1.确认磋商文件</w:t>
      </w:r>
    </w:p>
    <w:p w14:paraId="0DE270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由磋商小组确认磋商文件。</w:t>
      </w:r>
    </w:p>
    <w:p w14:paraId="62635DB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2.资格审查</w:t>
      </w:r>
    </w:p>
    <w:p w14:paraId="0F18C5C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2.1响应文件开启后，磋商小组依法对供应商的资格证明文件进行审查。</w:t>
      </w:r>
    </w:p>
    <w:p w14:paraId="64E056F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注：采购人代表或者采购代理机构在资格审查结束前，对供应商进行信用查询。</w:t>
      </w:r>
    </w:p>
    <w:p w14:paraId="55DA1922">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（1）查询渠道：“广西政府采购云平台”“信用中国”网站（</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"http://www.creditchina.gov.cn" </w:instrText>
      </w:r>
      <w:r>
        <w:rPr>
          <w:rFonts w:hint="eastAsia" w:ascii="宋体" w:hAnsi="宋体" w:cs="宋体"/>
          <w:color w:val="auto"/>
          <w:kern w:val="21"/>
          <w:sz w:val="24"/>
          <w:highlight w:val="none"/>
        </w:rPr>
        <w:fldChar w:fldCharType="separate"/>
      </w:r>
      <w:r>
        <w:rPr>
          <w:rStyle w:val="39"/>
          <w:rFonts w:hint="eastAsia" w:ascii="宋体" w:hAnsi="宋体" w:cs="宋体"/>
          <w:color w:val="auto"/>
          <w:kern w:val="21"/>
          <w:sz w:val="24"/>
          <w:highlight w:val="none"/>
        </w:rPr>
        <w:t>www.creditchina.gov.cn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）、中国政府采购网（</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"http://www.ccgp.gov.cn" </w:instrText>
      </w:r>
      <w:r>
        <w:rPr>
          <w:rFonts w:hint="eastAsia" w:ascii="宋体" w:hAnsi="宋体" w:cs="宋体"/>
          <w:color w:val="auto"/>
          <w:kern w:val="21"/>
          <w:sz w:val="24"/>
          <w:highlight w:val="none"/>
        </w:rPr>
        <w:fldChar w:fldCharType="separate"/>
      </w:r>
      <w:r>
        <w:rPr>
          <w:rStyle w:val="39"/>
          <w:rFonts w:hint="eastAsia" w:ascii="宋体" w:hAnsi="宋体" w:cs="宋体"/>
          <w:color w:val="auto"/>
          <w:kern w:val="21"/>
          <w:sz w:val="24"/>
          <w:highlight w:val="none"/>
        </w:rPr>
        <w:t>www.ccgp.gov.cn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）链接入口。</w:t>
      </w:r>
    </w:p>
    <w:p w14:paraId="4C8FD3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（2）信用查询截止时点：资格审查结束前。</w:t>
      </w:r>
    </w:p>
    <w:p w14:paraId="32A1F56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查询记录和证据留存方式：在查询网站中直接打印查询记录，截图另存为电子文档作为评审资料保存。</w:t>
      </w:r>
    </w:p>
    <w:p w14:paraId="249A810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34B941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2.2资格审查标准为本磋商文件中载明对供应商资格要求的条件。资格审查采用合格制，凡符合磋商文件规定的供应商资格要求的响应文件均通过资格审查。</w:t>
      </w:r>
    </w:p>
    <w:p w14:paraId="553FB4C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2.3供应商有下列情形之一的，资格审查不通过，其响应文件按无效响应处理：</w:t>
      </w:r>
    </w:p>
    <w:p w14:paraId="3016789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（1）不具备磋商文件中规定的资格要求的；</w:t>
      </w:r>
    </w:p>
    <w:p w14:paraId="2D598F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（2）响应文件未提供任一项“供应商须知前附表”资格证明文件规定的“必须提供”的文件资料的；</w:t>
      </w:r>
    </w:p>
    <w:p w14:paraId="523D8FC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（3）响应文件提供的资格证明文件出现任一项不符合“供应商须知前附表”资格证明文件规定的“必须提供”的文件资料要求或者无效的。</w:t>
      </w:r>
    </w:p>
    <w:p w14:paraId="12576F49">
      <w:pPr>
        <w:spacing w:line="360" w:lineRule="auto"/>
        <w:ind w:firstLine="480" w:firstLineChars="200"/>
        <w:rPr>
          <w:rFonts w:ascii="宋体" w:hAnsi="宋体" w:cs="宋体"/>
          <w:color w:val="auto"/>
          <w:kern w:val="21"/>
          <w:sz w:val="24"/>
          <w:highlight w:val="none"/>
        </w:rPr>
      </w:pPr>
      <w:bookmarkStart w:id="67" w:name="_Hlk68601553"/>
      <w:r>
        <w:rPr>
          <w:rFonts w:hint="eastAsia" w:ascii="宋体" w:hAnsi="宋体" w:cs="宋体"/>
          <w:color w:val="auto"/>
          <w:kern w:val="21"/>
          <w:sz w:val="24"/>
          <w:highlight w:val="none"/>
        </w:rPr>
        <w:t>（4）同一合同项下的不同供应商，单位负责人为同一人或者存在直接控股、管理关系的；为本项目提供过整体设计、规范编制或者项目管理、监理、检测等服务的。</w:t>
      </w:r>
      <w:bookmarkEnd w:id="67"/>
    </w:p>
    <w:p w14:paraId="292C74C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2.4通过资格审查的合格供应商不足3家的，不得进入符合性审查环节，采购人或者采购代理机构应当重新开展采购活动。</w:t>
      </w:r>
    </w:p>
    <w:p w14:paraId="3EB7A33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3.符合性审查</w:t>
      </w:r>
    </w:p>
    <w:p w14:paraId="0497F50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3.1由磋商小组对通过资格审查的合格供应商的响应文件的响应报价、商务、技术等实质性要求进行符合性审查，以确定其是否满足磋商文件的实质性要求。</w:t>
      </w:r>
    </w:p>
    <w:p w14:paraId="7F51661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986CA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385CCF9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3.4首次响应文件报价出现前后不一致的，按照下列规定修正： </w:t>
      </w:r>
    </w:p>
    <w:p w14:paraId="751E7BC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（1）响应文件中报价表内容与响应文件中相应内容不一致的，以报价表为准；</w:t>
      </w:r>
    </w:p>
    <w:p w14:paraId="1F571E4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（2）大写金额和小写金额不一致的，以大写金额为准；</w:t>
      </w:r>
    </w:p>
    <w:p w14:paraId="2AAF5EE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（3）单价金额小数点或者百分比有明显错位的，以报价表的总价为准，并修改单价；</w:t>
      </w:r>
    </w:p>
    <w:p w14:paraId="15C8475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（4）总价金额与按单价汇总金额不一致的，以单价金额计算结果为准。</w:t>
      </w:r>
    </w:p>
    <w:p w14:paraId="347110A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同时出现两种以上不一致的，按照以上（1）-（4）规定的顺序逐条进行修正。修正后的报价经供应商确认后产生约束力，供应商不确认的，其响应文件按无效响应处理。</w:t>
      </w:r>
    </w:p>
    <w:p w14:paraId="729126B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3.5商务技术、报价评审</w:t>
      </w:r>
    </w:p>
    <w:p w14:paraId="15D14FD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在评审时，如发现下列情形之一的，将被视为响应文件无效处理：</w:t>
      </w:r>
    </w:p>
    <w:p w14:paraId="3571F15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（1）商务技术评审</w:t>
      </w:r>
    </w:p>
    <w:p w14:paraId="0536E26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1）响应文件未按磋商文件要求签署、盖章；</w:t>
      </w:r>
    </w:p>
    <w:p w14:paraId="2AD0A99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2）委托代理人未能出具有效身份证明或者出具的身份证明与授权委托书中的信息不符； </w:t>
      </w:r>
    </w:p>
    <w:p w14:paraId="5FFAC1F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CC2A1A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4）商务条款中标“▲”的条款发生负偏离的或者允许负偏离的条款数超过“供应商须知前附表”规定项数的或者标明实质性的要求发生负偏离；</w:t>
      </w:r>
    </w:p>
    <w:p w14:paraId="34C4075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5）未对竞标有效期作出响应或者响应文件承诺的竞标有效期不满足磋商文件要求；</w:t>
      </w:r>
    </w:p>
    <w:p w14:paraId="4784532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6）响应文件的实质性内容未使用中文表述、使用计量单位不符合磋商文件要求；</w:t>
      </w:r>
    </w:p>
    <w:p w14:paraId="53AA5E4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7）响应文件中的文件资料因填写不齐全或者内容虚假或者出现其他情形而导致被磋商小组认定无效；</w:t>
      </w:r>
    </w:p>
    <w:p w14:paraId="3401C0F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8）响应文件含有采购人不能接受的附加条件；</w:t>
      </w:r>
    </w:p>
    <w:p w14:paraId="5BE7D12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9）属于“供应商须知正文”第7.5条情形；</w:t>
      </w:r>
    </w:p>
    <w:p w14:paraId="673F22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10）技术需求允许负偏离的条款数超过“供应商须知前附表”规定项数；</w:t>
      </w:r>
    </w:p>
    <w:p w14:paraId="279C0D6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11）虚假竞标，或者出现其他情形而导致被磋商小组认定无效；</w:t>
      </w:r>
    </w:p>
    <w:p w14:paraId="782EBD8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12）竞标技术方案不明确，磋商文件未允许但响应文件中存在一个或者一个以上备选（替代）竞标方案；</w:t>
      </w:r>
    </w:p>
    <w:p w14:paraId="48B6455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13）响应文件标注的项目名称或者项目编号与竞争性磋商文件标注的项目名称或者项目编号不一致的；</w:t>
      </w:r>
    </w:p>
    <w:p w14:paraId="4235242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14）未响应磋商文件实质性要求；</w:t>
      </w:r>
    </w:p>
    <w:p w14:paraId="535AC63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15）法律、法规和磋商文件规定的其他无效情形。</w:t>
      </w:r>
    </w:p>
    <w:p w14:paraId="6C231AF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（2）报价评审</w:t>
      </w:r>
    </w:p>
    <w:p w14:paraId="3FE2AD1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 响应文件未提供“供应商须知前附表” 报价文件中规定的“响应报价表”；</w:t>
      </w:r>
    </w:p>
    <w:p w14:paraId="7E4C62B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2）未采用人民币报价或者未按照磋商文件标明的币种报价；</w:t>
      </w:r>
    </w:p>
    <w:p w14:paraId="055E455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009548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6EA8839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643A4CA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6）响应文件响应的标的数量及单位与竞争性磋商采购文件要求实质性不一致的。</w:t>
      </w:r>
    </w:p>
    <w:p w14:paraId="57031C0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125E35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5D4F76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4.磋商程序</w:t>
      </w:r>
    </w:p>
    <w:p w14:paraId="721F7A0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10538F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E588AB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4.3对磋商文件作出的实质性变动是磋商文件的有效组成部分，由磋商小组及时以电子澄清函形式同时通知所有参加磋商的供应商。</w:t>
      </w:r>
    </w:p>
    <w:p w14:paraId="5FEF679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215443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4.5磋商中，磋商的任何一方不得透露与磋商有关的其他供应商的技术资料、价格和其他信息。</w:t>
      </w:r>
    </w:p>
    <w:p w14:paraId="3B30A476">
      <w:pPr>
        <w:widowControl/>
        <w:tabs>
          <w:tab w:val="left" w:pos="540"/>
        </w:tabs>
        <w:spacing w:line="360" w:lineRule="auto"/>
        <w:ind w:firstLine="480" w:firstLineChars="200"/>
        <w:jc w:val="left"/>
        <w:rPr>
          <w:rFonts w:ascii="宋体" w:hAnsi="宋体" w:cs="宋体"/>
          <w:b/>
          <w:color w:val="auto"/>
          <w:kern w:val="21"/>
          <w:sz w:val="24"/>
          <w:highlight w:val="none"/>
        </w:rPr>
      </w:pPr>
      <w:r>
        <w:rPr>
          <w:rFonts w:hint="eastAsia" w:ascii="宋体" w:hAnsi="宋体" w:cs="宋体"/>
          <w:color w:val="auto"/>
          <w:kern w:val="21"/>
          <w:sz w:val="24"/>
          <w:highlight w:val="none"/>
        </w:rPr>
        <w:t>4.6磋商小组应对磋商过程和重要磋商内容进行记录，作为评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报告一部分，磋商小组在记录上签字确认。</w:t>
      </w:r>
      <w:r>
        <w:rPr>
          <w:rFonts w:hint="eastAsia" w:ascii="宋体" w:hAnsi="宋体" w:cs="宋体"/>
          <w:b/>
          <w:color w:val="auto"/>
          <w:kern w:val="21"/>
          <w:sz w:val="24"/>
          <w:highlight w:val="none"/>
        </w:rPr>
        <w:t>主要内容包括：</w:t>
      </w:r>
    </w:p>
    <w:p w14:paraId="37E335B0">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（1）按照相关规定进行公示的，公示情况说明；</w:t>
      </w:r>
    </w:p>
    <w:p w14:paraId="098AD933">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（2）磋商日期和地点，磋商人员名单；</w:t>
      </w:r>
    </w:p>
    <w:p w14:paraId="7CC2A891">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（3）合同主要条款及价格商定情况。</w:t>
      </w:r>
    </w:p>
    <w:p w14:paraId="4AE5BEFD">
      <w:pPr>
        <w:widowControl/>
        <w:tabs>
          <w:tab w:val="left" w:pos="540"/>
        </w:tabs>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4.7磋商过程中重新提交的响应文件，供应商可以在开启前补充、修改。</w:t>
      </w:r>
    </w:p>
    <w:p w14:paraId="7553E6E7">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4.8对磋商过程提交的响应文件进行有效性、完整性和响应程度审查，通过审查的合格供应商不足3家的，采购人或者采购代理机构应当重新开展采购活动。</w:t>
      </w:r>
    </w:p>
    <w:p w14:paraId="26EC4B5B">
      <w:pPr>
        <w:spacing w:line="360" w:lineRule="auto"/>
        <w:ind w:firstLine="482" w:firstLineChars="200"/>
        <w:rPr>
          <w:rFonts w:ascii="宋体" w:hAnsi="宋体" w:cs="宋体"/>
          <w:color w:val="auto"/>
          <w:kern w:val="21"/>
          <w:sz w:val="24"/>
          <w:highlight w:val="none"/>
        </w:rPr>
      </w:pPr>
      <w:r>
        <w:rPr>
          <w:rFonts w:hint="eastAsia" w:ascii="宋体" w:hAnsi="宋体" w:cs="宋体"/>
          <w:b/>
          <w:bCs/>
          <w:color w:val="auto"/>
          <w:kern w:val="21"/>
          <w:sz w:val="24"/>
          <w:highlight w:val="none"/>
        </w:rPr>
        <w:t>5.最后报价</w:t>
      </w:r>
    </w:p>
    <w:p w14:paraId="7148D72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FFBB44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远程不见面开标大厅响应最后报价。</w:t>
      </w:r>
    </w:p>
    <w:p w14:paraId="5BF9253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02E11D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5.4已经提交响应文件的供应商，在提交最后报价之前，可以根据磋商情况退出磋商，退出磋商的供应商的响应文件按无效响应处理。</w:t>
      </w:r>
    </w:p>
    <w:p w14:paraId="27B9FDD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5.5供应商未在规定时间内提交最后报价的，视同退出磋商。</w:t>
      </w:r>
    </w:p>
    <w:p w14:paraId="2131E21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5.6磋商小组收齐某一分标最后报价后统一开启，磋商小组对最后报价进行有效性、完整性和响应程度的审查。</w:t>
      </w:r>
    </w:p>
    <w:p w14:paraId="312A649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5.7最终响应文件的报价出现前后不一致的，按照本章第3.4条的规定修正。 </w:t>
      </w:r>
    </w:p>
    <w:p w14:paraId="1BDFD23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5.8修正后的最终报价出现下列情形的，按无效响应处理：</w:t>
      </w:r>
    </w:p>
    <w:p w14:paraId="7196141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（1）供应商不确认的（全流程电子化评标采取在线确认）；</w:t>
      </w:r>
    </w:p>
    <w:p w14:paraId="104F1F4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（2）经供应商确认修正后的响应报价（包含首次报价、最后报价）超过所竞标分标规定的采购预算金额或者最高限价的（如本项目公布了最高限价）；</w:t>
      </w:r>
    </w:p>
    <w:p w14:paraId="5A8C787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（3）经供应商确认修正后的响应报价（包含首次报价、最后报价）超过采购预算金额或者最高限价的（如本项目公布了最高限价）。</w:t>
      </w:r>
    </w:p>
    <w:p w14:paraId="1E1067D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5.9经供应商确认修正后的最后报价作为评审及签订合同的依据。</w:t>
      </w:r>
    </w:p>
    <w:p w14:paraId="7A8804F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5.10供应商出现最后报价按无效响应处理或者响应文件按无效处理时，磋商小组应当告知有关供应商。</w:t>
      </w:r>
    </w:p>
    <w:p w14:paraId="7ED330E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5.11最后报价结束后，磋商小组不得再与供应商进行任何形式的商谈。</w:t>
      </w:r>
    </w:p>
    <w:p w14:paraId="68558D5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6.比较与评价</w:t>
      </w:r>
    </w:p>
    <w:p w14:paraId="7C1248C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6.1评审方法：综合评分法。</w:t>
      </w:r>
    </w:p>
    <w:p w14:paraId="24F01ED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6.2经磋商确定最终采购需求和提交最后报价的供应商后，由磋商小组采用综合评分法对提交最后报价的供应商的响应文件和最后报价进行综合评分。</w:t>
      </w:r>
    </w:p>
    <w:p w14:paraId="428469A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6.3评审时，磋商小组各成员应当独立对每个有效响应的文件进行评价、打分，然后汇总每个供应商每项评分因素的得分。</w:t>
      </w:r>
    </w:p>
    <w:p w14:paraId="6AA5C92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C57E9E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（2）磋商小组按照磋商文件中规定的评审标准计算各供应商的报价得分。项目评审过程中，不得去掉最后报价中的最高报价和最低报价。</w:t>
      </w:r>
    </w:p>
    <w:p w14:paraId="1309E8A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（3）各供应商的得分为磋商小组所有成员的有效评分的算术平均数。</w:t>
      </w:r>
    </w:p>
    <w:p w14:paraId="1212FF1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6.4评审价为供应商的最后报价进行政策性扣除后的价格，评审价只是作为评审时使用。最终成交供应商的成交金额等于最后报价（如有修正，以确认修正后的最后报价为准）。</w:t>
      </w:r>
    </w:p>
    <w:p w14:paraId="46FA50A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6.5由磋商小组根据综合评分情况，按照评审得分由高到低顺序推荐3名以上成交候选供应商，并编写评审报告。符合本章第3.7条情形的，可以推荐2家成交候选供应商。评审得分相同的，按照最后报价由低到高的顺序推荐。评审得分且最后报价相同的，按照技术指标优劣顺序推荐。</w:t>
      </w:r>
    </w:p>
    <w:p w14:paraId="52286F4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6F7BD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6.7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DAA5B5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7.评审标准</w:t>
      </w:r>
    </w:p>
    <w:p w14:paraId="67391722">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7.</w:t>
      </w:r>
      <w:r>
        <w:rPr>
          <w:rFonts w:hint="eastAsia" w:ascii="宋体" w:hAnsi="宋体" w:cs="宋体"/>
          <w:bCs/>
          <w:color w:val="auto"/>
          <w:kern w:val="21"/>
          <w:sz w:val="24"/>
          <w:highlight w:val="none"/>
        </w:rPr>
        <w:t>1评审依据：磋商小组将以磋商响应文件为评审依据，对供应商的报价、技术、商务等方面内容按百分制打分。（计分方法按四舍五入取至百分位）</w:t>
      </w:r>
    </w:p>
    <w:tbl>
      <w:tblPr>
        <w:tblStyle w:val="32"/>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62"/>
        <w:gridCol w:w="6255"/>
        <w:gridCol w:w="1073"/>
      </w:tblGrid>
      <w:tr w14:paraId="451F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2" w:type="pct"/>
            <w:noWrap w:val="0"/>
            <w:vAlign w:val="center"/>
          </w:tcPr>
          <w:p w14:paraId="09CF4C3B">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序号</w:t>
            </w:r>
          </w:p>
        </w:tc>
        <w:tc>
          <w:tcPr>
            <w:tcW w:w="587" w:type="pct"/>
            <w:noWrap w:val="0"/>
            <w:vAlign w:val="center"/>
          </w:tcPr>
          <w:p w14:paraId="655FC5CC">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评分类型</w:t>
            </w:r>
          </w:p>
        </w:tc>
        <w:tc>
          <w:tcPr>
            <w:tcW w:w="3458" w:type="pct"/>
            <w:noWrap w:val="0"/>
            <w:vAlign w:val="center"/>
          </w:tcPr>
          <w:p w14:paraId="54BAF97A">
            <w:pPr>
              <w:pStyle w:val="18"/>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评分标准</w:t>
            </w:r>
          </w:p>
        </w:tc>
        <w:tc>
          <w:tcPr>
            <w:tcW w:w="592" w:type="pct"/>
            <w:noWrap w:val="0"/>
            <w:vAlign w:val="center"/>
          </w:tcPr>
          <w:p w14:paraId="54BF8385">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分值</w:t>
            </w:r>
          </w:p>
        </w:tc>
      </w:tr>
      <w:tr w14:paraId="4072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3A1013B1">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1</w:t>
            </w:r>
          </w:p>
        </w:tc>
        <w:tc>
          <w:tcPr>
            <w:tcW w:w="587" w:type="pct"/>
            <w:noWrap w:val="0"/>
            <w:vAlign w:val="center"/>
          </w:tcPr>
          <w:p w14:paraId="1CBEC63D">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价格分</w:t>
            </w:r>
          </w:p>
        </w:tc>
        <w:tc>
          <w:tcPr>
            <w:tcW w:w="3458" w:type="pct"/>
            <w:noWrap w:val="0"/>
            <w:vAlign w:val="center"/>
          </w:tcPr>
          <w:p w14:paraId="7914F341">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（1）评审报价为磋商供应商的磋商报价进行政策性扣除后的价格，评审报价</w:t>
            </w:r>
            <w:r>
              <w:rPr>
                <w:rFonts w:hint="eastAsia" w:ascii="宋体" w:hAnsi="宋体" w:eastAsia="宋体" w:cs="宋体"/>
                <w:bCs/>
                <w:color w:val="auto"/>
                <w:kern w:val="21"/>
                <w:sz w:val="24"/>
                <w:szCs w:val="24"/>
                <w:highlight w:val="none"/>
                <w:lang w:eastAsia="zh-CN"/>
              </w:rPr>
              <w:t>只</w:t>
            </w:r>
            <w:r>
              <w:rPr>
                <w:rFonts w:hint="eastAsia" w:ascii="宋体" w:hAnsi="宋体" w:eastAsia="宋体" w:cs="宋体"/>
                <w:bCs/>
                <w:color w:val="auto"/>
                <w:kern w:val="21"/>
                <w:sz w:val="24"/>
                <w:szCs w:val="24"/>
                <w:highlight w:val="none"/>
              </w:rPr>
              <w:t>作为评审时使用。最终成交供应商的成交金额等于最后磋商报价。</w:t>
            </w:r>
          </w:p>
          <w:p w14:paraId="331C303F">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2）按照《政府采购促进中小企业发展管理办法》（财库〔2020〕46号）以及《广西壮族自治区财政厅关于持续优化政府采购营商环境推动高质量发展的通知》（桂财采〔2024〕55号）的规定，磋商供应商在其响应文件中提供《中小企业声明函》，且其服务为小型和微型企业承接的，对其最后报价给予</w:t>
            </w: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0%的扣除。</w:t>
            </w:r>
          </w:p>
          <w:p w14:paraId="1065076A">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82F1CAB">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D7E95FF">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（5）政策性扣除计算方法。</w:t>
            </w:r>
          </w:p>
          <w:p w14:paraId="331D3992">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在服务采购项目中，服务由小微企业承接；对符合上述要求的磋商供应商的磋商报价给予</w:t>
            </w: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0%的扣除，扣除后的价格为评审报价，即评审报价=磋商报价×（1-</w:t>
            </w: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0%）。除上述情况外，评审报价=磋商总报价。</w:t>
            </w:r>
          </w:p>
          <w:p w14:paraId="36961317">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（6）满足采购文件要求且评审报价最低的评审报价为评审基准价，其价格分为满分。</w:t>
            </w:r>
          </w:p>
          <w:p w14:paraId="18A4B056">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（7）价格分计算公式：</w:t>
            </w:r>
          </w:p>
          <w:p w14:paraId="1A64E6C8">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价格分=（评审基准价/评审报价）×</w:t>
            </w:r>
            <w:r>
              <w:rPr>
                <w:rFonts w:hint="eastAsia" w:ascii="宋体" w:hAnsi="宋体" w:eastAsia="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c>
          <w:tcPr>
            <w:tcW w:w="592" w:type="pct"/>
            <w:noWrap w:val="0"/>
            <w:vAlign w:val="center"/>
          </w:tcPr>
          <w:p w14:paraId="40A178B3">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r>
      <w:tr w14:paraId="5D7B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7A2160A0">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2</w:t>
            </w:r>
          </w:p>
        </w:tc>
        <w:tc>
          <w:tcPr>
            <w:tcW w:w="587" w:type="pct"/>
            <w:noWrap w:val="0"/>
            <w:vAlign w:val="center"/>
          </w:tcPr>
          <w:p w14:paraId="1B019104">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技术分</w:t>
            </w:r>
          </w:p>
        </w:tc>
        <w:tc>
          <w:tcPr>
            <w:tcW w:w="3458" w:type="pct"/>
            <w:noWrap w:val="0"/>
            <w:vAlign w:val="center"/>
          </w:tcPr>
          <w:p w14:paraId="2FAD6B71">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赛事宣传</w:t>
            </w:r>
            <w:r>
              <w:rPr>
                <w:rFonts w:hint="eastAsia" w:ascii="宋体" w:hAnsi="宋体" w:eastAsia="宋体" w:cs="宋体"/>
                <w:b/>
                <w:bCs/>
                <w:color w:val="auto"/>
                <w:sz w:val="24"/>
                <w:szCs w:val="24"/>
                <w:highlight w:val="none"/>
              </w:rPr>
              <w:t>方案分（</w:t>
            </w:r>
            <w:r>
              <w:rPr>
                <w:rFonts w:hint="eastAsia" w:ascii="宋体" w:hAnsi="宋体" w:eastAsia="宋体" w:cs="宋体"/>
                <w:b/>
                <w:bCs/>
                <w:color w:val="auto"/>
                <w:sz w:val="24"/>
                <w:szCs w:val="24"/>
                <w:highlight w:val="none"/>
                <w:lang w:val="en-US" w:eastAsia="zh-CN"/>
              </w:rPr>
              <w:t>满分1</w:t>
            </w:r>
            <w:r>
              <w:rPr>
                <w:rFonts w:hint="eastAsia" w:ascii="宋体" w:hAnsi="宋体" w:eastAsia="宋体" w:cs="宋体"/>
                <w:b/>
                <w:bCs/>
                <w:color w:val="auto"/>
                <w:sz w:val="24"/>
                <w:szCs w:val="24"/>
                <w:highlight w:val="none"/>
              </w:rPr>
              <w:t>5分）</w:t>
            </w:r>
          </w:p>
          <w:p w14:paraId="54C697BF">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宣传</w:t>
            </w:r>
            <w:r>
              <w:rPr>
                <w:rFonts w:hint="eastAsia" w:ascii="宋体" w:hAnsi="宋体" w:eastAsia="宋体" w:cs="宋体"/>
                <w:bCs/>
                <w:color w:val="auto"/>
                <w:sz w:val="24"/>
                <w:szCs w:val="24"/>
                <w:highlight w:val="none"/>
              </w:rPr>
              <w:t>方案基本覆盖核心宣传模块，</w:t>
            </w:r>
            <w:r>
              <w:rPr>
                <w:rFonts w:hint="eastAsia" w:ascii="宋体" w:hAnsi="宋体" w:eastAsia="宋体" w:cs="宋体"/>
                <w:bCs/>
                <w:color w:val="auto"/>
                <w:sz w:val="24"/>
                <w:szCs w:val="24"/>
                <w:highlight w:val="none"/>
                <w:lang w:val="en-US" w:eastAsia="zh-CN"/>
              </w:rPr>
              <w:t>但</w:t>
            </w:r>
            <w:r>
              <w:rPr>
                <w:rFonts w:hint="eastAsia" w:ascii="宋体" w:hAnsi="宋体" w:eastAsia="宋体" w:cs="宋体"/>
                <w:bCs/>
                <w:color w:val="auto"/>
                <w:sz w:val="24"/>
                <w:szCs w:val="24"/>
                <w:highlight w:val="none"/>
              </w:rPr>
              <w:t>无差异化策略，仅含阶段框架无具体落地信息</w:t>
            </w:r>
            <w:r>
              <w:rPr>
                <w:rFonts w:hint="eastAsia" w:ascii="宋体" w:hAnsi="宋体" w:eastAsia="宋体" w:cs="宋体"/>
                <w:bCs/>
                <w:color w:val="auto"/>
                <w:sz w:val="24"/>
                <w:szCs w:val="24"/>
                <w:highlight w:val="none"/>
                <w:lang w:eastAsia="zh-CN"/>
              </w:rPr>
              <w:t>；</w:t>
            </w:r>
            <w:r>
              <w:rPr>
                <w:rFonts w:hint="eastAsia" w:ascii="宋体" w:hAnsi="宋体" w:eastAsia="宋体" w:cs="宋体"/>
                <w:color w:val="000000"/>
                <w:kern w:val="0"/>
                <w:sz w:val="24"/>
                <w:szCs w:val="24"/>
                <w:highlight w:val="none"/>
                <w:lang w:val="en-US" w:eastAsia="zh-CN"/>
              </w:rPr>
              <w:t>宣传方案简单，不够周全。</w:t>
            </w:r>
          </w:p>
          <w:p w14:paraId="5177A013">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宣传</w:t>
            </w:r>
            <w:r>
              <w:rPr>
                <w:rFonts w:hint="eastAsia" w:ascii="宋体" w:hAnsi="宋体" w:eastAsia="宋体" w:cs="宋体"/>
                <w:bCs/>
                <w:color w:val="auto"/>
                <w:sz w:val="24"/>
                <w:szCs w:val="24"/>
                <w:highlight w:val="none"/>
              </w:rPr>
              <w:t>方案覆盖赛事主要阶段，</w:t>
            </w:r>
            <w:r>
              <w:rPr>
                <w:rFonts w:hint="eastAsia" w:ascii="宋体" w:hAnsi="宋体" w:eastAsia="宋体" w:cs="宋体"/>
                <w:color w:val="000000"/>
                <w:kern w:val="0"/>
                <w:sz w:val="24"/>
                <w:szCs w:val="24"/>
                <w:highlight w:val="none"/>
                <w:lang w:val="en-US" w:eastAsia="zh-CN"/>
              </w:rPr>
              <w:t>宣传</w:t>
            </w:r>
            <w:r>
              <w:rPr>
                <w:rFonts w:hint="eastAsia" w:ascii="宋体" w:hAnsi="宋体" w:eastAsia="宋体" w:cs="宋体"/>
                <w:bCs/>
                <w:color w:val="auto"/>
                <w:sz w:val="24"/>
                <w:szCs w:val="24"/>
                <w:highlight w:val="none"/>
              </w:rPr>
              <w:t>策略符合基本需求</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有</w:t>
            </w:r>
            <w:r>
              <w:rPr>
                <w:rFonts w:hint="eastAsia" w:ascii="宋体" w:hAnsi="宋体" w:eastAsia="宋体" w:cs="宋体"/>
                <w:bCs/>
                <w:color w:val="auto"/>
                <w:sz w:val="24"/>
                <w:szCs w:val="24"/>
                <w:highlight w:val="none"/>
              </w:rPr>
              <w:t>具体</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落地信息；</w:t>
            </w:r>
            <w:r>
              <w:rPr>
                <w:rFonts w:hint="eastAsia" w:ascii="宋体" w:hAnsi="宋体" w:eastAsia="宋体" w:cs="宋体"/>
                <w:color w:val="000000"/>
                <w:kern w:val="0"/>
                <w:sz w:val="24"/>
                <w:szCs w:val="24"/>
                <w:highlight w:val="none"/>
                <w:lang w:val="en-US" w:eastAsia="zh-CN"/>
              </w:rPr>
              <w:t>宣传方案</w:t>
            </w:r>
            <w:r>
              <w:rPr>
                <w:rFonts w:hint="eastAsia" w:ascii="宋体" w:hAnsi="宋体" w:eastAsia="宋体" w:cs="宋体"/>
                <w:bCs/>
                <w:color w:val="auto"/>
                <w:sz w:val="24"/>
                <w:szCs w:val="24"/>
                <w:highlight w:val="none"/>
              </w:rPr>
              <w:t>重点内容、措施具体，对项目需求内容有一定分析，整体构思</w:t>
            </w:r>
            <w:r>
              <w:rPr>
                <w:rFonts w:hint="eastAsia" w:ascii="宋体" w:hAnsi="宋体" w:eastAsia="宋体" w:cs="宋体"/>
                <w:bCs/>
                <w:color w:val="auto"/>
                <w:sz w:val="24"/>
                <w:szCs w:val="24"/>
                <w:highlight w:val="none"/>
                <w:lang w:val="en-US" w:eastAsia="zh-CN"/>
              </w:rPr>
              <w:t>周全</w:t>
            </w:r>
            <w:r>
              <w:rPr>
                <w:rFonts w:hint="eastAsia" w:ascii="宋体" w:hAnsi="宋体" w:eastAsia="宋体" w:cs="宋体"/>
                <w:bCs/>
                <w:color w:val="auto"/>
                <w:sz w:val="24"/>
                <w:szCs w:val="24"/>
                <w:highlight w:val="none"/>
                <w:lang w:eastAsia="zh-CN"/>
              </w:rPr>
              <w:t>。</w:t>
            </w:r>
          </w:p>
          <w:p w14:paraId="6B56AD30">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三档（</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5分）：</w:t>
            </w:r>
            <w:r>
              <w:rPr>
                <w:rFonts w:hint="eastAsia" w:ascii="宋体" w:hAnsi="宋体" w:eastAsia="宋体" w:cs="宋体"/>
                <w:bCs/>
                <w:color w:val="auto"/>
                <w:sz w:val="24"/>
                <w:szCs w:val="24"/>
                <w:highlight w:val="none"/>
                <w:lang w:val="en-US" w:eastAsia="zh-CN"/>
              </w:rPr>
              <w:t>宣传</w:t>
            </w:r>
            <w:r>
              <w:rPr>
                <w:rFonts w:hint="eastAsia" w:ascii="宋体" w:hAnsi="宋体" w:eastAsia="宋体" w:cs="宋体"/>
                <w:bCs/>
                <w:color w:val="auto"/>
                <w:sz w:val="24"/>
                <w:szCs w:val="24"/>
                <w:highlight w:val="none"/>
              </w:rPr>
              <w:t>方案覆盖赛事全周期，宣传策略贴合海外目标受众需求</w:t>
            </w:r>
            <w:r>
              <w:rPr>
                <w:rFonts w:hint="eastAsia" w:ascii="宋体" w:hAnsi="宋体" w:eastAsia="宋体" w:cs="宋体"/>
                <w:bCs/>
                <w:color w:val="auto"/>
                <w:sz w:val="24"/>
                <w:szCs w:val="24"/>
                <w:highlight w:val="none"/>
                <w:lang w:eastAsia="zh-CN"/>
              </w:rPr>
              <w:t>，有细化的计划流程、</w:t>
            </w:r>
            <w:r>
              <w:rPr>
                <w:rFonts w:hint="eastAsia" w:ascii="宋体" w:hAnsi="宋体" w:eastAsia="宋体" w:cs="宋体"/>
                <w:color w:val="000000"/>
                <w:kern w:val="0"/>
                <w:sz w:val="24"/>
                <w:szCs w:val="24"/>
                <w:highlight w:val="none"/>
                <w:lang w:val="en-US" w:eastAsia="zh-CN"/>
              </w:rPr>
              <w:t>宣传</w:t>
            </w:r>
            <w:r>
              <w:rPr>
                <w:rFonts w:hint="eastAsia" w:ascii="宋体" w:hAnsi="宋体" w:eastAsia="宋体" w:cs="宋体"/>
                <w:bCs/>
                <w:color w:val="auto"/>
                <w:sz w:val="24"/>
                <w:szCs w:val="24"/>
                <w:highlight w:val="none"/>
                <w:lang w:eastAsia="zh-CN"/>
              </w:rPr>
              <w:t>思路、</w:t>
            </w:r>
            <w:r>
              <w:rPr>
                <w:rFonts w:hint="eastAsia" w:ascii="宋体" w:hAnsi="宋体" w:eastAsia="宋体" w:cs="宋体"/>
                <w:color w:val="000000"/>
                <w:kern w:val="0"/>
                <w:sz w:val="24"/>
                <w:szCs w:val="24"/>
                <w:highlight w:val="none"/>
                <w:lang w:val="en-US" w:eastAsia="zh-CN"/>
              </w:rPr>
              <w:t>宣传</w:t>
            </w:r>
            <w:r>
              <w:rPr>
                <w:rFonts w:hint="eastAsia" w:ascii="宋体" w:hAnsi="宋体" w:eastAsia="宋体" w:cs="宋体"/>
                <w:bCs/>
                <w:color w:val="auto"/>
                <w:sz w:val="24"/>
                <w:szCs w:val="24"/>
                <w:highlight w:val="none"/>
                <w:lang w:eastAsia="zh-CN"/>
              </w:rPr>
              <w:t>途径规划</w:t>
            </w:r>
            <w:r>
              <w:rPr>
                <w:rFonts w:hint="eastAsia" w:ascii="宋体" w:hAnsi="宋体" w:eastAsia="宋体" w:cs="宋体"/>
                <w:bCs/>
                <w:color w:val="auto"/>
                <w:sz w:val="24"/>
                <w:szCs w:val="24"/>
                <w:highlight w:val="none"/>
                <w:lang w:val="en-US" w:eastAsia="zh-CN"/>
              </w:rPr>
              <w:t>等</w:t>
            </w:r>
            <w:r>
              <w:rPr>
                <w:rFonts w:hint="eastAsia" w:ascii="宋体" w:hAnsi="宋体" w:eastAsia="宋体" w:cs="宋体"/>
                <w:bCs/>
                <w:color w:val="auto"/>
                <w:sz w:val="24"/>
                <w:szCs w:val="24"/>
                <w:highlight w:val="none"/>
                <w:lang w:eastAsia="zh-CN"/>
              </w:rPr>
              <w:t>内容；对应的</w:t>
            </w:r>
            <w:r>
              <w:rPr>
                <w:rFonts w:hint="eastAsia" w:ascii="宋体" w:hAnsi="宋体" w:eastAsia="宋体" w:cs="宋体"/>
                <w:color w:val="000000"/>
                <w:kern w:val="0"/>
                <w:sz w:val="24"/>
                <w:szCs w:val="24"/>
                <w:highlight w:val="none"/>
                <w:lang w:val="en-US" w:eastAsia="zh-CN"/>
              </w:rPr>
              <w:t>宣传</w:t>
            </w:r>
            <w:r>
              <w:rPr>
                <w:rFonts w:hint="eastAsia" w:ascii="宋体" w:hAnsi="宋体" w:eastAsia="宋体" w:cs="宋体"/>
                <w:bCs/>
                <w:color w:val="auto"/>
                <w:sz w:val="24"/>
                <w:szCs w:val="24"/>
                <w:highlight w:val="none"/>
                <w:lang w:eastAsia="zh-CN"/>
              </w:rPr>
              <w:t>措施详细全面。整体构思新颖、目标明确，方案重点内容突出、措施具体，对需求内容分析理解深刻、描述详细。</w:t>
            </w:r>
            <w:r>
              <w:rPr>
                <w:rFonts w:hint="eastAsia" w:ascii="宋体" w:hAnsi="宋体" w:eastAsia="宋体" w:cs="宋体"/>
                <w:bCs/>
                <w:color w:val="auto"/>
                <w:sz w:val="24"/>
                <w:szCs w:val="24"/>
                <w:highlight w:val="none"/>
                <w:lang w:val="en-US" w:eastAsia="zh-CN"/>
              </w:rPr>
              <w:t>供应商有3</w:t>
            </w:r>
            <w:r>
              <w:rPr>
                <w:rFonts w:hint="eastAsia" w:ascii="宋体" w:hAnsi="宋体" w:eastAsia="宋体" w:cs="宋体"/>
                <w:bCs/>
                <w:color w:val="auto"/>
                <w:sz w:val="24"/>
                <w:szCs w:val="24"/>
                <w:highlight w:val="none"/>
                <w:lang w:eastAsia="zh-CN"/>
              </w:rPr>
              <w:t>个及以上语种翻译与</w:t>
            </w:r>
            <w:r>
              <w:rPr>
                <w:rFonts w:hint="eastAsia" w:ascii="宋体" w:hAnsi="宋体" w:cs="宋体"/>
                <w:bCs/>
                <w:color w:val="auto"/>
                <w:sz w:val="24"/>
                <w:szCs w:val="24"/>
                <w:highlight w:val="none"/>
                <w:lang w:val="en-US" w:eastAsia="zh-CN"/>
              </w:rPr>
              <w:t>宣传</w:t>
            </w:r>
            <w:r>
              <w:rPr>
                <w:rFonts w:hint="eastAsia" w:ascii="宋体" w:hAnsi="宋体" w:eastAsia="宋体" w:cs="宋体"/>
                <w:bCs/>
                <w:color w:val="auto"/>
                <w:sz w:val="24"/>
                <w:szCs w:val="24"/>
                <w:highlight w:val="none"/>
                <w:lang w:eastAsia="zh-CN"/>
              </w:rPr>
              <w:t>能力（</w:t>
            </w:r>
            <w:r>
              <w:rPr>
                <w:rFonts w:hint="eastAsia" w:ascii="宋体" w:hAnsi="宋体" w:eastAsia="宋体" w:cs="宋体"/>
                <w:bCs/>
                <w:color w:val="auto"/>
                <w:sz w:val="24"/>
                <w:szCs w:val="24"/>
                <w:highlight w:val="none"/>
                <w:lang w:val="en-US" w:eastAsia="zh-CN"/>
              </w:rPr>
              <w:t>须</w:t>
            </w:r>
            <w:r>
              <w:rPr>
                <w:rFonts w:hint="eastAsia" w:ascii="宋体" w:hAnsi="宋体" w:eastAsia="宋体" w:cs="宋体"/>
                <w:bCs/>
                <w:color w:val="auto"/>
                <w:sz w:val="24"/>
                <w:szCs w:val="24"/>
                <w:highlight w:val="none"/>
                <w:lang w:eastAsia="zh-CN"/>
              </w:rPr>
              <w:t>提供多语种服务或</w:t>
            </w:r>
            <w:r>
              <w:rPr>
                <w:rFonts w:hint="eastAsia" w:ascii="宋体" w:hAnsi="宋体" w:cs="宋体"/>
                <w:bCs/>
                <w:color w:val="auto"/>
                <w:sz w:val="24"/>
                <w:szCs w:val="24"/>
                <w:highlight w:val="none"/>
                <w:lang w:val="en-US" w:eastAsia="zh-CN"/>
              </w:rPr>
              <w:t>宣传</w:t>
            </w:r>
            <w:r>
              <w:rPr>
                <w:rFonts w:hint="eastAsia" w:ascii="宋体" w:hAnsi="宋体" w:eastAsia="宋体" w:cs="宋体"/>
                <w:bCs/>
                <w:color w:val="auto"/>
                <w:sz w:val="24"/>
                <w:szCs w:val="24"/>
                <w:highlight w:val="none"/>
                <w:lang w:eastAsia="zh-CN"/>
              </w:rPr>
              <w:t>案例</w:t>
            </w:r>
            <w:r>
              <w:rPr>
                <w:rFonts w:hint="eastAsia" w:ascii="宋体" w:hAnsi="宋体" w:eastAsia="宋体" w:cs="宋体"/>
                <w:bCs/>
                <w:color w:val="auto"/>
                <w:sz w:val="24"/>
                <w:szCs w:val="24"/>
                <w:highlight w:val="none"/>
                <w:lang w:val="en-US" w:eastAsia="zh-CN"/>
              </w:rPr>
              <w:t>的证明材料</w:t>
            </w:r>
            <w:r>
              <w:rPr>
                <w:rFonts w:hint="eastAsia" w:ascii="宋体" w:hAnsi="宋体" w:eastAsia="宋体" w:cs="宋体"/>
                <w:bCs/>
                <w:color w:val="auto"/>
                <w:sz w:val="24"/>
                <w:szCs w:val="24"/>
                <w:highlight w:val="none"/>
                <w:lang w:eastAsia="zh-CN"/>
              </w:rPr>
              <w:t>）。</w:t>
            </w:r>
          </w:p>
          <w:p w14:paraId="4BD36808">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赛事推广</w:t>
            </w:r>
            <w:r>
              <w:rPr>
                <w:rFonts w:hint="eastAsia" w:ascii="宋体" w:hAnsi="宋体" w:eastAsia="宋体" w:cs="宋体"/>
                <w:b/>
                <w:bCs/>
                <w:color w:val="auto"/>
                <w:sz w:val="24"/>
                <w:szCs w:val="24"/>
                <w:highlight w:val="none"/>
              </w:rPr>
              <w:t>方案分（</w:t>
            </w:r>
            <w:r>
              <w:rPr>
                <w:rFonts w:hint="eastAsia" w:ascii="宋体" w:hAnsi="宋体" w:eastAsia="宋体" w:cs="宋体"/>
                <w:b/>
                <w:bCs/>
                <w:color w:val="auto"/>
                <w:sz w:val="24"/>
                <w:szCs w:val="24"/>
                <w:highlight w:val="none"/>
                <w:lang w:val="en-US" w:eastAsia="zh-CN"/>
              </w:rPr>
              <w:t>满分18</w:t>
            </w:r>
            <w:r>
              <w:rPr>
                <w:rFonts w:hint="eastAsia" w:ascii="宋体" w:hAnsi="宋体" w:eastAsia="宋体" w:cs="宋体"/>
                <w:b/>
                <w:bCs/>
                <w:color w:val="auto"/>
                <w:sz w:val="24"/>
                <w:szCs w:val="24"/>
                <w:highlight w:val="none"/>
              </w:rPr>
              <w:t>分）</w:t>
            </w:r>
          </w:p>
          <w:p w14:paraId="1F51A951">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一档（</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分）：推广方案内容简单不够具体，未提供推广方式，较难达到本项目推广目的。推广渠道涵盖至少4家省级及以上官方主流媒体</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合作内容和推广方式不清晰，产品形式单一</w:t>
            </w:r>
            <w:r>
              <w:rPr>
                <w:rFonts w:hint="eastAsia" w:ascii="宋体" w:hAnsi="宋体" w:eastAsia="宋体" w:cs="宋体"/>
                <w:b w:val="0"/>
                <w:bCs w:val="0"/>
                <w:color w:val="auto"/>
                <w:sz w:val="24"/>
                <w:szCs w:val="24"/>
                <w:highlight w:val="none"/>
                <w:lang w:eastAsia="zh-CN"/>
              </w:rPr>
              <w:t>。</w:t>
            </w:r>
          </w:p>
          <w:p w14:paraId="02E5F583">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二档（</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分）：推广方案内容全面合理，有推广方式，整体构思清晰，展示形式较多，能达到本项目推广目的。推广渠道涵盖至少4家省级及以上官方主流媒体</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其中</w:t>
            </w:r>
            <w:r>
              <w:rPr>
                <w:rFonts w:hint="eastAsia" w:ascii="宋体" w:hAnsi="宋体" w:eastAsia="宋体" w:cs="宋体"/>
                <w:b w:val="0"/>
                <w:bCs w:val="0"/>
                <w:color w:val="auto"/>
                <w:sz w:val="24"/>
                <w:szCs w:val="24"/>
                <w:highlight w:val="none"/>
                <w:lang w:val="en-US" w:eastAsia="zh-CN"/>
              </w:rPr>
              <w:t>至少含1</w:t>
            </w:r>
            <w:r>
              <w:rPr>
                <w:rFonts w:hint="eastAsia" w:ascii="宋体" w:hAnsi="宋体" w:eastAsia="宋体" w:cs="宋体"/>
                <w:b w:val="0"/>
                <w:bCs w:val="0"/>
                <w:color w:val="auto"/>
                <w:sz w:val="24"/>
                <w:szCs w:val="24"/>
                <w:highlight w:val="none"/>
              </w:rPr>
              <w:t>家</w:t>
            </w:r>
            <w:r>
              <w:rPr>
                <w:rFonts w:hint="eastAsia" w:ascii="宋体" w:hAnsi="宋体" w:eastAsia="宋体" w:cs="宋体"/>
                <w:b w:val="0"/>
                <w:bCs w:val="0"/>
                <w:color w:val="auto"/>
                <w:sz w:val="24"/>
                <w:szCs w:val="24"/>
                <w:highlight w:val="none"/>
                <w:lang w:val="en-US" w:eastAsia="zh-CN"/>
              </w:rPr>
              <w:t>中央级媒体）</w:t>
            </w:r>
            <w:r>
              <w:rPr>
                <w:rFonts w:hint="eastAsia" w:ascii="宋体" w:hAnsi="宋体" w:eastAsia="宋体" w:cs="宋体"/>
                <w:b w:val="0"/>
                <w:bCs w:val="0"/>
                <w:color w:val="auto"/>
                <w:sz w:val="24"/>
                <w:szCs w:val="24"/>
                <w:highlight w:val="none"/>
              </w:rPr>
              <w:t>，明确合作内容和推广方式，有基础创意</w:t>
            </w:r>
            <w:r>
              <w:rPr>
                <w:rFonts w:hint="eastAsia" w:ascii="宋体" w:hAnsi="宋体" w:eastAsia="宋体" w:cs="宋体"/>
                <w:b w:val="0"/>
                <w:bCs w:val="0"/>
                <w:color w:val="auto"/>
                <w:sz w:val="24"/>
                <w:szCs w:val="24"/>
                <w:highlight w:val="none"/>
                <w:lang w:eastAsia="zh-CN"/>
              </w:rPr>
              <w:t>。</w:t>
            </w:r>
          </w:p>
          <w:p w14:paraId="236A11E0">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三档（</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rPr>
              <w:t>分）：推广方案内容条理清晰详细、全面合理，推广方式丰富多样，方案重点内容突出，措施具体，整体构思新颖，展示形式灵活多样，</w:t>
            </w:r>
            <w:r>
              <w:rPr>
                <w:rFonts w:hint="eastAsia" w:ascii="宋体" w:hAnsi="宋体" w:eastAsia="宋体" w:cs="宋体"/>
                <w:b w:val="0"/>
                <w:bCs w:val="0"/>
                <w:color w:val="auto"/>
                <w:sz w:val="24"/>
                <w:szCs w:val="24"/>
                <w:highlight w:val="none"/>
                <w:lang w:val="en-US" w:eastAsia="zh-CN"/>
              </w:rPr>
              <w:t>较</w:t>
            </w:r>
            <w:r>
              <w:rPr>
                <w:rFonts w:hint="eastAsia" w:ascii="宋体" w:hAnsi="宋体" w:eastAsia="宋体" w:cs="宋体"/>
                <w:b w:val="0"/>
                <w:bCs w:val="0"/>
                <w:color w:val="auto"/>
                <w:sz w:val="24"/>
                <w:szCs w:val="24"/>
                <w:highlight w:val="none"/>
              </w:rPr>
              <w:t>好的达到本项目推广目的及效果。推广渠道涵盖至少4家省级及以上官方主流媒体</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其中</w:t>
            </w:r>
            <w:r>
              <w:rPr>
                <w:rFonts w:hint="eastAsia" w:ascii="宋体" w:hAnsi="宋体" w:eastAsia="宋体" w:cs="宋体"/>
                <w:b w:val="0"/>
                <w:bCs w:val="0"/>
                <w:color w:val="auto"/>
                <w:sz w:val="24"/>
                <w:szCs w:val="24"/>
                <w:highlight w:val="none"/>
                <w:lang w:val="en-US" w:eastAsia="zh-CN"/>
              </w:rPr>
              <w:t>至少含2</w:t>
            </w:r>
            <w:r>
              <w:rPr>
                <w:rFonts w:hint="eastAsia" w:ascii="宋体" w:hAnsi="宋体" w:eastAsia="宋体" w:cs="宋体"/>
                <w:b w:val="0"/>
                <w:bCs w:val="0"/>
                <w:color w:val="auto"/>
                <w:sz w:val="24"/>
                <w:szCs w:val="24"/>
                <w:highlight w:val="none"/>
              </w:rPr>
              <w:t>家</w:t>
            </w:r>
            <w:r>
              <w:rPr>
                <w:rFonts w:hint="eastAsia" w:ascii="宋体" w:hAnsi="宋体" w:eastAsia="宋体" w:cs="宋体"/>
                <w:b w:val="0"/>
                <w:bCs w:val="0"/>
                <w:color w:val="auto"/>
                <w:sz w:val="24"/>
                <w:szCs w:val="24"/>
                <w:highlight w:val="none"/>
                <w:lang w:val="en-US" w:eastAsia="zh-CN"/>
              </w:rPr>
              <w:t>中央级媒体）</w:t>
            </w:r>
            <w:r>
              <w:rPr>
                <w:rFonts w:hint="eastAsia" w:ascii="宋体" w:hAnsi="宋体" w:eastAsia="宋体" w:cs="宋体"/>
                <w:b w:val="0"/>
                <w:bCs w:val="0"/>
                <w:color w:val="auto"/>
                <w:sz w:val="24"/>
                <w:szCs w:val="24"/>
                <w:highlight w:val="none"/>
              </w:rPr>
              <w:t>，且明确媒体</w:t>
            </w:r>
            <w:r>
              <w:rPr>
                <w:rFonts w:hint="eastAsia" w:ascii="宋体" w:hAnsi="宋体" w:eastAsia="宋体" w:cs="宋体"/>
                <w:b w:val="0"/>
                <w:bCs w:val="0"/>
                <w:color w:val="auto"/>
                <w:sz w:val="24"/>
                <w:szCs w:val="24"/>
                <w:highlight w:val="none"/>
                <w:lang w:val="en-US" w:eastAsia="zh-CN"/>
              </w:rPr>
              <w:t>的合作名单、</w:t>
            </w:r>
            <w:r>
              <w:rPr>
                <w:rFonts w:hint="eastAsia" w:ascii="宋体" w:hAnsi="宋体" w:eastAsia="宋体" w:cs="宋体"/>
                <w:b w:val="0"/>
                <w:bCs w:val="0"/>
                <w:color w:val="auto"/>
                <w:sz w:val="24"/>
                <w:szCs w:val="24"/>
                <w:highlight w:val="none"/>
              </w:rPr>
              <w:t>具体合作内容和推广方式，各平台内容形式创新亮点突出。</w:t>
            </w:r>
            <w:r>
              <w:rPr>
                <w:rFonts w:hint="eastAsia" w:ascii="宋体" w:hAnsi="宋体" w:eastAsia="宋体" w:cs="宋体"/>
                <w:b w:val="0"/>
                <w:bCs w:val="0"/>
                <w:color w:val="auto"/>
                <w:sz w:val="24"/>
                <w:szCs w:val="24"/>
                <w:highlight w:val="none"/>
                <w:lang w:val="en-US" w:eastAsia="zh-CN"/>
              </w:rPr>
              <w:t>近2年有</w:t>
            </w:r>
            <w:r>
              <w:rPr>
                <w:rFonts w:hint="eastAsia" w:ascii="宋体" w:hAnsi="宋体" w:eastAsia="宋体" w:cs="宋体"/>
                <w:b w:val="0"/>
                <w:bCs w:val="0"/>
                <w:color w:val="auto"/>
                <w:sz w:val="24"/>
                <w:szCs w:val="24"/>
                <w:highlight w:val="none"/>
              </w:rPr>
              <w:t>发布的视频单条播放量达到100万及以上或线上话题活动阅读量达到10万及以上</w:t>
            </w:r>
            <w:r>
              <w:rPr>
                <w:rFonts w:hint="eastAsia" w:ascii="宋体" w:hAnsi="宋体" w:eastAsia="宋体" w:cs="宋体"/>
                <w:b w:val="0"/>
                <w:bCs w:val="0"/>
                <w:color w:val="auto"/>
                <w:sz w:val="24"/>
                <w:szCs w:val="24"/>
                <w:highlight w:val="none"/>
                <w:lang w:val="en-US" w:eastAsia="zh-CN"/>
              </w:rPr>
              <w:t>的案例</w:t>
            </w:r>
            <w:r>
              <w:rPr>
                <w:rFonts w:hint="eastAsia" w:ascii="宋体" w:hAnsi="宋体" w:eastAsia="宋体" w:cs="宋体"/>
                <w:bCs/>
                <w:color w:val="auto"/>
                <w:kern w:val="21"/>
                <w:sz w:val="24"/>
                <w:szCs w:val="24"/>
                <w:highlight w:val="none"/>
              </w:rPr>
              <w:t>（</w:t>
            </w:r>
            <w:r>
              <w:rPr>
                <w:rFonts w:hint="eastAsia" w:ascii="宋体" w:hAnsi="宋体" w:eastAsia="宋体" w:cs="宋体"/>
                <w:bCs/>
                <w:color w:val="auto"/>
                <w:kern w:val="21"/>
                <w:sz w:val="24"/>
                <w:szCs w:val="24"/>
                <w:highlight w:val="none"/>
                <w:lang w:val="en-US" w:eastAsia="zh-CN"/>
              </w:rPr>
              <w:t>须</w:t>
            </w:r>
            <w:r>
              <w:rPr>
                <w:rFonts w:hint="eastAsia" w:ascii="宋体" w:hAnsi="宋体" w:eastAsia="宋体" w:cs="宋体"/>
                <w:bCs/>
                <w:color w:val="auto"/>
                <w:kern w:val="21"/>
                <w:sz w:val="24"/>
                <w:szCs w:val="24"/>
                <w:highlight w:val="none"/>
              </w:rPr>
              <w:t>提供相关证明</w:t>
            </w:r>
            <w:r>
              <w:rPr>
                <w:rFonts w:hint="eastAsia" w:ascii="宋体" w:hAnsi="宋体" w:eastAsia="宋体" w:cs="宋体"/>
                <w:bCs/>
                <w:color w:val="auto"/>
                <w:kern w:val="21"/>
                <w:sz w:val="24"/>
                <w:szCs w:val="24"/>
                <w:highlight w:val="none"/>
                <w:lang w:val="en-US" w:eastAsia="zh-CN"/>
              </w:rPr>
              <w:t>材料</w:t>
            </w:r>
            <w:r>
              <w:rPr>
                <w:rFonts w:hint="eastAsia" w:ascii="宋体" w:hAnsi="宋体" w:eastAsia="宋体" w:cs="宋体"/>
                <w:bCs/>
                <w:color w:val="auto"/>
                <w:kern w:val="21"/>
                <w:sz w:val="24"/>
                <w:szCs w:val="24"/>
                <w:highlight w:val="none"/>
              </w:rPr>
              <w:t>）</w:t>
            </w:r>
            <w:r>
              <w:rPr>
                <w:rFonts w:hint="eastAsia" w:ascii="宋体" w:hAnsi="宋体" w:eastAsia="宋体" w:cs="宋体"/>
                <w:b w:val="0"/>
                <w:bCs w:val="0"/>
                <w:color w:val="auto"/>
                <w:sz w:val="24"/>
                <w:szCs w:val="24"/>
                <w:highlight w:val="none"/>
              </w:rPr>
              <w:t>。</w:t>
            </w:r>
          </w:p>
          <w:p w14:paraId="728A4E1C">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三、服务团队分（</w:t>
            </w:r>
            <w:r>
              <w:rPr>
                <w:rFonts w:hint="eastAsia" w:ascii="宋体" w:hAnsi="宋体" w:eastAsia="宋体" w:cs="宋体"/>
                <w:b/>
                <w:bCs/>
                <w:color w:val="auto"/>
                <w:sz w:val="24"/>
                <w:szCs w:val="24"/>
                <w:highlight w:val="none"/>
                <w:lang w:val="en-US" w:eastAsia="zh-CN"/>
              </w:rPr>
              <w:t>满分22</w:t>
            </w:r>
            <w:r>
              <w:rPr>
                <w:rFonts w:hint="eastAsia" w:ascii="宋体" w:hAnsi="宋体" w:eastAsia="宋体" w:cs="宋体"/>
                <w:b/>
                <w:bCs/>
                <w:color w:val="auto"/>
                <w:sz w:val="24"/>
                <w:szCs w:val="24"/>
                <w:highlight w:val="none"/>
              </w:rPr>
              <w:t>分）</w:t>
            </w:r>
          </w:p>
          <w:p w14:paraId="1621F8EF">
            <w:pPr>
              <w:keepNext w:val="0"/>
              <w:keepLines w:val="0"/>
              <w:pageBreakBefore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b/>
                <w:bCs w:val="0"/>
                <w:color w:val="auto"/>
                <w:kern w:val="21"/>
                <w:sz w:val="24"/>
                <w:szCs w:val="24"/>
                <w:highlight w:val="none"/>
                <w:lang w:val="en-US" w:eastAsia="zh-CN"/>
              </w:rPr>
            </w:pPr>
            <w:r>
              <w:rPr>
                <w:rFonts w:hint="eastAsia" w:ascii="宋体" w:hAnsi="宋体" w:eastAsia="宋体" w:cs="宋体"/>
                <w:b/>
                <w:bCs w:val="0"/>
                <w:color w:val="auto"/>
                <w:kern w:val="21"/>
                <w:sz w:val="24"/>
                <w:szCs w:val="24"/>
                <w:highlight w:val="none"/>
              </w:rPr>
              <w:t>（一）服务团队</w:t>
            </w:r>
            <w:r>
              <w:rPr>
                <w:rFonts w:hint="eastAsia" w:ascii="宋体" w:hAnsi="宋体" w:eastAsia="宋体" w:cs="宋体"/>
                <w:b/>
                <w:bCs w:val="0"/>
                <w:color w:val="auto"/>
                <w:kern w:val="21"/>
                <w:sz w:val="24"/>
                <w:szCs w:val="24"/>
                <w:highlight w:val="none"/>
                <w:lang w:val="en-US" w:eastAsia="zh-CN"/>
              </w:rPr>
              <w:t>人员配置</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满分1</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p w14:paraId="728E860A">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一档（</w:t>
            </w:r>
            <w:r>
              <w:rPr>
                <w:rFonts w:hint="eastAsia" w:ascii="宋体" w:hAnsi="宋体" w:cs="宋体"/>
                <w:bCs/>
                <w:color w:val="auto"/>
                <w:kern w:val="21"/>
                <w:sz w:val="24"/>
                <w:szCs w:val="24"/>
                <w:highlight w:val="none"/>
                <w:lang w:val="en-US" w:eastAsia="zh-CN"/>
              </w:rPr>
              <w:t>5</w:t>
            </w:r>
            <w:r>
              <w:rPr>
                <w:rFonts w:hint="eastAsia" w:ascii="宋体" w:hAnsi="宋体" w:eastAsia="宋体" w:cs="宋体"/>
                <w:bCs/>
                <w:color w:val="auto"/>
                <w:kern w:val="21"/>
                <w:sz w:val="24"/>
                <w:szCs w:val="24"/>
                <w:highlight w:val="none"/>
              </w:rPr>
              <w:t>分）：项目负责人</w:t>
            </w:r>
            <w:r>
              <w:rPr>
                <w:rFonts w:hint="eastAsia" w:ascii="宋体" w:hAnsi="宋体" w:eastAsia="宋体" w:cs="宋体"/>
                <w:bCs/>
                <w:color w:val="auto"/>
                <w:kern w:val="21"/>
                <w:sz w:val="24"/>
                <w:szCs w:val="24"/>
                <w:highlight w:val="none"/>
                <w:lang w:val="en-US" w:eastAsia="zh-CN"/>
              </w:rPr>
              <w:t>有</w:t>
            </w:r>
            <w:r>
              <w:rPr>
                <w:rFonts w:hint="default" w:ascii="宋体" w:hAnsi="宋体" w:eastAsia="宋体" w:cs="宋体"/>
                <w:bCs/>
                <w:color w:val="auto"/>
                <w:kern w:val="21"/>
                <w:sz w:val="24"/>
                <w:szCs w:val="24"/>
                <w:highlight w:val="none"/>
                <w:lang w:val="en-US" w:eastAsia="zh-CN"/>
              </w:rPr>
              <w:t>相关</w:t>
            </w:r>
            <w:r>
              <w:rPr>
                <w:rFonts w:hint="eastAsia" w:ascii="宋体" w:hAnsi="宋体" w:eastAsia="宋体" w:cs="宋体"/>
                <w:bCs/>
                <w:color w:val="auto"/>
                <w:kern w:val="21"/>
                <w:sz w:val="24"/>
                <w:szCs w:val="24"/>
                <w:highlight w:val="none"/>
              </w:rPr>
              <w:t>赛事</w:t>
            </w:r>
            <w:r>
              <w:rPr>
                <w:rFonts w:hint="eastAsia" w:ascii="宋体" w:hAnsi="宋体" w:eastAsia="宋体" w:cs="宋体"/>
                <w:bCs/>
                <w:color w:val="auto"/>
                <w:kern w:val="21"/>
                <w:sz w:val="24"/>
                <w:szCs w:val="24"/>
                <w:highlight w:val="none"/>
                <w:lang w:val="en-US" w:eastAsia="zh-CN"/>
              </w:rPr>
              <w:t>或</w:t>
            </w:r>
            <w:r>
              <w:rPr>
                <w:rFonts w:hint="default" w:ascii="宋体" w:hAnsi="宋体" w:eastAsia="宋体" w:cs="宋体"/>
                <w:bCs/>
                <w:color w:val="auto"/>
                <w:kern w:val="21"/>
                <w:sz w:val="24"/>
                <w:szCs w:val="24"/>
                <w:highlight w:val="none"/>
                <w:lang w:val="en-US" w:eastAsia="zh-CN"/>
              </w:rPr>
              <w:t>相关</w:t>
            </w:r>
            <w:r>
              <w:rPr>
                <w:rFonts w:hint="eastAsia" w:ascii="宋体" w:hAnsi="宋体" w:eastAsia="宋体" w:cs="宋体"/>
                <w:bCs/>
                <w:color w:val="auto"/>
                <w:kern w:val="21"/>
                <w:sz w:val="24"/>
                <w:szCs w:val="24"/>
                <w:highlight w:val="none"/>
                <w:lang w:val="en-US" w:eastAsia="zh-CN"/>
              </w:rPr>
              <w:t>宣传</w:t>
            </w:r>
            <w:r>
              <w:rPr>
                <w:rFonts w:hint="eastAsia" w:ascii="宋体" w:hAnsi="宋体" w:eastAsia="宋体" w:cs="宋体"/>
                <w:bCs/>
                <w:color w:val="auto"/>
                <w:kern w:val="21"/>
                <w:sz w:val="24"/>
                <w:szCs w:val="24"/>
                <w:highlight w:val="none"/>
              </w:rPr>
              <w:t>活动</w:t>
            </w:r>
            <w:r>
              <w:rPr>
                <w:rFonts w:hint="eastAsia" w:ascii="宋体" w:hAnsi="宋体" w:eastAsia="宋体" w:cs="宋体"/>
                <w:bCs/>
                <w:color w:val="auto"/>
                <w:kern w:val="21"/>
                <w:sz w:val="24"/>
                <w:szCs w:val="24"/>
                <w:highlight w:val="none"/>
                <w:lang w:val="en-US" w:eastAsia="zh-CN"/>
              </w:rPr>
              <w:t>的</w:t>
            </w:r>
            <w:r>
              <w:rPr>
                <w:rFonts w:hint="eastAsia" w:ascii="宋体" w:hAnsi="宋体" w:eastAsia="宋体" w:cs="宋体"/>
                <w:bCs/>
                <w:color w:val="auto"/>
                <w:kern w:val="21"/>
                <w:sz w:val="24"/>
                <w:szCs w:val="24"/>
                <w:highlight w:val="none"/>
              </w:rPr>
              <w:t>宣传推广经验（</w:t>
            </w:r>
            <w:r>
              <w:rPr>
                <w:rFonts w:hint="eastAsia" w:ascii="宋体" w:hAnsi="宋体" w:eastAsia="宋体" w:cs="宋体"/>
                <w:bCs/>
                <w:color w:val="auto"/>
                <w:kern w:val="21"/>
                <w:sz w:val="24"/>
                <w:szCs w:val="24"/>
                <w:highlight w:val="none"/>
                <w:lang w:val="en-US" w:eastAsia="zh-CN"/>
              </w:rPr>
              <w:t>须</w:t>
            </w:r>
            <w:r>
              <w:rPr>
                <w:rFonts w:hint="eastAsia" w:ascii="宋体" w:hAnsi="宋体" w:eastAsia="宋体" w:cs="宋体"/>
                <w:bCs/>
                <w:color w:val="auto"/>
                <w:kern w:val="21"/>
                <w:sz w:val="24"/>
                <w:szCs w:val="24"/>
                <w:highlight w:val="none"/>
              </w:rPr>
              <w:t>提供相关证明</w:t>
            </w:r>
            <w:r>
              <w:rPr>
                <w:rFonts w:hint="eastAsia" w:ascii="宋体" w:hAnsi="宋体" w:eastAsia="宋体" w:cs="宋体"/>
                <w:bCs/>
                <w:color w:val="auto"/>
                <w:kern w:val="21"/>
                <w:sz w:val="24"/>
                <w:szCs w:val="24"/>
                <w:highlight w:val="none"/>
                <w:lang w:val="en-US" w:eastAsia="zh-CN"/>
              </w:rPr>
              <w:t>材料</w:t>
            </w:r>
            <w:r>
              <w:rPr>
                <w:rFonts w:hint="eastAsia" w:ascii="宋体" w:hAnsi="宋体" w:eastAsia="宋体" w:cs="宋体"/>
                <w:bCs/>
                <w:color w:val="auto"/>
                <w:kern w:val="21"/>
                <w:sz w:val="24"/>
                <w:szCs w:val="24"/>
                <w:highlight w:val="none"/>
              </w:rPr>
              <w:t>）；团队人员</w:t>
            </w:r>
            <w:r>
              <w:rPr>
                <w:rFonts w:hint="eastAsia" w:ascii="宋体" w:hAnsi="宋体" w:cs="宋体"/>
                <w:bCs/>
                <w:color w:val="auto"/>
                <w:kern w:val="21"/>
                <w:sz w:val="24"/>
                <w:szCs w:val="24"/>
                <w:highlight w:val="none"/>
                <w:lang w:val="en-US" w:eastAsia="zh-CN"/>
              </w:rPr>
              <w:t>不足</w:t>
            </w:r>
            <w:r>
              <w:rPr>
                <w:rFonts w:hint="eastAsia" w:ascii="宋体" w:hAnsi="宋体" w:eastAsia="宋体" w:cs="宋体"/>
                <w:bCs/>
                <w:color w:val="auto"/>
                <w:kern w:val="21"/>
                <w:sz w:val="24"/>
                <w:szCs w:val="24"/>
                <w:highlight w:val="none"/>
                <w:lang w:val="en-US" w:eastAsia="zh-CN"/>
              </w:rPr>
              <w:t>10</w:t>
            </w:r>
            <w:r>
              <w:rPr>
                <w:rFonts w:hint="eastAsia" w:ascii="宋体" w:hAnsi="宋体" w:eastAsia="宋体" w:cs="宋体"/>
                <w:bCs/>
                <w:color w:val="auto"/>
                <w:kern w:val="21"/>
                <w:sz w:val="24"/>
                <w:szCs w:val="24"/>
                <w:highlight w:val="none"/>
              </w:rPr>
              <w:t>人，专业技能欠缺，</w:t>
            </w:r>
            <w:r>
              <w:rPr>
                <w:rFonts w:hint="eastAsia" w:ascii="宋体" w:hAnsi="宋体" w:eastAsia="宋体" w:cs="宋体"/>
                <w:bCs/>
                <w:color w:val="auto"/>
                <w:kern w:val="21"/>
                <w:sz w:val="24"/>
                <w:szCs w:val="24"/>
                <w:highlight w:val="none"/>
                <w:lang w:val="en-US" w:eastAsia="zh-CN"/>
              </w:rPr>
              <w:t>服务</w:t>
            </w:r>
            <w:r>
              <w:rPr>
                <w:rFonts w:hint="eastAsia" w:ascii="宋体" w:hAnsi="宋体" w:eastAsia="宋体" w:cs="宋体"/>
                <w:bCs/>
                <w:color w:val="auto"/>
                <w:kern w:val="21"/>
                <w:sz w:val="24"/>
                <w:szCs w:val="24"/>
                <w:highlight w:val="none"/>
              </w:rPr>
              <w:t>团队分工简单。</w:t>
            </w:r>
          </w:p>
          <w:p w14:paraId="35CD44C3">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二档（</w:t>
            </w:r>
            <w:r>
              <w:rPr>
                <w:rFonts w:hint="eastAsia" w:ascii="宋体" w:hAnsi="宋体" w:cs="宋体"/>
                <w:bCs/>
                <w:color w:val="auto"/>
                <w:kern w:val="21"/>
                <w:sz w:val="24"/>
                <w:szCs w:val="24"/>
                <w:highlight w:val="none"/>
                <w:lang w:val="en-US" w:eastAsia="zh-CN"/>
              </w:rPr>
              <w:t>10</w:t>
            </w:r>
            <w:r>
              <w:rPr>
                <w:rFonts w:hint="eastAsia" w:ascii="宋体" w:hAnsi="宋体" w:eastAsia="宋体" w:cs="宋体"/>
                <w:bCs/>
                <w:color w:val="auto"/>
                <w:kern w:val="21"/>
                <w:sz w:val="24"/>
                <w:szCs w:val="24"/>
                <w:highlight w:val="none"/>
              </w:rPr>
              <w:t>分）：项目负责人</w:t>
            </w:r>
            <w:r>
              <w:rPr>
                <w:rFonts w:hint="eastAsia" w:ascii="宋体" w:hAnsi="宋体" w:eastAsia="宋体" w:cs="宋体"/>
                <w:bCs/>
                <w:color w:val="auto"/>
                <w:kern w:val="21"/>
                <w:sz w:val="24"/>
                <w:szCs w:val="24"/>
                <w:highlight w:val="none"/>
                <w:lang w:val="en-US" w:eastAsia="zh-CN"/>
              </w:rPr>
              <w:t>有相关</w:t>
            </w:r>
            <w:r>
              <w:rPr>
                <w:rFonts w:hint="eastAsia" w:ascii="宋体" w:hAnsi="宋体" w:eastAsia="宋体" w:cs="宋体"/>
                <w:bCs/>
                <w:color w:val="auto"/>
                <w:kern w:val="21"/>
                <w:sz w:val="24"/>
                <w:szCs w:val="24"/>
                <w:highlight w:val="none"/>
              </w:rPr>
              <w:t>赛事</w:t>
            </w:r>
            <w:r>
              <w:rPr>
                <w:rFonts w:hint="eastAsia" w:ascii="宋体" w:hAnsi="宋体" w:eastAsia="宋体" w:cs="宋体"/>
                <w:bCs/>
                <w:color w:val="auto"/>
                <w:kern w:val="21"/>
                <w:sz w:val="24"/>
                <w:szCs w:val="24"/>
                <w:highlight w:val="none"/>
                <w:lang w:val="en-US" w:eastAsia="zh-CN"/>
              </w:rPr>
              <w:t>或</w:t>
            </w:r>
            <w:r>
              <w:rPr>
                <w:rFonts w:hint="default" w:ascii="宋体" w:hAnsi="宋体" w:eastAsia="宋体" w:cs="宋体"/>
                <w:bCs/>
                <w:color w:val="auto"/>
                <w:kern w:val="21"/>
                <w:sz w:val="24"/>
                <w:szCs w:val="24"/>
                <w:highlight w:val="none"/>
                <w:lang w:val="en-US" w:eastAsia="zh-CN"/>
              </w:rPr>
              <w:t>相关</w:t>
            </w:r>
            <w:r>
              <w:rPr>
                <w:rFonts w:hint="eastAsia" w:ascii="宋体" w:hAnsi="宋体" w:eastAsia="宋体" w:cs="宋体"/>
                <w:bCs/>
                <w:color w:val="auto"/>
                <w:kern w:val="21"/>
                <w:sz w:val="24"/>
                <w:szCs w:val="24"/>
                <w:highlight w:val="none"/>
              </w:rPr>
              <w:t>宣传活动</w:t>
            </w:r>
            <w:r>
              <w:rPr>
                <w:rFonts w:hint="eastAsia" w:ascii="宋体" w:hAnsi="宋体" w:eastAsia="宋体" w:cs="宋体"/>
                <w:bCs/>
                <w:color w:val="auto"/>
                <w:kern w:val="21"/>
                <w:sz w:val="24"/>
                <w:szCs w:val="24"/>
                <w:highlight w:val="none"/>
                <w:lang w:val="en-US" w:eastAsia="zh-CN"/>
              </w:rPr>
              <w:t>的</w:t>
            </w:r>
            <w:r>
              <w:rPr>
                <w:rFonts w:hint="eastAsia" w:ascii="宋体" w:hAnsi="宋体" w:eastAsia="宋体" w:cs="宋体"/>
                <w:bCs/>
                <w:color w:val="auto"/>
                <w:kern w:val="21"/>
                <w:sz w:val="24"/>
                <w:szCs w:val="24"/>
                <w:highlight w:val="none"/>
              </w:rPr>
              <w:t>宣传推广经验（</w:t>
            </w:r>
            <w:r>
              <w:rPr>
                <w:rFonts w:hint="eastAsia" w:ascii="宋体" w:hAnsi="宋体" w:eastAsia="宋体" w:cs="宋体"/>
                <w:bCs/>
                <w:color w:val="auto"/>
                <w:kern w:val="21"/>
                <w:sz w:val="24"/>
                <w:szCs w:val="24"/>
                <w:highlight w:val="none"/>
                <w:lang w:val="en-US" w:eastAsia="zh-CN"/>
              </w:rPr>
              <w:t>须</w:t>
            </w:r>
            <w:r>
              <w:rPr>
                <w:rFonts w:hint="eastAsia" w:ascii="宋体" w:hAnsi="宋体" w:eastAsia="宋体" w:cs="宋体"/>
                <w:bCs/>
                <w:color w:val="auto"/>
                <w:kern w:val="21"/>
                <w:sz w:val="24"/>
                <w:szCs w:val="24"/>
                <w:highlight w:val="none"/>
              </w:rPr>
              <w:t>提供相关证明</w:t>
            </w:r>
            <w:r>
              <w:rPr>
                <w:rFonts w:hint="eastAsia" w:ascii="宋体" w:hAnsi="宋体" w:eastAsia="宋体" w:cs="宋体"/>
                <w:bCs/>
                <w:color w:val="auto"/>
                <w:kern w:val="21"/>
                <w:sz w:val="24"/>
                <w:szCs w:val="24"/>
                <w:highlight w:val="none"/>
                <w:lang w:val="en-US" w:eastAsia="zh-CN"/>
              </w:rPr>
              <w:t>材料</w:t>
            </w:r>
            <w:r>
              <w:rPr>
                <w:rFonts w:hint="eastAsia" w:ascii="宋体" w:hAnsi="宋体" w:eastAsia="宋体" w:cs="宋体"/>
                <w:bCs/>
                <w:color w:val="auto"/>
                <w:kern w:val="21"/>
                <w:sz w:val="24"/>
                <w:szCs w:val="24"/>
                <w:highlight w:val="none"/>
              </w:rPr>
              <w:t>）；团队人员</w:t>
            </w:r>
            <w:r>
              <w:rPr>
                <w:rFonts w:hint="eastAsia" w:ascii="宋体" w:hAnsi="宋体" w:eastAsia="宋体" w:cs="宋体"/>
                <w:bCs/>
                <w:color w:val="auto"/>
                <w:kern w:val="21"/>
                <w:sz w:val="24"/>
                <w:szCs w:val="24"/>
                <w:highlight w:val="none"/>
                <w:lang w:val="en-US" w:eastAsia="zh-CN"/>
              </w:rPr>
              <w:t>10</w:t>
            </w:r>
            <w:r>
              <w:rPr>
                <w:rFonts w:hint="eastAsia" w:ascii="宋体" w:hAnsi="宋体" w:eastAsia="宋体" w:cs="宋体"/>
                <w:bCs/>
                <w:color w:val="auto"/>
                <w:kern w:val="21"/>
                <w:sz w:val="24"/>
                <w:szCs w:val="24"/>
                <w:highlight w:val="none"/>
              </w:rPr>
              <w:t>人</w:t>
            </w:r>
            <w:r>
              <w:rPr>
                <w:rFonts w:hint="eastAsia" w:ascii="宋体" w:hAnsi="宋体" w:eastAsia="宋体" w:cs="宋体"/>
                <w:bCs/>
                <w:color w:val="auto"/>
                <w:kern w:val="21"/>
                <w:sz w:val="24"/>
                <w:szCs w:val="24"/>
                <w:highlight w:val="none"/>
                <w:lang w:val="en-US"/>
              </w:rPr>
              <w:t>～</w:t>
            </w:r>
            <w:r>
              <w:rPr>
                <w:rFonts w:hint="eastAsia" w:ascii="宋体" w:hAnsi="宋体" w:eastAsia="宋体" w:cs="宋体"/>
                <w:bCs/>
                <w:color w:val="auto"/>
                <w:kern w:val="21"/>
                <w:sz w:val="24"/>
                <w:szCs w:val="24"/>
                <w:highlight w:val="none"/>
              </w:rPr>
              <w:t>1</w:t>
            </w:r>
            <w:r>
              <w:rPr>
                <w:rFonts w:hint="eastAsia" w:ascii="宋体" w:hAnsi="宋体" w:cs="宋体"/>
                <w:bCs/>
                <w:color w:val="auto"/>
                <w:kern w:val="21"/>
                <w:sz w:val="24"/>
                <w:szCs w:val="24"/>
                <w:highlight w:val="none"/>
                <w:lang w:val="en-US" w:eastAsia="zh-CN"/>
              </w:rPr>
              <w:t>4</w:t>
            </w:r>
            <w:r>
              <w:rPr>
                <w:rFonts w:hint="eastAsia" w:ascii="宋体" w:hAnsi="宋体" w:eastAsia="宋体" w:cs="宋体"/>
                <w:bCs/>
                <w:color w:val="auto"/>
                <w:kern w:val="21"/>
                <w:sz w:val="24"/>
                <w:szCs w:val="24"/>
                <w:highlight w:val="none"/>
              </w:rPr>
              <w:t>人，服务经验基本满足需求，具备相关的专业能力或技能；</w:t>
            </w:r>
            <w:r>
              <w:rPr>
                <w:rFonts w:hint="eastAsia" w:ascii="宋体" w:hAnsi="宋体" w:eastAsia="宋体" w:cs="宋体"/>
                <w:bCs/>
                <w:color w:val="auto"/>
                <w:kern w:val="21"/>
                <w:sz w:val="24"/>
                <w:szCs w:val="24"/>
                <w:highlight w:val="none"/>
                <w:lang w:val="en-US" w:eastAsia="zh-CN"/>
              </w:rPr>
              <w:t>服务</w:t>
            </w:r>
            <w:r>
              <w:rPr>
                <w:rFonts w:hint="eastAsia" w:ascii="宋体" w:hAnsi="宋体" w:eastAsia="宋体" w:cs="宋体"/>
                <w:bCs/>
                <w:color w:val="auto"/>
                <w:kern w:val="21"/>
                <w:sz w:val="24"/>
                <w:szCs w:val="24"/>
                <w:highlight w:val="none"/>
              </w:rPr>
              <w:t>团队有岗位划分计划。</w:t>
            </w:r>
          </w:p>
          <w:p w14:paraId="4BD0982A">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三档（</w:t>
            </w:r>
            <w:r>
              <w:rPr>
                <w:rFonts w:hint="eastAsia" w:ascii="宋体" w:hAnsi="宋体" w:cs="宋体"/>
                <w:bCs/>
                <w:color w:val="auto"/>
                <w:kern w:val="21"/>
                <w:sz w:val="24"/>
                <w:szCs w:val="24"/>
                <w:highlight w:val="none"/>
                <w:lang w:val="en-US" w:eastAsia="zh-CN"/>
              </w:rPr>
              <w:t>14</w:t>
            </w:r>
            <w:r>
              <w:rPr>
                <w:rFonts w:hint="eastAsia" w:ascii="宋体" w:hAnsi="宋体" w:eastAsia="宋体" w:cs="宋体"/>
                <w:bCs/>
                <w:color w:val="auto"/>
                <w:kern w:val="21"/>
                <w:sz w:val="24"/>
                <w:szCs w:val="24"/>
                <w:highlight w:val="none"/>
              </w:rPr>
              <w:t>分）：项目负责人</w:t>
            </w:r>
            <w:r>
              <w:rPr>
                <w:rFonts w:hint="eastAsia" w:ascii="宋体" w:hAnsi="宋体" w:eastAsia="宋体" w:cs="宋体"/>
                <w:bCs/>
                <w:color w:val="auto"/>
                <w:kern w:val="21"/>
                <w:sz w:val="24"/>
                <w:szCs w:val="24"/>
                <w:highlight w:val="none"/>
                <w:lang w:val="en-US" w:eastAsia="zh-CN"/>
              </w:rPr>
              <w:t>有相关</w:t>
            </w:r>
            <w:r>
              <w:rPr>
                <w:rFonts w:hint="eastAsia" w:ascii="宋体" w:hAnsi="宋体" w:eastAsia="宋体" w:cs="宋体"/>
                <w:bCs/>
                <w:color w:val="auto"/>
                <w:kern w:val="21"/>
                <w:sz w:val="24"/>
                <w:szCs w:val="24"/>
                <w:highlight w:val="none"/>
              </w:rPr>
              <w:t>赛事</w:t>
            </w:r>
            <w:r>
              <w:rPr>
                <w:rFonts w:hint="eastAsia" w:ascii="宋体" w:hAnsi="宋体" w:eastAsia="宋体" w:cs="宋体"/>
                <w:bCs/>
                <w:color w:val="auto"/>
                <w:kern w:val="21"/>
                <w:sz w:val="24"/>
                <w:szCs w:val="24"/>
                <w:highlight w:val="none"/>
                <w:lang w:val="en-US" w:eastAsia="zh-CN"/>
              </w:rPr>
              <w:t>或</w:t>
            </w:r>
            <w:r>
              <w:rPr>
                <w:rFonts w:hint="default" w:ascii="宋体" w:hAnsi="宋体" w:eastAsia="宋体" w:cs="宋体"/>
                <w:bCs/>
                <w:color w:val="auto"/>
                <w:kern w:val="21"/>
                <w:sz w:val="24"/>
                <w:szCs w:val="24"/>
                <w:highlight w:val="none"/>
                <w:lang w:val="en-US" w:eastAsia="zh-CN"/>
              </w:rPr>
              <w:t>相关</w:t>
            </w:r>
            <w:r>
              <w:rPr>
                <w:rFonts w:hint="eastAsia" w:ascii="宋体" w:hAnsi="宋体" w:eastAsia="宋体" w:cs="宋体"/>
                <w:bCs/>
                <w:color w:val="auto"/>
                <w:kern w:val="21"/>
                <w:sz w:val="24"/>
                <w:szCs w:val="24"/>
                <w:highlight w:val="none"/>
              </w:rPr>
              <w:t>宣传活动</w:t>
            </w:r>
            <w:r>
              <w:rPr>
                <w:rFonts w:hint="eastAsia" w:ascii="宋体" w:hAnsi="宋体" w:eastAsia="宋体" w:cs="宋体"/>
                <w:bCs/>
                <w:color w:val="auto"/>
                <w:kern w:val="21"/>
                <w:sz w:val="24"/>
                <w:szCs w:val="24"/>
                <w:highlight w:val="none"/>
                <w:lang w:val="en-US" w:eastAsia="zh-CN"/>
              </w:rPr>
              <w:t>的</w:t>
            </w:r>
            <w:r>
              <w:rPr>
                <w:rFonts w:hint="eastAsia" w:ascii="宋体" w:hAnsi="宋体" w:eastAsia="宋体" w:cs="宋体"/>
                <w:bCs/>
                <w:color w:val="auto"/>
                <w:kern w:val="21"/>
                <w:sz w:val="24"/>
                <w:szCs w:val="24"/>
                <w:highlight w:val="none"/>
              </w:rPr>
              <w:t>宣传推广经验（</w:t>
            </w:r>
            <w:r>
              <w:rPr>
                <w:rFonts w:hint="eastAsia" w:ascii="宋体" w:hAnsi="宋体" w:eastAsia="宋体" w:cs="宋体"/>
                <w:bCs/>
                <w:color w:val="auto"/>
                <w:kern w:val="21"/>
                <w:sz w:val="24"/>
                <w:szCs w:val="24"/>
                <w:highlight w:val="none"/>
                <w:lang w:val="en-US" w:eastAsia="zh-CN"/>
              </w:rPr>
              <w:t>须</w:t>
            </w:r>
            <w:r>
              <w:rPr>
                <w:rFonts w:hint="eastAsia" w:ascii="宋体" w:hAnsi="宋体" w:eastAsia="宋体" w:cs="宋体"/>
                <w:bCs/>
                <w:color w:val="auto"/>
                <w:kern w:val="21"/>
                <w:sz w:val="24"/>
                <w:szCs w:val="24"/>
                <w:highlight w:val="none"/>
              </w:rPr>
              <w:t>提供相关证明</w:t>
            </w:r>
            <w:r>
              <w:rPr>
                <w:rFonts w:hint="eastAsia" w:ascii="宋体" w:hAnsi="宋体" w:eastAsia="宋体" w:cs="宋体"/>
                <w:bCs/>
                <w:color w:val="auto"/>
                <w:kern w:val="21"/>
                <w:sz w:val="24"/>
                <w:szCs w:val="24"/>
                <w:highlight w:val="none"/>
                <w:lang w:val="en-US" w:eastAsia="zh-CN"/>
              </w:rPr>
              <w:t>材料</w:t>
            </w:r>
            <w:r>
              <w:rPr>
                <w:rFonts w:hint="eastAsia" w:ascii="宋体" w:hAnsi="宋体" w:eastAsia="宋体" w:cs="宋体"/>
                <w:bCs/>
                <w:color w:val="auto"/>
                <w:kern w:val="21"/>
                <w:sz w:val="24"/>
                <w:szCs w:val="24"/>
                <w:highlight w:val="none"/>
              </w:rPr>
              <w:t>）；团队人员15人</w:t>
            </w:r>
            <w:r>
              <w:rPr>
                <w:rFonts w:hint="eastAsia" w:ascii="宋体" w:hAnsi="宋体" w:cs="宋体"/>
                <w:bCs/>
                <w:color w:val="auto"/>
                <w:kern w:val="21"/>
                <w:sz w:val="24"/>
                <w:szCs w:val="24"/>
                <w:highlight w:val="none"/>
                <w:lang w:val="en-US" w:eastAsia="zh-CN"/>
              </w:rPr>
              <w:t>及</w:t>
            </w:r>
            <w:r>
              <w:rPr>
                <w:rFonts w:hint="eastAsia" w:ascii="宋体" w:hAnsi="宋体" w:eastAsia="宋体" w:cs="宋体"/>
                <w:bCs/>
                <w:color w:val="auto"/>
                <w:kern w:val="21"/>
                <w:sz w:val="24"/>
                <w:szCs w:val="24"/>
                <w:highlight w:val="none"/>
              </w:rPr>
              <w:t>以上，服务经验丰富，具有专业的能力或技能；</w:t>
            </w:r>
            <w:r>
              <w:rPr>
                <w:rFonts w:hint="eastAsia" w:ascii="宋体" w:hAnsi="宋体" w:eastAsia="宋体" w:cs="宋体"/>
                <w:bCs/>
                <w:color w:val="auto"/>
                <w:kern w:val="21"/>
                <w:sz w:val="24"/>
                <w:szCs w:val="24"/>
                <w:highlight w:val="none"/>
                <w:lang w:val="en-US" w:eastAsia="zh-CN"/>
              </w:rPr>
              <w:t>服务</w:t>
            </w:r>
            <w:r>
              <w:rPr>
                <w:rFonts w:hint="eastAsia" w:ascii="宋体" w:hAnsi="宋体" w:eastAsia="宋体" w:cs="宋体"/>
                <w:bCs/>
                <w:color w:val="auto"/>
                <w:kern w:val="21"/>
                <w:sz w:val="24"/>
                <w:szCs w:val="24"/>
                <w:highlight w:val="none"/>
              </w:rPr>
              <w:t>团队岗位配置合理（含海外媒体对接、多语种翻译与撰稿、社交账号运营、产品编辑制作等岗位）</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rPr>
              <w:t>完全覆盖项目全周期需求</w:t>
            </w:r>
            <w:r>
              <w:rPr>
                <w:rFonts w:hint="eastAsia" w:ascii="宋体" w:hAnsi="宋体" w:eastAsia="宋体" w:cs="宋体"/>
                <w:bCs/>
                <w:color w:val="auto"/>
                <w:kern w:val="21"/>
                <w:sz w:val="24"/>
                <w:szCs w:val="24"/>
                <w:highlight w:val="none"/>
                <w:lang w:eastAsia="zh-CN"/>
              </w:rPr>
              <w:t>。</w:t>
            </w:r>
          </w:p>
          <w:p w14:paraId="007A3E78">
            <w:pPr>
              <w:keepNext w:val="0"/>
              <w:keepLines w:val="0"/>
              <w:pageBreakBefore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
                <w:bCs w:val="0"/>
                <w:color w:val="auto"/>
                <w:kern w:val="21"/>
                <w:sz w:val="24"/>
                <w:szCs w:val="24"/>
                <w:highlight w:val="none"/>
              </w:rPr>
              <w:t>注：须提供服务团队人员明细表、相关证明材料及响应文件递交截止时间前半年内任意1个月供应商为其依法缴纳的有效社保证明或劳动合同复印件等证明材料；以上材料须加盖供应商公章。</w:t>
            </w:r>
          </w:p>
          <w:p w14:paraId="74E67182">
            <w:pPr>
              <w:keepNext w:val="0"/>
              <w:keepLines w:val="0"/>
              <w:pageBreakBefore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b/>
                <w:bCs w:val="0"/>
                <w:color w:val="auto"/>
                <w:kern w:val="21"/>
                <w:sz w:val="24"/>
                <w:szCs w:val="24"/>
                <w:highlight w:val="none"/>
                <w:lang w:eastAsia="zh-CN"/>
              </w:rPr>
            </w:pPr>
            <w:r>
              <w:rPr>
                <w:rFonts w:hint="eastAsia" w:ascii="宋体" w:hAnsi="宋体" w:eastAsia="宋体" w:cs="宋体"/>
                <w:b/>
                <w:bCs w:val="0"/>
                <w:color w:val="auto"/>
                <w:kern w:val="21"/>
                <w:sz w:val="24"/>
                <w:szCs w:val="24"/>
                <w:highlight w:val="none"/>
                <w:lang w:eastAsia="zh-CN"/>
              </w:rPr>
              <w:t>（</w:t>
            </w:r>
            <w:r>
              <w:rPr>
                <w:rFonts w:hint="eastAsia" w:ascii="宋体" w:hAnsi="宋体" w:eastAsia="宋体" w:cs="宋体"/>
                <w:b/>
                <w:bCs w:val="0"/>
                <w:color w:val="auto"/>
                <w:kern w:val="21"/>
                <w:sz w:val="24"/>
                <w:szCs w:val="24"/>
                <w:highlight w:val="none"/>
                <w:lang w:val="en-US" w:eastAsia="zh-CN"/>
              </w:rPr>
              <w:t>二</w:t>
            </w:r>
            <w:r>
              <w:rPr>
                <w:rFonts w:hint="eastAsia" w:ascii="宋体" w:hAnsi="宋体" w:eastAsia="宋体" w:cs="宋体"/>
                <w:b/>
                <w:bCs w:val="0"/>
                <w:color w:val="auto"/>
                <w:kern w:val="21"/>
                <w:sz w:val="24"/>
                <w:szCs w:val="24"/>
                <w:highlight w:val="none"/>
                <w:lang w:eastAsia="zh-CN"/>
              </w:rPr>
              <w:t>）</w:t>
            </w:r>
            <w:r>
              <w:rPr>
                <w:rFonts w:hint="eastAsia" w:ascii="宋体" w:hAnsi="宋体" w:eastAsia="宋体" w:cs="宋体"/>
                <w:b/>
                <w:bCs w:val="0"/>
                <w:color w:val="auto"/>
                <w:kern w:val="21"/>
                <w:sz w:val="24"/>
                <w:szCs w:val="24"/>
                <w:highlight w:val="none"/>
              </w:rPr>
              <w:t>服务团队</w:t>
            </w:r>
            <w:r>
              <w:rPr>
                <w:rFonts w:hint="eastAsia" w:ascii="宋体" w:hAnsi="宋体" w:eastAsia="宋体" w:cs="宋体"/>
                <w:b/>
                <w:bCs w:val="0"/>
                <w:color w:val="auto"/>
                <w:kern w:val="21"/>
                <w:sz w:val="24"/>
                <w:szCs w:val="24"/>
                <w:highlight w:val="none"/>
                <w:lang w:val="en-US" w:eastAsia="zh-CN"/>
              </w:rPr>
              <w:t>人员能力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满分</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分）</w:t>
            </w:r>
          </w:p>
          <w:p w14:paraId="0974660F">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1.团队人员</w:t>
            </w:r>
            <w:r>
              <w:rPr>
                <w:rFonts w:hint="eastAsia" w:ascii="宋体" w:hAnsi="宋体" w:eastAsia="宋体" w:cs="宋体"/>
                <w:bCs/>
                <w:color w:val="auto"/>
                <w:kern w:val="21"/>
                <w:sz w:val="24"/>
                <w:szCs w:val="24"/>
                <w:highlight w:val="none"/>
                <w:lang w:val="en-US" w:eastAsia="zh-CN"/>
              </w:rPr>
              <w:t>具有新闻类或</w:t>
            </w:r>
            <w:r>
              <w:rPr>
                <w:rFonts w:hint="eastAsia" w:ascii="宋体" w:hAnsi="宋体" w:eastAsia="宋体" w:cs="宋体"/>
                <w:bCs/>
                <w:color w:val="auto"/>
                <w:kern w:val="21"/>
                <w:sz w:val="24"/>
                <w:szCs w:val="24"/>
                <w:highlight w:val="none"/>
              </w:rPr>
              <w:t>编辑</w:t>
            </w:r>
            <w:r>
              <w:rPr>
                <w:rFonts w:hint="eastAsia" w:ascii="宋体" w:hAnsi="宋体" w:eastAsia="宋体" w:cs="宋体"/>
                <w:bCs/>
                <w:color w:val="auto"/>
                <w:kern w:val="21"/>
                <w:sz w:val="24"/>
                <w:szCs w:val="24"/>
                <w:highlight w:val="none"/>
                <w:lang w:val="en-US" w:eastAsia="zh-CN"/>
              </w:rPr>
              <w:t>类专业</w:t>
            </w:r>
            <w:r>
              <w:rPr>
                <w:rFonts w:hint="eastAsia" w:ascii="宋体" w:hAnsi="宋体" w:eastAsia="宋体" w:cs="宋体"/>
                <w:bCs/>
                <w:color w:val="auto"/>
                <w:kern w:val="21"/>
                <w:sz w:val="24"/>
                <w:szCs w:val="24"/>
                <w:highlight w:val="none"/>
              </w:rPr>
              <w:t>中级及以上职称证书</w:t>
            </w:r>
            <w:r>
              <w:rPr>
                <w:rFonts w:hint="eastAsia" w:ascii="宋体" w:hAnsi="宋体" w:eastAsia="宋体" w:cs="宋体"/>
                <w:bCs/>
                <w:color w:val="auto"/>
                <w:kern w:val="21"/>
                <w:sz w:val="24"/>
                <w:szCs w:val="24"/>
                <w:highlight w:val="none"/>
                <w:lang w:val="en-US" w:eastAsia="zh-CN"/>
              </w:rPr>
              <w:t>的</w:t>
            </w:r>
            <w:r>
              <w:rPr>
                <w:rFonts w:hint="eastAsia" w:ascii="宋体" w:hAnsi="宋体" w:eastAsia="宋体" w:cs="宋体"/>
                <w:bCs/>
                <w:color w:val="auto"/>
                <w:kern w:val="21"/>
                <w:sz w:val="24"/>
                <w:szCs w:val="24"/>
                <w:highlight w:val="none"/>
              </w:rPr>
              <w:t>，每提供1名得</w:t>
            </w:r>
            <w:r>
              <w:rPr>
                <w:rFonts w:hint="eastAsia" w:ascii="宋体"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分，</w:t>
            </w:r>
            <w:r>
              <w:rPr>
                <w:rFonts w:hint="eastAsia" w:ascii="宋体" w:hAnsi="宋体" w:eastAsia="宋体" w:cs="宋体"/>
                <w:bCs/>
                <w:color w:val="auto"/>
                <w:kern w:val="21"/>
                <w:sz w:val="24"/>
                <w:szCs w:val="24"/>
                <w:highlight w:val="none"/>
                <w:lang w:val="en-US" w:eastAsia="zh-CN"/>
              </w:rPr>
              <w:t>满分</w:t>
            </w:r>
            <w:r>
              <w:rPr>
                <w:rFonts w:hint="eastAsia" w:ascii="宋体" w:hAnsi="宋体" w:cs="宋体"/>
                <w:bCs/>
                <w:color w:val="auto"/>
                <w:kern w:val="21"/>
                <w:sz w:val="24"/>
                <w:szCs w:val="24"/>
                <w:highlight w:val="none"/>
                <w:lang w:val="en-US" w:eastAsia="zh-CN"/>
              </w:rPr>
              <w:t>4</w:t>
            </w:r>
            <w:r>
              <w:rPr>
                <w:rFonts w:hint="eastAsia" w:ascii="宋体" w:hAnsi="宋体" w:eastAsia="宋体" w:cs="宋体"/>
                <w:bCs/>
                <w:color w:val="auto"/>
                <w:kern w:val="21"/>
                <w:sz w:val="24"/>
                <w:szCs w:val="24"/>
                <w:highlight w:val="none"/>
              </w:rPr>
              <w:t>分。</w:t>
            </w:r>
          </w:p>
          <w:p w14:paraId="2B87A1E1">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2.团队人员</w:t>
            </w:r>
            <w:r>
              <w:rPr>
                <w:rFonts w:hint="eastAsia" w:ascii="宋体" w:hAnsi="宋体" w:eastAsia="宋体" w:cs="宋体"/>
                <w:bCs/>
                <w:color w:val="auto"/>
                <w:kern w:val="21"/>
                <w:sz w:val="24"/>
                <w:szCs w:val="24"/>
                <w:highlight w:val="none"/>
                <w:lang w:val="en-US" w:eastAsia="zh-CN"/>
              </w:rPr>
              <w:t>具有外</w:t>
            </w:r>
            <w:r>
              <w:rPr>
                <w:rFonts w:hint="eastAsia" w:ascii="宋体" w:hAnsi="宋体" w:eastAsia="宋体" w:cs="宋体"/>
                <w:bCs/>
                <w:color w:val="auto"/>
                <w:kern w:val="21"/>
                <w:sz w:val="24"/>
                <w:szCs w:val="24"/>
                <w:highlight w:val="none"/>
              </w:rPr>
              <w:t>语专业翻译人员</w:t>
            </w:r>
            <w:r>
              <w:rPr>
                <w:rFonts w:hint="eastAsia" w:ascii="宋体" w:hAnsi="宋体" w:eastAsia="宋体" w:cs="宋体"/>
                <w:bCs/>
                <w:color w:val="auto"/>
                <w:kern w:val="21"/>
                <w:sz w:val="24"/>
                <w:szCs w:val="24"/>
                <w:highlight w:val="none"/>
                <w:lang w:val="en-US" w:eastAsia="zh-CN"/>
              </w:rPr>
              <w:t>的，</w:t>
            </w:r>
            <w:r>
              <w:rPr>
                <w:rFonts w:hint="eastAsia" w:ascii="宋体" w:hAnsi="宋体" w:eastAsia="宋体" w:cs="宋体"/>
                <w:bCs/>
                <w:color w:val="auto"/>
                <w:kern w:val="21"/>
                <w:sz w:val="24"/>
                <w:szCs w:val="24"/>
                <w:highlight w:val="none"/>
              </w:rPr>
              <w:t>包括不限于：英文、泰语、越南语、马来语、印尼语等</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须提供国家认可的外语翻译专业资格证书或外语资格考试证书或外语专业毕业证书</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rPr>
              <w:t>，每提供1名得</w:t>
            </w:r>
            <w:r>
              <w:rPr>
                <w:rFonts w:hint="eastAsia" w:ascii="宋体"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分，最多</w:t>
            </w:r>
            <w:r>
              <w:rPr>
                <w:rFonts w:hint="eastAsia" w:ascii="宋体" w:hAnsi="宋体" w:cs="宋体"/>
                <w:bCs/>
                <w:color w:val="auto"/>
                <w:kern w:val="21"/>
                <w:sz w:val="24"/>
                <w:szCs w:val="24"/>
                <w:highlight w:val="none"/>
                <w:lang w:val="en-US" w:eastAsia="zh-CN"/>
              </w:rPr>
              <w:t>4</w:t>
            </w:r>
            <w:r>
              <w:rPr>
                <w:rFonts w:hint="eastAsia" w:ascii="宋体" w:hAnsi="宋体" w:eastAsia="宋体" w:cs="宋体"/>
                <w:bCs/>
                <w:color w:val="auto"/>
                <w:kern w:val="21"/>
                <w:sz w:val="24"/>
                <w:szCs w:val="24"/>
                <w:highlight w:val="none"/>
              </w:rPr>
              <w:t>分。</w:t>
            </w:r>
          </w:p>
          <w:p w14:paraId="009C65B7">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val="0"/>
                <w:color w:val="auto"/>
                <w:kern w:val="21"/>
                <w:sz w:val="24"/>
                <w:szCs w:val="24"/>
                <w:highlight w:val="none"/>
              </w:rPr>
              <w:t>注：须提供</w:t>
            </w:r>
            <w:r>
              <w:rPr>
                <w:rFonts w:hint="eastAsia" w:ascii="宋体" w:hAnsi="宋体" w:eastAsia="宋体" w:cs="宋体"/>
                <w:b/>
                <w:bCs w:val="0"/>
                <w:color w:val="auto"/>
                <w:kern w:val="21"/>
                <w:sz w:val="24"/>
                <w:szCs w:val="24"/>
                <w:highlight w:val="none"/>
                <w:lang w:val="en-US" w:eastAsia="zh-CN"/>
              </w:rPr>
              <w:t>相关人员相应</w:t>
            </w:r>
            <w:r>
              <w:rPr>
                <w:rFonts w:hint="eastAsia" w:ascii="宋体" w:hAnsi="宋体" w:eastAsia="宋体" w:cs="宋体"/>
                <w:b/>
                <w:bCs w:val="0"/>
                <w:color w:val="auto"/>
                <w:kern w:val="21"/>
                <w:sz w:val="24"/>
                <w:szCs w:val="24"/>
                <w:highlight w:val="none"/>
              </w:rPr>
              <w:t>证书扫描件及响应文件递交截止时间前半年内任意1个月供应商为其依法缴纳的有效社保证明或劳动合同复印件等证明材料；以上材料须加盖供应商公章。</w:t>
            </w:r>
          </w:p>
        </w:tc>
        <w:tc>
          <w:tcPr>
            <w:tcW w:w="592" w:type="pct"/>
            <w:noWrap w:val="0"/>
            <w:vAlign w:val="center"/>
          </w:tcPr>
          <w:p w14:paraId="4BD7B1F2">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分</w:t>
            </w:r>
          </w:p>
        </w:tc>
      </w:tr>
      <w:tr w14:paraId="1BA0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688AB275">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3</w:t>
            </w:r>
          </w:p>
        </w:tc>
        <w:tc>
          <w:tcPr>
            <w:tcW w:w="587" w:type="pct"/>
            <w:noWrap w:val="0"/>
            <w:vAlign w:val="center"/>
          </w:tcPr>
          <w:p w14:paraId="415C956E">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商务分</w:t>
            </w:r>
          </w:p>
        </w:tc>
        <w:tc>
          <w:tcPr>
            <w:tcW w:w="3458" w:type="pct"/>
            <w:noWrap w:val="0"/>
            <w:vAlign w:val="center"/>
          </w:tcPr>
          <w:p w14:paraId="7B6DE024">
            <w:pPr>
              <w:pStyle w:val="18"/>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一、业绩分（</w:t>
            </w:r>
            <w:r>
              <w:rPr>
                <w:rFonts w:hint="eastAsia" w:ascii="宋体" w:hAnsi="宋体" w:eastAsia="宋体" w:cs="宋体"/>
                <w:b/>
                <w:bCs/>
                <w:color w:val="auto"/>
                <w:sz w:val="24"/>
                <w:szCs w:val="24"/>
                <w:highlight w:val="none"/>
                <w:lang w:val="en-US" w:eastAsia="zh-CN"/>
              </w:rPr>
              <w:t>满分</w:t>
            </w:r>
            <w:r>
              <w:rPr>
                <w:rFonts w:hint="eastAsia" w:ascii="宋体" w:hAnsi="宋体" w:eastAsia="宋体" w:cs="宋体"/>
                <w:b/>
                <w:bCs/>
                <w:color w:val="auto"/>
                <w:sz w:val="24"/>
                <w:szCs w:val="24"/>
                <w:highlight w:val="none"/>
                <w:lang w:val="en-US"/>
              </w:rPr>
              <w:t>15</w:t>
            </w:r>
            <w:r>
              <w:rPr>
                <w:rFonts w:hint="eastAsia" w:ascii="宋体" w:hAnsi="宋体" w:eastAsia="宋体" w:cs="宋体"/>
                <w:b/>
                <w:bCs/>
                <w:color w:val="auto"/>
                <w:sz w:val="24"/>
                <w:szCs w:val="24"/>
                <w:highlight w:val="none"/>
              </w:rPr>
              <w:t>分）</w:t>
            </w:r>
          </w:p>
          <w:p w14:paraId="44362045">
            <w:pPr>
              <w:pStyle w:val="18"/>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自2021年1月1日以来，</w:t>
            </w:r>
            <w:r>
              <w:rPr>
                <w:rFonts w:hint="eastAsia" w:ascii="宋体" w:hAnsi="宋体" w:eastAsia="宋体" w:cs="宋体"/>
                <w:bCs/>
                <w:color w:val="auto"/>
                <w:kern w:val="21"/>
                <w:sz w:val="24"/>
                <w:szCs w:val="24"/>
                <w:highlight w:val="none"/>
                <w:lang w:val="en-US" w:eastAsia="zh-CN"/>
              </w:rPr>
              <w:t>有</w:t>
            </w:r>
            <w:r>
              <w:rPr>
                <w:rFonts w:hint="eastAsia" w:hAnsi="宋体" w:cs="宋体"/>
                <w:bCs/>
                <w:color w:val="auto"/>
                <w:kern w:val="21"/>
                <w:sz w:val="24"/>
                <w:szCs w:val="24"/>
                <w:highlight w:val="none"/>
                <w:lang w:val="en-US" w:eastAsia="zh-CN"/>
              </w:rPr>
              <w:t>同类宣传活动</w:t>
            </w:r>
            <w:r>
              <w:rPr>
                <w:rFonts w:hint="eastAsia" w:ascii="宋体" w:hAnsi="宋体" w:eastAsia="宋体" w:cs="宋体"/>
                <w:bCs/>
                <w:color w:val="auto"/>
                <w:kern w:val="21"/>
                <w:sz w:val="24"/>
                <w:szCs w:val="24"/>
                <w:highlight w:val="none"/>
                <w:lang w:val="en-US" w:eastAsia="zh-CN"/>
              </w:rPr>
              <w:t>业绩</w:t>
            </w:r>
            <w:r>
              <w:rPr>
                <w:rFonts w:hint="eastAsia" w:hAnsi="宋体" w:cs="宋体"/>
                <w:bCs/>
                <w:color w:val="auto"/>
                <w:kern w:val="21"/>
                <w:sz w:val="24"/>
                <w:szCs w:val="24"/>
                <w:highlight w:val="none"/>
                <w:lang w:val="en-US" w:eastAsia="zh-CN"/>
              </w:rPr>
              <w:t>的（包括但不限于</w:t>
            </w:r>
            <w:r>
              <w:rPr>
                <w:rFonts w:hint="eastAsia" w:ascii="宋体" w:hAnsi="宋体" w:eastAsia="宋体" w:cs="宋体"/>
                <w:bCs/>
                <w:color w:val="auto"/>
                <w:kern w:val="21"/>
                <w:sz w:val="24"/>
                <w:szCs w:val="24"/>
                <w:highlight w:val="none"/>
              </w:rPr>
              <w:t>对外宣传活动</w:t>
            </w:r>
            <w:r>
              <w:rPr>
                <w:rFonts w:hint="eastAsia" w:hAnsi="宋体" w:cs="宋体"/>
                <w:bCs/>
                <w:color w:val="auto"/>
                <w:kern w:val="21"/>
                <w:sz w:val="24"/>
                <w:szCs w:val="24"/>
                <w:highlight w:val="none"/>
                <w:lang w:val="en-US" w:eastAsia="zh-CN"/>
              </w:rPr>
              <w:t>等）</w:t>
            </w:r>
            <w:r>
              <w:rPr>
                <w:rFonts w:hint="eastAsia" w:ascii="宋体" w:hAnsi="宋体" w:eastAsia="宋体" w:cs="宋体"/>
                <w:bCs/>
                <w:color w:val="auto"/>
                <w:kern w:val="21"/>
                <w:sz w:val="24"/>
                <w:szCs w:val="24"/>
                <w:highlight w:val="none"/>
              </w:rPr>
              <w:t>，每个</w:t>
            </w:r>
            <w:r>
              <w:rPr>
                <w:rFonts w:hint="eastAsia" w:ascii="宋体" w:hAnsi="宋体" w:eastAsia="宋体" w:cs="宋体"/>
                <w:bCs/>
                <w:color w:val="auto"/>
                <w:kern w:val="21"/>
                <w:sz w:val="24"/>
                <w:szCs w:val="24"/>
                <w:highlight w:val="none"/>
                <w:lang w:val="en-US" w:eastAsia="zh-CN"/>
              </w:rPr>
              <w:t>业绩得</w:t>
            </w:r>
            <w:r>
              <w:rPr>
                <w:rFonts w:hint="eastAsia"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rPr>
              <w:t>分</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满分15分</w:t>
            </w:r>
            <w:r>
              <w:rPr>
                <w:rFonts w:hint="eastAsia" w:ascii="宋体" w:hAnsi="宋体" w:eastAsia="宋体" w:cs="宋体"/>
                <w:bCs/>
                <w:color w:val="auto"/>
                <w:kern w:val="21"/>
                <w:sz w:val="24"/>
                <w:szCs w:val="24"/>
                <w:highlight w:val="none"/>
              </w:rPr>
              <w:t>。</w:t>
            </w:r>
          </w:p>
          <w:p w14:paraId="2AC3C35E">
            <w:pPr>
              <w:pStyle w:val="18"/>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auto"/>
                <w:kern w:val="21"/>
                <w:sz w:val="24"/>
                <w:szCs w:val="24"/>
                <w:highlight w:val="none"/>
              </w:rPr>
              <w:t>注：以有效的合同或中标通知书或其他相关业绩证明</w:t>
            </w:r>
            <w:r>
              <w:rPr>
                <w:rFonts w:hint="eastAsia" w:ascii="宋体" w:hAnsi="宋体" w:eastAsia="宋体" w:cs="宋体"/>
                <w:b/>
                <w:color w:val="auto"/>
                <w:kern w:val="21"/>
                <w:sz w:val="24"/>
                <w:szCs w:val="24"/>
                <w:highlight w:val="none"/>
                <w:lang w:val="en-US" w:eastAsia="zh-CN"/>
              </w:rPr>
              <w:t>材料</w:t>
            </w:r>
            <w:r>
              <w:rPr>
                <w:rFonts w:hint="eastAsia" w:ascii="宋体" w:hAnsi="宋体" w:eastAsia="宋体" w:cs="宋体"/>
                <w:b/>
                <w:color w:val="auto"/>
                <w:kern w:val="21"/>
                <w:sz w:val="24"/>
                <w:szCs w:val="24"/>
                <w:highlight w:val="none"/>
              </w:rPr>
              <w:t>复印件为准</w:t>
            </w:r>
            <w:r>
              <w:rPr>
                <w:rFonts w:hint="eastAsia" w:ascii="宋体" w:hAnsi="宋体" w:eastAsia="宋体" w:cs="宋体"/>
                <w:b/>
                <w:color w:val="auto"/>
                <w:kern w:val="21"/>
                <w:sz w:val="24"/>
                <w:szCs w:val="24"/>
                <w:highlight w:val="none"/>
                <w:lang w:eastAsia="zh-CN"/>
              </w:rPr>
              <w:t>，</w:t>
            </w:r>
            <w:r>
              <w:rPr>
                <w:rFonts w:hint="eastAsia" w:ascii="宋体" w:hAnsi="宋体" w:eastAsia="宋体" w:cs="宋体"/>
                <w:b/>
                <w:color w:val="auto"/>
                <w:kern w:val="21"/>
                <w:sz w:val="24"/>
                <w:szCs w:val="24"/>
                <w:highlight w:val="none"/>
              </w:rPr>
              <w:t>并加盖供应商公章。</w:t>
            </w:r>
          </w:p>
        </w:tc>
        <w:tc>
          <w:tcPr>
            <w:tcW w:w="592" w:type="pct"/>
            <w:noWrap w:val="0"/>
            <w:vAlign w:val="center"/>
          </w:tcPr>
          <w:p w14:paraId="5F4623E8">
            <w:pPr>
              <w:pStyle w:val="18"/>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15</w:t>
            </w:r>
            <w:r>
              <w:rPr>
                <w:rFonts w:hint="eastAsia" w:ascii="宋体" w:hAnsi="宋体" w:eastAsia="宋体" w:cs="宋体"/>
                <w:bCs/>
                <w:color w:val="auto"/>
                <w:kern w:val="21"/>
                <w:sz w:val="24"/>
                <w:szCs w:val="24"/>
                <w:highlight w:val="none"/>
              </w:rPr>
              <w:t>分</w:t>
            </w:r>
          </w:p>
        </w:tc>
      </w:tr>
      <w:tr w14:paraId="019E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0"/>
            <w:vAlign w:val="center"/>
          </w:tcPr>
          <w:p w14:paraId="77637CA6">
            <w:pPr>
              <w:pStyle w:val="18"/>
              <w:keepNext w:val="0"/>
              <w:keepLines w:val="0"/>
              <w:pageBreakBefore w:val="0"/>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
                <w:bCs/>
                <w:color w:val="auto"/>
                <w:kern w:val="21"/>
                <w:sz w:val="24"/>
                <w:szCs w:val="24"/>
                <w:highlight w:val="none"/>
              </w:rPr>
              <w:t>总得分=1+2+3。</w:t>
            </w:r>
          </w:p>
        </w:tc>
      </w:tr>
    </w:tbl>
    <w:p w14:paraId="004B5991">
      <w:pPr>
        <w:spacing w:line="420" w:lineRule="exact"/>
        <w:ind w:firstLine="480" w:firstLineChars="200"/>
        <w:rPr>
          <w:rFonts w:ascii="宋体" w:hAnsi="宋体" w:cs="宋体"/>
          <w:color w:val="auto"/>
          <w:kern w:val="21"/>
          <w:sz w:val="24"/>
          <w:highlight w:val="none"/>
        </w:rPr>
      </w:pPr>
      <w:bookmarkStart w:id="68" w:name="_Toc80205935"/>
      <w:r>
        <w:rPr>
          <w:rFonts w:hint="eastAsia" w:ascii="宋体" w:hAnsi="宋体" w:cs="宋体"/>
          <w:color w:val="auto"/>
          <w:kern w:val="21"/>
          <w:sz w:val="24"/>
          <w:highlight w:val="none"/>
        </w:rPr>
        <w:t>7.2 商务技术评审因素为客观评分项的，应在评分项目或评分标准中予以标注为“客观分”。对供应商的客观评分项目，各评审专家评分应当一致。</w:t>
      </w:r>
    </w:p>
    <w:p w14:paraId="2FD119B8">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7.3终止竞争性磋商采购活动</w:t>
      </w:r>
    </w:p>
    <w:p w14:paraId="59143F1D">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4044739">
      <w:pPr>
        <w:pStyle w:val="3"/>
        <w:spacing w:before="0" w:after="0" w:line="360" w:lineRule="auto"/>
        <w:ind w:firstLine="643" w:firstLineChars="200"/>
        <w:jc w:val="center"/>
        <w:rPr>
          <w:rFonts w:ascii="宋体" w:hAnsi="宋体" w:cs="宋体"/>
          <w:bCs w:val="0"/>
          <w:color w:val="auto"/>
          <w:kern w:val="21"/>
          <w:highlight w:val="none"/>
        </w:rPr>
      </w:pPr>
      <w:bookmarkStart w:id="69" w:name="_Toc28989"/>
      <w:r>
        <w:rPr>
          <w:rFonts w:hint="eastAsia" w:ascii="宋体" w:hAnsi="宋体" w:cs="宋体"/>
          <w:bCs w:val="0"/>
          <w:color w:val="auto"/>
          <w:kern w:val="21"/>
          <w:highlight w:val="none"/>
        </w:rPr>
        <w:br w:type="page"/>
      </w:r>
      <w:bookmarkStart w:id="70" w:name="_Toc4847"/>
      <w:r>
        <w:rPr>
          <w:rFonts w:hint="eastAsia" w:ascii="宋体" w:hAnsi="宋体" w:cs="宋体"/>
          <w:bCs w:val="0"/>
          <w:color w:val="auto"/>
          <w:kern w:val="21"/>
          <w:highlight w:val="none"/>
        </w:rPr>
        <w:t>第二节 评</w:t>
      </w:r>
      <w:r>
        <w:rPr>
          <w:rFonts w:hint="eastAsia" w:ascii="宋体" w:hAnsi="宋体" w:cs="宋体"/>
          <w:bCs w:val="0"/>
          <w:color w:val="auto"/>
          <w:kern w:val="21"/>
          <w:highlight w:val="none"/>
          <w:lang w:val="en-US" w:eastAsia="zh-CN"/>
        </w:rPr>
        <w:t>审</w:t>
      </w:r>
      <w:r>
        <w:rPr>
          <w:rFonts w:hint="eastAsia" w:ascii="宋体" w:hAnsi="宋体" w:cs="宋体"/>
          <w:bCs w:val="0"/>
          <w:color w:val="auto"/>
          <w:kern w:val="21"/>
          <w:highlight w:val="none"/>
        </w:rPr>
        <w:t>报告</w:t>
      </w:r>
      <w:bookmarkEnd w:id="68"/>
      <w:bookmarkEnd w:id="69"/>
      <w:bookmarkEnd w:id="70"/>
    </w:p>
    <w:p w14:paraId="494664F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1.成交标准</w:t>
      </w:r>
    </w:p>
    <w:p w14:paraId="3EC361A5">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由磋商小组根据综合评分情况，按照评审得分由高到低顺序推荐3名以上成交候选供应商，</w:t>
      </w:r>
      <w:r>
        <w:rPr>
          <w:rFonts w:hint="eastAsia" w:ascii="宋体" w:hAnsi="宋体" w:cs="宋体"/>
          <w:color w:val="auto"/>
          <w:kern w:val="21"/>
          <w:sz w:val="24"/>
          <w:highlight w:val="none"/>
        </w:rPr>
        <w:t>并在线编写电子评审报告</w:t>
      </w:r>
      <w:r>
        <w:rPr>
          <w:rFonts w:hint="eastAsia" w:ascii="宋体" w:hAnsi="宋体" w:cs="宋体"/>
          <w:bCs/>
          <w:color w:val="auto"/>
          <w:kern w:val="21"/>
          <w:sz w:val="24"/>
          <w:highlight w:val="none"/>
        </w:rPr>
        <w:t>。符合本章第一节第5.3条情形的，可以推荐2家成交候选供应商。评审得分相同的，按照最后报价（不计算价格折扣）由低到高的顺序推荐。评审得分且最后报价（不计算价格折扣）相同的，依次按带“▲”的实质性要求正偏离项数多的优先、均无正偏离或者正偏离项数一致时负偏离项数少的优先、质量保证期长优先、交货期短优先、故障响应时间短优先的顺序排列。</w:t>
      </w:r>
    </w:p>
    <w:p w14:paraId="09D5A5E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争议事项处理</w:t>
      </w:r>
    </w:p>
    <w:p w14:paraId="32CC6974">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报告上签署不同意见及理由，否则视为同意评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w:t>
      </w:r>
    </w:p>
    <w:p w14:paraId="1B67566E">
      <w:pPr>
        <w:pStyle w:val="84"/>
        <w:spacing w:before="0"/>
        <w:ind w:firstLine="420"/>
        <w:rPr>
          <w:rFonts w:ascii="宋体" w:hAnsi="宋体" w:cs="宋体"/>
          <w:color w:val="auto"/>
          <w:kern w:val="21"/>
          <w:sz w:val="21"/>
          <w:szCs w:val="24"/>
          <w:highlight w:val="none"/>
        </w:rPr>
      </w:pPr>
    </w:p>
    <w:p w14:paraId="597865AD">
      <w:pPr>
        <w:pStyle w:val="3"/>
        <w:spacing w:before="0" w:after="0" w:line="360" w:lineRule="auto"/>
        <w:ind w:firstLine="643" w:firstLineChars="200"/>
        <w:jc w:val="center"/>
        <w:rPr>
          <w:rFonts w:ascii="宋体" w:hAnsi="宋体" w:cs="宋体"/>
          <w:bCs w:val="0"/>
          <w:color w:val="auto"/>
          <w:kern w:val="21"/>
          <w:highlight w:val="none"/>
        </w:rPr>
      </w:pPr>
      <w:bookmarkStart w:id="71" w:name="_Toc25024"/>
      <w:bookmarkStart w:id="72" w:name="_Toc80205936"/>
      <w:bookmarkStart w:id="73" w:name="_Toc2526"/>
      <w:r>
        <w:rPr>
          <w:rFonts w:hint="eastAsia" w:ascii="宋体" w:hAnsi="宋体" w:cs="宋体"/>
          <w:bCs w:val="0"/>
          <w:color w:val="auto"/>
          <w:kern w:val="21"/>
          <w:highlight w:val="none"/>
        </w:rPr>
        <w:t>第三节 评审过程的保密与录像</w:t>
      </w:r>
      <w:bookmarkEnd w:id="71"/>
      <w:bookmarkEnd w:id="72"/>
      <w:bookmarkEnd w:id="73"/>
    </w:p>
    <w:p w14:paraId="284A9EB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1.保密。</w:t>
      </w:r>
    </w:p>
    <w:p w14:paraId="334324AD">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02E1E5E">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2.录音录像。</w:t>
      </w:r>
    </w:p>
    <w:p w14:paraId="632B217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采购代理机构对评审工作现场及操作屏幕进行全过程录音录像，录音录像资料作为采购项目文件随其他文件一并存档。</w:t>
      </w:r>
    </w:p>
    <w:p w14:paraId="1FD6CF92">
      <w:pPr>
        <w:keepNext/>
        <w:keepLines/>
        <w:spacing w:line="416" w:lineRule="auto"/>
        <w:jc w:val="center"/>
        <w:rPr>
          <w:rFonts w:ascii="宋体" w:hAnsi="宋体" w:cs="宋体"/>
          <w:color w:val="auto"/>
          <w:kern w:val="21"/>
          <w:highlight w:val="none"/>
        </w:rPr>
      </w:pPr>
      <w:r>
        <w:rPr>
          <w:rFonts w:hint="eastAsia" w:ascii="宋体" w:hAnsi="宋体" w:cs="宋体"/>
          <w:color w:val="auto"/>
          <w:kern w:val="21"/>
          <w:highlight w:val="none"/>
        </w:rPr>
        <w:br w:type="page"/>
      </w:r>
    </w:p>
    <w:p w14:paraId="5633E721">
      <w:pPr>
        <w:keepNext/>
        <w:keepLines/>
        <w:spacing w:line="416" w:lineRule="auto"/>
        <w:jc w:val="center"/>
        <w:rPr>
          <w:rFonts w:ascii="宋体" w:hAnsi="宋体" w:cs="宋体"/>
          <w:color w:val="auto"/>
          <w:kern w:val="21"/>
          <w:highlight w:val="none"/>
        </w:rPr>
      </w:pPr>
    </w:p>
    <w:p w14:paraId="593B4B69">
      <w:pPr>
        <w:keepNext/>
        <w:keepLines/>
        <w:spacing w:line="416" w:lineRule="auto"/>
        <w:jc w:val="center"/>
        <w:rPr>
          <w:rFonts w:ascii="宋体" w:hAnsi="宋体" w:cs="宋体"/>
          <w:color w:val="auto"/>
          <w:kern w:val="21"/>
          <w:highlight w:val="none"/>
        </w:rPr>
      </w:pPr>
    </w:p>
    <w:p w14:paraId="32390578">
      <w:pPr>
        <w:keepNext/>
        <w:keepLines/>
        <w:spacing w:line="416" w:lineRule="auto"/>
        <w:jc w:val="center"/>
        <w:rPr>
          <w:rFonts w:ascii="宋体" w:hAnsi="宋体" w:cs="宋体"/>
          <w:color w:val="auto"/>
          <w:kern w:val="21"/>
          <w:highlight w:val="none"/>
        </w:rPr>
      </w:pPr>
    </w:p>
    <w:p w14:paraId="7FE15708">
      <w:pPr>
        <w:keepNext/>
        <w:keepLines/>
        <w:spacing w:line="416" w:lineRule="auto"/>
        <w:jc w:val="center"/>
        <w:rPr>
          <w:rFonts w:ascii="宋体" w:hAnsi="宋体" w:cs="宋体"/>
          <w:color w:val="auto"/>
          <w:kern w:val="21"/>
          <w:highlight w:val="none"/>
        </w:rPr>
      </w:pPr>
    </w:p>
    <w:p w14:paraId="4DC1FDCC">
      <w:pPr>
        <w:keepNext/>
        <w:keepLines/>
        <w:spacing w:line="416" w:lineRule="auto"/>
        <w:jc w:val="center"/>
        <w:rPr>
          <w:rFonts w:ascii="宋体" w:hAnsi="宋体" w:cs="宋体"/>
          <w:color w:val="auto"/>
          <w:kern w:val="21"/>
          <w:highlight w:val="none"/>
        </w:rPr>
      </w:pPr>
    </w:p>
    <w:p w14:paraId="0554A661">
      <w:pPr>
        <w:pStyle w:val="2"/>
        <w:jc w:val="center"/>
        <w:rPr>
          <w:rFonts w:ascii="宋体" w:hAnsi="宋体" w:cs="宋体"/>
          <w:color w:val="auto"/>
          <w:kern w:val="21"/>
          <w:highlight w:val="none"/>
        </w:rPr>
        <w:sectPr>
          <w:footerReference r:id="rId11" w:type="first"/>
          <w:footerReference r:id="rId10" w:type="default"/>
          <w:pgSz w:w="11911" w:h="16838"/>
          <w:pgMar w:top="1440" w:right="1440" w:bottom="1440" w:left="1440" w:header="720" w:footer="720" w:gutter="0"/>
          <w:cols w:space="720" w:num="1"/>
        </w:sectPr>
      </w:pPr>
      <w:bookmarkStart w:id="74" w:name="_Toc31548"/>
      <w:bookmarkStart w:id="75" w:name="_Toc23951"/>
      <w:r>
        <w:rPr>
          <w:rFonts w:hint="eastAsia" w:ascii="宋体" w:hAnsi="宋体" w:cs="宋体"/>
          <w:color w:val="auto"/>
          <w:kern w:val="21"/>
          <w:highlight w:val="none"/>
        </w:rPr>
        <w:t>第五章 响应文件格式</w:t>
      </w:r>
      <w:bookmarkEnd w:id="74"/>
      <w:bookmarkEnd w:id="75"/>
    </w:p>
    <w:p w14:paraId="71A3FB51">
      <w:pPr>
        <w:pStyle w:val="3"/>
        <w:jc w:val="center"/>
        <w:rPr>
          <w:rFonts w:ascii="宋体" w:hAnsi="宋体" w:cs="宋体"/>
          <w:bCs w:val="0"/>
          <w:color w:val="auto"/>
          <w:kern w:val="21"/>
          <w:highlight w:val="none"/>
        </w:rPr>
      </w:pPr>
      <w:bookmarkStart w:id="76" w:name="_Toc7051"/>
      <w:bookmarkStart w:id="77" w:name="_Toc18318"/>
      <w:bookmarkStart w:id="78" w:name="_Toc80205938"/>
      <w:r>
        <w:rPr>
          <w:rFonts w:hint="eastAsia" w:ascii="宋体" w:hAnsi="宋体" w:cs="宋体"/>
          <w:bCs w:val="0"/>
          <w:color w:val="auto"/>
          <w:kern w:val="21"/>
          <w:highlight w:val="none"/>
        </w:rPr>
        <w:t>第一节 封面格式</w:t>
      </w:r>
      <w:bookmarkEnd w:id="76"/>
      <w:bookmarkEnd w:id="77"/>
      <w:bookmarkEnd w:id="78"/>
    </w:p>
    <w:p w14:paraId="4157D2AC">
      <w:pPr>
        <w:rPr>
          <w:rFonts w:ascii="宋体" w:hAnsi="宋体" w:cs="宋体"/>
          <w:b/>
          <w:bCs/>
          <w:color w:val="auto"/>
          <w:kern w:val="21"/>
          <w:sz w:val="32"/>
          <w:szCs w:val="32"/>
          <w:highlight w:val="none"/>
        </w:rPr>
      </w:pPr>
      <w:r>
        <w:rPr>
          <w:rFonts w:hint="eastAsia" w:ascii="宋体" w:hAnsi="宋体" w:cs="宋体"/>
          <w:b/>
          <w:color w:val="auto"/>
          <w:kern w:val="21"/>
          <w:sz w:val="32"/>
          <w:szCs w:val="32"/>
          <w:highlight w:val="none"/>
        </w:rPr>
        <w:t>（</w:t>
      </w:r>
      <w:r>
        <w:rPr>
          <w:rFonts w:hint="eastAsia" w:ascii="宋体" w:hAnsi="宋体" w:cs="宋体"/>
          <w:b/>
          <w:bCs/>
          <w:color w:val="auto"/>
          <w:kern w:val="21"/>
          <w:sz w:val="32"/>
          <w:szCs w:val="32"/>
          <w:highlight w:val="none"/>
        </w:rPr>
        <w:t>响应文件外层包装封面格式</w:t>
      </w:r>
      <w:r>
        <w:rPr>
          <w:rFonts w:hint="eastAsia" w:ascii="宋体" w:hAnsi="宋体" w:cs="宋体"/>
          <w:b/>
          <w:color w:val="auto"/>
          <w:kern w:val="21"/>
          <w:sz w:val="32"/>
          <w:szCs w:val="32"/>
          <w:highlight w:val="none"/>
        </w:rPr>
        <w:t xml:space="preserve"> ）</w:t>
      </w:r>
    </w:p>
    <w:p w14:paraId="3FB05E4F">
      <w:pPr>
        <w:snapToGrid w:val="0"/>
        <w:spacing w:before="120" w:beforeLines="50" w:after="50"/>
        <w:rPr>
          <w:rFonts w:ascii="宋体" w:hAnsi="宋体" w:cs="宋体"/>
          <w:color w:val="auto"/>
          <w:kern w:val="21"/>
          <w:sz w:val="24"/>
          <w:szCs w:val="20"/>
          <w:highlight w:val="none"/>
        </w:rPr>
      </w:pPr>
    </w:p>
    <w:p w14:paraId="59812F9D">
      <w:pPr>
        <w:snapToGrid w:val="0"/>
        <w:spacing w:before="120" w:beforeLines="50" w:after="50"/>
        <w:jc w:val="center"/>
        <w:rPr>
          <w:rFonts w:ascii="宋体" w:hAnsi="宋体" w:cs="宋体"/>
          <w:bCs/>
          <w:color w:val="auto"/>
          <w:kern w:val="21"/>
          <w:sz w:val="24"/>
          <w:szCs w:val="20"/>
          <w:highlight w:val="none"/>
        </w:rPr>
      </w:pPr>
    </w:p>
    <w:p w14:paraId="0180694E">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响  应  文  件</w:t>
      </w:r>
    </w:p>
    <w:p w14:paraId="0D865A3E">
      <w:pPr>
        <w:snapToGrid w:val="0"/>
        <w:spacing w:before="120" w:beforeLines="50" w:after="50"/>
        <w:rPr>
          <w:rFonts w:ascii="宋体" w:hAnsi="宋体" w:cs="宋体"/>
          <w:bCs/>
          <w:color w:val="auto"/>
          <w:kern w:val="21"/>
          <w:sz w:val="24"/>
          <w:szCs w:val="20"/>
          <w:highlight w:val="none"/>
        </w:rPr>
      </w:pPr>
    </w:p>
    <w:p w14:paraId="4B1D9AD0">
      <w:pPr>
        <w:snapToGrid w:val="0"/>
        <w:spacing w:before="120" w:beforeLines="50" w:after="50"/>
        <w:rPr>
          <w:rFonts w:ascii="宋体" w:hAnsi="宋体" w:cs="宋体"/>
          <w:bCs/>
          <w:color w:val="auto"/>
          <w:kern w:val="21"/>
          <w:sz w:val="24"/>
          <w:szCs w:val="20"/>
          <w:highlight w:val="none"/>
        </w:rPr>
      </w:pPr>
    </w:p>
    <w:p w14:paraId="41A58CF5">
      <w:pPr>
        <w:snapToGrid w:val="0"/>
        <w:spacing w:before="120" w:beforeLines="50" w:after="50"/>
        <w:rPr>
          <w:rFonts w:ascii="宋体" w:hAnsi="宋体" w:cs="宋体"/>
          <w:bCs/>
          <w:color w:val="auto"/>
          <w:kern w:val="21"/>
          <w:sz w:val="32"/>
          <w:szCs w:val="32"/>
          <w:highlight w:val="none"/>
        </w:rPr>
      </w:pPr>
    </w:p>
    <w:p w14:paraId="051BB638">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09FAC859">
      <w:pPr>
        <w:snapToGrid w:val="0"/>
        <w:spacing w:before="120" w:beforeLines="50" w:after="50"/>
        <w:ind w:firstLine="480" w:firstLineChars="150"/>
        <w:rPr>
          <w:rFonts w:ascii="宋体" w:hAnsi="宋体" w:cs="宋体"/>
          <w:bCs/>
          <w:color w:val="auto"/>
          <w:kern w:val="21"/>
          <w:sz w:val="32"/>
          <w:szCs w:val="32"/>
          <w:highlight w:val="none"/>
        </w:rPr>
      </w:pPr>
    </w:p>
    <w:p w14:paraId="6262AE3F">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3C56AC2B">
      <w:pPr>
        <w:snapToGrid w:val="0"/>
        <w:spacing w:before="120" w:beforeLines="50" w:after="50"/>
        <w:ind w:firstLine="480" w:firstLineChars="150"/>
        <w:rPr>
          <w:rFonts w:ascii="宋体" w:hAnsi="宋体" w:cs="宋体"/>
          <w:bCs/>
          <w:color w:val="auto"/>
          <w:kern w:val="21"/>
          <w:sz w:val="32"/>
          <w:szCs w:val="32"/>
          <w:highlight w:val="none"/>
        </w:rPr>
      </w:pPr>
    </w:p>
    <w:p w14:paraId="75827F5B">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59F96510">
      <w:pPr>
        <w:snapToGrid w:val="0"/>
        <w:spacing w:before="120" w:beforeLines="50" w:after="50"/>
        <w:rPr>
          <w:rFonts w:ascii="宋体" w:hAnsi="宋体" w:cs="宋体"/>
          <w:bCs/>
          <w:color w:val="auto"/>
          <w:kern w:val="21"/>
          <w:sz w:val="32"/>
          <w:szCs w:val="32"/>
          <w:highlight w:val="none"/>
        </w:rPr>
      </w:pPr>
    </w:p>
    <w:p w14:paraId="276C26CD">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150464AF">
      <w:pPr>
        <w:snapToGrid w:val="0"/>
        <w:spacing w:before="120" w:beforeLines="50" w:after="50"/>
        <w:rPr>
          <w:rFonts w:ascii="宋体" w:hAnsi="宋体" w:cs="宋体"/>
          <w:bCs/>
          <w:color w:val="auto"/>
          <w:kern w:val="21"/>
          <w:sz w:val="32"/>
          <w:szCs w:val="32"/>
          <w:highlight w:val="none"/>
        </w:rPr>
      </w:pPr>
    </w:p>
    <w:p w14:paraId="68E3CC82">
      <w:pPr>
        <w:snapToGrid w:val="0"/>
        <w:spacing w:before="120" w:beforeLines="50" w:after="50"/>
        <w:ind w:firstLine="480" w:firstLineChars="150"/>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首次响应文件提交截止时间前不得解密</w:t>
      </w:r>
    </w:p>
    <w:p w14:paraId="7184E11C">
      <w:pPr>
        <w:snapToGrid w:val="0"/>
        <w:spacing w:before="120" w:beforeLines="50" w:after="50"/>
        <w:ind w:firstLine="5440" w:firstLineChars="1700"/>
        <w:jc w:val="center"/>
        <w:rPr>
          <w:rFonts w:ascii="宋体" w:hAnsi="宋体" w:cs="宋体"/>
          <w:bCs/>
          <w:color w:val="auto"/>
          <w:kern w:val="21"/>
          <w:sz w:val="32"/>
          <w:szCs w:val="32"/>
          <w:highlight w:val="none"/>
        </w:rPr>
      </w:pPr>
    </w:p>
    <w:p w14:paraId="0EA24E6A">
      <w:pPr>
        <w:snapToGrid w:val="0"/>
        <w:spacing w:before="120" w:beforeLines="50" w:after="50"/>
        <w:ind w:firstLine="645"/>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年    月    日</w:t>
      </w:r>
    </w:p>
    <w:p w14:paraId="6CC11560">
      <w:pPr>
        <w:rPr>
          <w:rFonts w:ascii="宋体" w:hAnsi="宋体" w:cs="宋体"/>
          <w:color w:val="auto"/>
          <w:kern w:val="21"/>
          <w:highlight w:val="none"/>
        </w:rPr>
        <w:sectPr>
          <w:pgSz w:w="11911" w:h="16838"/>
          <w:pgMar w:top="1440" w:right="1440" w:bottom="1440" w:left="1440" w:header="720" w:footer="720" w:gutter="0"/>
          <w:cols w:space="720" w:num="1"/>
        </w:sectPr>
      </w:pPr>
    </w:p>
    <w:p w14:paraId="25A096C3">
      <w:pPr>
        <w:pStyle w:val="3"/>
        <w:jc w:val="center"/>
        <w:rPr>
          <w:rFonts w:ascii="宋体" w:hAnsi="宋体" w:cs="宋体"/>
          <w:bCs w:val="0"/>
          <w:color w:val="auto"/>
          <w:kern w:val="21"/>
          <w:highlight w:val="none"/>
        </w:rPr>
      </w:pPr>
      <w:bookmarkStart w:id="79" w:name="_Toc80205939"/>
      <w:bookmarkStart w:id="80" w:name="_Toc22661"/>
      <w:bookmarkStart w:id="81" w:name="_Toc16652"/>
      <w:r>
        <w:rPr>
          <w:rFonts w:hint="eastAsia" w:ascii="宋体" w:hAnsi="宋体" w:cs="宋体"/>
          <w:bCs w:val="0"/>
          <w:color w:val="auto"/>
          <w:kern w:val="21"/>
          <w:highlight w:val="none"/>
        </w:rPr>
        <w:t>第二节 资格证明文件格式</w:t>
      </w:r>
      <w:bookmarkEnd w:id="79"/>
      <w:bookmarkEnd w:id="80"/>
      <w:bookmarkEnd w:id="81"/>
    </w:p>
    <w:p w14:paraId="614A0617">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1F88E0F8">
      <w:pPr>
        <w:snapToGrid w:val="0"/>
        <w:spacing w:before="120" w:beforeLines="50" w:after="50"/>
        <w:rPr>
          <w:rFonts w:ascii="宋体" w:hAnsi="宋体" w:cs="宋体"/>
          <w:color w:val="auto"/>
          <w:kern w:val="21"/>
          <w:sz w:val="24"/>
          <w:szCs w:val="20"/>
          <w:highlight w:val="none"/>
        </w:rPr>
      </w:pPr>
    </w:p>
    <w:p w14:paraId="2C151198">
      <w:pPr>
        <w:snapToGrid w:val="0"/>
        <w:spacing w:before="120" w:beforeLines="50" w:after="50"/>
        <w:rPr>
          <w:rFonts w:ascii="宋体" w:hAnsi="宋体" w:cs="宋体"/>
          <w:color w:val="auto"/>
          <w:kern w:val="21"/>
          <w:sz w:val="24"/>
          <w:szCs w:val="20"/>
          <w:highlight w:val="none"/>
        </w:rPr>
      </w:pPr>
    </w:p>
    <w:p w14:paraId="52A9A949">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资  格  证  明  文  件（封面）</w:t>
      </w:r>
    </w:p>
    <w:p w14:paraId="452EAD49">
      <w:pPr>
        <w:snapToGrid w:val="0"/>
        <w:spacing w:before="120" w:beforeLines="50" w:after="50"/>
        <w:rPr>
          <w:rFonts w:ascii="宋体" w:hAnsi="宋体" w:cs="宋体"/>
          <w:bCs/>
          <w:color w:val="auto"/>
          <w:kern w:val="21"/>
          <w:sz w:val="24"/>
          <w:szCs w:val="20"/>
          <w:highlight w:val="none"/>
        </w:rPr>
      </w:pPr>
    </w:p>
    <w:p w14:paraId="773B0AE2">
      <w:pPr>
        <w:snapToGrid w:val="0"/>
        <w:spacing w:before="120" w:beforeLines="50" w:after="50"/>
        <w:rPr>
          <w:rFonts w:ascii="宋体" w:hAnsi="宋体" w:cs="宋体"/>
          <w:bCs/>
          <w:color w:val="auto"/>
          <w:kern w:val="21"/>
          <w:sz w:val="24"/>
          <w:szCs w:val="20"/>
          <w:highlight w:val="none"/>
        </w:rPr>
      </w:pPr>
    </w:p>
    <w:p w14:paraId="372725E3">
      <w:pPr>
        <w:snapToGrid w:val="0"/>
        <w:spacing w:before="120" w:beforeLines="50" w:after="50"/>
        <w:rPr>
          <w:rFonts w:ascii="宋体" w:hAnsi="宋体" w:cs="宋体"/>
          <w:bCs/>
          <w:color w:val="auto"/>
          <w:kern w:val="21"/>
          <w:sz w:val="24"/>
          <w:szCs w:val="20"/>
          <w:highlight w:val="none"/>
        </w:rPr>
      </w:pPr>
    </w:p>
    <w:p w14:paraId="0D51CB9E">
      <w:pPr>
        <w:snapToGrid w:val="0"/>
        <w:spacing w:before="120" w:beforeLines="50" w:after="50"/>
        <w:rPr>
          <w:rFonts w:ascii="宋体" w:hAnsi="宋体" w:cs="宋体"/>
          <w:bCs/>
          <w:color w:val="auto"/>
          <w:kern w:val="21"/>
          <w:sz w:val="24"/>
          <w:szCs w:val="20"/>
          <w:highlight w:val="none"/>
        </w:rPr>
      </w:pPr>
    </w:p>
    <w:p w14:paraId="6FC9BE26">
      <w:pPr>
        <w:snapToGrid w:val="0"/>
        <w:spacing w:before="120" w:beforeLines="50" w:after="50"/>
        <w:rPr>
          <w:rFonts w:ascii="宋体" w:hAnsi="宋体" w:cs="宋体"/>
          <w:bCs/>
          <w:color w:val="auto"/>
          <w:kern w:val="21"/>
          <w:sz w:val="24"/>
          <w:szCs w:val="20"/>
          <w:highlight w:val="none"/>
        </w:rPr>
      </w:pPr>
    </w:p>
    <w:p w14:paraId="4D3FECB7">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64B1DF53">
      <w:pPr>
        <w:snapToGrid w:val="0"/>
        <w:spacing w:before="120" w:beforeLines="50" w:after="50"/>
        <w:ind w:firstLine="720" w:firstLineChars="225"/>
        <w:rPr>
          <w:rFonts w:ascii="宋体" w:hAnsi="宋体" w:cs="宋体"/>
          <w:bCs/>
          <w:color w:val="auto"/>
          <w:kern w:val="21"/>
          <w:sz w:val="32"/>
          <w:szCs w:val="32"/>
          <w:highlight w:val="none"/>
        </w:rPr>
      </w:pPr>
    </w:p>
    <w:p w14:paraId="258F7F54">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4908B2A2">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1BEFF1D3">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51E26B0D">
      <w:pPr>
        <w:snapToGrid w:val="0"/>
        <w:spacing w:before="120" w:beforeLines="50" w:after="50"/>
        <w:ind w:firstLine="720" w:firstLineChars="225"/>
        <w:rPr>
          <w:rFonts w:ascii="宋体" w:hAnsi="宋体" w:cs="宋体"/>
          <w:bCs/>
          <w:color w:val="auto"/>
          <w:kern w:val="21"/>
          <w:sz w:val="32"/>
          <w:szCs w:val="32"/>
          <w:highlight w:val="none"/>
        </w:rPr>
      </w:pPr>
    </w:p>
    <w:p w14:paraId="58985D1D">
      <w:pPr>
        <w:pStyle w:val="7"/>
        <w:snapToGrid w:val="0"/>
        <w:spacing w:before="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327531E9">
      <w:pPr>
        <w:pStyle w:val="7"/>
        <w:snapToGrid w:val="0"/>
        <w:spacing w:before="50" w:after="50"/>
        <w:ind w:firstLine="720" w:firstLineChars="225"/>
        <w:rPr>
          <w:rFonts w:ascii="宋体" w:hAnsi="宋体" w:cs="宋体"/>
          <w:bCs/>
          <w:color w:val="auto"/>
          <w:kern w:val="21"/>
          <w:sz w:val="32"/>
          <w:szCs w:val="32"/>
          <w:highlight w:val="none"/>
        </w:rPr>
      </w:pPr>
    </w:p>
    <w:p w14:paraId="6EF39C98">
      <w:pPr>
        <w:pStyle w:val="7"/>
        <w:snapToGrid w:val="0"/>
        <w:spacing w:before="50" w:after="50"/>
        <w:ind w:firstLine="720" w:firstLineChars="225"/>
        <w:rPr>
          <w:rFonts w:ascii="宋体" w:hAnsi="宋体" w:cs="宋体"/>
          <w:bCs/>
          <w:color w:val="auto"/>
          <w:kern w:val="21"/>
          <w:sz w:val="32"/>
          <w:szCs w:val="32"/>
          <w:highlight w:val="none"/>
        </w:rPr>
      </w:pPr>
    </w:p>
    <w:p w14:paraId="33253EFB">
      <w:pPr>
        <w:pStyle w:val="7"/>
        <w:snapToGrid w:val="0"/>
        <w:spacing w:before="50" w:after="50"/>
        <w:ind w:firstLine="720" w:firstLineChars="225"/>
        <w:rPr>
          <w:rFonts w:ascii="宋体" w:hAnsi="宋体" w:cs="宋体"/>
          <w:bCs/>
          <w:color w:val="auto"/>
          <w:kern w:val="21"/>
          <w:sz w:val="32"/>
          <w:szCs w:val="32"/>
          <w:highlight w:val="none"/>
        </w:rPr>
      </w:pPr>
    </w:p>
    <w:p w14:paraId="439BBDD3">
      <w:pPr>
        <w:pStyle w:val="7"/>
        <w:snapToGrid w:val="0"/>
        <w:spacing w:before="50" w:after="50"/>
        <w:ind w:firstLine="1280" w:firstLineChars="400"/>
        <w:rPr>
          <w:rFonts w:ascii="宋体" w:hAnsi="宋体" w:cs="宋体"/>
          <w:bCs/>
          <w:color w:val="auto"/>
          <w:kern w:val="21"/>
          <w:sz w:val="32"/>
          <w:szCs w:val="32"/>
          <w:highlight w:val="none"/>
        </w:rPr>
      </w:pPr>
    </w:p>
    <w:p w14:paraId="59D0EF63">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180C3625">
      <w:pPr>
        <w:snapToGrid w:val="0"/>
        <w:spacing w:before="120" w:beforeLines="50" w:after="50" w:line="360" w:lineRule="auto"/>
        <w:jc w:val="center"/>
        <w:rPr>
          <w:rFonts w:ascii="宋体" w:hAnsi="宋体" w:cs="宋体"/>
          <w:b/>
          <w:color w:val="auto"/>
          <w:kern w:val="21"/>
          <w:sz w:val="36"/>
          <w:szCs w:val="36"/>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 xml:space="preserve"> </w:t>
      </w:r>
      <w:r>
        <w:rPr>
          <w:rFonts w:hint="eastAsia" w:ascii="宋体" w:hAnsi="宋体" w:cs="宋体"/>
          <w:b/>
          <w:color w:val="auto"/>
          <w:kern w:val="21"/>
          <w:sz w:val="36"/>
          <w:szCs w:val="36"/>
          <w:highlight w:val="none"/>
        </w:rPr>
        <w:t>资格证明文件目录</w:t>
      </w:r>
    </w:p>
    <w:p w14:paraId="4266FC27">
      <w:pPr>
        <w:snapToGrid w:val="0"/>
        <w:spacing w:line="360" w:lineRule="auto"/>
        <w:rPr>
          <w:rFonts w:ascii="宋体" w:hAnsi="宋体" w:cs="宋体"/>
          <w:color w:val="auto"/>
          <w:kern w:val="21"/>
          <w:sz w:val="24"/>
          <w:highlight w:val="none"/>
        </w:rPr>
      </w:pPr>
    </w:p>
    <w:p w14:paraId="71E118A5">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一、营业执照（或事业法人登记证或其他工商等登记证明材料）复印件（供应商为自然人的，须提供自然人的身份证明）…………………………………………………（页码）</w:t>
      </w:r>
    </w:p>
    <w:p w14:paraId="0BC2FDCB">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二、符合参与政府采购活动的资格条件依法缴纳税收、社会保障资金等方面的材料………………………………………………………………………………………（页码）</w:t>
      </w:r>
    </w:p>
    <w:p w14:paraId="57811CC4">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三、财务状况报告方面的材料………………………………………………………（页码）</w:t>
      </w:r>
    </w:p>
    <w:p w14:paraId="3CC0B476">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四、供应商直接控股股东信息………………………………………………………（页码）</w:t>
      </w:r>
    </w:p>
    <w:p w14:paraId="665E1165">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五、供应商直接关联关系信息表……………………………………………………（页码）</w:t>
      </w:r>
    </w:p>
    <w:p w14:paraId="2E58276B">
      <w:pPr>
        <w:snapToGrid w:val="0"/>
        <w:spacing w:line="360" w:lineRule="auto"/>
        <w:rPr>
          <w:rFonts w:hint="eastAsia" w:ascii="宋体" w:hAnsi="宋体" w:cs="宋体"/>
          <w:color w:val="auto"/>
          <w:kern w:val="21"/>
          <w:sz w:val="24"/>
          <w:highlight w:val="none"/>
        </w:rPr>
      </w:pPr>
      <w:r>
        <w:rPr>
          <w:rFonts w:hint="eastAsia" w:ascii="宋体" w:hAnsi="宋体" w:cs="宋体"/>
          <w:color w:val="auto"/>
          <w:kern w:val="21"/>
          <w:sz w:val="24"/>
          <w:highlight w:val="none"/>
        </w:rPr>
        <w:t>六、资格声明函………………………………………………………………………（页码）</w:t>
      </w:r>
    </w:p>
    <w:p w14:paraId="17702744">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lang w:val="en-US" w:eastAsia="zh-CN"/>
        </w:rPr>
        <w:t>七、</w:t>
      </w:r>
      <w:r>
        <w:rPr>
          <w:rFonts w:hint="eastAsia" w:ascii="宋体" w:hAnsi="宋体" w:cs="宋体"/>
          <w:color w:val="auto"/>
          <w:kern w:val="21"/>
          <w:sz w:val="24"/>
          <w:highlight w:val="none"/>
        </w:rPr>
        <w:t>除磋商文件规定必须提供以外，供应商认为需要提供的其他证明材料……（页码）</w:t>
      </w:r>
    </w:p>
    <w:p w14:paraId="0A3DCD3D">
      <w:pPr>
        <w:spacing w:line="360" w:lineRule="auto"/>
        <w:rPr>
          <w:rFonts w:ascii="宋体" w:hAnsi="宋体" w:cs="宋体"/>
          <w:b/>
          <w:bCs/>
          <w:color w:val="auto"/>
          <w:kern w:val="21"/>
          <w:sz w:val="24"/>
          <w:highlight w:val="none"/>
        </w:rPr>
      </w:pPr>
    </w:p>
    <w:p w14:paraId="0BC29F6B">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注：以上目录是编制供应商响应文件的基本格式要求，各供应商可根据自身情况进一步细化。</w:t>
      </w:r>
    </w:p>
    <w:p w14:paraId="494494BA">
      <w:pPr>
        <w:snapToGrid w:val="0"/>
        <w:spacing w:before="120" w:beforeLines="50" w:after="50" w:line="360" w:lineRule="auto"/>
        <w:ind w:left="142" w:firstLine="420" w:firstLineChars="200"/>
        <w:jc w:val="left"/>
        <w:rPr>
          <w:rFonts w:ascii="宋体" w:hAnsi="宋体" w:cs="宋体"/>
          <w:color w:val="auto"/>
          <w:kern w:val="21"/>
          <w:szCs w:val="21"/>
          <w:highlight w:val="none"/>
        </w:rPr>
      </w:pPr>
    </w:p>
    <w:p w14:paraId="1F18C7CB">
      <w:pPr>
        <w:spacing w:line="300" w:lineRule="auto"/>
        <w:rPr>
          <w:rFonts w:ascii="宋体" w:hAnsi="宋体" w:cs="宋体"/>
          <w:color w:val="auto"/>
          <w:kern w:val="21"/>
          <w:szCs w:val="21"/>
          <w:highlight w:val="none"/>
        </w:rPr>
      </w:pPr>
    </w:p>
    <w:p w14:paraId="416AB50F">
      <w:pPr>
        <w:spacing w:line="300" w:lineRule="auto"/>
        <w:rPr>
          <w:rFonts w:ascii="宋体" w:hAnsi="宋体" w:cs="宋体"/>
          <w:color w:val="auto"/>
          <w:kern w:val="21"/>
          <w:szCs w:val="21"/>
          <w:highlight w:val="none"/>
        </w:rPr>
      </w:pPr>
    </w:p>
    <w:p w14:paraId="47D63E83">
      <w:pPr>
        <w:spacing w:line="300" w:lineRule="auto"/>
        <w:rPr>
          <w:rFonts w:ascii="宋体" w:hAnsi="宋体" w:cs="宋体"/>
          <w:color w:val="auto"/>
          <w:kern w:val="21"/>
          <w:szCs w:val="21"/>
          <w:highlight w:val="none"/>
        </w:rPr>
      </w:pPr>
    </w:p>
    <w:p w14:paraId="6BF8D924">
      <w:pPr>
        <w:spacing w:line="300" w:lineRule="auto"/>
        <w:rPr>
          <w:rFonts w:ascii="宋体" w:hAnsi="宋体" w:cs="宋体"/>
          <w:color w:val="auto"/>
          <w:kern w:val="21"/>
          <w:szCs w:val="21"/>
          <w:highlight w:val="none"/>
        </w:rPr>
      </w:pPr>
    </w:p>
    <w:p w14:paraId="2B232345">
      <w:pPr>
        <w:spacing w:line="300" w:lineRule="auto"/>
        <w:rPr>
          <w:rFonts w:ascii="宋体" w:hAnsi="宋体" w:cs="宋体"/>
          <w:color w:val="auto"/>
          <w:kern w:val="21"/>
          <w:szCs w:val="21"/>
          <w:highlight w:val="none"/>
        </w:rPr>
      </w:pPr>
    </w:p>
    <w:p w14:paraId="2F6835EC">
      <w:pPr>
        <w:spacing w:line="300" w:lineRule="auto"/>
        <w:rPr>
          <w:rFonts w:ascii="宋体" w:hAnsi="宋体" w:cs="宋体"/>
          <w:color w:val="auto"/>
          <w:kern w:val="21"/>
          <w:szCs w:val="21"/>
          <w:highlight w:val="none"/>
        </w:rPr>
      </w:pPr>
    </w:p>
    <w:p w14:paraId="5EB6C87E">
      <w:pPr>
        <w:spacing w:line="300" w:lineRule="auto"/>
        <w:rPr>
          <w:rFonts w:ascii="宋体" w:hAnsi="宋体" w:cs="宋体"/>
          <w:color w:val="auto"/>
          <w:kern w:val="21"/>
          <w:szCs w:val="21"/>
          <w:highlight w:val="none"/>
        </w:rPr>
      </w:pPr>
    </w:p>
    <w:p w14:paraId="441F6778">
      <w:pPr>
        <w:spacing w:line="300" w:lineRule="auto"/>
        <w:rPr>
          <w:rFonts w:ascii="宋体" w:hAnsi="宋体" w:cs="宋体"/>
          <w:color w:val="auto"/>
          <w:kern w:val="21"/>
          <w:szCs w:val="21"/>
          <w:highlight w:val="none"/>
        </w:rPr>
      </w:pPr>
    </w:p>
    <w:p w14:paraId="6CEC6EEC">
      <w:pPr>
        <w:spacing w:line="300" w:lineRule="auto"/>
        <w:rPr>
          <w:rFonts w:ascii="宋体" w:hAnsi="宋体" w:cs="宋体"/>
          <w:color w:val="auto"/>
          <w:kern w:val="21"/>
          <w:szCs w:val="21"/>
          <w:highlight w:val="none"/>
        </w:rPr>
      </w:pPr>
    </w:p>
    <w:p w14:paraId="46437636">
      <w:pPr>
        <w:pStyle w:val="18"/>
        <w:spacing w:line="360" w:lineRule="auto"/>
        <w:ind w:firstLine="400" w:firstLineChars="200"/>
        <w:rPr>
          <w:rFonts w:hAnsi="宋体" w:cs="宋体"/>
          <w:b/>
          <w:color w:val="auto"/>
          <w:kern w:val="21"/>
          <w:sz w:val="30"/>
          <w:szCs w:val="30"/>
          <w:highlight w:val="none"/>
        </w:rPr>
      </w:pPr>
      <w:r>
        <w:rPr>
          <w:rFonts w:hint="eastAsia" w:hAnsi="宋体" w:cs="宋体"/>
          <w:color w:val="auto"/>
          <w:kern w:val="21"/>
          <w:highlight w:val="none"/>
        </w:rPr>
        <w:br w:type="page"/>
      </w:r>
      <w:r>
        <w:rPr>
          <w:rFonts w:hint="eastAsia" w:hAnsi="宋体" w:cs="宋体"/>
          <w:color w:val="auto"/>
          <w:kern w:val="21"/>
          <w:highlight w:val="none"/>
        </w:rPr>
        <w:t xml:space="preserve">   </w:t>
      </w:r>
      <w:r>
        <w:rPr>
          <w:rFonts w:hint="eastAsia" w:hAnsi="宋体" w:cs="宋体"/>
          <w:b/>
          <w:color w:val="auto"/>
          <w:kern w:val="21"/>
          <w:sz w:val="30"/>
          <w:szCs w:val="30"/>
          <w:highlight w:val="none"/>
        </w:rPr>
        <w:t>一、营业执照（或事业法人登记证或其他工商等登记证明材料）复印件（供应商为自然人的，提供自然人的身份证明）</w:t>
      </w:r>
    </w:p>
    <w:p w14:paraId="50A8F961">
      <w:pPr>
        <w:pStyle w:val="18"/>
        <w:spacing w:line="360" w:lineRule="auto"/>
        <w:ind w:firstLine="602" w:firstLineChars="200"/>
        <w:rPr>
          <w:rFonts w:hAnsi="宋体" w:cs="宋体"/>
          <w:b/>
          <w:color w:val="auto"/>
          <w:kern w:val="21"/>
          <w:sz w:val="30"/>
          <w:szCs w:val="30"/>
          <w:highlight w:val="none"/>
        </w:rPr>
      </w:pPr>
    </w:p>
    <w:p w14:paraId="26E5BD7C">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A08459B">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4C9A7466">
      <w:pPr>
        <w:snapToGrid w:val="0"/>
        <w:spacing w:before="120" w:beforeLines="50" w:after="50"/>
        <w:rPr>
          <w:rFonts w:ascii="宋体" w:hAnsi="宋体" w:cs="宋体"/>
          <w:color w:val="auto"/>
          <w:kern w:val="21"/>
          <w:sz w:val="24"/>
          <w:szCs w:val="20"/>
          <w:highlight w:val="none"/>
        </w:rPr>
      </w:pPr>
    </w:p>
    <w:p w14:paraId="54F0722B">
      <w:pPr>
        <w:pStyle w:val="18"/>
        <w:spacing w:line="360" w:lineRule="auto"/>
        <w:ind w:firstLine="602" w:firstLineChars="200"/>
        <w:rPr>
          <w:rFonts w:hAnsi="宋体" w:cs="宋体"/>
          <w:b/>
          <w:color w:val="auto"/>
          <w:kern w:val="21"/>
          <w:sz w:val="30"/>
          <w:szCs w:val="30"/>
          <w:highlight w:val="none"/>
        </w:rPr>
      </w:pPr>
      <w:r>
        <w:rPr>
          <w:rFonts w:hint="eastAsia" w:hAnsi="宋体" w:cs="宋体"/>
          <w:b/>
          <w:color w:val="auto"/>
          <w:kern w:val="21"/>
          <w:sz w:val="30"/>
          <w:szCs w:val="30"/>
          <w:highlight w:val="none"/>
        </w:rPr>
        <w:t>二、符合参与政府采购活动的资格条件依法缴纳税收、社会保障资金等方面的材料</w:t>
      </w:r>
    </w:p>
    <w:p w14:paraId="641DDDA0">
      <w:pPr>
        <w:spacing w:line="300" w:lineRule="auto"/>
        <w:rPr>
          <w:rFonts w:ascii="宋体" w:hAnsi="宋体" w:cs="宋体"/>
          <w:color w:val="auto"/>
          <w:kern w:val="21"/>
          <w:szCs w:val="21"/>
          <w:highlight w:val="none"/>
        </w:rPr>
      </w:pPr>
    </w:p>
    <w:p w14:paraId="71E63A45">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6907449">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40039B3E">
      <w:pPr>
        <w:spacing w:line="300" w:lineRule="auto"/>
        <w:rPr>
          <w:rFonts w:ascii="宋体" w:hAnsi="宋体" w:cs="宋体"/>
          <w:color w:val="auto"/>
          <w:kern w:val="21"/>
          <w:szCs w:val="21"/>
          <w:highlight w:val="none"/>
        </w:rPr>
      </w:pPr>
    </w:p>
    <w:p w14:paraId="6A42B306">
      <w:pPr>
        <w:spacing w:line="300" w:lineRule="auto"/>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三、财务状况报告方面的材料</w:t>
      </w:r>
    </w:p>
    <w:p w14:paraId="146C5F43">
      <w:pPr>
        <w:spacing w:line="300" w:lineRule="auto"/>
        <w:rPr>
          <w:rFonts w:ascii="宋体" w:hAnsi="宋体" w:cs="宋体"/>
          <w:color w:val="auto"/>
          <w:kern w:val="21"/>
          <w:szCs w:val="21"/>
          <w:highlight w:val="none"/>
        </w:rPr>
      </w:pPr>
    </w:p>
    <w:p w14:paraId="361C7246">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E79F1D8">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675F2239">
      <w:pPr>
        <w:spacing w:line="320" w:lineRule="exact"/>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3C196329">
      <w:pPr>
        <w:snapToGrid w:val="0"/>
        <w:spacing w:before="120" w:beforeLines="50" w:after="50" w:line="360" w:lineRule="auto"/>
        <w:jc w:val="center"/>
        <w:rPr>
          <w:rFonts w:ascii="宋体" w:hAnsi="宋体" w:cs="宋体"/>
          <w:b/>
          <w:color w:val="auto"/>
          <w:kern w:val="21"/>
          <w:sz w:val="24"/>
          <w:highlight w:val="none"/>
        </w:rPr>
      </w:pPr>
    </w:p>
    <w:p w14:paraId="61814438">
      <w:pPr>
        <w:spacing w:line="360" w:lineRule="auto"/>
        <w:ind w:firstLine="596" w:firstLineChars="198"/>
        <w:contextualSpacing/>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四、供应商直接控股股东信息</w:t>
      </w:r>
    </w:p>
    <w:p w14:paraId="4BF30A6A">
      <w:pPr>
        <w:spacing w:line="360" w:lineRule="auto"/>
        <w:contextualSpacing/>
        <w:jc w:val="center"/>
        <w:rPr>
          <w:rFonts w:ascii="宋体" w:hAnsi="宋体" w:cs="宋体"/>
          <w:b/>
          <w:color w:val="auto"/>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578DFA3">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927DE7">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97C01C">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D53A43">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ADA2BA">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F69799">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01913C6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177063">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7D9651">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E61D92">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D79FEA">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7A75A8">
            <w:pPr>
              <w:widowControl/>
              <w:spacing w:line="360" w:lineRule="auto"/>
              <w:contextualSpacing/>
              <w:jc w:val="center"/>
              <w:rPr>
                <w:rFonts w:ascii="宋体" w:hAnsi="宋体" w:cs="宋体"/>
                <w:color w:val="auto"/>
                <w:kern w:val="21"/>
                <w:sz w:val="24"/>
                <w:highlight w:val="none"/>
              </w:rPr>
            </w:pPr>
          </w:p>
        </w:tc>
      </w:tr>
      <w:tr w14:paraId="7F15E62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191401">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19DADA">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5DAC0A">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91C67E">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EBE82A">
            <w:pPr>
              <w:widowControl/>
              <w:spacing w:line="360" w:lineRule="auto"/>
              <w:contextualSpacing/>
              <w:jc w:val="center"/>
              <w:rPr>
                <w:rFonts w:ascii="宋体" w:hAnsi="宋体" w:cs="宋体"/>
                <w:color w:val="auto"/>
                <w:kern w:val="21"/>
                <w:sz w:val="24"/>
                <w:highlight w:val="none"/>
              </w:rPr>
            </w:pPr>
          </w:p>
        </w:tc>
      </w:tr>
      <w:tr w14:paraId="0D56957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770E82">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008C9">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D9D1DD">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BE402F">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609EC4">
            <w:pPr>
              <w:widowControl/>
              <w:spacing w:line="360" w:lineRule="auto"/>
              <w:contextualSpacing/>
              <w:jc w:val="center"/>
              <w:rPr>
                <w:rFonts w:ascii="宋体" w:hAnsi="宋体" w:cs="宋体"/>
                <w:color w:val="auto"/>
                <w:kern w:val="21"/>
                <w:sz w:val="24"/>
                <w:highlight w:val="none"/>
              </w:rPr>
            </w:pPr>
          </w:p>
        </w:tc>
      </w:tr>
      <w:tr w14:paraId="42BC773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E5A2D">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FB456F">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FFC39E">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0B6BA4">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BEAB2E">
            <w:pPr>
              <w:widowControl/>
              <w:spacing w:line="360" w:lineRule="auto"/>
              <w:contextualSpacing/>
              <w:jc w:val="center"/>
              <w:rPr>
                <w:rFonts w:ascii="宋体" w:hAnsi="宋体" w:cs="宋体"/>
                <w:color w:val="auto"/>
                <w:kern w:val="21"/>
                <w:sz w:val="24"/>
                <w:highlight w:val="none"/>
              </w:rPr>
            </w:pPr>
          </w:p>
        </w:tc>
      </w:tr>
    </w:tbl>
    <w:p w14:paraId="01C45F1E">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704D6926">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0D19B5">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2.本表所指的控股关系仅限于直接控股关系，不包括间接的控股关系。公司实际控制人与公司之间的关系不属于本表所指的直接控股关系。</w:t>
      </w:r>
    </w:p>
    <w:p w14:paraId="69440CA2">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3.供应商不存在直接控股股东的，则填“无”。</w:t>
      </w:r>
    </w:p>
    <w:p w14:paraId="4B4473A3">
      <w:pPr>
        <w:snapToGrid w:val="0"/>
        <w:spacing w:line="360" w:lineRule="auto"/>
        <w:jc w:val="left"/>
        <w:rPr>
          <w:rFonts w:ascii="宋体" w:hAnsi="宋体" w:cs="宋体"/>
          <w:color w:val="auto"/>
          <w:kern w:val="21"/>
          <w:sz w:val="24"/>
          <w:highlight w:val="none"/>
        </w:rPr>
      </w:pPr>
    </w:p>
    <w:p w14:paraId="382DC9F2">
      <w:pPr>
        <w:snapToGrid w:val="0"/>
        <w:spacing w:line="360" w:lineRule="auto"/>
        <w:jc w:val="left"/>
        <w:rPr>
          <w:rFonts w:ascii="宋体" w:hAnsi="宋体" w:cs="宋体"/>
          <w:color w:val="auto"/>
          <w:kern w:val="21"/>
          <w:sz w:val="24"/>
          <w:highlight w:val="none"/>
        </w:rPr>
      </w:pPr>
    </w:p>
    <w:p w14:paraId="77C06D0F">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0FCAF97B">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5DEB2E4D">
      <w:pPr>
        <w:snapToGrid w:val="0"/>
        <w:rPr>
          <w:rFonts w:ascii="宋体" w:hAnsi="宋体" w:cs="宋体"/>
          <w:b/>
          <w:color w:val="auto"/>
          <w:kern w:val="21"/>
          <w:sz w:val="30"/>
          <w:szCs w:val="30"/>
          <w:highlight w:val="none"/>
        </w:rPr>
      </w:pPr>
    </w:p>
    <w:p w14:paraId="0617EDEC">
      <w:pPr>
        <w:snapToGrid w:val="0"/>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五、供应商直接管理关系信息表</w:t>
      </w:r>
    </w:p>
    <w:p w14:paraId="22F7D47C">
      <w:pPr>
        <w:snapToGrid w:val="0"/>
        <w:spacing w:line="360" w:lineRule="auto"/>
        <w:jc w:val="center"/>
        <w:rPr>
          <w:rFonts w:ascii="宋体" w:hAnsi="宋体" w:cs="宋体"/>
          <w:b/>
          <w:color w:val="auto"/>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84C0DC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12160B">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2344F8">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189F92">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CD6FC5">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4DDD2C6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60F157">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030CC2">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2F2682">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4D7CC6">
            <w:pPr>
              <w:widowControl/>
              <w:spacing w:line="360" w:lineRule="auto"/>
              <w:contextualSpacing/>
              <w:jc w:val="center"/>
              <w:rPr>
                <w:rFonts w:ascii="宋体" w:hAnsi="宋体" w:cs="宋体"/>
                <w:color w:val="auto"/>
                <w:kern w:val="21"/>
                <w:sz w:val="24"/>
                <w:highlight w:val="none"/>
              </w:rPr>
            </w:pPr>
          </w:p>
        </w:tc>
      </w:tr>
      <w:tr w14:paraId="04B4D68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BA4B5C">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DE935F">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8D7BC9">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F46833">
            <w:pPr>
              <w:widowControl/>
              <w:spacing w:line="360" w:lineRule="auto"/>
              <w:contextualSpacing/>
              <w:jc w:val="center"/>
              <w:rPr>
                <w:rFonts w:ascii="宋体" w:hAnsi="宋体" w:cs="宋体"/>
                <w:color w:val="auto"/>
                <w:kern w:val="21"/>
                <w:sz w:val="24"/>
                <w:highlight w:val="none"/>
              </w:rPr>
            </w:pPr>
          </w:p>
        </w:tc>
      </w:tr>
      <w:tr w14:paraId="02095A4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82E5F4">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5BD04">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3090BD">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202ABE">
            <w:pPr>
              <w:widowControl/>
              <w:spacing w:line="360" w:lineRule="auto"/>
              <w:contextualSpacing/>
              <w:jc w:val="center"/>
              <w:rPr>
                <w:rFonts w:ascii="宋体" w:hAnsi="宋体" w:cs="宋体"/>
                <w:color w:val="auto"/>
                <w:kern w:val="21"/>
                <w:sz w:val="24"/>
                <w:highlight w:val="none"/>
              </w:rPr>
            </w:pPr>
          </w:p>
        </w:tc>
      </w:tr>
      <w:tr w14:paraId="65D81A7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DDD149">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22C811">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EB7B1A">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E67CD0">
            <w:pPr>
              <w:widowControl/>
              <w:spacing w:line="360" w:lineRule="auto"/>
              <w:contextualSpacing/>
              <w:jc w:val="center"/>
              <w:rPr>
                <w:rFonts w:ascii="宋体" w:hAnsi="宋体" w:cs="宋体"/>
                <w:color w:val="auto"/>
                <w:kern w:val="21"/>
                <w:sz w:val="24"/>
                <w:highlight w:val="none"/>
              </w:rPr>
            </w:pPr>
          </w:p>
        </w:tc>
      </w:tr>
    </w:tbl>
    <w:p w14:paraId="3D9E2832">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6221DCFB">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1.管理关系：是指不具有出资持股关系的其他单位之间存在的管理与被管理关系，如一些上下级关系的事业单位和团体组织。</w:t>
      </w:r>
    </w:p>
    <w:p w14:paraId="38D1E16E">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2.本表所指的管理关系仅限于直接管理关系，不包括间接的管理关系。</w:t>
      </w:r>
    </w:p>
    <w:p w14:paraId="120106AD">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3.供应商不存在直接管理关系的，则填“无”。</w:t>
      </w:r>
    </w:p>
    <w:p w14:paraId="7AB7D01A">
      <w:pPr>
        <w:spacing w:line="360" w:lineRule="auto"/>
        <w:contextualSpacing/>
        <w:jc w:val="left"/>
        <w:rPr>
          <w:rFonts w:ascii="宋体" w:hAnsi="宋体" w:cs="宋体"/>
          <w:color w:val="auto"/>
          <w:kern w:val="21"/>
          <w:sz w:val="24"/>
          <w:highlight w:val="none"/>
        </w:rPr>
      </w:pPr>
    </w:p>
    <w:p w14:paraId="36BC3981">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E852679">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6679BDBE">
      <w:pPr>
        <w:spacing w:line="320" w:lineRule="exact"/>
        <w:ind w:firstLine="602" w:firstLineChars="200"/>
        <w:jc w:val="left"/>
        <w:rPr>
          <w:rFonts w:ascii="宋体" w:hAnsi="宋体" w:cs="宋体"/>
          <w:color w:val="auto"/>
          <w:kern w:val="21"/>
          <w:sz w:val="28"/>
          <w:szCs w:val="28"/>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六、资格声明函</w:t>
      </w:r>
    </w:p>
    <w:p w14:paraId="13A6BA87">
      <w:pPr>
        <w:spacing w:line="320" w:lineRule="exact"/>
        <w:jc w:val="center"/>
        <w:rPr>
          <w:rFonts w:ascii="宋体" w:hAnsi="宋体" w:cs="宋体"/>
          <w:b/>
          <w:color w:val="auto"/>
          <w:kern w:val="21"/>
          <w:sz w:val="32"/>
          <w:szCs w:val="32"/>
          <w:highlight w:val="none"/>
        </w:rPr>
      </w:pPr>
    </w:p>
    <w:p w14:paraId="30DE96C4">
      <w:pPr>
        <w:spacing w:line="320" w:lineRule="exact"/>
        <w:jc w:val="center"/>
        <w:rPr>
          <w:rFonts w:ascii="宋体" w:hAnsi="宋体" w:cs="宋体"/>
          <w:b/>
          <w:color w:val="auto"/>
          <w:kern w:val="21"/>
          <w:sz w:val="32"/>
          <w:szCs w:val="32"/>
          <w:highlight w:val="none"/>
        </w:rPr>
      </w:pPr>
      <w:r>
        <w:rPr>
          <w:rFonts w:hint="eastAsia" w:ascii="宋体" w:hAnsi="宋体" w:cs="宋体"/>
          <w:b/>
          <w:color w:val="auto"/>
          <w:kern w:val="21"/>
          <w:sz w:val="32"/>
          <w:szCs w:val="32"/>
          <w:highlight w:val="none"/>
        </w:rPr>
        <w:t>资格声明函</w:t>
      </w:r>
    </w:p>
    <w:p w14:paraId="061F93B4">
      <w:pPr>
        <w:spacing w:line="320" w:lineRule="exact"/>
        <w:jc w:val="center"/>
        <w:rPr>
          <w:rFonts w:ascii="宋体" w:hAnsi="宋体" w:cs="宋体"/>
          <w:color w:val="auto"/>
          <w:kern w:val="21"/>
          <w:sz w:val="24"/>
          <w:szCs w:val="20"/>
          <w:highlight w:val="none"/>
        </w:rPr>
      </w:pPr>
    </w:p>
    <w:p w14:paraId="1F1CBE3C">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7CBA59D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系中华人民共和国合法供应商，经营地址</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6F1DE76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我方愿意参加贵方组织的</w:t>
      </w:r>
      <w:r>
        <w:rPr>
          <w:rFonts w:hint="eastAsia" w:ascii="宋体" w:hAnsi="宋体" w:cs="宋体"/>
          <w:color w:val="auto"/>
          <w:kern w:val="21"/>
          <w:sz w:val="24"/>
          <w:highlight w:val="none"/>
          <w:u w:val="single"/>
        </w:rPr>
        <w:t>（项目名称）</w:t>
      </w:r>
      <w:r>
        <w:rPr>
          <w:rFonts w:hint="eastAsia" w:ascii="宋体" w:hAnsi="宋体" w:cs="宋体"/>
          <w:color w:val="auto"/>
          <w:kern w:val="21"/>
          <w:sz w:val="24"/>
          <w:highlight w:val="none"/>
        </w:rPr>
        <w:t>项目的竞标，为便于贵方公正、择优地确定成交供应商及其竞标产品和服务，我方就本次竞标有关事项郑重声明如下：</w:t>
      </w:r>
    </w:p>
    <w:p w14:paraId="7C02D8D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1.我方向贵方提交的所有响应文件、资料都是准确的和真实的。</w:t>
      </w:r>
    </w:p>
    <w:p w14:paraId="46EAA13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AF51015">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3.在此，我方宣布同意如下：</w:t>
      </w:r>
    </w:p>
    <w:p w14:paraId="0228D21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（1）将按磋商文件的约定履行合同责任和义务；</w:t>
      </w:r>
    </w:p>
    <w:p w14:paraId="119E2AC5">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（2）已详细审查全部磋商文件，包括澄清或者更正公告（如有）；</w:t>
      </w:r>
    </w:p>
    <w:p w14:paraId="59925A75">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（3）同意提供按照贵方可能要求的与磋商有关的一切数据或者资料；</w:t>
      </w:r>
    </w:p>
    <w:p w14:paraId="3F6FC51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（4）响应磋商文件规定的竞标有效期。</w:t>
      </w:r>
    </w:p>
    <w:p w14:paraId="74A5532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4.我方承诺符合《中华人民共和国政府采购法》第二十二条规定：</w:t>
      </w:r>
    </w:p>
    <w:p w14:paraId="5EA6732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（1）具有独立承担民事责任的能力；</w:t>
      </w:r>
    </w:p>
    <w:p w14:paraId="5410EA65">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（2）具有良好的商业信誉和健全的财务会计制度；</w:t>
      </w:r>
    </w:p>
    <w:p w14:paraId="4DBFC5D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（3）具有履行合同所必需的设备和专业技术能力；</w:t>
      </w:r>
    </w:p>
    <w:p w14:paraId="40856E2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（4）有依法缴纳税收和社会保障资金的良好记录；</w:t>
      </w:r>
    </w:p>
    <w:p w14:paraId="0318263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（5）参加政府采购活动前三年内，在经营活动中没有重大违法记录；</w:t>
      </w:r>
    </w:p>
    <w:p w14:paraId="0CD43D3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（6）法律、行政法规规定的其他条件。</w:t>
      </w:r>
    </w:p>
    <w:p w14:paraId="186A545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7C0D8B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1110B9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□我方本次响应文件内容中未涉及商业秘密；</w:t>
      </w:r>
    </w:p>
    <w:p w14:paraId="5FC6624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□我方本次响应文件涉及商业秘密的内容有：</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707B3D0E">
      <w:pPr>
        <w:pStyle w:val="18"/>
        <w:spacing w:line="360" w:lineRule="auto"/>
        <w:ind w:firstLine="480" w:firstLineChars="200"/>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7.与本磋商有关的一切正式往来信函请寄：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邮政编号：</w:t>
      </w:r>
      <w:r>
        <w:rPr>
          <w:rFonts w:hint="eastAsia" w:hAnsi="宋体" w:cs="宋体"/>
          <w:color w:val="auto"/>
          <w:kern w:val="21"/>
          <w:sz w:val="24"/>
          <w:szCs w:val="24"/>
          <w:highlight w:val="none"/>
          <w:u w:val="single"/>
        </w:rPr>
        <w:t xml:space="preserve">        </w:t>
      </w:r>
    </w:p>
    <w:p w14:paraId="0D9D91A0">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电话/传真：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电子函件：</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1E66F967">
      <w:pPr>
        <w:pStyle w:val="16"/>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开户银行：</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账号：</w:t>
      </w:r>
      <w:r>
        <w:rPr>
          <w:rFonts w:hint="eastAsia" w:ascii="宋体" w:hAnsi="宋体" w:cs="宋体"/>
          <w:color w:val="auto"/>
          <w:kern w:val="21"/>
          <w:sz w:val="24"/>
          <w:highlight w:val="none"/>
          <w:u w:val="single"/>
        </w:rPr>
        <w:t xml:space="preserve">                               </w:t>
      </w:r>
    </w:p>
    <w:p w14:paraId="210C7007">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8.以上事项如有虚假或者隐瞒，我方愿意承担一切后果，并不再寻求任何旨在减轻或者免除法律责任的辩解。</w:t>
      </w:r>
    </w:p>
    <w:p w14:paraId="2F227FCC">
      <w:pPr>
        <w:pStyle w:val="16"/>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1A2C0B5D">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注：如为联合体竞标，盖章处须加盖联合体各方公章，否则其响应文件按无效响应处理。</w:t>
      </w:r>
    </w:p>
    <w:p w14:paraId="13C2CC7E">
      <w:pPr>
        <w:pStyle w:val="16"/>
        <w:tabs>
          <w:tab w:val="left" w:pos="939"/>
        </w:tabs>
        <w:spacing w:line="360" w:lineRule="auto"/>
        <w:ind w:left="0" w:leftChars="0" w:firstLine="480" w:firstLineChars="200"/>
        <w:rPr>
          <w:rFonts w:ascii="宋体" w:hAnsi="宋体" w:cs="宋体"/>
          <w:color w:val="auto"/>
          <w:kern w:val="21"/>
          <w:sz w:val="24"/>
          <w:highlight w:val="none"/>
        </w:rPr>
      </w:pPr>
    </w:p>
    <w:p w14:paraId="5A7E8D70">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供应商名称（公章）：</w:t>
      </w:r>
    </w:p>
    <w:p w14:paraId="1AD2FA2E">
      <w:pPr>
        <w:autoSpaceDE w:val="0"/>
        <w:autoSpaceDN w:val="0"/>
        <w:spacing w:line="360" w:lineRule="auto"/>
        <w:ind w:firstLine="6120" w:firstLineChars="2550"/>
        <w:rPr>
          <w:rFonts w:ascii="宋体" w:hAnsi="宋体" w:cs="宋体"/>
          <w:color w:val="auto"/>
          <w:kern w:val="21"/>
          <w:sz w:val="24"/>
          <w:highlight w:val="none"/>
          <w:lang w:val="zh-CN"/>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日期：  年  月   日</w:t>
      </w:r>
    </w:p>
    <w:p w14:paraId="3062E856">
      <w:pPr>
        <w:snapToGrid w:val="0"/>
        <w:spacing w:line="360" w:lineRule="auto"/>
        <w:ind w:firstLine="602" w:firstLineChars="200"/>
        <w:rPr>
          <w:rFonts w:hint="eastAsia" w:ascii="宋体" w:hAnsi="宋体" w:cs="宋体"/>
          <w:b/>
          <w:color w:val="auto"/>
          <w:kern w:val="21"/>
          <w:sz w:val="30"/>
          <w:szCs w:val="30"/>
          <w:highlight w:val="none"/>
        </w:rPr>
      </w:pPr>
      <w:r>
        <w:rPr>
          <w:rFonts w:hint="eastAsia" w:ascii="宋体" w:hAnsi="宋体" w:cs="宋体"/>
          <w:b/>
          <w:color w:val="auto"/>
          <w:kern w:val="21"/>
          <w:sz w:val="30"/>
          <w:szCs w:val="30"/>
          <w:highlight w:val="none"/>
        </w:rPr>
        <w:t>七、除磋商文件规定必须提供以外，供应商认为需要提供的其他证明材料</w:t>
      </w:r>
    </w:p>
    <w:p w14:paraId="246B7DBC">
      <w:pPr>
        <w:pStyle w:val="41"/>
        <w:rPr>
          <w:rFonts w:hint="eastAsia" w:ascii="宋体" w:hAnsi="宋体" w:cs="宋体"/>
          <w:color w:val="auto"/>
          <w:kern w:val="21"/>
          <w:sz w:val="24"/>
          <w:highlight w:val="none"/>
          <w:lang w:val="zh-CN"/>
        </w:rPr>
      </w:pPr>
    </w:p>
    <w:p w14:paraId="13B9CA40">
      <w:pPr>
        <w:pStyle w:val="41"/>
        <w:rPr>
          <w:rFonts w:hint="eastAsia" w:ascii="宋体" w:hAnsi="宋体" w:cs="宋体"/>
          <w:color w:val="auto"/>
          <w:kern w:val="21"/>
          <w:sz w:val="24"/>
          <w:highlight w:val="none"/>
          <w:lang w:val="zh-CN"/>
        </w:rPr>
      </w:pPr>
    </w:p>
    <w:p w14:paraId="5F29002F">
      <w:pPr>
        <w:pStyle w:val="41"/>
        <w:rPr>
          <w:rFonts w:hint="eastAsia" w:ascii="宋体" w:hAnsi="宋体" w:cs="宋体"/>
          <w:color w:val="auto"/>
          <w:kern w:val="21"/>
          <w:sz w:val="24"/>
          <w:highlight w:val="none"/>
          <w:lang w:val="zh-CN"/>
        </w:rPr>
      </w:pPr>
    </w:p>
    <w:p w14:paraId="26B09D39">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13911C0">
      <w:pPr>
        <w:autoSpaceDE w:val="0"/>
        <w:autoSpaceDN w:val="0"/>
        <w:spacing w:line="360" w:lineRule="auto"/>
        <w:ind w:firstLine="6480" w:firstLineChars="2700"/>
        <w:rPr>
          <w:rFonts w:hint="eastAsia"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35718575">
      <w:pPr>
        <w:pStyle w:val="41"/>
        <w:rPr>
          <w:rFonts w:hint="eastAsia" w:ascii="宋体" w:hAnsi="宋体" w:cs="宋体"/>
          <w:color w:val="auto"/>
          <w:kern w:val="21"/>
          <w:sz w:val="24"/>
          <w:highlight w:val="none"/>
          <w:lang w:val="zh-CN"/>
        </w:rPr>
        <w:sectPr>
          <w:pgSz w:w="11911" w:h="16838"/>
          <w:pgMar w:top="1440" w:right="1440" w:bottom="1440" w:left="1440" w:header="720" w:footer="720" w:gutter="0"/>
          <w:cols w:space="720" w:num="1"/>
        </w:sectPr>
      </w:pPr>
    </w:p>
    <w:p w14:paraId="558C166E">
      <w:pPr>
        <w:pStyle w:val="3"/>
        <w:jc w:val="center"/>
        <w:rPr>
          <w:rFonts w:ascii="宋体" w:hAnsi="宋体" w:cs="宋体"/>
          <w:color w:val="auto"/>
          <w:kern w:val="21"/>
          <w:highlight w:val="none"/>
        </w:rPr>
      </w:pPr>
      <w:bookmarkStart w:id="82" w:name="_Toc32331"/>
      <w:bookmarkStart w:id="83" w:name="_Toc5917"/>
      <w:bookmarkStart w:id="84" w:name="_Toc80205940"/>
      <w:r>
        <w:rPr>
          <w:rFonts w:hint="eastAsia" w:ascii="宋体" w:hAnsi="宋体" w:cs="宋体"/>
          <w:color w:val="auto"/>
          <w:kern w:val="21"/>
          <w:highlight w:val="none"/>
        </w:rPr>
        <w:t>第三节 商务技术文件格式</w:t>
      </w:r>
      <w:bookmarkEnd w:id="82"/>
      <w:bookmarkEnd w:id="83"/>
      <w:bookmarkEnd w:id="84"/>
    </w:p>
    <w:p w14:paraId="43609653">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7C174CDC">
      <w:pPr>
        <w:snapToGrid w:val="0"/>
        <w:spacing w:before="120" w:beforeLines="50" w:after="50"/>
        <w:rPr>
          <w:rFonts w:ascii="宋体" w:hAnsi="宋体" w:cs="宋体"/>
          <w:color w:val="auto"/>
          <w:kern w:val="21"/>
          <w:sz w:val="24"/>
          <w:szCs w:val="20"/>
          <w:highlight w:val="none"/>
        </w:rPr>
      </w:pPr>
    </w:p>
    <w:p w14:paraId="2C43AAF3">
      <w:pPr>
        <w:snapToGrid w:val="0"/>
        <w:spacing w:before="120" w:beforeLines="50" w:after="50"/>
        <w:rPr>
          <w:rFonts w:ascii="宋体" w:hAnsi="宋体" w:cs="宋体"/>
          <w:color w:val="auto"/>
          <w:kern w:val="21"/>
          <w:sz w:val="24"/>
          <w:szCs w:val="20"/>
          <w:highlight w:val="none"/>
        </w:rPr>
      </w:pPr>
    </w:p>
    <w:p w14:paraId="5739676E">
      <w:pPr>
        <w:snapToGrid w:val="0"/>
        <w:spacing w:before="120" w:beforeLines="50" w:after="50"/>
        <w:rPr>
          <w:rFonts w:ascii="宋体" w:hAnsi="宋体" w:cs="宋体"/>
          <w:color w:val="auto"/>
          <w:kern w:val="21"/>
          <w:sz w:val="24"/>
          <w:szCs w:val="20"/>
          <w:highlight w:val="none"/>
        </w:rPr>
      </w:pPr>
    </w:p>
    <w:p w14:paraId="12D16313">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  务  技  术  文  件（封面）</w:t>
      </w:r>
    </w:p>
    <w:p w14:paraId="4ADEA57C">
      <w:pPr>
        <w:snapToGrid w:val="0"/>
        <w:spacing w:before="120" w:beforeLines="50" w:after="50"/>
        <w:rPr>
          <w:rFonts w:ascii="宋体" w:hAnsi="宋体" w:cs="宋体"/>
          <w:bCs/>
          <w:color w:val="auto"/>
          <w:kern w:val="21"/>
          <w:sz w:val="24"/>
          <w:szCs w:val="20"/>
          <w:highlight w:val="none"/>
        </w:rPr>
      </w:pPr>
    </w:p>
    <w:p w14:paraId="37B4B8CD">
      <w:pPr>
        <w:snapToGrid w:val="0"/>
        <w:spacing w:before="120" w:beforeLines="50" w:after="50"/>
        <w:rPr>
          <w:rFonts w:ascii="宋体" w:hAnsi="宋体" w:cs="宋体"/>
          <w:bCs/>
          <w:color w:val="auto"/>
          <w:kern w:val="21"/>
          <w:sz w:val="24"/>
          <w:szCs w:val="20"/>
          <w:highlight w:val="none"/>
        </w:rPr>
      </w:pPr>
    </w:p>
    <w:p w14:paraId="0C8F574B">
      <w:pPr>
        <w:snapToGrid w:val="0"/>
        <w:spacing w:before="120" w:beforeLines="50" w:after="50"/>
        <w:rPr>
          <w:rFonts w:ascii="宋体" w:hAnsi="宋体" w:cs="宋体"/>
          <w:bCs/>
          <w:color w:val="auto"/>
          <w:kern w:val="21"/>
          <w:sz w:val="24"/>
          <w:szCs w:val="20"/>
          <w:highlight w:val="none"/>
        </w:rPr>
      </w:pPr>
    </w:p>
    <w:p w14:paraId="3E05971A">
      <w:pPr>
        <w:snapToGrid w:val="0"/>
        <w:spacing w:before="120" w:beforeLines="50" w:after="50"/>
        <w:rPr>
          <w:rFonts w:ascii="宋体" w:hAnsi="宋体" w:cs="宋体"/>
          <w:bCs/>
          <w:color w:val="auto"/>
          <w:kern w:val="21"/>
          <w:sz w:val="24"/>
          <w:szCs w:val="20"/>
          <w:highlight w:val="none"/>
        </w:rPr>
      </w:pPr>
    </w:p>
    <w:p w14:paraId="06D161B4">
      <w:pPr>
        <w:snapToGrid w:val="0"/>
        <w:spacing w:before="120" w:beforeLines="50" w:after="50"/>
        <w:rPr>
          <w:rFonts w:ascii="宋体" w:hAnsi="宋体" w:cs="宋体"/>
          <w:bCs/>
          <w:color w:val="auto"/>
          <w:kern w:val="21"/>
          <w:sz w:val="24"/>
          <w:szCs w:val="20"/>
          <w:highlight w:val="none"/>
        </w:rPr>
      </w:pPr>
    </w:p>
    <w:p w14:paraId="6B386339">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783D95C1">
      <w:pPr>
        <w:snapToGrid w:val="0"/>
        <w:spacing w:before="120" w:beforeLines="50" w:after="50"/>
        <w:ind w:firstLine="720" w:firstLineChars="225"/>
        <w:rPr>
          <w:rFonts w:ascii="宋体" w:hAnsi="宋体" w:cs="宋体"/>
          <w:bCs/>
          <w:color w:val="auto"/>
          <w:kern w:val="21"/>
          <w:sz w:val="32"/>
          <w:szCs w:val="32"/>
          <w:highlight w:val="none"/>
        </w:rPr>
      </w:pPr>
    </w:p>
    <w:p w14:paraId="713C4C59">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6DC68F36">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72E4981D">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32909C67">
      <w:pPr>
        <w:snapToGrid w:val="0"/>
        <w:spacing w:before="120" w:beforeLines="50" w:after="50"/>
        <w:ind w:firstLine="720" w:firstLineChars="225"/>
        <w:rPr>
          <w:rFonts w:ascii="宋体" w:hAnsi="宋体" w:cs="宋体"/>
          <w:bCs/>
          <w:color w:val="auto"/>
          <w:kern w:val="21"/>
          <w:sz w:val="32"/>
          <w:szCs w:val="32"/>
          <w:highlight w:val="none"/>
        </w:rPr>
      </w:pPr>
    </w:p>
    <w:p w14:paraId="7B3A4D54">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3AE9B7A5">
      <w:pPr>
        <w:pStyle w:val="7"/>
        <w:snapToGrid w:val="0"/>
        <w:spacing w:before="50" w:after="50"/>
        <w:ind w:firstLine="720" w:firstLineChars="225"/>
        <w:rPr>
          <w:rFonts w:ascii="宋体" w:hAnsi="宋体" w:cs="宋体"/>
          <w:bCs/>
          <w:color w:val="auto"/>
          <w:kern w:val="21"/>
          <w:sz w:val="32"/>
          <w:szCs w:val="32"/>
          <w:highlight w:val="none"/>
        </w:rPr>
      </w:pPr>
    </w:p>
    <w:p w14:paraId="119EFB2B">
      <w:pPr>
        <w:pStyle w:val="7"/>
        <w:snapToGrid w:val="0"/>
        <w:spacing w:before="50" w:after="50"/>
        <w:ind w:firstLine="720" w:firstLineChars="225"/>
        <w:rPr>
          <w:rFonts w:ascii="宋体" w:hAnsi="宋体" w:cs="宋体"/>
          <w:bCs/>
          <w:color w:val="auto"/>
          <w:kern w:val="21"/>
          <w:sz w:val="32"/>
          <w:szCs w:val="32"/>
          <w:highlight w:val="none"/>
        </w:rPr>
      </w:pPr>
    </w:p>
    <w:p w14:paraId="08939D27">
      <w:pPr>
        <w:pStyle w:val="7"/>
        <w:snapToGrid w:val="0"/>
        <w:spacing w:before="50" w:after="50"/>
        <w:ind w:firstLine="1280" w:firstLineChars="400"/>
        <w:rPr>
          <w:rFonts w:ascii="宋体" w:hAnsi="宋体" w:cs="宋体"/>
          <w:bCs/>
          <w:color w:val="auto"/>
          <w:kern w:val="21"/>
          <w:sz w:val="32"/>
          <w:szCs w:val="32"/>
          <w:highlight w:val="none"/>
        </w:rPr>
      </w:pPr>
    </w:p>
    <w:p w14:paraId="1DC0617E">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62BD66F9">
      <w:pPr>
        <w:snapToGrid w:val="0"/>
        <w:spacing w:before="120" w:beforeLines="50" w:after="50" w:line="360" w:lineRule="auto"/>
        <w:ind w:left="142" w:firstLine="643" w:firstLineChars="200"/>
        <w:jc w:val="left"/>
        <w:rPr>
          <w:rFonts w:ascii="宋体" w:hAnsi="宋体" w:cs="宋体"/>
          <w:b/>
          <w:bCs/>
          <w:color w:val="auto"/>
          <w:kern w:val="21"/>
          <w:sz w:val="32"/>
          <w:szCs w:val="32"/>
          <w:highlight w:val="none"/>
        </w:rPr>
        <w:sectPr>
          <w:pgSz w:w="11911" w:h="16838"/>
          <w:pgMar w:top="1440" w:right="1440" w:bottom="1440" w:left="1440" w:header="720" w:footer="720" w:gutter="0"/>
          <w:cols w:space="720" w:num="1"/>
        </w:sectPr>
      </w:pPr>
    </w:p>
    <w:p w14:paraId="56151FFD">
      <w:pPr>
        <w:jc w:val="center"/>
        <w:rPr>
          <w:rFonts w:ascii="宋体" w:hAnsi="宋体" w:cs="宋体"/>
          <w:b/>
          <w:color w:val="auto"/>
          <w:kern w:val="21"/>
          <w:sz w:val="28"/>
          <w:szCs w:val="28"/>
          <w:highlight w:val="none"/>
        </w:rPr>
      </w:pPr>
      <w:r>
        <w:rPr>
          <w:rFonts w:hint="eastAsia" w:ascii="宋体" w:hAnsi="宋体" w:cs="宋体"/>
          <w:b/>
          <w:color w:val="auto"/>
          <w:kern w:val="21"/>
          <w:sz w:val="28"/>
          <w:szCs w:val="28"/>
          <w:highlight w:val="none"/>
        </w:rPr>
        <w:t>商务技术文件目录</w:t>
      </w:r>
    </w:p>
    <w:p w14:paraId="3649FAC0">
      <w:pPr>
        <w:jc w:val="center"/>
        <w:rPr>
          <w:rFonts w:ascii="宋体" w:hAnsi="宋体" w:cs="宋体"/>
          <w:b/>
          <w:color w:val="auto"/>
          <w:kern w:val="21"/>
          <w:sz w:val="28"/>
          <w:szCs w:val="28"/>
          <w:highlight w:val="none"/>
        </w:rPr>
      </w:pPr>
    </w:p>
    <w:p w14:paraId="45E590B8">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一、无串标行为承诺函………………………………………………………（页码）</w:t>
      </w:r>
    </w:p>
    <w:p w14:paraId="2C5C1964">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二、法定代表人身份证明及法定代表人有效身份证正反面复印件………（页码）</w:t>
      </w:r>
    </w:p>
    <w:p w14:paraId="7CD5295B">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三、法定代表人授权委托书（如有委托时）………………………………（页码）</w:t>
      </w:r>
    </w:p>
    <w:p w14:paraId="1BA7DFCB">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四、</w:t>
      </w:r>
      <w:r>
        <w:rPr>
          <w:rFonts w:hint="eastAsia" w:ascii="宋体" w:hAnsi="宋体" w:eastAsia="宋体" w:cs="宋体"/>
          <w:color w:val="auto"/>
          <w:kern w:val="21"/>
          <w:highlight w:val="none"/>
          <w:lang w:val="zh-CN"/>
        </w:rPr>
        <w:t>商务条款偏离表………………………………</w:t>
      </w:r>
      <w:r>
        <w:rPr>
          <w:rFonts w:hint="eastAsia" w:ascii="宋体" w:hAnsi="宋体" w:eastAsia="宋体" w:cs="宋体"/>
          <w:color w:val="auto"/>
          <w:kern w:val="21"/>
          <w:highlight w:val="none"/>
        </w:rPr>
        <w:t>…………………………（页码）</w:t>
      </w:r>
    </w:p>
    <w:p w14:paraId="7B9B0D36">
      <w:pPr>
        <w:pStyle w:val="85"/>
        <w:spacing w:line="360" w:lineRule="auto"/>
        <w:rPr>
          <w:rFonts w:ascii="宋体" w:hAnsi="宋体" w:eastAsia="宋体" w:cs="宋体"/>
          <w:color w:val="auto"/>
          <w:kern w:val="21"/>
          <w:highlight w:val="none"/>
        </w:rPr>
      </w:pPr>
      <w:bookmarkStart w:id="85" w:name="OLE_LINK6"/>
      <w:bookmarkStart w:id="86" w:name="OLE_LINK7"/>
      <w:bookmarkStart w:id="87" w:name="OLE_LINK5"/>
      <w:r>
        <w:rPr>
          <w:rFonts w:hint="eastAsia" w:ascii="宋体" w:hAnsi="宋体" w:eastAsia="宋体" w:cs="宋体"/>
          <w:color w:val="auto"/>
          <w:kern w:val="21"/>
          <w:highlight w:val="none"/>
        </w:rPr>
        <w:t>五、磋商保证金的相关证明复印件</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78293FAA">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六、竞标人情况介绍</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6A55E63E">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七、供应商类似业绩的证明文件（如有要求）</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bookmarkEnd w:id="85"/>
      <w:bookmarkEnd w:id="86"/>
    </w:p>
    <w:bookmarkEnd w:id="87"/>
    <w:p w14:paraId="6CEEBEB8">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八、服务需求偏离表…………………………………………………………（页码）</w:t>
      </w:r>
    </w:p>
    <w:p w14:paraId="330CF580">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九、技术服务方案……………………………………………………………（页码）</w:t>
      </w:r>
    </w:p>
    <w:p w14:paraId="177AE7A9">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十、售后服务方案………………………………</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73211F50">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十一、</w:t>
      </w:r>
      <w:r>
        <w:rPr>
          <w:rFonts w:hint="eastAsia" w:ascii="宋体" w:hAnsi="宋体" w:eastAsia="宋体" w:cs="宋体"/>
          <w:color w:val="auto"/>
          <w:kern w:val="21"/>
          <w:highlight w:val="none"/>
          <w:lang w:val="zh-CN"/>
        </w:rPr>
        <w:t>项目实施人员一览表……………………………</w:t>
      </w:r>
      <w:r>
        <w:rPr>
          <w:rFonts w:hint="eastAsia" w:ascii="宋体" w:hAnsi="宋体" w:eastAsia="宋体" w:cs="宋体"/>
          <w:color w:val="auto"/>
          <w:kern w:val="21"/>
          <w:highlight w:val="none"/>
        </w:rPr>
        <w:t>……………………（页码）</w:t>
      </w:r>
    </w:p>
    <w:p w14:paraId="4288776B">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十二、服务需求、商务条款要求提供的其他材料</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0622BE59">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注：以上目录是基本格式要求，各供应商可根据自身情况进一步向下增加内容或细化。</w:t>
      </w:r>
    </w:p>
    <w:p w14:paraId="53D25241">
      <w:pPr>
        <w:spacing w:line="400" w:lineRule="exact"/>
        <w:rPr>
          <w:rFonts w:ascii="宋体" w:hAnsi="宋体" w:cs="宋体"/>
          <w:color w:val="auto"/>
          <w:kern w:val="21"/>
          <w:sz w:val="32"/>
          <w:szCs w:val="32"/>
          <w:highlight w:val="none"/>
        </w:rPr>
      </w:pPr>
    </w:p>
    <w:p w14:paraId="59460ABF">
      <w:pPr>
        <w:spacing w:line="520" w:lineRule="exact"/>
        <w:ind w:firstLine="880" w:firstLineChars="200"/>
        <w:rPr>
          <w:rFonts w:ascii="宋体" w:hAnsi="宋体" w:cs="宋体"/>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一、无串标行为承诺函</w:t>
      </w:r>
    </w:p>
    <w:p w14:paraId="23C4E3A7">
      <w:pPr>
        <w:spacing w:line="520" w:lineRule="exact"/>
        <w:jc w:val="center"/>
        <w:rPr>
          <w:rFonts w:ascii="宋体" w:hAnsi="宋体" w:cs="宋体"/>
          <w:color w:val="auto"/>
          <w:kern w:val="21"/>
          <w:sz w:val="44"/>
          <w:szCs w:val="44"/>
          <w:highlight w:val="none"/>
        </w:rPr>
      </w:pPr>
    </w:p>
    <w:p w14:paraId="65A5FEB3">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无串通竞标行为的承诺函</w:t>
      </w:r>
    </w:p>
    <w:p w14:paraId="3D80001C">
      <w:pPr>
        <w:spacing w:line="520" w:lineRule="exact"/>
        <w:ind w:firstLine="640" w:firstLineChars="200"/>
        <w:rPr>
          <w:rFonts w:ascii="宋体" w:hAnsi="宋体" w:cs="宋体"/>
          <w:color w:val="auto"/>
          <w:kern w:val="21"/>
          <w:sz w:val="32"/>
          <w:szCs w:val="32"/>
          <w:highlight w:val="none"/>
        </w:rPr>
      </w:pPr>
    </w:p>
    <w:p w14:paraId="1C0399A6">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一、我方承诺无下列相互串通竞标的情形：</w:t>
      </w:r>
    </w:p>
    <w:p w14:paraId="6EF246E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w:t>
      </w:r>
      <w:r>
        <w:rPr>
          <w:rFonts w:hint="eastAsia" w:ascii="宋体" w:hAnsi="宋体" w:cs="宋体"/>
          <w:color w:val="auto"/>
          <w:kern w:val="21"/>
          <w:highlight w:val="none"/>
        </w:rPr>
        <w:t xml:space="preserve"> </w:t>
      </w:r>
      <w:r>
        <w:rPr>
          <w:rFonts w:hint="eastAsia" w:ascii="宋体" w:hAnsi="宋体" w:cs="宋体"/>
          <w:color w:val="auto"/>
          <w:kern w:val="21"/>
          <w:sz w:val="24"/>
          <w:highlight w:val="none"/>
        </w:rPr>
        <w:t xml:space="preserve">不同供应商的响应文件由同一单位或者个人编制；或者不同供应商报名的IP地址一致的；或者编制响应文件硬件设备CPU编号、硬盘编号、网卡地址一致的情况； </w:t>
      </w:r>
    </w:p>
    <w:p w14:paraId="41F2B76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451E6B9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3.不同供应商的响应文件载明的项目管理员为同一个人；</w:t>
      </w:r>
    </w:p>
    <w:p w14:paraId="2C5F50C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4.不同供应商的响应文件异常一致或者响应报价呈规律性差异；</w:t>
      </w:r>
    </w:p>
    <w:p w14:paraId="42D3ED9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2DBE549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p>
    <w:p w14:paraId="0CAA2B9C">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二、我方承诺无下列恶意串通的情形：</w:t>
      </w:r>
    </w:p>
    <w:p w14:paraId="0B8E172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6DF5E97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1FF5F72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3.供应商之间协商报价、技术方案等响应文件的实质性内容；</w:t>
      </w:r>
    </w:p>
    <w:p w14:paraId="710863C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26B6B1C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5.供应商之间事先约定一致抬高或者压低响应报价，或者在竞争性磋商项目中事先约定轮流以高价位或者低价位成交，或者事先约定由某一特定供应商成交，然后再参加竞标；</w:t>
      </w:r>
    </w:p>
    <w:p w14:paraId="215055D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0F222B3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76BC4D74">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以上情形一经核查属实，接受政府采购监管部门对我方认定存在围标串标行为，我方愿意承担一切后果，并不再寻求任何旨在减轻或者免除法律责任的辩解。</w:t>
      </w:r>
    </w:p>
    <w:p w14:paraId="7810B0E7">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EE89867">
      <w:pPr>
        <w:spacing w:line="520" w:lineRule="exact"/>
        <w:ind w:left="239" w:leftChars="114" w:firstLine="6120" w:firstLineChars="2550"/>
        <w:jc w:val="left"/>
        <w:rPr>
          <w:rFonts w:ascii="宋体" w:hAnsi="宋体" w:cs="宋体"/>
          <w:bCs/>
          <w:color w:val="auto"/>
          <w:kern w:val="21"/>
          <w:sz w:val="44"/>
          <w:szCs w:val="44"/>
          <w:highlight w:val="none"/>
        </w:rPr>
      </w:pPr>
      <w:r>
        <w:rPr>
          <w:rFonts w:hint="eastAsia" w:ascii="宋体" w:hAnsi="宋体" w:cs="宋体"/>
          <w:color w:val="auto"/>
          <w:kern w:val="21"/>
          <w:sz w:val="24"/>
          <w:highlight w:val="none"/>
          <w:lang w:val="zh-CN"/>
        </w:rPr>
        <w:t xml:space="preserve">日期：  年  月   日   </w:t>
      </w:r>
      <w:r>
        <w:rPr>
          <w:rFonts w:hint="eastAsia" w:ascii="宋体" w:hAnsi="宋体" w:cs="宋体"/>
          <w:b/>
          <w:bCs/>
          <w:color w:val="auto"/>
          <w:kern w:val="21"/>
          <w:sz w:val="32"/>
          <w:szCs w:val="32"/>
          <w:highlight w:val="none"/>
        </w:rPr>
        <w:br w:type="page"/>
      </w:r>
      <w:r>
        <w:rPr>
          <w:rFonts w:hint="eastAsia" w:ascii="宋体" w:hAnsi="宋体" w:cs="宋体"/>
          <w:b/>
          <w:color w:val="auto"/>
          <w:kern w:val="21"/>
          <w:sz w:val="30"/>
          <w:szCs w:val="30"/>
          <w:highlight w:val="none"/>
        </w:rPr>
        <w:t>二、法定代表人身份证明及法定代表人有效身份证正反面复印件</w:t>
      </w:r>
    </w:p>
    <w:p w14:paraId="5EBCD0F3">
      <w:pPr>
        <w:spacing w:line="520" w:lineRule="exact"/>
        <w:jc w:val="center"/>
        <w:rPr>
          <w:rFonts w:ascii="宋体" w:hAnsi="宋体" w:cs="宋体"/>
          <w:bCs/>
          <w:color w:val="auto"/>
          <w:kern w:val="21"/>
          <w:sz w:val="44"/>
          <w:szCs w:val="44"/>
          <w:highlight w:val="none"/>
        </w:rPr>
      </w:pPr>
    </w:p>
    <w:p w14:paraId="7649A561">
      <w:pPr>
        <w:spacing w:line="520" w:lineRule="exact"/>
        <w:jc w:val="center"/>
        <w:rPr>
          <w:rFonts w:ascii="宋体" w:hAnsi="宋体" w:cs="宋体"/>
          <w:color w:val="auto"/>
          <w:kern w:val="21"/>
          <w:sz w:val="32"/>
          <w:szCs w:val="32"/>
          <w:highlight w:val="none"/>
        </w:rPr>
      </w:pPr>
      <w:r>
        <w:rPr>
          <w:rFonts w:hint="eastAsia" w:ascii="宋体" w:hAnsi="宋体" w:cs="宋体"/>
          <w:bCs/>
          <w:color w:val="auto"/>
          <w:kern w:val="21"/>
          <w:sz w:val="44"/>
          <w:szCs w:val="44"/>
          <w:highlight w:val="none"/>
        </w:rPr>
        <w:t>法定代表人证明书</w:t>
      </w:r>
    </w:p>
    <w:p w14:paraId="05BD1667">
      <w:pPr>
        <w:spacing w:line="360" w:lineRule="auto"/>
        <w:ind w:left="540"/>
        <w:contextualSpacing/>
        <w:rPr>
          <w:rFonts w:ascii="宋体" w:hAnsi="宋体" w:cs="宋体"/>
          <w:color w:val="auto"/>
          <w:kern w:val="21"/>
          <w:sz w:val="32"/>
          <w:szCs w:val="32"/>
          <w:highlight w:val="none"/>
        </w:rPr>
      </w:pPr>
    </w:p>
    <w:p w14:paraId="366562D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p>
    <w:p w14:paraId="26E8909A">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地    址：</w:t>
      </w:r>
      <w:r>
        <w:rPr>
          <w:rFonts w:hint="eastAsia" w:ascii="宋体" w:hAnsi="宋体" w:cs="宋体"/>
          <w:color w:val="auto"/>
          <w:kern w:val="21"/>
          <w:sz w:val="24"/>
          <w:highlight w:val="none"/>
          <w:u w:val="single"/>
        </w:rPr>
        <w:t xml:space="preserve">                                                        </w:t>
      </w:r>
    </w:p>
    <w:p w14:paraId="637317F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姓    名：</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性     别：</w:t>
      </w:r>
      <w:r>
        <w:rPr>
          <w:rFonts w:hint="eastAsia" w:ascii="宋体" w:hAnsi="宋体" w:cs="宋体"/>
          <w:color w:val="auto"/>
          <w:kern w:val="21"/>
          <w:sz w:val="24"/>
          <w:highlight w:val="none"/>
          <w:u w:val="single"/>
        </w:rPr>
        <w:t xml:space="preserve">                </w:t>
      </w:r>
    </w:p>
    <w:p w14:paraId="2E3C3DA2">
      <w:pPr>
        <w:spacing w:line="360" w:lineRule="auto"/>
        <w:ind w:firstLine="480" w:firstLineChars="200"/>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年    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职     务：</w:t>
      </w:r>
      <w:r>
        <w:rPr>
          <w:rFonts w:hint="eastAsia" w:ascii="宋体" w:hAnsi="宋体" w:cs="宋体"/>
          <w:color w:val="auto"/>
          <w:kern w:val="21"/>
          <w:sz w:val="24"/>
          <w:highlight w:val="none"/>
          <w:u w:val="single"/>
        </w:rPr>
        <w:t xml:space="preserve">                </w:t>
      </w:r>
    </w:p>
    <w:p w14:paraId="0B2FF17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身份证号码：</w:t>
      </w:r>
      <w:r>
        <w:rPr>
          <w:rFonts w:hint="eastAsia" w:ascii="宋体" w:hAnsi="宋体" w:cs="宋体"/>
          <w:color w:val="auto"/>
          <w:kern w:val="21"/>
          <w:sz w:val="24"/>
          <w:highlight w:val="none"/>
          <w:u w:val="single"/>
        </w:rPr>
        <w:t xml:space="preserve">                                        </w:t>
      </w:r>
    </w:p>
    <w:p w14:paraId="5CD2A15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的法定代表人。</w:t>
      </w:r>
    </w:p>
    <w:p w14:paraId="5758C5A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特此证明。</w:t>
      </w:r>
    </w:p>
    <w:p w14:paraId="2AC7348D">
      <w:pPr>
        <w:spacing w:line="360" w:lineRule="auto"/>
        <w:ind w:left="540"/>
        <w:contextualSpacing/>
        <w:rPr>
          <w:rFonts w:ascii="宋体" w:hAnsi="宋体" w:cs="宋体"/>
          <w:color w:val="auto"/>
          <w:kern w:val="21"/>
          <w:sz w:val="24"/>
          <w:highlight w:val="none"/>
        </w:rPr>
      </w:pPr>
    </w:p>
    <w:p w14:paraId="01573097">
      <w:pPr>
        <w:spacing w:line="360" w:lineRule="auto"/>
        <w:ind w:left="540"/>
        <w:contextualSpacing/>
        <w:rPr>
          <w:rFonts w:ascii="宋体" w:hAnsi="宋体" w:cs="宋体"/>
          <w:color w:val="auto"/>
          <w:kern w:val="21"/>
          <w:sz w:val="24"/>
          <w:highlight w:val="none"/>
        </w:rPr>
      </w:pPr>
    </w:p>
    <w:p w14:paraId="7F863771">
      <w:pPr>
        <w:spacing w:line="360" w:lineRule="auto"/>
        <w:ind w:left="540"/>
        <w:contextualSpacing/>
        <w:rPr>
          <w:rFonts w:ascii="宋体" w:hAnsi="宋体" w:cs="宋体"/>
          <w:color w:val="auto"/>
          <w:kern w:val="21"/>
          <w:sz w:val="24"/>
          <w:highlight w:val="none"/>
        </w:rPr>
      </w:pPr>
    </w:p>
    <w:p w14:paraId="135AC595">
      <w:pPr>
        <w:spacing w:line="360" w:lineRule="auto"/>
        <w:ind w:left="540"/>
        <w:contextualSpacing/>
        <w:rPr>
          <w:rFonts w:ascii="宋体" w:hAnsi="宋体" w:cs="宋体"/>
          <w:color w:val="auto"/>
          <w:kern w:val="21"/>
          <w:sz w:val="24"/>
          <w:highlight w:val="none"/>
        </w:rPr>
      </w:pPr>
      <w:r>
        <w:rPr>
          <w:rFonts w:hint="eastAsia" w:ascii="宋体" w:hAnsi="宋体" w:cs="宋体"/>
          <w:color w:val="auto"/>
          <w:kern w:val="21"/>
          <w:sz w:val="24"/>
          <w:highlight w:val="none"/>
        </w:rPr>
        <w:t>附件：法定代表人有效身份证正反面复印件</w:t>
      </w:r>
    </w:p>
    <w:p w14:paraId="6FC1E1D9">
      <w:pPr>
        <w:spacing w:line="360" w:lineRule="auto"/>
        <w:ind w:left="540"/>
        <w:contextualSpacing/>
        <w:rPr>
          <w:rFonts w:ascii="宋体" w:hAnsi="宋体" w:cs="宋体"/>
          <w:color w:val="auto"/>
          <w:kern w:val="21"/>
          <w:sz w:val="24"/>
          <w:highlight w:val="none"/>
        </w:rPr>
      </w:pPr>
    </w:p>
    <w:p w14:paraId="7704999E">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04151E9">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3F00F91D">
      <w:pPr>
        <w:spacing w:line="360" w:lineRule="auto"/>
        <w:contextualSpacing/>
        <w:jc w:val="left"/>
        <w:rPr>
          <w:rFonts w:ascii="宋体" w:hAnsi="宋体" w:cs="宋体"/>
          <w:color w:val="auto"/>
          <w:kern w:val="21"/>
          <w:sz w:val="24"/>
          <w:highlight w:val="none"/>
        </w:rPr>
      </w:pPr>
    </w:p>
    <w:p w14:paraId="35DE7126">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注：1.自然人竞标的无需提供，联合体竞标的只需牵头人出具。</w:t>
      </w:r>
    </w:p>
    <w:p w14:paraId="3877D0E1">
      <w:pPr>
        <w:spacing w:line="360" w:lineRule="auto"/>
        <w:ind w:firstLine="480" w:firstLineChars="200"/>
        <w:contextualSpacing/>
        <w:jc w:val="left"/>
        <w:rPr>
          <w:rFonts w:ascii="宋体" w:hAnsi="宋体" w:cs="宋体"/>
          <w:color w:val="auto"/>
          <w:kern w:val="21"/>
          <w:sz w:val="24"/>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2"/>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388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9F0D54F">
            <w:pPr>
              <w:spacing w:line="360" w:lineRule="auto"/>
              <w:rPr>
                <w:rFonts w:ascii="宋体" w:hAnsi="宋体" w:cs="宋体"/>
                <w:b/>
                <w:color w:val="auto"/>
                <w:kern w:val="21"/>
                <w:sz w:val="24"/>
                <w:highlight w:val="none"/>
              </w:rPr>
            </w:pPr>
          </w:p>
          <w:p w14:paraId="7FDF2B94">
            <w:pPr>
              <w:spacing w:line="360" w:lineRule="auto"/>
              <w:rPr>
                <w:rFonts w:ascii="宋体" w:hAnsi="宋体" w:cs="宋体"/>
                <w:b/>
                <w:color w:val="auto"/>
                <w:kern w:val="21"/>
                <w:sz w:val="24"/>
                <w:highlight w:val="none"/>
              </w:rPr>
            </w:pPr>
            <w:r>
              <w:rPr>
                <w:rFonts w:hint="eastAsia" w:ascii="宋体" w:hAnsi="宋体" w:cs="宋体"/>
                <w:b/>
                <w:color w:val="auto"/>
                <w:kern w:val="21"/>
                <w:sz w:val="24"/>
                <w:highlight w:val="none"/>
              </w:rPr>
              <w:t>法定代表身份证复印件粘贴处（正、反面）</w:t>
            </w:r>
          </w:p>
        </w:tc>
      </w:tr>
    </w:tbl>
    <w:p w14:paraId="31FDBE39">
      <w:pPr>
        <w:spacing w:line="360" w:lineRule="auto"/>
        <w:ind w:firstLine="482" w:firstLineChars="200"/>
        <w:contextualSpacing/>
        <w:jc w:val="left"/>
        <w:rPr>
          <w:rFonts w:ascii="宋体" w:hAnsi="宋体" w:cs="宋体"/>
          <w:b/>
          <w:color w:val="auto"/>
          <w:kern w:val="21"/>
          <w:sz w:val="32"/>
          <w:szCs w:val="32"/>
          <w:highlight w:val="none"/>
        </w:rPr>
      </w:pPr>
      <w:r>
        <w:rPr>
          <w:rFonts w:hint="eastAsia" w:ascii="宋体" w:hAnsi="宋体" w:cs="宋体"/>
          <w:b/>
          <w:color w:val="auto"/>
          <w:kern w:val="21"/>
          <w:sz w:val="24"/>
          <w:highlight w:val="none"/>
        </w:rPr>
        <w:t>附件：</w:t>
      </w:r>
    </w:p>
    <w:p w14:paraId="6D1CD380">
      <w:pPr>
        <w:adjustRightInd w:val="0"/>
        <w:snapToGrid w:val="0"/>
        <w:spacing w:line="300" w:lineRule="auto"/>
        <w:jc w:val="left"/>
        <w:rPr>
          <w:rFonts w:ascii="宋体" w:hAnsi="宋体" w:cs="宋体"/>
          <w:b/>
          <w:color w:val="auto"/>
          <w:kern w:val="21"/>
          <w:szCs w:val="21"/>
          <w:highlight w:val="none"/>
        </w:rPr>
      </w:pPr>
    </w:p>
    <w:p w14:paraId="22054945">
      <w:pPr>
        <w:spacing w:line="520" w:lineRule="exact"/>
        <w:ind w:firstLine="880"/>
        <w:jc w:val="left"/>
        <w:rPr>
          <w:rFonts w:ascii="宋体" w:hAnsi="宋体" w:cs="宋体"/>
          <w:bCs/>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三、法定代表人授权委托书</w:t>
      </w:r>
    </w:p>
    <w:p w14:paraId="74ACF732">
      <w:pPr>
        <w:spacing w:line="500" w:lineRule="exact"/>
        <w:jc w:val="center"/>
        <w:rPr>
          <w:rFonts w:ascii="宋体" w:hAnsi="宋体" w:cs="宋体"/>
          <w:color w:val="auto"/>
          <w:kern w:val="21"/>
          <w:sz w:val="44"/>
          <w:szCs w:val="44"/>
          <w:highlight w:val="none"/>
        </w:rPr>
      </w:pPr>
    </w:p>
    <w:p w14:paraId="5C94F002">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授权委托书（非联合体竞标格式）</w:t>
      </w:r>
    </w:p>
    <w:p w14:paraId="481D63C5">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4E7F9DBF">
      <w:pPr>
        <w:spacing w:line="520" w:lineRule="exact"/>
        <w:rPr>
          <w:rFonts w:ascii="宋体" w:hAnsi="宋体" w:cs="宋体"/>
          <w:color w:val="auto"/>
          <w:kern w:val="21"/>
          <w:sz w:val="32"/>
          <w:szCs w:val="32"/>
          <w:highlight w:val="none"/>
        </w:rPr>
      </w:pPr>
    </w:p>
    <w:p w14:paraId="02D52886">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7523C08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 xml:space="preserve">  （供应商名称）  </w:t>
      </w:r>
      <w:r>
        <w:rPr>
          <w:rFonts w:hint="eastAsia" w:ascii="宋体" w:hAnsi="宋体" w:cs="宋体"/>
          <w:color w:val="auto"/>
          <w:kern w:val="21"/>
          <w:sz w:val="24"/>
          <w:highlight w:val="none"/>
        </w:rPr>
        <w:t>的（</w:t>
      </w:r>
      <w:r>
        <w:rPr>
          <w:rFonts w:hint="eastAsia" w:ascii="宋体" w:hAnsi="宋体" w:cs="宋体"/>
          <w:color w:val="auto"/>
          <w:kern w:val="21"/>
          <w:sz w:val="24"/>
          <w:highlight w:val="none"/>
          <w:u w:val="single"/>
        </w:rPr>
        <w:t>□法定代表人/□负责人/□自然人本人</w:t>
      </w:r>
      <w:r>
        <w:rPr>
          <w:rFonts w:hint="eastAsia" w:ascii="宋体" w:hAnsi="宋体" w:cs="宋体"/>
          <w:color w:val="auto"/>
          <w:kern w:val="21"/>
          <w:sz w:val="24"/>
          <w:highlight w:val="none"/>
        </w:rPr>
        <w:t>），现授权</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以我方的名义参加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项目的竞标活动，并代表我方全权办理针对上述项目的所有采购程序和环节的具体事务和签署相关文件。</w:t>
      </w:r>
    </w:p>
    <w:p w14:paraId="6421B898">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我方对委托代理人的签字事项负全部责任。</w:t>
      </w:r>
    </w:p>
    <w:p w14:paraId="0863614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3CD0C3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4038C32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附：法定代表人身份证明书及委托代理人有效身份证正反面复印件</w:t>
      </w:r>
    </w:p>
    <w:p w14:paraId="4ABFA576">
      <w:pPr>
        <w:spacing w:line="360" w:lineRule="auto"/>
        <w:rPr>
          <w:rFonts w:ascii="宋体" w:hAnsi="宋体" w:cs="宋体"/>
          <w:color w:val="auto"/>
          <w:kern w:val="21"/>
          <w:sz w:val="24"/>
          <w:highlight w:val="none"/>
        </w:rPr>
      </w:pPr>
    </w:p>
    <w:p w14:paraId="1C55640A">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委托代理人（签字）：         法定代表人（签字或盖章）：                    </w:t>
      </w:r>
    </w:p>
    <w:p w14:paraId="542A1089">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委托代理人身份证号码：                              </w:t>
      </w:r>
    </w:p>
    <w:p w14:paraId="600461AD">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034A8CB5">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供应商名称（电子签章）：</w:t>
      </w:r>
    </w:p>
    <w:p w14:paraId="29965B61">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640C0181">
      <w:pPr>
        <w:spacing w:line="360" w:lineRule="auto"/>
        <w:rPr>
          <w:rFonts w:ascii="宋体" w:hAnsi="宋体" w:cs="宋体"/>
          <w:color w:val="auto"/>
          <w:kern w:val="21"/>
          <w:sz w:val="24"/>
          <w:highlight w:val="none"/>
        </w:rPr>
      </w:pPr>
    </w:p>
    <w:p w14:paraId="1273ACAF">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2DD4D2B2">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FCF62C7">
      <w:pPr>
        <w:spacing w:line="360" w:lineRule="auto"/>
        <w:ind w:firstLine="480" w:firstLineChars="200"/>
        <w:jc w:val="left"/>
        <w:rPr>
          <w:rFonts w:ascii="宋体" w:hAnsi="宋体" w:cs="宋体"/>
          <w:color w:val="auto"/>
          <w:kern w:val="21"/>
          <w:szCs w:val="21"/>
          <w:highlight w:val="none"/>
        </w:rPr>
      </w:pPr>
      <w:r>
        <w:rPr>
          <w:rFonts w:hint="eastAsia" w:ascii="宋体" w:hAnsi="宋体" w:cs="宋体"/>
          <w:color w:val="auto"/>
          <w:kern w:val="21"/>
          <w:sz w:val="24"/>
          <w:highlight w:val="none"/>
        </w:rPr>
        <w:t>3. 法人、其他组织竞标时“我方”是指“我单位”，自然人竞标时“我方”是指“本人”。</w:t>
      </w:r>
    </w:p>
    <w:p w14:paraId="13D66EE8">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Cs w:val="21"/>
          <w:highlight w:val="none"/>
        </w:rPr>
        <w:br w:type="page"/>
      </w:r>
      <w:r>
        <w:rPr>
          <w:rFonts w:hint="eastAsia" w:ascii="宋体" w:hAnsi="宋体" w:cs="宋体"/>
          <w:color w:val="auto"/>
          <w:kern w:val="21"/>
          <w:sz w:val="44"/>
          <w:szCs w:val="44"/>
          <w:highlight w:val="none"/>
        </w:rPr>
        <w:t>授权委托书（联合体竞标格式）</w:t>
      </w:r>
    </w:p>
    <w:p w14:paraId="6DD350F7">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1322DF6B">
      <w:pPr>
        <w:spacing w:line="500" w:lineRule="exact"/>
        <w:jc w:val="center"/>
        <w:rPr>
          <w:rFonts w:ascii="宋体" w:hAnsi="宋体" w:cs="宋体"/>
          <w:color w:val="auto"/>
          <w:kern w:val="21"/>
          <w:sz w:val="44"/>
          <w:szCs w:val="44"/>
          <w:highlight w:val="none"/>
        </w:rPr>
      </w:pPr>
    </w:p>
    <w:p w14:paraId="0F1A8199">
      <w:pPr>
        <w:spacing w:line="500" w:lineRule="exact"/>
        <w:jc w:val="center"/>
        <w:rPr>
          <w:rFonts w:ascii="宋体" w:hAnsi="宋体" w:cs="宋体"/>
          <w:color w:val="auto"/>
          <w:kern w:val="21"/>
          <w:sz w:val="32"/>
          <w:szCs w:val="32"/>
          <w:highlight w:val="none"/>
        </w:rPr>
      </w:pPr>
    </w:p>
    <w:p w14:paraId="0EBD708F">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本授权委托书声明：根据</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（牵头人名称）与</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（联合体其他成员名称）签订的《联合体竞标协议书》的内容，</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（牵头人名称）的法定代表人</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（姓名）现授权</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（姓名）为联合委托代理人，并代表我方全权办理针对上述项目的所有采购程序和环节的具体事务和签署相关文件。</w:t>
      </w:r>
    </w:p>
    <w:p w14:paraId="30AE4E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我方对委托代理人的签字事项负全部责任。</w:t>
      </w:r>
    </w:p>
    <w:p w14:paraId="0340B92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021CB5F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6E42379F">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04941190">
      <w:pPr>
        <w:spacing w:line="360" w:lineRule="auto"/>
        <w:ind w:firstLine="1560" w:firstLineChars="650"/>
        <w:rPr>
          <w:rFonts w:ascii="宋体" w:hAnsi="宋体" w:cs="宋体"/>
          <w:color w:val="auto"/>
          <w:kern w:val="21"/>
          <w:sz w:val="24"/>
          <w:highlight w:val="none"/>
        </w:rPr>
      </w:pPr>
      <w:r>
        <w:rPr>
          <w:rFonts w:hint="eastAsia" w:ascii="宋体" w:hAnsi="宋体" w:cs="宋体"/>
          <w:color w:val="auto"/>
          <w:kern w:val="21"/>
          <w:sz w:val="24"/>
          <w:highlight w:val="none"/>
        </w:rPr>
        <w:t>牵头人法定代表人（签字或盖章）：</w:t>
      </w:r>
    </w:p>
    <w:p w14:paraId="5C265E86">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牵头人（电子签章）：</w:t>
      </w:r>
    </w:p>
    <w:p w14:paraId="1302EBCE">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1E5D9658">
      <w:pPr>
        <w:spacing w:line="360" w:lineRule="auto"/>
        <w:rPr>
          <w:rFonts w:ascii="宋体" w:hAnsi="宋体" w:cs="宋体"/>
          <w:color w:val="auto"/>
          <w:kern w:val="21"/>
          <w:sz w:val="24"/>
          <w:highlight w:val="none"/>
        </w:rPr>
      </w:pPr>
    </w:p>
    <w:p w14:paraId="21DC45CE">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被授权人（签字）：</w:t>
      </w:r>
    </w:p>
    <w:p w14:paraId="60F6985B">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7267F8FE">
      <w:pPr>
        <w:spacing w:line="360" w:lineRule="auto"/>
        <w:rPr>
          <w:rFonts w:ascii="宋体" w:hAnsi="宋体" w:cs="宋体"/>
          <w:color w:val="auto"/>
          <w:kern w:val="21"/>
          <w:sz w:val="24"/>
          <w:highlight w:val="none"/>
        </w:rPr>
      </w:pPr>
    </w:p>
    <w:p w14:paraId="56A88802">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077051D8">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2.本授权委托书应由联合体牵头人的法定代表人按上述规定签署。</w:t>
      </w:r>
    </w:p>
    <w:p w14:paraId="21458312">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7E5227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4.法人、其他组织竞标时“我方”是指“我单位”，自然人竞标时“我方”是指“本人”。</w:t>
      </w:r>
    </w:p>
    <w:p w14:paraId="533C3259">
      <w:pPr>
        <w:spacing w:line="360" w:lineRule="auto"/>
        <w:ind w:firstLine="420" w:firstLineChars="200"/>
        <w:jc w:val="left"/>
        <w:rPr>
          <w:rFonts w:ascii="宋体" w:hAnsi="宋体" w:cs="宋体"/>
          <w:color w:val="auto"/>
          <w:kern w:val="21"/>
          <w:szCs w:val="21"/>
          <w:highlight w:val="none"/>
        </w:rPr>
      </w:pPr>
    </w:p>
    <w:p w14:paraId="7B9FDFB8">
      <w:pPr>
        <w:spacing w:line="520" w:lineRule="exact"/>
        <w:ind w:firstLine="640" w:firstLineChars="200"/>
        <w:jc w:val="left"/>
        <w:rPr>
          <w:rFonts w:ascii="宋体" w:hAnsi="宋体" w:cs="宋体"/>
          <w:b/>
          <w:color w:val="auto"/>
          <w:kern w:val="21"/>
          <w:sz w:val="30"/>
          <w:szCs w:val="30"/>
          <w:highlight w:val="none"/>
        </w:rPr>
      </w:pPr>
      <w:r>
        <w:rPr>
          <w:rFonts w:hint="eastAsia" w:ascii="宋体" w:hAnsi="宋体" w:cs="宋体"/>
          <w:color w:val="auto"/>
          <w:kern w:val="21"/>
          <w:sz w:val="32"/>
          <w:szCs w:val="32"/>
          <w:highlight w:val="none"/>
        </w:rPr>
        <w:br w:type="page"/>
      </w:r>
      <w:r>
        <w:rPr>
          <w:rFonts w:hint="eastAsia" w:ascii="宋体" w:hAnsi="宋体" w:cs="宋体"/>
          <w:b/>
          <w:color w:val="auto"/>
          <w:kern w:val="21"/>
          <w:sz w:val="30"/>
          <w:szCs w:val="30"/>
          <w:highlight w:val="none"/>
        </w:rPr>
        <w:t>四、商务条款偏离表</w:t>
      </w:r>
    </w:p>
    <w:p w14:paraId="191B4591">
      <w:pPr>
        <w:spacing w:line="500" w:lineRule="exact"/>
        <w:jc w:val="center"/>
        <w:rPr>
          <w:rFonts w:ascii="宋体" w:hAnsi="宋体" w:cs="宋体"/>
          <w:bCs/>
          <w:color w:val="auto"/>
          <w:kern w:val="21"/>
          <w:sz w:val="44"/>
          <w:szCs w:val="44"/>
          <w:highlight w:val="none"/>
        </w:rPr>
      </w:pPr>
    </w:p>
    <w:p w14:paraId="0C1345FA">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商务条款偏离表</w:t>
      </w:r>
    </w:p>
    <w:p w14:paraId="47C1FC22">
      <w:pPr>
        <w:spacing w:line="520" w:lineRule="exact"/>
        <w:rPr>
          <w:rFonts w:ascii="宋体" w:hAnsi="宋体" w:cs="宋体"/>
          <w:color w:val="auto"/>
          <w:kern w:val="21"/>
          <w:sz w:val="32"/>
          <w:szCs w:val="32"/>
          <w:highlight w:val="none"/>
        </w:rPr>
      </w:pPr>
    </w:p>
    <w:p w14:paraId="4B433CB0">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采购项目编号：</w:t>
      </w:r>
      <w:r>
        <w:rPr>
          <w:rFonts w:hint="eastAsia" w:ascii="宋体" w:hAnsi="宋体" w:cs="宋体"/>
          <w:color w:val="auto"/>
          <w:kern w:val="21"/>
          <w:sz w:val="24"/>
          <w:highlight w:val="none"/>
          <w:u w:val="single"/>
        </w:rPr>
        <w:t xml:space="preserve">                 </w:t>
      </w:r>
    </w:p>
    <w:p w14:paraId="65878141">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采购项目名称：</w:t>
      </w:r>
      <w:r>
        <w:rPr>
          <w:rFonts w:hint="eastAsia" w:ascii="宋体" w:hAnsi="宋体" w:cs="宋体"/>
          <w:color w:val="auto"/>
          <w:kern w:val="21"/>
          <w:sz w:val="24"/>
          <w:highlight w:val="none"/>
          <w:u w:val="single"/>
        </w:rPr>
        <w:t xml:space="preserve">                 </w:t>
      </w:r>
    </w:p>
    <w:p w14:paraId="5E5E3BD1">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分标号</w:t>
      </w:r>
      <w:r>
        <w:rPr>
          <w:rFonts w:hint="eastAsia" w:ascii="宋体" w:hAnsi="宋体" w:cs="宋体"/>
          <w:color w:val="auto"/>
          <w:kern w:val="21"/>
          <w:szCs w:val="21"/>
          <w:highlight w:val="none"/>
        </w:rPr>
        <w:t>（此处有分标时填写具体分标号，无分标时填写“无”）</w:t>
      </w:r>
      <w:r>
        <w:rPr>
          <w:rFonts w:hint="eastAsia" w:ascii="宋体" w:hAnsi="宋体" w:cs="宋体"/>
          <w:color w:val="auto"/>
          <w:kern w:val="21"/>
          <w:sz w:val="24"/>
          <w:highlight w:val="none"/>
        </w:rPr>
        <w:t>：</w:t>
      </w:r>
      <w:r>
        <w:rPr>
          <w:rFonts w:hint="eastAsia" w:ascii="宋体" w:hAnsi="宋体" w:cs="宋体"/>
          <w:color w:val="auto"/>
          <w:kern w:val="21"/>
          <w:sz w:val="24"/>
          <w:highlight w:val="none"/>
          <w:u w:val="single"/>
        </w:rPr>
        <w:t xml:space="preserve">                       </w:t>
      </w:r>
    </w:p>
    <w:tbl>
      <w:tblPr>
        <w:tblStyle w:val="32"/>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C05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8D7F44A">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E45A36B">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0CF4649">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CCBE6A4">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偏离说明</w:t>
            </w:r>
          </w:p>
        </w:tc>
      </w:tr>
      <w:tr w14:paraId="59AF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2EC6E33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0A1BC48">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581C2CFC">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283AEEE5">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575279C">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1A6B36">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20B9DDE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311EB7E2">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06EB51F">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1D4B322">
            <w:pPr>
              <w:spacing w:line="300" w:lineRule="exact"/>
              <w:rPr>
                <w:rFonts w:ascii="宋体" w:hAnsi="宋体" w:cs="宋体"/>
                <w:color w:val="auto"/>
                <w:kern w:val="21"/>
                <w:szCs w:val="21"/>
                <w:highlight w:val="none"/>
              </w:rPr>
            </w:pPr>
          </w:p>
        </w:tc>
      </w:tr>
      <w:tr w14:paraId="337D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3D3B01D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06EDD19">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7A088DC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55A77686">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6985C41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0F7D46E">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76D4351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00C8DF8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2B44ACD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28942D0">
            <w:pPr>
              <w:spacing w:line="300" w:lineRule="exact"/>
              <w:rPr>
                <w:rFonts w:ascii="宋体" w:hAnsi="宋体" w:cs="宋体"/>
                <w:color w:val="auto"/>
                <w:kern w:val="21"/>
                <w:szCs w:val="21"/>
                <w:highlight w:val="none"/>
              </w:rPr>
            </w:pPr>
          </w:p>
        </w:tc>
      </w:tr>
      <w:tr w14:paraId="2E8B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181879B5">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F72C37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0C0F4E1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224FF08F">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3A7157FA">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51A1B05">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3E5D283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5B52BB6F">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6CFE7B9">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1713335">
            <w:pPr>
              <w:spacing w:line="300" w:lineRule="exact"/>
              <w:rPr>
                <w:rFonts w:ascii="宋体" w:hAnsi="宋体" w:cs="宋体"/>
                <w:color w:val="auto"/>
                <w:kern w:val="21"/>
                <w:szCs w:val="21"/>
                <w:highlight w:val="none"/>
              </w:rPr>
            </w:pPr>
          </w:p>
        </w:tc>
      </w:tr>
    </w:tbl>
    <w:p w14:paraId="694610A9">
      <w:pPr>
        <w:pStyle w:val="8"/>
        <w:spacing w:line="400" w:lineRule="exact"/>
        <w:ind w:firstLine="0" w:firstLineChars="0"/>
        <w:contextualSpacing/>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w:t>
      </w:r>
    </w:p>
    <w:p w14:paraId="7001541A">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1、应写明竞争性磋商响应文件对商务要求的响应和偏离情况；</w:t>
      </w:r>
    </w:p>
    <w:p w14:paraId="4FF1EE30">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2、应对照竞争性磋商文件第二章“服务需求一览表”，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0CB44C58">
      <w:pPr>
        <w:spacing w:line="360" w:lineRule="auto"/>
        <w:ind w:firstLine="3840" w:firstLineChars="1600"/>
        <w:rPr>
          <w:rFonts w:ascii="宋体" w:hAnsi="宋体" w:cs="宋体"/>
          <w:color w:val="auto"/>
          <w:kern w:val="21"/>
          <w:sz w:val="24"/>
          <w:highlight w:val="none"/>
        </w:rPr>
      </w:pPr>
    </w:p>
    <w:p w14:paraId="1A1D04F6">
      <w:pPr>
        <w:spacing w:line="360" w:lineRule="auto"/>
        <w:ind w:firstLine="3840" w:firstLineChars="1600"/>
        <w:rPr>
          <w:rFonts w:ascii="宋体" w:hAnsi="宋体" w:cs="宋体"/>
          <w:color w:val="auto"/>
          <w:kern w:val="21"/>
          <w:sz w:val="24"/>
          <w:highlight w:val="none"/>
        </w:rPr>
      </w:pPr>
    </w:p>
    <w:p w14:paraId="1EB9FF69">
      <w:pPr>
        <w:spacing w:line="360" w:lineRule="auto"/>
        <w:ind w:firstLine="3840" w:firstLineChars="1600"/>
        <w:rPr>
          <w:rFonts w:ascii="宋体" w:hAnsi="宋体" w:cs="宋体"/>
          <w:color w:val="auto"/>
          <w:kern w:val="21"/>
          <w:sz w:val="24"/>
          <w:highlight w:val="none"/>
        </w:rPr>
      </w:pPr>
    </w:p>
    <w:p w14:paraId="20EF2DC7">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682A6B4">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765ED276">
      <w:pPr>
        <w:snapToGrid w:val="0"/>
        <w:spacing w:line="360" w:lineRule="auto"/>
        <w:ind w:firstLine="602" w:firstLineChars="200"/>
        <w:rPr>
          <w:rFonts w:ascii="宋体" w:hAnsi="宋体" w:cs="宋体"/>
          <w:b/>
          <w:color w:val="auto"/>
          <w:kern w:val="21"/>
          <w:sz w:val="30"/>
          <w:szCs w:val="30"/>
          <w:highlight w:val="none"/>
        </w:rPr>
      </w:pPr>
    </w:p>
    <w:p w14:paraId="396F45C5">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五、磋商保证金的相关证明复印件</w:t>
      </w:r>
    </w:p>
    <w:p w14:paraId="272D5909">
      <w:pPr>
        <w:snapToGrid w:val="0"/>
        <w:spacing w:line="360" w:lineRule="auto"/>
        <w:ind w:firstLine="602" w:firstLineChars="200"/>
        <w:rPr>
          <w:rFonts w:ascii="宋体" w:hAnsi="宋体" w:cs="宋体"/>
          <w:b/>
          <w:color w:val="auto"/>
          <w:kern w:val="21"/>
          <w:sz w:val="30"/>
          <w:szCs w:val="30"/>
          <w:highlight w:val="none"/>
        </w:rPr>
      </w:pPr>
    </w:p>
    <w:p w14:paraId="3DB6D819">
      <w:pPr>
        <w:snapToGrid w:val="0"/>
        <w:spacing w:before="120" w:beforeLines="50" w:after="50"/>
        <w:ind w:firstLine="602" w:firstLineChars="200"/>
        <w:rPr>
          <w:rFonts w:ascii="宋体" w:hAnsi="宋体" w:cs="宋体"/>
          <w:b/>
          <w:color w:val="auto"/>
          <w:kern w:val="21"/>
          <w:sz w:val="30"/>
          <w:szCs w:val="30"/>
          <w:highlight w:val="none"/>
        </w:rPr>
      </w:pPr>
    </w:p>
    <w:p w14:paraId="14453190">
      <w:pPr>
        <w:snapToGrid w:val="0"/>
        <w:spacing w:before="120" w:beforeLines="50" w:after="50"/>
        <w:ind w:firstLine="602" w:firstLineChars="200"/>
        <w:rPr>
          <w:rFonts w:ascii="宋体" w:hAnsi="宋体" w:cs="宋体"/>
          <w:b/>
          <w:color w:val="auto"/>
          <w:kern w:val="21"/>
          <w:sz w:val="30"/>
          <w:szCs w:val="30"/>
          <w:highlight w:val="none"/>
        </w:rPr>
      </w:pPr>
    </w:p>
    <w:p w14:paraId="7AB01875">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六、竞标人情况介绍</w:t>
      </w:r>
    </w:p>
    <w:p w14:paraId="67F006D6">
      <w:pPr>
        <w:snapToGrid w:val="0"/>
        <w:spacing w:line="360" w:lineRule="auto"/>
        <w:ind w:firstLine="602" w:firstLineChars="200"/>
        <w:rPr>
          <w:rFonts w:ascii="宋体" w:hAnsi="宋体" w:cs="宋体"/>
          <w:b/>
          <w:color w:val="auto"/>
          <w:kern w:val="21"/>
          <w:sz w:val="30"/>
          <w:szCs w:val="30"/>
          <w:highlight w:val="none"/>
        </w:rPr>
      </w:pPr>
    </w:p>
    <w:p w14:paraId="41444FA3">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063BA496">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5A5B8164">
      <w:pPr>
        <w:snapToGrid w:val="0"/>
        <w:spacing w:before="120" w:beforeLines="50" w:after="50"/>
        <w:ind w:firstLine="602" w:firstLineChars="200"/>
        <w:rPr>
          <w:rFonts w:ascii="宋体" w:hAnsi="宋体" w:cs="宋体"/>
          <w:b/>
          <w:color w:val="auto"/>
          <w:kern w:val="21"/>
          <w:sz w:val="30"/>
          <w:szCs w:val="30"/>
          <w:highlight w:val="none"/>
        </w:rPr>
      </w:pPr>
    </w:p>
    <w:p w14:paraId="12E1FE09">
      <w:pPr>
        <w:snapToGrid w:val="0"/>
        <w:spacing w:before="120" w:beforeLines="50" w:after="50"/>
        <w:ind w:firstLine="602" w:firstLineChars="200"/>
        <w:rPr>
          <w:rFonts w:ascii="宋体" w:hAnsi="宋体" w:cs="宋体"/>
          <w:b/>
          <w:color w:val="auto"/>
          <w:kern w:val="21"/>
          <w:sz w:val="30"/>
          <w:szCs w:val="30"/>
          <w:highlight w:val="none"/>
        </w:rPr>
      </w:pPr>
    </w:p>
    <w:p w14:paraId="5B8F9CAC">
      <w:pPr>
        <w:snapToGrid w:val="0"/>
        <w:spacing w:before="120" w:beforeLines="50" w:after="50"/>
        <w:ind w:firstLine="602" w:firstLineChars="200"/>
        <w:rPr>
          <w:rFonts w:ascii="宋体" w:hAnsi="宋体" w:cs="宋体"/>
          <w:b/>
          <w:color w:val="auto"/>
          <w:kern w:val="21"/>
          <w:sz w:val="30"/>
          <w:szCs w:val="30"/>
          <w:highlight w:val="none"/>
        </w:rPr>
      </w:pPr>
    </w:p>
    <w:p w14:paraId="1481F7FC">
      <w:pPr>
        <w:snapToGrid w:val="0"/>
        <w:spacing w:before="120" w:beforeLines="50" w:after="50"/>
        <w:ind w:firstLine="602" w:firstLineChars="200"/>
        <w:rPr>
          <w:rFonts w:ascii="宋体" w:hAnsi="宋体" w:cs="宋体"/>
          <w:b/>
          <w:color w:val="auto"/>
          <w:kern w:val="21"/>
          <w:sz w:val="30"/>
          <w:szCs w:val="30"/>
          <w:highlight w:val="none"/>
        </w:rPr>
      </w:pPr>
    </w:p>
    <w:p w14:paraId="5C39FFD9">
      <w:pPr>
        <w:snapToGrid w:val="0"/>
        <w:spacing w:before="120" w:beforeLines="50" w:after="50"/>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七、供应商类似的业绩证明文件</w:t>
      </w:r>
    </w:p>
    <w:p w14:paraId="516F5222">
      <w:pPr>
        <w:snapToGrid w:val="0"/>
        <w:spacing w:before="120" w:beforeLines="50" w:after="50"/>
        <w:rPr>
          <w:rFonts w:ascii="宋体" w:hAnsi="宋体" w:cs="宋体"/>
          <w:b/>
          <w:color w:val="auto"/>
          <w:kern w:val="21"/>
          <w:sz w:val="30"/>
          <w:szCs w:val="30"/>
          <w:highlight w:val="none"/>
        </w:rPr>
      </w:pPr>
      <w:r>
        <w:rPr>
          <w:rFonts w:hint="eastAsia" w:ascii="宋体" w:hAnsi="宋体" w:cs="宋体"/>
          <w:color w:val="auto"/>
          <w:kern w:val="21"/>
          <w:highlight w:val="none"/>
        </w:rPr>
        <w:t>（供应商可自行编制业绩清单表，并按“评审标准”中的要求随表提交相应的业绩证明材料并注明所在供应商商务技术文件页码。）</w:t>
      </w:r>
    </w:p>
    <w:p w14:paraId="63F4315B">
      <w:pPr>
        <w:snapToGrid w:val="0"/>
        <w:spacing w:line="360" w:lineRule="auto"/>
        <w:ind w:firstLine="4935" w:firstLineChars="2350"/>
        <w:rPr>
          <w:rFonts w:ascii="宋体" w:hAnsi="宋体" w:cs="宋体"/>
          <w:color w:val="auto"/>
          <w:kern w:val="21"/>
          <w:szCs w:val="21"/>
          <w:highlight w:val="none"/>
        </w:rPr>
      </w:pPr>
    </w:p>
    <w:p w14:paraId="4632E0D9">
      <w:pPr>
        <w:snapToGrid w:val="0"/>
        <w:spacing w:line="360" w:lineRule="auto"/>
        <w:ind w:firstLine="4935" w:firstLineChars="2350"/>
        <w:rPr>
          <w:rFonts w:ascii="宋体" w:hAnsi="宋体" w:cs="宋体"/>
          <w:color w:val="auto"/>
          <w:kern w:val="21"/>
          <w:szCs w:val="21"/>
          <w:highlight w:val="none"/>
        </w:rPr>
      </w:pPr>
    </w:p>
    <w:p w14:paraId="5BDD2085">
      <w:pPr>
        <w:snapToGrid w:val="0"/>
        <w:spacing w:line="360" w:lineRule="auto"/>
        <w:ind w:firstLine="4935" w:firstLineChars="2350"/>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7FD2BC60">
      <w:pPr>
        <w:snapToGrid w:val="0"/>
        <w:spacing w:line="360" w:lineRule="auto"/>
        <w:ind w:firstLine="4935" w:firstLineChars="2350"/>
        <w:rPr>
          <w:rFonts w:ascii="宋体" w:hAnsi="宋体" w:cs="宋体"/>
          <w:color w:val="auto"/>
          <w:kern w:val="21"/>
          <w:szCs w:val="21"/>
          <w:highlight w:val="none"/>
        </w:rPr>
      </w:pPr>
    </w:p>
    <w:p w14:paraId="7DB2813A">
      <w:pPr>
        <w:snapToGrid w:val="0"/>
        <w:spacing w:line="360" w:lineRule="auto"/>
        <w:ind w:left="4410" w:leftChars="2100" w:firstLine="5670" w:firstLineChars="2700"/>
        <w:rPr>
          <w:rFonts w:ascii="宋体" w:hAnsi="宋体" w:cs="宋体"/>
          <w:color w:val="auto"/>
          <w:kern w:val="21"/>
          <w:sz w:val="24"/>
          <w:highlight w:val="none"/>
        </w:rPr>
      </w:pPr>
      <w:r>
        <w:rPr>
          <w:rFonts w:hint="eastAsia" w:ascii="宋体" w:hAnsi="宋体" w:cs="宋体"/>
          <w:color w:val="auto"/>
          <w:kern w:val="21"/>
          <w:szCs w:val="21"/>
          <w:highlight w:val="none"/>
        </w:rPr>
        <w:t xml:space="preserve"> </w:t>
      </w:r>
      <w:r>
        <w:rPr>
          <w:rFonts w:hint="eastAsia" w:ascii="宋体" w:hAnsi="宋体" w:cs="宋体"/>
          <w:color w:val="auto"/>
          <w:kern w:val="21"/>
          <w:sz w:val="24"/>
          <w:highlight w:val="none"/>
          <w:lang w:val="zh-CN"/>
        </w:rPr>
        <w:t>供应商名称（电子签章）：</w:t>
      </w:r>
    </w:p>
    <w:p w14:paraId="3028D11C">
      <w:pPr>
        <w:spacing w:line="500" w:lineRule="exact"/>
        <w:jc w:val="center"/>
        <w:rPr>
          <w:rFonts w:ascii="宋体" w:hAnsi="宋体" w:cs="宋体"/>
          <w:color w:val="auto"/>
          <w:kern w:val="21"/>
          <w:sz w:val="32"/>
          <w:szCs w:val="32"/>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 xml:space="preserve">                                                     日期</w:t>
      </w:r>
      <w:r>
        <w:rPr>
          <w:rFonts w:hint="eastAsia" w:ascii="宋体" w:hAnsi="宋体" w:cs="宋体"/>
          <w:color w:val="auto"/>
          <w:kern w:val="21"/>
          <w:sz w:val="24"/>
          <w:highlight w:val="none"/>
        </w:rPr>
        <w:t xml:space="preserve">：  年  </w:t>
      </w:r>
      <w:r>
        <w:rPr>
          <w:rFonts w:hint="eastAsia" w:ascii="宋体" w:hAnsi="宋体" w:cs="宋体"/>
          <w:color w:val="auto"/>
          <w:kern w:val="21"/>
          <w:sz w:val="24"/>
          <w:highlight w:val="none"/>
          <w:lang w:val="zh-CN"/>
        </w:rPr>
        <w:t>月</w:t>
      </w:r>
      <w:r>
        <w:rPr>
          <w:rFonts w:hint="eastAsia" w:ascii="宋体" w:hAnsi="宋体" w:cs="宋体"/>
          <w:color w:val="auto"/>
          <w:kern w:val="21"/>
          <w:sz w:val="24"/>
          <w:highlight w:val="none"/>
        </w:rPr>
        <w:t xml:space="preserve">   </w:t>
      </w:r>
      <w:r>
        <w:rPr>
          <w:rFonts w:hint="eastAsia" w:ascii="宋体" w:hAnsi="宋体" w:cs="宋体"/>
          <w:color w:val="auto"/>
          <w:kern w:val="21"/>
          <w:sz w:val="24"/>
          <w:highlight w:val="none"/>
          <w:lang w:val="zh-CN"/>
        </w:rPr>
        <w:t>日</w:t>
      </w:r>
    </w:p>
    <w:p w14:paraId="03215958">
      <w:pPr>
        <w:snapToGrid w:val="0"/>
        <w:spacing w:line="360" w:lineRule="auto"/>
        <w:ind w:firstLine="602" w:firstLineChars="200"/>
        <w:rPr>
          <w:rFonts w:ascii="宋体" w:hAnsi="宋体" w:cs="宋体"/>
          <w:color w:val="auto"/>
          <w:kern w:val="21"/>
          <w:sz w:val="32"/>
          <w:szCs w:val="32"/>
          <w:highlight w:val="none"/>
        </w:rPr>
      </w:pPr>
      <w:r>
        <w:rPr>
          <w:rFonts w:hint="eastAsia" w:ascii="宋体" w:hAnsi="宋体" w:cs="宋体"/>
          <w:b/>
          <w:color w:val="auto"/>
          <w:kern w:val="21"/>
          <w:sz w:val="30"/>
          <w:szCs w:val="30"/>
          <w:highlight w:val="none"/>
        </w:rPr>
        <w:t>八、服务需求偏离表</w:t>
      </w:r>
    </w:p>
    <w:p w14:paraId="6771812A">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竞标产品服务需求偏离表</w:t>
      </w:r>
    </w:p>
    <w:p w14:paraId="5700AC27">
      <w:pPr>
        <w:spacing w:line="500" w:lineRule="exact"/>
        <w:jc w:val="center"/>
        <w:rPr>
          <w:rFonts w:ascii="宋体" w:hAnsi="宋体" w:cs="宋体"/>
          <w:b/>
          <w:color w:val="auto"/>
          <w:kern w:val="21"/>
          <w:sz w:val="32"/>
          <w:szCs w:val="32"/>
          <w:highlight w:val="none"/>
        </w:rPr>
      </w:pPr>
      <w:r>
        <w:rPr>
          <w:rFonts w:hint="eastAsia" w:ascii="宋体" w:hAnsi="宋体" w:cs="宋体"/>
          <w:bCs/>
          <w:color w:val="auto"/>
          <w:kern w:val="21"/>
          <w:sz w:val="44"/>
          <w:szCs w:val="44"/>
          <w:highlight w:val="none"/>
        </w:rPr>
        <w:t>（注：按采购需求具体条款修改）</w:t>
      </w:r>
    </w:p>
    <w:p w14:paraId="258D36EB">
      <w:pPr>
        <w:spacing w:line="360" w:lineRule="auto"/>
        <w:contextualSpacing/>
        <w:jc w:val="left"/>
        <w:rPr>
          <w:rFonts w:ascii="宋体" w:hAnsi="宋体" w:cs="宋体"/>
          <w:color w:val="auto"/>
          <w:kern w:val="21"/>
          <w:sz w:val="24"/>
          <w:highlight w:val="none"/>
        </w:rPr>
      </w:pPr>
    </w:p>
    <w:p w14:paraId="6921C7A2">
      <w:pPr>
        <w:pStyle w:val="18"/>
        <w:spacing w:line="360" w:lineRule="auto"/>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所竞分标：</w:t>
      </w:r>
      <w:r>
        <w:rPr>
          <w:rFonts w:hint="eastAsia" w:hAnsi="宋体" w:cs="宋体"/>
          <w:color w:val="auto"/>
          <w:kern w:val="21"/>
          <w:sz w:val="24"/>
          <w:szCs w:val="24"/>
          <w:highlight w:val="none"/>
          <w:u w:val="single"/>
        </w:rPr>
        <w:t xml:space="preserve">              </w:t>
      </w:r>
    </w:p>
    <w:tbl>
      <w:tblPr>
        <w:tblStyle w:val="32"/>
        <w:tblW w:w="8880" w:type="dxa"/>
        <w:tblInd w:w="93" w:type="dxa"/>
        <w:tblLayout w:type="autofit"/>
        <w:tblCellMar>
          <w:top w:w="0" w:type="dxa"/>
          <w:left w:w="108" w:type="dxa"/>
          <w:bottom w:w="0" w:type="dxa"/>
          <w:right w:w="108" w:type="dxa"/>
        </w:tblCellMar>
      </w:tblPr>
      <w:tblGrid>
        <w:gridCol w:w="1080"/>
        <w:gridCol w:w="1560"/>
        <w:gridCol w:w="1560"/>
        <w:gridCol w:w="1560"/>
        <w:gridCol w:w="1560"/>
        <w:gridCol w:w="1560"/>
      </w:tblGrid>
      <w:tr w14:paraId="0B1FF73D">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6CDAD16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项号</w:t>
            </w:r>
          </w:p>
        </w:tc>
        <w:tc>
          <w:tcPr>
            <w:tcW w:w="3120" w:type="dxa"/>
            <w:gridSpan w:val="2"/>
            <w:tcBorders>
              <w:top w:val="single" w:color="000000" w:sz="8" w:space="0"/>
              <w:left w:val="nil"/>
              <w:bottom w:val="single" w:color="000000" w:sz="8" w:space="0"/>
              <w:right w:val="single" w:color="000000" w:sz="8" w:space="0"/>
            </w:tcBorders>
            <w:noWrap w:val="0"/>
            <w:vAlign w:val="center"/>
          </w:tcPr>
          <w:p w14:paraId="66E4A75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竞争性磋商采购文件需求</w:t>
            </w:r>
          </w:p>
        </w:tc>
        <w:tc>
          <w:tcPr>
            <w:tcW w:w="3120" w:type="dxa"/>
            <w:gridSpan w:val="2"/>
            <w:tcBorders>
              <w:top w:val="single" w:color="000000" w:sz="8" w:space="0"/>
              <w:left w:val="nil"/>
              <w:bottom w:val="single" w:color="000000" w:sz="8" w:space="0"/>
              <w:right w:val="single" w:color="000000" w:sz="8" w:space="0"/>
            </w:tcBorders>
            <w:noWrap w:val="0"/>
            <w:vAlign w:val="center"/>
          </w:tcPr>
          <w:p w14:paraId="3AA25C5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响应文件承诺</w:t>
            </w:r>
          </w:p>
        </w:tc>
        <w:tc>
          <w:tcPr>
            <w:tcW w:w="1560" w:type="dxa"/>
            <w:vMerge w:val="restart"/>
            <w:tcBorders>
              <w:top w:val="single" w:color="000000" w:sz="8" w:space="0"/>
              <w:left w:val="nil"/>
              <w:bottom w:val="single" w:color="000000" w:sz="8" w:space="0"/>
              <w:right w:val="single" w:color="000000" w:sz="8" w:space="0"/>
            </w:tcBorders>
            <w:noWrap w:val="0"/>
            <w:vAlign w:val="center"/>
          </w:tcPr>
          <w:p w14:paraId="37A357A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偏离说明</w:t>
            </w:r>
          </w:p>
        </w:tc>
      </w:tr>
      <w:tr w14:paraId="0CC46F5B">
        <w:tblPrEx>
          <w:tblCellMar>
            <w:top w:w="0" w:type="dxa"/>
            <w:left w:w="108" w:type="dxa"/>
            <w:bottom w:w="0" w:type="dxa"/>
            <w:right w:w="108"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13C7222">
            <w:pPr>
              <w:jc w:val="cente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6C2EB74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nil"/>
              <w:left w:val="nil"/>
              <w:bottom w:val="single" w:color="000000" w:sz="8" w:space="0"/>
              <w:right w:val="single" w:color="000000" w:sz="8" w:space="0"/>
            </w:tcBorders>
            <w:noWrap w:val="0"/>
            <w:vAlign w:val="center"/>
          </w:tcPr>
          <w:p w14:paraId="6EA8904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服务要求</w:t>
            </w:r>
          </w:p>
        </w:tc>
        <w:tc>
          <w:tcPr>
            <w:tcW w:w="1560" w:type="dxa"/>
            <w:tcBorders>
              <w:top w:val="single" w:color="000000" w:sz="8" w:space="0"/>
              <w:left w:val="nil"/>
              <w:bottom w:val="single" w:color="000000" w:sz="8" w:space="0"/>
              <w:right w:val="single" w:color="000000" w:sz="8" w:space="0"/>
            </w:tcBorders>
            <w:noWrap w:val="0"/>
            <w:vAlign w:val="center"/>
          </w:tcPr>
          <w:p w14:paraId="7D454AE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single" w:color="000000" w:sz="8" w:space="0"/>
              <w:left w:val="nil"/>
              <w:bottom w:val="single" w:color="000000" w:sz="8" w:space="0"/>
              <w:right w:val="single" w:color="000000" w:sz="8" w:space="0"/>
            </w:tcBorders>
            <w:noWrap w:val="0"/>
            <w:vAlign w:val="center"/>
          </w:tcPr>
          <w:p w14:paraId="334BE60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响应的服务内容</w:t>
            </w:r>
          </w:p>
        </w:tc>
        <w:tc>
          <w:tcPr>
            <w:tcW w:w="1560" w:type="dxa"/>
            <w:vMerge w:val="continue"/>
            <w:tcBorders>
              <w:top w:val="single" w:color="000000" w:sz="8" w:space="0"/>
              <w:left w:val="nil"/>
              <w:bottom w:val="single" w:color="000000" w:sz="8" w:space="0"/>
              <w:right w:val="single" w:color="000000" w:sz="8" w:space="0"/>
            </w:tcBorders>
            <w:noWrap w:val="0"/>
            <w:vAlign w:val="center"/>
          </w:tcPr>
          <w:p w14:paraId="59F3ED1D">
            <w:pPr>
              <w:jc w:val="center"/>
              <w:rPr>
                <w:rFonts w:ascii="宋体" w:hAnsi="宋体" w:cs="宋体"/>
                <w:color w:val="auto"/>
                <w:szCs w:val="21"/>
                <w:highlight w:val="none"/>
              </w:rPr>
            </w:pPr>
          </w:p>
        </w:tc>
      </w:tr>
      <w:tr w14:paraId="45F3FB17">
        <w:tblPrEx>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5041AC3C">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560" w:type="dxa"/>
            <w:vMerge w:val="restart"/>
            <w:tcBorders>
              <w:top w:val="nil"/>
              <w:left w:val="nil"/>
              <w:bottom w:val="single" w:color="000000" w:sz="8" w:space="0"/>
              <w:right w:val="single" w:color="000000" w:sz="8" w:space="0"/>
            </w:tcBorders>
            <w:noWrap w:val="0"/>
            <w:vAlign w:val="center"/>
          </w:tcPr>
          <w:p w14:paraId="33A3CA13">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75A11BD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3"/>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6CED1AA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29F2E6B1">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3"/>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5D0B4FC2">
            <w:pPr>
              <w:rPr>
                <w:rFonts w:ascii="宋体" w:hAnsi="宋体" w:cs="宋体"/>
                <w:color w:val="auto"/>
                <w:szCs w:val="21"/>
                <w:highlight w:val="none"/>
              </w:rPr>
            </w:pPr>
          </w:p>
        </w:tc>
      </w:tr>
      <w:tr w14:paraId="5C4A2F79">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878A82D">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421A12E0">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379C6F56">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45B99051">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208E3E7B">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4EFA27A2">
            <w:pPr>
              <w:rPr>
                <w:rFonts w:ascii="宋体" w:hAnsi="宋体" w:cs="宋体"/>
                <w:color w:val="auto"/>
                <w:szCs w:val="21"/>
                <w:highlight w:val="none"/>
              </w:rPr>
            </w:pPr>
          </w:p>
        </w:tc>
      </w:tr>
      <w:tr w14:paraId="58A07D49">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06DD50F">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45ECD550">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14A938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9939207">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36B0BD45">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7FA9F608">
            <w:pPr>
              <w:rPr>
                <w:rFonts w:ascii="宋体" w:hAnsi="宋体" w:cs="宋体"/>
                <w:color w:val="auto"/>
                <w:szCs w:val="21"/>
                <w:highlight w:val="none"/>
              </w:rPr>
            </w:pPr>
          </w:p>
        </w:tc>
      </w:tr>
      <w:tr w14:paraId="4D3472F9">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03756F7">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34185E4C">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469A3BFE">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0538A4E2">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35BDDEB6">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7C7CB745">
            <w:pPr>
              <w:rPr>
                <w:rFonts w:ascii="宋体" w:hAnsi="宋体" w:cs="宋体"/>
                <w:color w:val="auto"/>
                <w:szCs w:val="21"/>
                <w:highlight w:val="none"/>
              </w:rPr>
            </w:pPr>
          </w:p>
        </w:tc>
      </w:tr>
      <w:tr w14:paraId="3FFA2DFC">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0882446">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3B8B7EFA">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22B3C7C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18635E2F">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0D032B5">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2747D889">
            <w:pPr>
              <w:rPr>
                <w:rFonts w:ascii="宋体" w:hAnsi="宋体" w:cs="宋体"/>
                <w:color w:val="auto"/>
                <w:szCs w:val="21"/>
                <w:highlight w:val="none"/>
              </w:rPr>
            </w:pPr>
          </w:p>
        </w:tc>
      </w:tr>
      <w:tr w14:paraId="75FDE046">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09E4A3E">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6AD6F20F">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A3B5AF3">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0D91D973">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BC5E953">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2013A60">
            <w:pPr>
              <w:rPr>
                <w:rFonts w:ascii="宋体" w:hAnsi="宋体" w:cs="宋体"/>
                <w:color w:val="auto"/>
                <w:szCs w:val="21"/>
                <w:highlight w:val="none"/>
              </w:rPr>
            </w:pPr>
          </w:p>
        </w:tc>
      </w:tr>
      <w:tr w14:paraId="6F02EBF7">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E3EEFAC">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1909D49E">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3E35537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159E39AE">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08202C6">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03096998">
            <w:pPr>
              <w:rPr>
                <w:rFonts w:ascii="宋体" w:hAnsi="宋体" w:cs="宋体"/>
                <w:color w:val="auto"/>
                <w:szCs w:val="21"/>
                <w:highlight w:val="none"/>
              </w:rPr>
            </w:pPr>
          </w:p>
        </w:tc>
      </w:tr>
      <w:tr w14:paraId="17642C07">
        <w:tblPrEx>
          <w:tblCellMar>
            <w:top w:w="0" w:type="dxa"/>
            <w:left w:w="108" w:type="dxa"/>
            <w:bottom w:w="0" w:type="dxa"/>
            <w:right w:w="108" w:type="dxa"/>
          </w:tblCellMar>
        </w:tblPrEx>
        <w:trPr>
          <w:trHeight w:val="905" w:hRule="atLeast"/>
        </w:trPr>
        <w:tc>
          <w:tcPr>
            <w:tcW w:w="1080" w:type="dxa"/>
            <w:tcBorders>
              <w:top w:val="nil"/>
              <w:left w:val="single" w:color="000000" w:sz="8" w:space="0"/>
              <w:bottom w:val="single" w:color="000000" w:sz="8" w:space="0"/>
              <w:right w:val="single" w:color="000000" w:sz="8" w:space="0"/>
            </w:tcBorders>
            <w:noWrap w:val="0"/>
            <w:vAlign w:val="center"/>
          </w:tcPr>
          <w:p w14:paraId="097898D3">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single" w:color="000000" w:sz="8" w:space="0"/>
              <w:right w:val="single" w:color="000000" w:sz="8" w:space="0"/>
            </w:tcBorders>
            <w:noWrap w:val="0"/>
            <w:vAlign w:val="center"/>
          </w:tcPr>
          <w:p w14:paraId="6E0428FC">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667F49E">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01C58D3A">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top"/>
          </w:tcPr>
          <w:p w14:paraId="309F5087">
            <w:pPr>
              <w:rPr>
                <w:rFonts w:ascii="宋体" w:hAnsi="宋体" w:cs="宋体"/>
                <w:color w:val="auto"/>
                <w:szCs w:val="21"/>
                <w:highlight w:val="none"/>
              </w:rPr>
            </w:pPr>
          </w:p>
        </w:tc>
        <w:tc>
          <w:tcPr>
            <w:tcW w:w="0" w:type="auto"/>
            <w:tcBorders>
              <w:top w:val="nil"/>
              <w:left w:val="nil"/>
              <w:bottom w:val="single" w:color="000000" w:sz="8" w:space="0"/>
              <w:right w:val="single" w:color="000000" w:sz="8" w:space="0"/>
            </w:tcBorders>
            <w:noWrap/>
            <w:vAlign w:val="center"/>
          </w:tcPr>
          <w:p w14:paraId="2FE02927">
            <w:pPr>
              <w:rPr>
                <w:rFonts w:ascii="宋体" w:hAnsi="宋体" w:cs="宋体"/>
                <w:color w:val="auto"/>
                <w:sz w:val="22"/>
                <w:szCs w:val="22"/>
                <w:highlight w:val="none"/>
              </w:rPr>
            </w:pPr>
          </w:p>
        </w:tc>
      </w:tr>
    </w:tbl>
    <w:p w14:paraId="247E0543">
      <w:pPr>
        <w:pStyle w:val="14"/>
        <w:spacing w:after="0" w:line="360" w:lineRule="auto"/>
        <w:contextualSpacing/>
        <w:rPr>
          <w:rFonts w:ascii="宋体" w:hAnsi="宋体" w:cs="宋体"/>
          <w:color w:val="auto"/>
          <w:kern w:val="21"/>
          <w:sz w:val="21"/>
          <w:szCs w:val="21"/>
          <w:highlight w:val="none"/>
        </w:rPr>
      </w:pPr>
      <w:r>
        <w:rPr>
          <w:rFonts w:hint="eastAsia" w:ascii="宋体" w:hAnsi="宋体" w:cs="宋体"/>
          <w:color w:val="auto"/>
          <w:kern w:val="21"/>
          <w:sz w:val="21"/>
          <w:szCs w:val="21"/>
          <w:highlight w:val="none"/>
        </w:rPr>
        <w:t>注：</w:t>
      </w:r>
    </w:p>
    <w:p w14:paraId="35F66DC8">
      <w:pPr>
        <w:snapToGrid w:val="0"/>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1、应写明竞争性磋商响应文件对技术要求的响应和偏离情况；</w:t>
      </w:r>
    </w:p>
    <w:p w14:paraId="0B94E1A8">
      <w:pPr>
        <w:snapToGrid w:val="0"/>
        <w:spacing w:line="360" w:lineRule="auto"/>
        <w:ind w:firstLine="420" w:firstLineChars="200"/>
        <w:rPr>
          <w:rFonts w:ascii="宋体" w:hAnsi="宋体" w:cs="宋体"/>
          <w:b/>
          <w:color w:val="auto"/>
          <w:kern w:val="21"/>
          <w:sz w:val="30"/>
          <w:szCs w:val="30"/>
          <w:highlight w:val="none"/>
        </w:rPr>
      </w:pPr>
      <w:r>
        <w:rPr>
          <w:rFonts w:hint="eastAsia" w:ascii="宋体" w:hAnsi="宋体" w:cs="宋体"/>
          <w:color w:val="auto"/>
          <w:kern w:val="21"/>
          <w:szCs w:val="21"/>
          <w:highlight w:val="none"/>
        </w:rPr>
        <w:t>2、应对照竞争性磋商文件</w:t>
      </w:r>
      <w:r>
        <w:rPr>
          <w:rFonts w:hint="eastAsia" w:ascii="宋体" w:hAnsi="宋体" w:cs="宋体"/>
          <w:color w:val="auto"/>
          <w:kern w:val="21"/>
          <w:highlight w:val="none"/>
        </w:rPr>
        <w:t>第二章“服务需求一览表”</w:t>
      </w:r>
      <w:r>
        <w:rPr>
          <w:rFonts w:hint="eastAsia" w:ascii="宋体" w:hAnsi="宋体" w:cs="宋体"/>
          <w:color w:val="auto"/>
          <w:kern w:val="21"/>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7CE39F49">
      <w:pPr>
        <w:snapToGrid w:val="0"/>
        <w:spacing w:line="360" w:lineRule="auto"/>
        <w:ind w:firstLine="602" w:firstLineChars="200"/>
        <w:rPr>
          <w:rFonts w:ascii="宋体" w:hAnsi="宋体" w:cs="宋体"/>
          <w:b/>
          <w:color w:val="auto"/>
          <w:kern w:val="21"/>
          <w:sz w:val="30"/>
          <w:szCs w:val="30"/>
          <w:highlight w:val="none"/>
        </w:rPr>
      </w:pPr>
    </w:p>
    <w:p w14:paraId="7C1EA928">
      <w:pPr>
        <w:snapToGrid w:val="0"/>
        <w:spacing w:line="360" w:lineRule="auto"/>
        <w:ind w:firstLine="602" w:firstLineChars="200"/>
        <w:rPr>
          <w:rFonts w:ascii="宋体" w:hAnsi="宋体" w:cs="宋体"/>
          <w:b/>
          <w:color w:val="auto"/>
          <w:kern w:val="21"/>
          <w:sz w:val="30"/>
          <w:szCs w:val="30"/>
          <w:highlight w:val="none"/>
        </w:rPr>
      </w:pPr>
    </w:p>
    <w:p w14:paraId="54803637">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343A799">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6B1B79BC">
      <w:pPr>
        <w:adjustRightInd w:val="0"/>
        <w:snapToGrid w:val="0"/>
        <w:spacing w:line="520" w:lineRule="exact"/>
        <w:jc w:val="center"/>
        <w:rPr>
          <w:rFonts w:ascii="宋体" w:hAnsi="宋体" w:cs="宋体"/>
          <w:bCs/>
          <w:color w:val="auto"/>
          <w:kern w:val="21"/>
          <w:sz w:val="44"/>
          <w:szCs w:val="44"/>
          <w:highlight w:val="none"/>
        </w:rPr>
      </w:pPr>
    </w:p>
    <w:p w14:paraId="3A7ED537">
      <w:pPr>
        <w:adjustRightInd w:val="0"/>
        <w:snapToGrid w:val="0"/>
        <w:spacing w:line="520" w:lineRule="exact"/>
        <w:jc w:val="center"/>
        <w:rPr>
          <w:rFonts w:ascii="宋体" w:hAnsi="宋体" w:cs="宋体"/>
          <w:bCs/>
          <w:color w:val="auto"/>
          <w:kern w:val="21"/>
          <w:sz w:val="44"/>
          <w:szCs w:val="44"/>
          <w:highlight w:val="none"/>
        </w:rPr>
      </w:pPr>
    </w:p>
    <w:p w14:paraId="0EC41B50">
      <w:pPr>
        <w:adjustRightInd w:val="0"/>
        <w:snapToGrid w:val="0"/>
        <w:spacing w:line="520" w:lineRule="exact"/>
        <w:jc w:val="center"/>
        <w:rPr>
          <w:rFonts w:ascii="宋体" w:hAnsi="宋体" w:cs="宋体"/>
          <w:bCs/>
          <w:color w:val="auto"/>
          <w:kern w:val="21"/>
          <w:sz w:val="44"/>
          <w:szCs w:val="44"/>
          <w:highlight w:val="none"/>
        </w:rPr>
      </w:pPr>
    </w:p>
    <w:p w14:paraId="1801E555">
      <w:pPr>
        <w:adjustRightInd w:val="0"/>
        <w:snapToGrid w:val="0"/>
        <w:spacing w:line="520" w:lineRule="exact"/>
        <w:jc w:val="center"/>
        <w:rPr>
          <w:rFonts w:ascii="宋体" w:hAnsi="宋体" w:cs="宋体"/>
          <w:bCs/>
          <w:color w:val="auto"/>
          <w:kern w:val="21"/>
          <w:sz w:val="44"/>
          <w:szCs w:val="44"/>
          <w:highlight w:val="none"/>
        </w:rPr>
      </w:pPr>
    </w:p>
    <w:p w14:paraId="500D9A39">
      <w:pPr>
        <w:pStyle w:val="15"/>
        <w:rPr>
          <w:rFonts w:ascii="宋体" w:hAnsi="宋体" w:cs="宋体"/>
          <w:bCs/>
          <w:color w:val="auto"/>
          <w:kern w:val="21"/>
          <w:sz w:val="44"/>
          <w:szCs w:val="44"/>
          <w:highlight w:val="none"/>
        </w:rPr>
      </w:pPr>
    </w:p>
    <w:p w14:paraId="53FB9B7A">
      <w:pPr>
        <w:rPr>
          <w:color w:val="auto"/>
          <w:highlight w:val="none"/>
        </w:rPr>
      </w:pPr>
    </w:p>
    <w:p w14:paraId="4A8C2A11">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九、技术服务方案</w:t>
      </w:r>
    </w:p>
    <w:p w14:paraId="09AF56C0">
      <w:pPr>
        <w:autoSpaceDE w:val="0"/>
        <w:autoSpaceDN w:val="0"/>
        <w:spacing w:line="360" w:lineRule="auto"/>
        <w:jc w:val="center"/>
        <w:rPr>
          <w:rFonts w:ascii="宋体" w:hAnsi="宋体" w:cs="宋体"/>
          <w:color w:val="auto"/>
          <w:kern w:val="21"/>
          <w:sz w:val="24"/>
          <w:highlight w:val="none"/>
        </w:rPr>
      </w:pPr>
      <w:r>
        <w:rPr>
          <w:rFonts w:hint="eastAsia" w:ascii="宋体" w:hAnsi="宋体" w:cs="宋体"/>
          <w:color w:val="auto"/>
          <w:kern w:val="21"/>
          <w:sz w:val="24"/>
          <w:highlight w:val="none"/>
        </w:rPr>
        <w:t>（由供应商根据采购需求及采购文件要求编制）</w:t>
      </w:r>
    </w:p>
    <w:p w14:paraId="1475EA64">
      <w:pPr>
        <w:spacing w:line="500" w:lineRule="exact"/>
        <w:rPr>
          <w:rFonts w:ascii="宋体" w:hAnsi="宋体" w:cs="宋体"/>
          <w:color w:val="auto"/>
          <w:kern w:val="21"/>
          <w:sz w:val="32"/>
          <w:szCs w:val="32"/>
          <w:highlight w:val="none"/>
        </w:rPr>
      </w:pPr>
    </w:p>
    <w:p w14:paraId="76CE55F8">
      <w:pPr>
        <w:spacing w:line="500" w:lineRule="exact"/>
        <w:rPr>
          <w:rFonts w:ascii="宋体" w:hAnsi="宋体" w:cs="宋体"/>
          <w:color w:val="auto"/>
          <w:kern w:val="21"/>
          <w:sz w:val="32"/>
          <w:szCs w:val="32"/>
          <w:highlight w:val="none"/>
        </w:rPr>
      </w:pPr>
    </w:p>
    <w:p w14:paraId="56EB610A">
      <w:pPr>
        <w:spacing w:line="500" w:lineRule="exact"/>
        <w:rPr>
          <w:rFonts w:ascii="宋体" w:hAnsi="宋体" w:cs="宋体"/>
          <w:color w:val="auto"/>
          <w:kern w:val="21"/>
          <w:sz w:val="32"/>
          <w:szCs w:val="32"/>
          <w:highlight w:val="none"/>
        </w:rPr>
      </w:pPr>
    </w:p>
    <w:p w14:paraId="4D916260">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30F32F1">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CEC842B">
      <w:pPr>
        <w:spacing w:line="500" w:lineRule="exact"/>
        <w:rPr>
          <w:rFonts w:ascii="宋体" w:hAnsi="宋体" w:cs="宋体"/>
          <w:color w:val="auto"/>
          <w:kern w:val="21"/>
          <w:sz w:val="32"/>
          <w:szCs w:val="32"/>
          <w:highlight w:val="none"/>
        </w:rPr>
      </w:pPr>
    </w:p>
    <w:p w14:paraId="76A02978">
      <w:pPr>
        <w:snapToGrid w:val="0"/>
        <w:spacing w:before="120" w:beforeLines="50" w:after="50"/>
        <w:ind w:left="143" w:leftChars="68" w:firstLine="596" w:firstLineChars="198"/>
        <w:rPr>
          <w:rFonts w:ascii="宋体" w:hAnsi="宋体" w:cs="宋体"/>
          <w:b/>
          <w:color w:val="auto"/>
          <w:kern w:val="21"/>
          <w:sz w:val="30"/>
          <w:szCs w:val="30"/>
          <w:highlight w:val="none"/>
        </w:rPr>
      </w:pPr>
    </w:p>
    <w:p w14:paraId="4E455DA7">
      <w:pPr>
        <w:snapToGrid w:val="0"/>
        <w:spacing w:before="120" w:beforeLines="50" w:after="50"/>
        <w:ind w:left="143" w:leftChars="68" w:firstLine="596" w:firstLineChars="198"/>
        <w:rPr>
          <w:rFonts w:ascii="宋体" w:hAnsi="宋体" w:cs="宋体"/>
          <w:b/>
          <w:color w:val="auto"/>
          <w:kern w:val="21"/>
          <w:sz w:val="30"/>
          <w:szCs w:val="30"/>
          <w:highlight w:val="none"/>
        </w:rPr>
      </w:pPr>
    </w:p>
    <w:p w14:paraId="40C02C44">
      <w:pPr>
        <w:snapToGrid w:val="0"/>
        <w:spacing w:before="120" w:beforeLines="50" w:after="50"/>
        <w:ind w:left="143" w:leftChars="68"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十、售后服务方案</w:t>
      </w:r>
    </w:p>
    <w:p w14:paraId="697396E1">
      <w:pPr>
        <w:snapToGrid w:val="0"/>
        <w:spacing w:before="120" w:beforeLines="50" w:after="50"/>
        <w:ind w:left="143" w:leftChars="68" w:firstLine="420" w:firstLineChars="200"/>
        <w:jc w:val="center"/>
        <w:rPr>
          <w:rFonts w:ascii="宋体" w:hAnsi="宋体" w:cs="宋体"/>
          <w:color w:val="auto"/>
          <w:kern w:val="21"/>
          <w:highlight w:val="none"/>
        </w:rPr>
      </w:pPr>
      <w:r>
        <w:rPr>
          <w:rFonts w:hint="eastAsia" w:ascii="宋体" w:hAnsi="宋体" w:cs="宋体"/>
          <w:color w:val="auto"/>
          <w:kern w:val="21"/>
          <w:highlight w:val="none"/>
        </w:rPr>
        <w:t>（由竞标人按本项目竞争性磋商采购文件第二章“服务需求一览表”中商务条款部分的售后服务要求自行编制，其中要包含售后服务承诺书。）</w:t>
      </w:r>
    </w:p>
    <w:p w14:paraId="3E799545">
      <w:pPr>
        <w:pStyle w:val="18"/>
        <w:spacing w:line="440" w:lineRule="exact"/>
        <w:ind w:firstLine="396" w:firstLineChars="198"/>
        <w:rPr>
          <w:rFonts w:hAnsi="宋体" w:cs="宋体"/>
          <w:color w:val="auto"/>
          <w:kern w:val="21"/>
          <w:highlight w:val="none"/>
        </w:rPr>
      </w:pPr>
    </w:p>
    <w:p w14:paraId="4342726C">
      <w:pPr>
        <w:keepNext/>
        <w:keepLines/>
        <w:adjustRightInd w:val="0"/>
        <w:snapToGrid w:val="0"/>
        <w:rPr>
          <w:rFonts w:ascii="宋体" w:hAnsi="宋体" w:cs="宋体"/>
          <w:color w:val="auto"/>
          <w:kern w:val="21"/>
          <w:highlight w:val="none"/>
        </w:rPr>
      </w:pPr>
    </w:p>
    <w:p w14:paraId="722A0CD8">
      <w:pPr>
        <w:spacing w:line="500" w:lineRule="exact"/>
        <w:rPr>
          <w:rFonts w:ascii="宋体" w:hAnsi="宋体" w:cs="宋体"/>
          <w:color w:val="auto"/>
          <w:kern w:val="21"/>
          <w:sz w:val="32"/>
          <w:szCs w:val="32"/>
          <w:highlight w:val="none"/>
        </w:rPr>
      </w:pPr>
    </w:p>
    <w:p w14:paraId="4441197C">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824BB3B">
      <w:pPr>
        <w:snapToGrid w:val="0"/>
        <w:spacing w:line="360" w:lineRule="auto"/>
        <w:ind w:firstLine="6120" w:firstLineChars="25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3A705928">
      <w:pPr>
        <w:snapToGrid w:val="0"/>
        <w:spacing w:line="360" w:lineRule="auto"/>
        <w:ind w:firstLine="602" w:firstLineChars="200"/>
        <w:rPr>
          <w:rFonts w:ascii="宋体" w:hAnsi="宋体" w:cs="宋体"/>
          <w:b/>
          <w:color w:val="auto"/>
          <w:kern w:val="21"/>
          <w:sz w:val="30"/>
          <w:szCs w:val="30"/>
          <w:highlight w:val="none"/>
        </w:rPr>
      </w:pPr>
    </w:p>
    <w:p w14:paraId="4B7BA2FC">
      <w:pPr>
        <w:snapToGrid w:val="0"/>
        <w:spacing w:line="360" w:lineRule="auto"/>
        <w:ind w:firstLine="602" w:firstLineChars="200"/>
        <w:rPr>
          <w:rFonts w:ascii="宋体" w:hAnsi="宋体" w:cs="宋体"/>
          <w:b/>
          <w:color w:val="auto"/>
          <w:kern w:val="21"/>
          <w:sz w:val="30"/>
          <w:szCs w:val="30"/>
          <w:highlight w:val="none"/>
        </w:rPr>
      </w:pPr>
    </w:p>
    <w:p w14:paraId="371C515C">
      <w:pPr>
        <w:snapToGrid w:val="0"/>
        <w:spacing w:line="360" w:lineRule="auto"/>
        <w:ind w:firstLine="602" w:firstLineChars="200"/>
        <w:rPr>
          <w:rFonts w:ascii="宋体" w:hAnsi="宋体" w:cs="宋体"/>
          <w:b/>
          <w:color w:val="auto"/>
          <w:kern w:val="21"/>
          <w:sz w:val="30"/>
          <w:szCs w:val="30"/>
          <w:highlight w:val="none"/>
        </w:rPr>
      </w:pPr>
    </w:p>
    <w:p w14:paraId="04E5EE8F">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十一、项目实施人员一览表</w:t>
      </w:r>
    </w:p>
    <w:p w14:paraId="28FEBFE5">
      <w:pPr>
        <w:spacing w:line="360" w:lineRule="auto"/>
        <w:jc w:val="center"/>
        <w:rPr>
          <w:rFonts w:ascii="宋体" w:hAnsi="宋体" w:cs="宋体"/>
          <w:b/>
          <w:bCs/>
          <w:color w:val="auto"/>
          <w:kern w:val="21"/>
          <w:sz w:val="24"/>
          <w:highlight w:val="none"/>
        </w:rPr>
      </w:pPr>
      <w:r>
        <w:rPr>
          <w:rFonts w:hint="eastAsia" w:ascii="宋体" w:hAnsi="宋体" w:cs="宋体"/>
          <w:color w:val="auto"/>
          <w:kern w:val="21"/>
          <w:sz w:val="24"/>
          <w:highlight w:val="none"/>
        </w:rPr>
        <w:t>（由供应商根据采购需求及采购文件要求自行编制）</w:t>
      </w:r>
    </w:p>
    <w:p w14:paraId="66FC3B37">
      <w:pPr>
        <w:snapToGrid w:val="0"/>
        <w:spacing w:line="360" w:lineRule="auto"/>
        <w:ind w:firstLine="602" w:firstLineChars="200"/>
        <w:rPr>
          <w:rFonts w:ascii="宋体" w:hAnsi="宋体" w:cs="宋体"/>
          <w:b/>
          <w:color w:val="auto"/>
          <w:kern w:val="21"/>
          <w:sz w:val="30"/>
          <w:szCs w:val="30"/>
          <w:highlight w:val="none"/>
        </w:rPr>
      </w:pPr>
    </w:p>
    <w:p w14:paraId="57C072C3">
      <w:pPr>
        <w:snapToGrid w:val="0"/>
        <w:spacing w:line="360" w:lineRule="auto"/>
        <w:ind w:firstLine="602" w:firstLineChars="200"/>
        <w:rPr>
          <w:rFonts w:ascii="宋体" w:hAnsi="宋体" w:cs="宋体"/>
          <w:b/>
          <w:color w:val="auto"/>
          <w:kern w:val="21"/>
          <w:sz w:val="30"/>
          <w:szCs w:val="30"/>
          <w:highlight w:val="none"/>
        </w:rPr>
      </w:pPr>
    </w:p>
    <w:p w14:paraId="0AD48C0E">
      <w:pPr>
        <w:autoSpaceDE w:val="0"/>
        <w:autoSpaceDN w:val="0"/>
        <w:spacing w:line="360" w:lineRule="auto"/>
        <w:ind w:firstLine="6505" w:firstLineChars="2700"/>
        <w:rPr>
          <w:rFonts w:ascii="宋体" w:hAnsi="宋体" w:cs="宋体"/>
          <w:b/>
          <w:bCs/>
          <w:color w:val="auto"/>
          <w:kern w:val="21"/>
          <w:sz w:val="24"/>
          <w:highlight w:val="none"/>
        </w:rPr>
      </w:pPr>
    </w:p>
    <w:p w14:paraId="07255549">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2445BBE">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445183E7">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十二、服务需求、商务条款要求提供的其他材料</w:t>
      </w:r>
    </w:p>
    <w:p w14:paraId="50152810">
      <w:pPr>
        <w:autoSpaceDE w:val="0"/>
        <w:autoSpaceDN w:val="0"/>
        <w:spacing w:line="360" w:lineRule="auto"/>
        <w:ind w:left="4335" w:leftChars="1950" w:hanging="240" w:hangingChars="100"/>
        <w:rPr>
          <w:rFonts w:ascii="宋体" w:hAnsi="宋体" w:cs="宋体"/>
          <w:color w:val="auto"/>
          <w:kern w:val="21"/>
          <w:sz w:val="24"/>
          <w:highlight w:val="none"/>
        </w:rPr>
      </w:pPr>
    </w:p>
    <w:p w14:paraId="576EA6E6">
      <w:pPr>
        <w:autoSpaceDE w:val="0"/>
        <w:autoSpaceDN w:val="0"/>
        <w:spacing w:line="360" w:lineRule="auto"/>
        <w:ind w:left="4335" w:leftChars="1950" w:hanging="240" w:hangingChars="100"/>
        <w:rPr>
          <w:rFonts w:ascii="宋体" w:hAnsi="宋体" w:cs="宋体"/>
          <w:color w:val="auto"/>
          <w:kern w:val="21"/>
          <w:sz w:val="24"/>
          <w:highlight w:val="none"/>
        </w:rPr>
      </w:pPr>
    </w:p>
    <w:p w14:paraId="4DA8599A">
      <w:pPr>
        <w:autoSpaceDE w:val="0"/>
        <w:autoSpaceDN w:val="0"/>
        <w:spacing w:line="360" w:lineRule="auto"/>
        <w:ind w:left="4335" w:leftChars="1950" w:hanging="240" w:hangingChars="100"/>
        <w:rPr>
          <w:rFonts w:ascii="宋体" w:hAnsi="宋体" w:cs="宋体"/>
          <w:color w:val="auto"/>
          <w:kern w:val="21"/>
          <w:sz w:val="24"/>
          <w:highlight w:val="none"/>
        </w:rPr>
      </w:pPr>
    </w:p>
    <w:p w14:paraId="6B2AC6E0">
      <w:pPr>
        <w:autoSpaceDE w:val="0"/>
        <w:autoSpaceDN w:val="0"/>
        <w:spacing w:line="360" w:lineRule="auto"/>
        <w:ind w:left="4335" w:leftChars="1950" w:hanging="240" w:hangingChars="100"/>
        <w:rPr>
          <w:rFonts w:ascii="宋体" w:hAnsi="宋体" w:cs="宋体"/>
          <w:color w:val="auto"/>
          <w:kern w:val="21"/>
          <w:sz w:val="24"/>
          <w:highlight w:val="none"/>
        </w:rPr>
      </w:pPr>
    </w:p>
    <w:p w14:paraId="3A17D496">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20651C5">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0C2F8473">
      <w:pPr>
        <w:autoSpaceDE w:val="0"/>
        <w:autoSpaceDN w:val="0"/>
        <w:spacing w:line="360" w:lineRule="auto"/>
        <w:ind w:firstLine="6505" w:firstLineChars="2700"/>
        <w:rPr>
          <w:rFonts w:ascii="宋体" w:hAnsi="宋体" w:cs="宋体"/>
          <w:b/>
          <w:bCs/>
          <w:color w:val="auto"/>
          <w:kern w:val="21"/>
          <w:sz w:val="24"/>
          <w:highlight w:val="none"/>
        </w:rPr>
        <w:sectPr>
          <w:pgSz w:w="11911" w:h="16838"/>
          <w:pgMar w:top="1440" w:right="1440" w:bottom="1440" w:left="1440" w:header="720" w:footer="720" w:gutter="0"/>
          <w:cols w:space="720" w:num="1"/>
        </w:sectPr>
      </w:pPr>
    </w:p>
    <w:p w14:paraId="00D40B80">
      <w:pPr>
        <w:autoSpaceDE w:val="0"/>
        <w:autoSpaceDN w:val="0"/>
        <w:spacing w:line="360" w:lineRule="auto"/>
        <w:ind w:firstLine="6505" w:firstLineChars="2700"/>
        <w:rPr>
          <w:rFonts w:ascii="宋体" w:hAnsi="宋体" w:cs="宋体"/>
          <w:b/>
          <w:bCs/>
          <w:color w:val="auto"/>
          <w:kern w:val="21"/>
          <w:sz w:val="24"/>
          <w:highlight w:val="none"/>
        </w:rPr>
      </w:pPr>
    </w:p>
    <w:p w14:paraId="14F51BE0">
      <w:pPr>
        <w:pStyle w:val="3"/>
        <w:jc w:val="center"/>
        <w:rPr>
          <w:rFonts w:ascii="宋体" w:hAnsi="宋体" w:cs="宋体"/>
          <w:color w:val="auto"/>
          <w:kern w:val="21"/>
          <w:highlight w:val="none"/>
        </w:rPr>
      </w:pPr>
      <w:bookmarkStart w:id="88" w:name="_Toc5028"/>
      <w:bookmarkStart w:id="89" w:name="_Toc80205941"/>
      <w:bookmarkStart w:id="90" w:name="_Toc21090"/>
      <w:r>
        <w:rPr>
          <w:rFonts w:hint="eastAsia" w:ascii="宋体" w:hAnsi="宋体" w:cs="宋体"/>
          <w:color w:val="auto"/>
          <w:kern w:val="21"/>
          <w:highlight w:val="none"/>
        </w:rPr>
        <w:t>第四节 报价文件格式</w:t>
      </w:r>
      <w:bookmarkEnd w:id="88"/>
      <w:bookmarkEnd w:id="89"/>
      <w:bookmarkEnd w:id="90"/>
    </w:p>
    <w:p w14:paraId="468F517A">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34091D19">
      <w:pPr>
        <w:snapToGrid w:val="0"/>
        <w:spacing w:before="120" w:beforeLines="50" w:after="50"/>
        <w:rPr>
          <w:rFonts w:ascii="宋体" w:hAnsi="宋体" w:cs="宋体"/>
          <w:color w:val="auto"/>
          <w:kern w:val="21"/>
          <w:sz w:val="24"/>
          <w:szCs w:val="20"/>
          <w:highlight w:val="none"/>
        </w:rPr>
      </w:pPr>
    </w:p>
    <w:p w14:paraId="0D7FDC02">
      <w:pPr>
        <w:snapToGrid w:val="0"/>
        <w:spacing w:before="120" w:beforeLines="50" w:after="50"/>
        <w:rPr>
          <w:rFonts w:ascii="宋体" w:hAnsi="宋体" w:cs="宋体"/>
          <w:color w:val="auto"/>
          <w:kern w:val="21"/>
          <w:sz w:val="24"/>
          <w:szCs w:val="20"/>
          <w:highlight w:val="none"/>
        </w:rPr>
      </w:pPr>
    </w:p>
    <w:p w14:paraId="40BB07F7">
      <w:pPr>
        <w:snapToGrid w:val="0"/>
        <w:spacing w:before="120" w:beforeLines="50" w:after="50"/>
        <w:rPr>
          <w:rFonts w:ascii="宋体" w:hAnsi="宋体" w:cs="宋体"/>
          <w:color w:val="auto"/>
          <w:kern w:val="21"/>
          <w:sz w:val="24"/>
          <w:szCs w:val="20"/>
          <w:highlight w:val="none"/>
        </w:rPr>
      </w:pPr>
    </w:p>
    <w:p w14:paraId="0F0A1515">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报  价  文  件（封面）</w:t>
      </w:r>
    </w:p>
    <w:p w14:paraId="7772A0AD">
      <w:pPr>
        <w:snapToGrid w:val="0"/>
        <w:spacing w:before="120" w:beforeLines="50" w:after="50"/>
        <w:rPr>
          <w:rFonts w:ascii="宋体" w:hAnsi="宋体" w:cs="宋体"/>
          <w:bCs/>
          <w:color w:val="auto"/>
          <w:kern w:val="21"/>
          <w:sz w:val="24"/>
          <w:szCs w:val="20"/>
          <w:highlight w:val="none"/>
        </w:rPr>
      </w:pPr>
    </w:p>
    <w:p w14:paraId="7A0636E3">
      <w:pPr>
        <w:snapToGrid w:val="0"/>
        <w:spacing w:before="120" w:beforeLines="50" w:after="50"/>
        <w:rPr>
          <w:rFonts w:ascii="宋体" w:hAnsi="宋体" w:cs="宋体"/>
          <w:bCs/>
          <w:color w:val="auto"/>
          <w:kern w:val="21"/>
          <w:sz w:val="24"/>
          <w:szCs w:val="20"/>
          <w:highlight w:val="none"/>
        </w:rPr>
      </w:pPr>
    </w:p>
    <w:p w14:paraId="2A315553">
      <w:pPr>
        <w:snapToGrid w:val="0"/>
        <w:spacing w:before="120" w:beforeLines="50" w:after="50"/>
        <w:rPr>
          <w:rFonts w:ascii="宋体" w:hAnsi="宋体" w:cs="宋体"/>
          <w:bCs/>
          <w:color w:val="auto"/>
          <w:kern w:val="21"/>
          <w:sz w:val="24"/>
          <w:szCs w:val="20"/>
          <w:highlight w:val="none"/>
        </w:rPr>
      </w:pPr>
    </w:p>
    <w:p w14:paraId="5D1D9F2F">
      <w:pPr>
        <w:snapToGrid w:val="0"/>
        <w:spacing w:before="120" w:beforeLines="50" w:after="50"/>
        <w:rPr>
          <w:rFonts w:ascii="宋体" w:hAnsi="宋体" w:cs="宋体"/>
          <w:bCs/>
          <w:color w:val="auto"/>
          <w:kern w:val="21"/>
          <w:sz w:val="24"/>
          <w:szCs w:val="20"/>
          <w:highlight w:val="none"/>
        </w:rPr>
      </w:pPr>
    </w:p>
    <w:p w14:paraId="528A032D">
      <w:pPr>
        <w:snapToGrid w:val="0"/>
        <w:spacing w:before="120" w:beforeLines="50" w:after="50"/>
        <w:rPr>
          <w:rFonts w:ascii="宋体" w:hAnsi="宋体" w:cs="宋体"/>
          <w:bCs/>
          <w:color w:val="auto"/>
          <w:kern w:val="21"/>
          <w:sz w:val="24"/>
          <w:szCs w:val="20"/>
          <w:highlight w:val="none"/>
        </w:rPr>
      </w:pPr>
    </w:p>
    <w:p w14:paraId="3FBD0DD3">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2F398141">
      <w:pPr>
        <w:snapToGrid w:val="0"/>
        <w:spacing w:before="120" w:beforeLines="50" w:after="50"/>
        <w:ind w:firstLine="720" w:firstLineChars="225"/>
        <w:rPr>
          <w:rFonts w:ascii="宋体" w:hAnsi="宋体" w:cs="宋体"/>
          <w:bCs/>
          <w:color w:val="auto"/>
          <w:kern w:val="21"/>
          <w:sz w:val="32"/>
          <w:szCs w:val="32"/>
          <w:highlight w:val="none"/>
        </w:rPr>
      </w:pPr>
    </w:p>
    <w:p w14:paraId="764EC82D">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31D9DB87">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13E2D2DB">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6AABDE90">
      <w:pPr>
        <w:snapToGrid w:val="0"/>
        <w:spacing w:before="120" w:beforeLines="50" w:after="50"/>
        <w:ind w:firstLine="720" w:firstLineChars="225"/>
        <w:rPr>
          <w:rFonts w:ascii="宋体" w:hAnsi="宋体" w:cs="宋体"/>
          <w:bCs/>
          <w:color w:val="auto"/>
          <w:kern w:val="21"/>
          <w:sz w:val="32"/>
          <w:szCs w:val="32"/>
          <w:highlight w:val="none"/>
        </w:rPr>
      </w:pPr>
    </w:p>
    <w:p w14:paraId="1F9FDEF7">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3776D98A">
      <w:pPr>
        <w:pStyle w:val="7"/>
        <w:snapToGrid w:val="0"/>
        <w:spacing w:before="50" w:after="50"/>
        <w:ind w:firstLine="720" w:firstLineChars="225"/>
        <w:rPr>
          <w:rFonts w:ascii="宋体" w:hAnsi="宋体" w:cs="宋体"/>
          <w:bCs/>
          <w:color w:val="auto"/>
          <w:kern w:val="21"/>
          <w:sz w:val="32"/>
          <w:szCs w:val="32"/>
          <w:highlight w:val="none"/>
        </w:rPr>
      </w:pPr>
    </w:p>
    <w:p w14:paraId="41CB6C6A">
      <w:pPr>
        <w:pStyle w:val="7"/>
        <w:snapToGrid w:val="0"/>
        <w:spacing w:before="50" w:after="50"/>
        <w:ind w:firstLine="720" w:firstLineChars="225"/>
        <w:rPr>
          <w:rFonts w:ascii="宋体" w:hAnsi="宋体" w:cs="宋体"/>
          <w:bCs/>
          <w:color w:val="auto"/>
          <w:kern w:val="21"/>
          <w:sz w:val="32"/>
          <w:szCs w:val="32"/>
          <w:highlight w:val="none"/>
        </w:rPr>
      </w:pPr>
    </w:p>
    <w:p w14:paraId="6C167366">
      <w:pPr>
        <w:pStyle w:val="7"/>
        <w:snapToGrid w:val="0"/>
        <w:spacing w:before="50" w:after="50"/>
        <w:ind w:firstLine="1280" w:firstLineChars="400"/>
        <w:rPr>
          <w:rFonts w:ascii="宋体" w:hAnsi="宋体" w:cs="宋体"/>
          <w:bCs/>
          <w:color w:val="auto"/>
          <w:kern w:val="21"/>
          <w:sz w:val="32"/>
          <w:szCs w:val="32"/>
          <w:highlight w:val="none"/>
        </w:rPr>
      </w:pPr>
    </w:p>
    <w:p w14:paraId="2BF242E1">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28D733FE">
      <w:pPr>
        <w:snapToGrid w:val="0"/>
        <w:spacing w:before="120" w:beforeLines="50" w:after="50" w:line="400" w:lineRule="exact"/>
        <w:jc w:val="center"/>
        <w:rPr>
          <w:rFonts w:ascii="宋体" w:hAnsi="宋体" w:cs="宋体"/>
          <w:b/>
          <w:bCs/>
          <w:color w:val="auto"/>
          <w:kern w:val="21"/>
          <w:sz w:val="32"/>
          <w:szCs w:val="32"/>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报价文件目录</w:t>
      </w:r>
    </w:p>
    <w:p w14:paraId="51EE757E">
      <w:pPr>
        <w:rPr>
          <w:rFonts w:ascii="宋体" w:hAnsi="宋体" w:cs="宋体"/>
          <w:color w:val="auto"/>
          <w:kern w:val="21"/>
          <w:highlight w:val="none"/>
        </w:rPr>
      </w:pPr>
    </w:p>
    <w:p w14:paraId="5C7A0F12">
      <w:pPr>
        <w:rPr>
          <w:rFonts w:ascii="宋体" w:hAnsi="宋体" w:cs="宋体"/>
          <w:color w:val="auto"/>
          <w:kern w:val="21"/>
          <w:sz w:val="24"/>
          <w:highlight w:val="none"/>
        </w:rPr>
      </w:pPr>
      <w:r>
        <w:rPr>
          <w:rFonts w:hint="eastAsia" w:ascii="宋体" w:hAnsi="宋体" w:cs="宋体"/>
          <w:color w:val="auto"/>
          <w:kern w:val="21"/>
          <w:sz w:val="24"/>
          <w:highlight w:val="none"/>
        </w:rPr>
        <w:t>一、响应函………………………………………………………（页码）</w:t>
      </w:r>
    </w:p>
    <w:p w14:paraId="3529B9D2">
      <w:pPr>
        <w:rPr>
          <w:rFonts w:ascii="宋体" w:hAnsi="宋体" w:cs="宋体"/>
          <w:color w:val="auto"/>
          <w:kern w:val="21"/>
          <w:sz w:val="24"/>
          <w:highlight w:val="none"/>
        </w:rPr>
      </w:pPr>
      <w:r>
        <w:rPr>
          <w:rFonts w:hint="eastAsia" w:ascii="宋体" w:hAnsi="宋体" w:cs="宋体"/>
          <w:color w:val="auto"/>
          <w:kern w:val="21"/>
          <w:sz w:val="24"/>
          <w:highlight w:val="none"/>
        </w:rPr>
        <w:t>二、响应报价表…………………………………………………（页码）</w:t>
      </w:r>
    </w:p>
    <w:p w14:paraId="1D6CF8E7">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三、中小企业声明函……………………………………………（页码）</w:t>
      </w:r>
    </w:p>
    <w:p w14:paraId="2C76579E">
      <w:pPr>
        <w:snapToGrid w:val="0"/>
        <w:spacing w:before="120" w:beforeLines="50" w:after="50" w:line="360" w:lineRule="auto"/>
        <w:ind w:left="142" w:firstLine="640" w:firstLineChars="200"/>
        <w:jc w:val="left"/>
        <w:rPr>
          <w:rFonts w:ascii="宋体" w:hAnsi="宋体" w:cs="宋体"/>
          <w:color w:val="auto"/>
          <w:kern w:val="21"/>
          <w:sz w:val="32"/>
          <w:szCs w:val="32"/>
          <w:highlight w:val="none"/>
        </w:rPr>
      </w:pPr>
    </w:p>
    <w:p w14:paraId="1DC6EA1D">
      <w:pPr>
        <w:snapToGrid w:val="0"/>
        <w:spacing w:before="120" w:beforeLines="50" w:after="50" w:line="360" w:lineRule="auto"/>
        <w:ind w:left="142"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一、响应函</w:t>
      </w:r>
      <w:r>
        <w:rPr>
          <w:rFonts w:hint="eastAsia" w:ascii="宋体" w:hAnsi="宋体" w:cs="宋体"/>
          <w:b/>
          <w:bCs/>
          <w:color w:val="auto"/>
          <w:kern w:val="21"/>
          <w:sz w:val="32"/>
          <w:szCs w:val="32"/>
          <w:highlight w:val="none"/>
        </w:rPr>
        <w:tab/>
      </w:r>
      <w:r>
        <w:rPr>
          <w:rFonts w:hint="eastAsia" w:ascii="宋体" w:hAnsi="宋体" w:cs="宋体"/>
          <w:b/>
          <w:bCs/>
          <w:color w:val="auto"/>
          <w:kern w:val="21"/>
          <w:sz w:val="32"/>
          <w:szCs w:val="32"/>
          <w:highlight w:val="none"/>
        </w:rPr>
        <w:t xml:space="preserve"> </w:t>
      </w:r>
    </w:p>
    <w:p w14:paraId="1C1B1AFE">
      <w:pPr>
        <w:pStyle w:val="18"/>
        <w:spacing w:line="500" w:lineRule="exact"/>
        <w:jc w:val="center"/>
        <w:rPr>
          <w:rFonts w:hAnsi="宋体" w:cs="宋体"/>
          <w:b/>
          <w:bCs/>
          <w:color w:val="auto"/>
          <w:kern w:val="21"/>
          <w:sz w:val="30"/>
          <w:szCs w:val="30"/>
          <w:highlight w:val="none"/>
        </w:rPr>
      </w:pPr>
      <w:r>
        <w:rPr>
          <w:rFonts w:hint="eastAsia" w:hAnsi="宋体" w:cs="宋体"/>
          <w:b/>
          <w:bCs/>
          <w:color w:val="auto"/>
          <w:kern w:val="21"/>
          <w:sz w:val="30"/>
          <w:szCs w:val="30"/>
          <w:highlight w:val="none"/>
        </w:rPr>
        <w:t>响应函</w:t>
      </w:r>
    </w:p>
    <w:p w14:paraId="408D4419">
      <w:pPr>
        <w:pStyle w:val="18"/>
        <w:spacing w:line="500" w:lineRule="exact"/>
        <w:rPr>
          <w:rFonts w:hAnsi="宋体" w:cs="宋体"/>
          <w:color w:val="auto"/>
          <w:kern w:val="21"/>
          <w:sz w:val="32"/>
          <w:highlight w:val="none"/>
        </w:rPr>
      </w:pPr>
    </w:p>
    <w:p w14:paraId="2B03CC09">
      <w:pPr>
        <w:pStyle w:val="18"/>
        <w:spacing w:line="360" w:lineRule="auto"/>
        <w:rPr>
          <w:rFonts w:hAnsi="宋体" w:cs="宋体"/>
          <w:color w:val="auto"/>
          <w:kern w:val="21"/>
          <w:sz w:val="24"/>
          <w:szCs w:val="24"/>
          <w:highlight w:val="none"/>
        </w:rPr>
      </w:pPr>
      <w:r>
        <w:rPr>
          <w:rFonts w:hint="eastAsia" w:hAnsi="宋体" w:cs="宋体"/>
          <w:color w:val="auto"/>
          <w:kern w:val="21"/>
          <w:sz w:val="24"/>
          <w:szCs w:val="24"/>
          <w:highlight w:val="none"/>
        </w:rPr>
        <w:t>致：</w:t>
      </w:r>
      <w:r>
        <w:rPr>
          <w:rFonts w:hint="eastAsia" w:hAnsi="宋体" w:cs="宋体"/>
          <w:color w:val="auto"/>
          <w:kern w:val="21"/>
          <w:sz w:val="24"/>
          <w:szCs w:val="24"/>
          <w:highlight w:val="none"/>
          <w:u w:val="single"/>
        </w:rPr>
        <w:t>广西壮族自治区通信产业服务有限公司</w:t>
      </w:r>
    </w:p>
    <w:p w14:paraId="1CB7C05D">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我方已仔细阅读了贵方组织的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项目（项目编号：</w:t>
      </w:r>
      <w:r>
        <w:rPr>
          <w:rFonts w:hint="eastAsia" w:hAnsi="宋体" w:cs="宋体"/>
          <w:color w:val="auto"/>
          <w:kern w:val="21"/>
          <w:sz w:val="24"/>
          <w:szCs w:val="24"/>
          <w:highlight w:val="none"/>
          <w:u w:val="single"/>
        </w:rPr>
        <w:t>　　　　　　　　　</w:t>
      </w:r>
      <w:r>
        <w:rPr>
          <w:rFonts w:hint="eastAsia" w:hAnsi="宋体" w:cs="宋体"/>
          <w:color w:val="auto"/>
          <w:kern w:val="21"/>
          <w:sz w:val="24"/>
          <w:szCs w:val="24"/>
          <w:highlight w:val="none"/>
        </w:rPr>
        <w:t xml:space="preserve">）的竞争性磋商采购文件的全部内容，现正式递交下述文件参加贵方组织的本次政府采购活动： </w:t>
      </w:r>
    </w:p>
    <w:p w14:paraId="77B97343">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一、首次报价文件电子版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w:t>
      </w:r>
    </w:p>
    <w:p w14:paraId="7CC68D23">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二、资格证明文件电子版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供应商须知”提交的全部文件）；技术文件电子版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供应商须知”提交的全部文件）；（商务技术文件已合并装订成册）</w:t>
      </w:r>
    </w:p>
    <w:p w14:paraId="712AC14C">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据此函，签字人兹宣布：</w:t>
      </w:r>
    </w:p>
    <w:p w14:paraId="33C240EF">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1、我方愿意以（大写）人民币</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元）的竞标总报价，服务期：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，提供本项目竞争性磋商采购文件第二章“服务需求一览表”中相应的采购内容。</w:t>
      </w:r>
    </w:p>
    <w:p w14:paraId="78E34B86">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399D31DC">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3、我方在此声明，所递交的响应文件及有关资料内容完整、真实和准确。</w:t>
      </w:r>
    </w:p>
    <w:p w14:paraId="57BA0210">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4、如本项目采购内容涉及须符合国家强制规定的，我方承诺我方本次竞标均符合国家有关强制规定。</w:t>
      </w:r>
    </w:p>
    <w:p w14:paraId="26323EB1">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5C77D875">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6、我方已详细审核竞争性磋商文件，我方知道必须放弃提出含糊不清或误解问题的权利。</w:t>
      </w:r>
    </w:p>
    <w:p w14:paraId="33CB8F79">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7、我方承诺满足竞争性磋商文件第六章“合同文本”的条款，承担完成合同的责任和义务。</w:t>
      </w:r>
    </w:p>
    <w:p w14:paraId="60194960">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8、我方同意应贵方要求提供与本竞标有关的任何数据或资料。若贵方需要，我方愿意提供我方</w:t>
      </w:r>
      <w:r>
        <w:rPr>
          <w:rFonts w:hint="eastAsia" w:hAnsi="宋体" w:cs="宋体"/>
          <w:color w:val="auto"/>
          <w:kern w:val="21"/>
          <w:sz w:val="24"/>
          <w:szCs w:val="24"/>
          <w:highlight w:val="none"/>
          <w:lang w:eastAsia="zh-CN"/>
        </w:rPr>
        <w:t>做出</w:t>
      </w:r>
      <w:r>
        <w:rPr>
          <w:rFonts w:hint="eastAsia" w:hAnsi="宋体" w:cs="宋体"/>
          <w:color w:val="auto"/>
          <w:kern w:val="21"/>
          <w:sz w:val="24"/>
          <w:szCs w:val="24"/>
          <w:highlight w:val="none"/>
        </w:rPr>
        <w:t>的一切承诺的证明材料。</w:t>
      </w:r>
    </w:p>
    <w:p w14:paraId="4AC91E93">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9、我方完全理解贵方不一定接受响应报价最低的竞标人为成交供应商的行为。</w:t>
      </w:r>
    </w:p>
    <w:p w14:paraId="12DAA917">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BCCDD4">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（1）提供虚假材料谋取中标、成交的；</w:t>
      </w:r>
    </w:p>
    <w:p w14:paraId="0675B188">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（2）采取不正当手段诋毁、排挤其他供应商的；</w:t>
      </w:r>
    </w:p>
    <w:p w14:paraId="4298BCC7">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（3）与采购人、其他供应商或者采购代理机构恶意串通的；</w:t>
      </w:r>
    </w:p>
    <w:p w14:paraId="1FCDE984">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（4）向采购人、采购代理机构行贿或者提供其他不正当利益的；</w:t>
      </w:r>
    </w:p>
    <w:p w14:paraId="6BC625DE">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（5）在采购过程中与采购人进行协商谈判的；</w:t>
      </w:r>
    </w:p>
    <w:p w14:paraId="60C1721C">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（6）拒绝有关部门监督检查或提供虚假情况的。</w:t>
      </w:r>
    </w:p>
    <w:p w14:paraId="2FA0660A">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11.与本磋商有关的一切正式往来信函请寄：</w:t>
      </w:r>
    </w:p>
    <w:p w14:paraId="28BE8BB4">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地址：</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0E2C32D8">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电话：</w:t>
      </w:r>
      <w:r>
        <w:rPr>
          <w:rFonts w:hint="eastAsia" w:hAnsi="宋体" w:cs="宋体"/>
          <w:color w:val="auto"/>
          <w:kern w:val="21"/>
          <w:sz w:val="24"/>
          <w:szCs w:val="24"/>
          <w:highlight w:val="none"/>
          <w:u w:val="single"/>
        </w:rPr>
        <w:t xml:space="preserve">                                      　　　　　　　　　</w:t>
      </w:r>
    </w:p>
    <w:p w14:paraId="6FBEBB47">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传真：</w:t>
      </w:r>
      <w:r>
        <w:rPr>
          <w:rFonts w:hint="eastAsia" w:hAnsi="宋体" w:cs="宋体"/>
          <w:color w:val="auto"/>
          <w:kern w:val="21"/>
          <w:sz w:val="24"/>
          <w:szCs w:val="24"/>
          <w:highlight w:val="none"/>
          <w:u w:val="single"/>
        </w:rPr>
        <w:t>　　　　　　　　　　　　　　　　　　　　　　　　　　　　</w:t>
      </w:r>
    </w:p>
    <w:p w14:paraId="4DCF2CF3">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邮政编码：</w:t>
      </w:r>
      <w:r>
        <w:rPr>
          <w:rFonts w:hint="eastAsia" w:hAnsi="宋体" w:cs="宋体"/>
          <w:color w:val="auto"/>
          <w:kern w:val="21"/>
          <w:sz w:val="24"/>
          <w:szCs w:val="24"/>
          <w:highlight w:val="none"/>
          <w:u w:val="single"/>
        </w:rPr>
        <w:t xml:space="preserve">                                                    </w:t>
      </w:r>
    </w:p>
    <w:p w14:paraId="7DF22D45">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开户名称：</w:t>
      </w:r>
      <w:r>
        <w:rPr>
          <w:rFonts w:hint="eastAsia" w:hAnsi="宋体" w:cs="宋体"/>
          <w:color w:val="auto"/>
          <w:kern w:val="21"/>
          <w:sz w:val="24"/>
          <w:szCs w:val="24"/>
          <w:highlight w:val="none"/>
          <w:u w:val="single"/>
        </w:rPr>
        <w:t xml:space="preserve">                                                    </w:t>
      </w:r>
    </w:p>
    <w:p w14:paraId="45D89697">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开户银行：</w:t>
      </w:r>
      <w:r>
        <w:rPr>
          <w:rFonts w:hint="eastAsia" w:hAnsi="宋体" w:cs="宋体"/>
          <w:color w:val="auto"/>
          <w:kern w:val="21"/>
          <w:sz w:val="24"/>
          <w:szCs w:val="24"/>
          <w:highlight w:val="none"/>
          <w:u w:val="single"/>
        </w:rPr>
        <w:t xml:space="preserve">                                                    </w:t>
      </w:r>
    </w:p>
    <w:p w14:paraId="6702A1BE">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银行账号：</w:t>
      </w:r>
      <w:r>
        <w:rPr>
          <w:rFonts w:hint="eastAsia" w:hAnsi="宋体" w:cs="宋体"/>
          <w:color w:val="auto"/>
          <w:kern w:val="21"/>
          <w:sz w:val="24"/>
          <w:szCs w:val="24"/>
          <w:highlight w:val="none"/>
          <w:u w:val="single"/>
        </w:rPr>
        <w:t xml:space="preserve">                                                    </w:t>
      </w:r>
    </w:p>
    <w:p w14:paraId="430AEFC8">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5D239627">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7179FBE">
      <w:pPr>
        <w:pStyle w:val="18"/>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2DDC97C0">
      <w:pPr>
        <w:autoSpaceDE w:val="0"/>
        <w:autoSpaceDN w:val="0"/>
        <w:spacing w:line="360" w:lineRule="auto"/>
        <w:ind w:firstLine="6480" w:firstLineChars="2700"/>
        <w:rPr>
          <w:rFonts w:ascii="宋体" w:hAnsi="宋体" w:cs="宋体"/>
          <w:color w:val="auto"/>
          <w:kern w:val="21"/>
          <w:sz w:val="24"/>
          <w:highlight w:val="none"/>
          <w:lang w:val="zh-CN"/>
        </w:rPr>
      </w:pPr>
    </w:p>
    <w:p w14:paraId="5A3BD020">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二、响应报价表</w:t>
      </w:r>
    </w:p>
    <w:p w14:paraId="70BACA44">
      <w:pPr>
        <w:snapToGrid w:val="0"/>
        <w:spacing w:before="50" w:after="50" w:line="360" w:lineRule="auto"/>
        <w:rPr>
          <w:rFonts w:ascii="宋体" w:hAnsi="宋体" w:cs="宋体"/>
          <w:color w:val="auto"/>
          <w:kern w:val="21"/>
          <w:sz w:val="24"/>
          <w:highlight w:val="none"/>
        </w:rPr>
      </w:pPr>
    </w:p>
    <w:p w14:paraId="21E35C64">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p>
    <w:p w14:paraId="1101C336">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65"/>
        <w:gridCol w:w="2076"/>
        <w:gridCol w:w="1125"/>
        <w:gridCol w:w="1436"/>
        <w:gridCol w:w="1564"/>
        <w:gridCol w:w="994"/>
      </w:tblGrid>
      <w:tr w14:paraId="40AA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95ECD08">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080C858E">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24A351B9">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98FE51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E126572">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080065E9">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535F719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728266B3">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5EAA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7F83B220">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2265" w:type="dxa"/>
            <w:tcBorders>
              <w:top w:val="single" w:color="auto" w:sz="4" w:space="0"/>
              <w:left w:val="single" w:color="auto" w:sz="4" w:space="0"/>
              <w:bottom w:val="single" w:color="auto" w:sz="4" w:space="0"/>
              <w:right w:val="single" w:color="auto" w:sz="4" w:space="0"/>
            </w:tcBorders>
            <w:noWrap w:val="0"/>
            <w:vAlign w:val="center"/>
          </w:tcPr>
          <w:p w14:paraId="5D3C5B66">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AI赋能千行百业超级联赛对外宣传服务</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1ACB4A96">
            <w:pPr>
              <w:spacing w:line="360" w:lineRule="auto"/>
              <w:jc w:val="center"/>
              <w:rPr>
                <w:rFonts w:ascii="宋体" w:hAnsi="宋体" w:cs="宋体"/>
                <w:color w:val="auto"/>
                <w:kern w:val="21"/>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D8139AA">
            <w:pPr>
              <w:spacing w:line="360" w:lineRule="auto"/>
              <w:jc w:val="center"/>
              <w:rPr>
                <w:rFonts w:ascii="宋体" w:hAnsi="宋体" w:cs="宋体"/>
                <w:color w:val="auto"/>
                <w:kern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6AD0066">
            <w:pPr>
              <w:spacing w:line="360" w:lineRule="auto"/>
              <w:jc w:val="left"/>
              <w:rPr>
                <w:rFonts w:ascii="宋体" w:hAnsi="宋体" w:cs="宋体"/>
                <w:color w:val="auto"/>
                <w:kern w:val="21"/>
                <w:szCs w:val="21"/>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636AAA42">
            <w:pPr>
              <w:spacing w:line="360" w:lineRule="auto"/>
              <w:jc w:val="left"/>
              <w:rPr>
                <w:rFonts w:ascii="宋体" w:hAnsi="宋体" w:cs="宋体"/>
                <w:color w:val="auto"/>
                <w:kern w:val="21"/>
                <w:szCs w:val="21"/>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4EA98DE8">
            <w:pPr>
              <w:spacing w:line="360" w:lineRule="auto"/>
              <w:jc w:val="center"/>
              <w:rPr>
                <w:rFonts w:ascii="宋体" w:hAnsi="宋体" w:cs="宋体"/>
                <w:color w:val="auto"/>
                <w:kern w:val="21"/>
                <w:szCs w:val="21"/>
                <w:highlight w:val="none"/>
              </w:rPr>
            </w:pPr>
          </w:p>
        </w:tc>
      </w:tr>
      <w:tr w14:paraId="0634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0D451747">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2568F265">
      <w:pPr>
        <w:snapToGrid w:val="0"/>
        <w:spacing w:before="50" w:after="50"/>
        <w:ind w:firstLine="480" w:firstLineChars="200"/>
        <w:jc w:val="left"/>
        <w:rPr>
          <w:rFonts w:ascii="宋体" w:hAnsi="宋体" w:cs="宋体"/>
          <w:color w:val="auto"/>
          <w:kern w:val="21"/>
          <w:sz w:val="24"/>
          <w:highlight w:val="none"/>
          <w:lang w:val="zh-CN"/>
        </w:rPr>
      </w:pPr>
    </w:p>
    <w:p w14:paraId="62DC0103">
      <w:pPr>
        <w:snapToGrid w:val="0"/>
        <w:spacing w:line="360" w:lineRule="auto"/>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77332F8F">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0BE32A52">
      <w:pPr>
        <w:snapToGrid w:val="0"/>
        <w:spacing w:line="360" w:lineRule="auto"/>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00F0DB83">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4997B90E">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szCs w:val="22"/>
          <w:highlight w:val="none"/>
          <w:lang w:val="en-US" w:eastAsia="zh-CN"/>
        </w:rPr>
        <w:t>4</w:t>
      </w:r>
      <w:r>
        <w:rPr>
          <w:rFonts w:hint="eastAsia" w:ascii="宋体" w:hAnsi="宋体" w:cs="宋体"/>
          <w:color w:val="auto"/>
          <w:kern w:val="21"/>
          <w:sz w:val="24"/>
          <w:szCs w:val="22"/>
          <w:highlight w:val="none"/>
          <w:lang w:val="zh-CN"/>
        </w:rPr>
        <w:t>、</w:t>
      </w:r>
      <w:r>
        <w:rPr>
          <w:rFonts w:hint="eastAsia" w:ascii="宋体" w:hAnsi="宋体" w:cs="宋体"/>
          <w:color w:val="auto"/>
          <w:kern w:val="21"/>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DE04595">
      <w:pPr>
        <w:autoSpaceDE w:val="0"/>
        <w:autoSpaceDN w:val="0"/>
        <w:spacing w:line="360" w:lineRule="auto"/>
        <w:ind w:left="4335" w:leftChars="1950" w:hanging="240" w:hangingChars="100"/>
        <w:rPr>
          <w:rFonts w:ascii="宋体" w:hAnsi="宋体" w:cs="宋体"/>
          <w:color w:val="auto"/>
          <w:kern w:val="21"/>
          <w:sz w:val="24"/>
          <w:highlight w:val="none"/>
        </w:rPr>
      </w:pPr>
    </w:p>
    <w:p w14:paraId="670D3700">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25D56C0">
      <w:pPr>
        <w:pStyle w:val="18"/>
        <w:spacing w:line="500" w:lineRule="exact"/>
        <w:ind w:firstLine="6360" w:firstLineChars="2650"/>
        <w:rPr>
          <w:rFonts w:hAnsi="宋体" w:cs="宋体"/>
          <w:color w:val="auto"/>
          <w:kern w:val="21"/>
          <w:sz w:val="24"/>
          <w:highlight w:val="none"/>
          <w:lang w:val="zh-CN"/>
        </w:rPr>
      </w:pPr>
      <w:r>
        <w:rPr>
          <w:rFonts w:hint="eastAsia" w:hAnsi="宋体" w:cs="宋体"/>
          <w:color w:val="auto"/>
          <w:kern w:val="21"/>
          <w:sz w:val="24"/>
          <w:highlight w:val="none"/>
          <w:lang w:val="zh-CN"/>
        </w:rPr>
        <w:t>日期：  年  月   日</w:t>
      </w:r>
    </w:p>
    <w:p w14:paraId="0174D140">
      <w:pPr>
        <w:keepNext/>
        <w:keepLines/>
        <w:adjustRightInd w:val="0"/>
        <w:snapToGrid w:val="0"/>
        <w:rPr>
          <w:rFonts w:ascii="宋体" w:hAnsi="宋体" w:cs="宋体"/>
          <w:b/>
          <w:color w:val="auto"/>
          <w:kern w:val="21"/>
          <w:sz w:val="30"/>
          <w:szCs w:val="30"/>
          <w:highlight w:val="none"/>
        </w:rPr>
      </w:pPr>
      <w:r>
        <w:rPr>
          <w:rFonts w:hint="eastAsia" w:ascii="宋体" w:hAnsi="宋体" w:cs="宋体"/>
          <w:color w:val="auto"/>
          <w:kern w:val="21"/>
          <w:highlight w:val="none"/>
          <w:lang w:val="zh-CN"/>
        </w:rPr>
        <w:br w:type="page"/>
      </w:r>
      <w:r>
        <w:rPr>
          <w:rFonts w:hint="eastAsia" w:ascii="宋体" w:hAnsi="宋体" w:cs="宋体"/>
          <w:b/>
          <w:color w:val="auto"/>
          <w:kern w:val="21"/>
          <w:sz w:val="30"/>
          <w:szCs w:val="30"/>
          <w:highlight w:val="none"/>
        </w:rPr>
        <w:t>三、中小企业声明函</w:t>
      </w:r>
    </w:p>
    <w:p w14:paraId="439D21AC">
      <w:pPr>
        <w:spacing w:line="300" w:lineRule="auto"/>
        <w:rPr>
          <w:rFonts w:ascii="宋体" w:hAnsi="宋体" w:cs="宋体"/>
          <w:color w:val="auto"/>
          <w:kern w:val="21"/>
          <w:sz w:val="44"/>
          <w:szCs w:val="44"/>
          <w:highlight w:val="none"/>
        </w:rPr>
      </w:pPr>
    </w:p>
    <w:p w14:paraId="4808D64A">
      <w:pPr>
        <w:spacing w:line="300" w:lineRule="auto"/>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中小企业声明函（工程、服务）</w:t>
      </w:r>
    </w:p>
    <w:p w14:paraId="13E292D0">
      <w:pPr>
        <w:pStyle w:val="8"/>
        <w:ind w:firstLine="0" w:firstLineChars="0"/>
        <w:rPr>
          <w:rFonts w:ascii="宋体" w:hAnsi="宋体" w:eastAsia="宋体" w:cs="宋体"/>
          <w:color w:val="auto"/>
          <w:kern w:val="21"/>
          <w:sz w:val="21"/>
          <w:szCs w:val="21"/>
          <w:highlight w:val="none"/>
        </w:rPr>
      </w:pPr>
      <w:bookmarkStart w:id="91" w:name="_Toc31723070"/>
      <w:bookmarkStart w:id="92" w:name="_Toc35611438"/>
      <w:bookmarkStart w:id="93" w:name="_Toc35611516"/>
      <w:bookmarkStart w:id="94" w:name="_Toc44229899"/>
      <w:bookmarkStart w:id="95" w:name="_Toc31728084"/>
    </w:p>
    <w:p w14:paraId="73CE5F32">
      <w:pPr>
        <w:pStyle w:val="8"/>
        <w:ind w:firstLine="0" w:firstLineChars="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说明：</w:t>
      </w:r>
    </w:p>
    <w:p w14:paraId="7682957A">
      <w:pPr>
        <w:pStyle w:val="8"/>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1、本声明函主要供参加政府采购活动的中小企业填写，非中小企业无需填写。</w:t>
      </w:r>
    </w:p>
    <w:p w14:paraId="7D70B340">
      <w:pPr>
        <w:pStyle w:val="8"/>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2、小型、微型企业提供中型企业提供的货物的，视同为中型企业。</w:t>
      </w:r>
    </w:p>
    <w:p w14:paraId="2E8FE8C4">
      <w:pPr>
        <w:pStyle w:val="8"/>
        <w:ind w:firstLine="420" w:firstLineChars="200"/>
        <w:rPr>
          <w:rFonts w:ascii="宋体" w:hAnsi="宋体" w:eastAsia="宋体" w:cs="宋体"/>
          <w:color w:val="auto"/>
          <w:kern w:val="21"/>
          <w:sz w:val="21"/>
          <w:szCs w:val="21"/>
          <w:highlight w:val="none"/>
        </w:rPr>
      </w:pPr>
    </w:p>
    <w:p w14:paraId="21E5BE9D">
      <w:pPr>
        <w:pStyle w:val="8"/>
        <w:ind w:firstLine="420" w:firstLineChars="200"/>
        <w:rPr>
          <w:rFonts w:ascii="宋体" w:hAnsi="宋体" w:eastAsia="宋体" w:cs="宋体"/>
          <w:color w:val="auto"/>
          <w:kern w:val="21"/>
          <w:sz w:val="21"/>
          <w:szCs w:val="21"/>
          <w:highlight w:val="none"/>
        </w:rPr>
      </w:pPr>
    </w:p>
    <w:p w14:paraId="4E3B7B7F">
      <w:pPr>
        <w:pStyle w:val="15"/>
        <w:spacing w:line="360" w:lineRule="auto"/>
        <w:ind w:left="-426" w:leftChars="-203" w:right="142" w:firstLine="420" w:firstLineChars="200"/>
        <w:contextualSpacing/>
        <w:rPr>
          <w:rFonts w:ascii="宋体" w:hAnsi="宋体" w:cs="宋体"/>
          <w:color w:val="auto"/>
          <w:kern w:val="21"/>
          <w:highlight w:val="none"/>
        </w:rPr>
      </w:pPr>
      <w:r>
        <w:rPr>
          <w:rFonts w:hint="eastAsia" w:ascii="宋体" w:hAnsi="宋体" w:cs="宋体"/>
          <w:color w:val="auto"/>
          <w:kern w:val="21"/>
          <w:highlight w:val="none"/>
        </w:rPr>
        <w:t>本公司（联合体）郑重声明，根据《政府采购促进中小企业发展管理办法》（财库﹝2020﹞46号）的规定，本公司（联合体）参加</w:t>
      </w:r>
      <w:r>
        <w:rPr>
          <w:rFonts w:hint="eastAsia" w:ascii="宋体" w:hAnsi="宋体" w:cs="宋体"/>
          <w:color w:val="auto"/>
          <w:kern w:val="21"/>
          <w:highlight w:val="none"/>
          <w:u w:val="single"/>
        </w:rPr>
        <w:t>（单位名称）</w:t>
      </w:r>
      <w:r>
        <w:rPr>
          <w:rFonts w:hint="eastAsia" w:ascii="宋体" w:hAnsi="宋体" w:cs="宋体"/>
          <w:color w:val="auto"/>
          <w:kern w:val="21"/>
          <w:highlight w:val="none"/>
        </w:rPr>
        <w:t>的</w:t>
      </w:r>
      <w:r>
        <w:rPr>
          <w:rFonts w:hint="eastAsia" w:ascii="宋体" w:hAnsi="宋体" w:cs="宋体"/>
          <w:color w:val="auto"/>
          <w:kern w:val="21"/>
          <w:highlight w:val="none"/>
          <w:u w:val="single"/>
        </w:rPr>
        <w:t>（项目名称）</w:t>
      </w:r>
      <w:r>
        <w:rPr>
          <w:rFonts w:hint="eastAsia" w:ascii="宋体" w:hAnsi="宋体" w:cs="宋体"/>
          <w:color w:val="auto"/>
          <w:kern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A8ED37C">
      <w:pPr>
        <w:tabs>
          <w:tab w:val="left" w:pos="1384"/>
          <w:tab w:val="left" w:pos="4562"/>
          <w:tab w:val="left" w:pos="6803"/>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1.</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78F62E22">
      <w:pPr>
        <w:tabs>
          <w:tab w:val="left" w:pos="1065"/>
          <w:tab w:val="left" w:pos="6477"/>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2.</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144E55E4">
      <w:pPr>
        <w:pStyle w:val="15"/>
        <w:spacing w:line="360" w:lineRule="auto"/>
        <w:ind w:left="142" w:right="142"/>
        <w:contextualSpacing/>
        <w:rPr>
          <w:rFonts w:ascii="宋体" w:hAnsi="宋体" w:cs="宋体"/>
          <w:color w:val="auto"/>
          <w:kern w:val="21"/>
          <w:highlight w:val="none"/>
        </w:rPr>
      </w:pPr>
      <w:r>
        <w:rPr>
          <w:rFonts w:hint="eastAsia" w:ascii="宋体" w:hAnsi="宋体" w:cs="宋体"/>
          <w:color w:val="auto"/>
          <w:kern w:val="21"/>
          <w:highlight w:val="none"/>
        </w:rPr>
        <w:t xml:space="preserve">…… </w:t>
      </w:r>
    </w:p>
    <w:p w14:paraId="46231F35">
      <w:pPr>
        <w:pStyle w:val="15"/>
        <w:spacing w:line="360" w:lineRule="auto"/>
        <w:ind w:left="-405" w:leftChars="-193" w:right="142" w:firstLine="396" w:firstLineChars="189"/>
        <w:contextualSpacing/>
        <w:rPr>
          <w:rFonts w:ascii="宋体" w:hAnsi="宋体" w:cs="宋体"/>
          <w:color w:val="auto"/>
          <w:kern w:val="21"/>
          <w:highlight w:val="none"/>
        </w:rPr>
      </w:pPr>
      <w:r>
        <w:rPr>
          <w:rFonts w:hint="eastAsia" w:ascii="宋体" w:hAnsi="宋体" w:cs="宋体"/>
          <w:color w:val="auto"/>
          <w:kern w:val="21"/>
          <w:highlight w:val="none"/>
        </w:rPr>
        <w:t>以上企业，不属于大企业的分支机构，不存在控股股东为大企业的情形，也不存在与大企业的负责人为同一人的情形。</w:t>
      </w:r>
    </w:p>
    <w:p w14:paraId="78BF86B5">
      <w:pPr>
        <w:pStyle w:val="15"/>
        <w:spacing w:line="360" w:lineRule="auto"/>
        <w:ind w:left="-426" w:right="142" w:firstLine="567"/>
        <w:contextualSpacing/>
        <w:rPr>
          <w:rFonts w:ascii="宋体" w:hAnsi="宋体" w:cs="宋体"/>
          <w:color w:val="auto"/>
          <w:kern w:val="21"/>
          <w:highlight w:val="none"/>
        </w:rPr>
      </w:pPr>
      <w:r>
        <w:rPr>
          <w:rFonts w:hint="eastAsia" w:ascii="宋体" w:hAnsi="宋体" w:cs="宋体"/>
          <w:color w:val="auto"/>
          <w:kern w:val="21"/>
          <w:highlight w:val="none"/>
        </w:rPr>
        <w:t>本企业对上述声明内容的真实性负责。如有虚假，将依法承担相应责任。</w:t>
      </w:r>
    </w:p>
    <w:p w14:paraId="45B498DF">
      <w:pPr>
        <w:pStyle w:val="18"/>
        <w:spacing w:line="360" w:lineRule="auto"/>
        <w:ind w:firstLine="400" w:firstLineChars="200"/>
        <w:rPr>
          <w:rFonts w:hAnsi="宋体" w:cs="宋体"/>
          <w:color w:val="auto"/>
          <w:kern w:val="21"/>
          <w:highlight w:val="none"/>
        </w:rPr>
      </w:pPr>
    </w:p>
    <w:p w14:paraId="6111D655">
      <w:pPr>
        <w:pStyle w:val="18"/>
        <w:spacing w:line="360" w:lineRule="auto"/>
        <w:ind w:firstLine="400" w:firstLineChars="200"/>
        <w:rPr>
          <w:rFonts w:hAnsi="宋体" w:cs="宋体"/>
          <w:color w:val="auto"/>
          <w:kern w:val="21"/>
          <w:highlight w:val="none"/>
        </w:rPr>
      </w:pPr>
    </w:p>
    <w:p w14:paraId="5E92B343">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0A5F5EC">
      <w:pPr>
        <w:snapToGrid w:val="0"/>
        <w:spacing w:line="360" w:lineRule="auto"/>
        <w:ind w:firstLine="5160" w:firstLineChars="21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4A7E2DB3">
      <w:pPr>
        <w:pStyle w:val="18"/>
        <w:spacing w:line="360" w:lineRule="auto"/>
        <w:ind w:firstLine="400" w:firstLineChars="200"/>
        <w:rPr>
          <w:rFonts w:hAnsi="宋体" w:cs="宋体"/>
          <w:color w:val="auto"/>
          <w:kern w:val="21"/>
          <w:highlight w:val="none"/>
        </w:rPr>
      </w:pPr>
    </w:p>
    <w:p w14:paraId="0656BCDE">
      <w:pPr>
        <w:snapToGrid w:val="0"/>
        <w:spacing w:line="360" w:lineRule="auto"/>
        <w:jc w:val="left"/>
        <w:rPr>
          <w:rFonts w:ascii="宋体" w:hAnsi="宋体" w:cs="宋体"/>
          <w:color w:val="auto"/>
          <w:kern w:val="21"/>
          <w:sz w:val="20"/>
          <w:highlight w:val="none"/>
        </w:rPr>
      </w:pPr>
      <w:r>
        <w:rPr>
          <w:rFonts w:hint="eastAsia" w:ascii="宋体" w:hAnsi="宋体" w:cs="宋体"/>
          <w:color w:val="auto"/>
          <w:kern w:val="21"/>
          <w:sz w:val="20"/>
          <w:highlight w:val="none"/>
        </w:rPr>
        <w:t>注：</w:t>
      </w:r>
    </w:p>
    <w:p w14:paraId="6571A10B">
      <w:pPr>
        <w:snapToGrid w:val="0"/>
        <w:spacing w:line="360" w:lineRule="auto"/>
        <w:ind w:firstLine="400" w:firstLineChars="200"/>
        <w:jc w:val="left"/>
        <w:rPr>
          <w:rFonts w:ascii="宋体" w:hAnsi="宋体" w:cs="宋体"/>
          <w:color w:val="auto"/>
          <w:kern w:val="21"/>
          <w:sz w:val="20"/>
          <w:highlight w:val="none"/>
        </w:rPr>
      </w:pPr>
      <w:r>
        <w:rPr>
          <w:rFonts w:hint="eastAsia" w:ascii="宋体" w:hAnsi="宋体" w:cs="宋体"/>
          <w:color w:val="auto"/>
          <w:kern w:val="21"/>
          <w:sz w:val="20"/>
          <w:highlight w:val="none"/>
        </w:rPr>
        <w:t>1、从业人员、营业收入、资产总额填报上一年度数据，无上一年度数据的新成立企业可不填报。</w:t>
      </w:r>
    </w:p>
    <w:p w14:paraId="72DD4FF5">
      <w:pPr>
        <w:snapToGrid w:val="0"/>
        <w:spacing w:line="360" w:lineRule="auto"/>
        <w:ind w:firstLine="400" w:firstLineChars="200"/>
        <w:rPr>
          <w:rFonts w:ascii="宋体" w:hAnsi="宋体" w:cs="宋体"/>
          <w:color w:val="auto"/>
          <w:kern w:val="21"/>
          <w:sz w:val="32"/>
          <w:szCs w:val="32"/>
          <w:highlight w:val="none"/>
        </w:rPr>
        <w:sectPr>
          <w:pgSz w:w="11911" w:h="16838"/>
          <w:pgMar w:top="1440" w:right="1440" w:bottom="1440" w:left="1440" w:header="720" w:footer="720" w:gutter="0"/>
          <w:cols w:space="720" w:num="1"/>
        </w:sectPr>
      </w:pPr>
      <w:bookmarkStart w:id="96" w:name="_Toc101775077"/>
      <w:r>
        <w:rPr>
          <w:rFonts w:hint="eastAsia" w:ascii="宋体" w:hAnsi="宋体" w:cs="宋体"/>
          <w:color w:val="auto"/>
          <w:kern w:val="21"/>
          <w:sz w:val="20"/>
          <w:highlight w:val="none"/>
        </w:rPr>
        <w:t>2、请根据自己的真实情况出具《中小企业声明函》。依法享受中小企业优惠政策的，采购人或者采购代理机构在公告中标/成交结果时，同时公告其《中小企业声明函》，接受社会监督。</w:t>
      </w:r>
      <w:bookmarkEnd w:id="96"/>
    </w:p>
    <w:bookmarkEnd w:id="91"/>
    <w:bookmarkEnd w:id="92"/>
    <w:bookmarkEnd w:id="93"/>
    <w:bookmarkEnd w:id="94"/>
    <w:bookmarkEnd w:id="95"/>
    <w:p w14:paraId="3A4CB267">
      <w:pPr>
        <w:pStyle w:val="3"/>
        <w:jc w:val="center"/>
        <w:rPr>
          <w:rFonts w:ascii="宋体" w:hAnsi="宋体" w:cs="宋体"/>
          <w:b w:val="0"/>
          <w:color w:val="auto"/>
          <w:kern w:val="21"/>
          <w:highlight w:val="none"/>
        </w:rPr>
      </w:pPr>
      <w:bookmarkStart w:id="97" w:name="_Toc19848"/>
      <w:bookmarkStart w:id="98" w:name="_Toc29848"/>
      <w:bookmarkStart w:id="99" w:name="_Toc80205942"/>
      <w:r>
        <w:rPr>
          <w:rFonts w:hint="eastAsia" w:ascii="宋体" w:hAnsi="宋体" w:cs="宋体"/>
          <w:color w:val="auto"/>
          <w:kern w:val="21"/>
          <w:highlight w:val="none"/>
        </w:rPr>
        <w:t>第五节 其他文书、文件格式</w:t>
      </w:r>
      <w:bookmarkEnd w:id="97"/>
      <w:bookmarkEnd w:id="98"/>
      <w:bookmarkEnd w:id="99"/>
    </w:p>
    <w:p w14:paraId="2123CD07">
      <w:pPr>
        <w:spacing w:line="520" w:lineRule="exact"/>
        <w:rPr>
          <w:rFonts w:ascii="宋体" w:hAnsi="宋体" w:cs="宋体"/>
          <w:color w:val="auto"/>
          <w:kern w:val="21"/>
          <w:sz w:val="24"/>
          <w:highlight w:val="none"/>
        </w:rPr>
      </w:pPr>
    </w:p>
    <w:p w14:paraId="524B8A6A">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残疾人福利性单位声明函</w:t>
      </w:r>
    </w:p>
    <w:p w14:paraId="64C7B88E">
      <w:pPr>
        <w:spacing w:line="520" w:lineRule="exact"/>
        <w:rPr>
          <w:rFonts w:ascii="宋体" w:hAnsi="宋体" w:cs="宋体"/>
          <w:color w:val="auto"/>
          <w:kern w:val="21"/>
          <w:sz w:val="32"/>
          <w:szCs w:val="32"/>
          <w:highlight w:val="none"/>
        </w:rPr>
      </w:pPr>
    </w:p>
    <w:p w14:paraId="1FCD5A4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单位的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项目采购活动由本单位提供服务。</w:t>
      </w:r>
    </w:p>
    <w:p w14:paraId="7EB20F1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本单位对上述声明的真实性负责。如有虚假，将依法承担相应责任。</w:t>
      </w:r>
    </w:p>
    <w:p w14:paraId="77537FF7">
      <w:pPr>
        <w:spacing w:line="360" w:lineRule="auto"/>
        <w:contextualSpacing/>
        <w:rPr>
          <w:rFonts w:ascii="宋体" w:hAnsi="宋体" w:cs="宋体"/>
          <w:color w:val="auto"/>
          <w:kern w:val="21"/>
          <w:sz w:val="24"/>
          <w:highlight w:val="none"/>
        </w:rPr>
      </w:pPr>
    </w:p>
    <w:p w14:paraId="75BE1500">
      <w:pPr>
        <w:spacing w:line="360" w:lineRule="auto"/>
        <w:contextualSpacing/>
        <w:rPr>
          <w:rFonts w:ascii="宋体" w:hAnsi="宋体" w:cs="宋体"/>
          <w:color w:val="auto"/>
          <w:kern w:val="21"/>
          <w:sz w:val="24"/>
          <w:highlight w:val="none"/>
        </w:rPr>
      </w:pPr>
    </w:p>
    <w:p w14:paraId="2828FF12">
      <w:pPr>
        <w:spacing w:line="360" w:lineRule="auto"/>
        <w:contextualSpacing/>
        <w:rPr>
          <w:rFonts w:ascii="宋体" w:hAnsi="宋体" w:cs="宋体"/>
          <w:color w:val="auto"/>
          <w:kern w:val="21"/>
          <w:sz w:val="24"/>
          <w:highlight w:val="none"/>
        </w:rPr>
      </w:pPr>
    </w:p>
    <w:p w14:paraId="6CA7934A">
      <w:pPr>
        <w:spacing w:line="360" w:lineRule="auto"/>
        <w:ind w:firstLine="2400" w:firstLineChars="10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2C1A03D">
      <w:pPr>
        <w:spacing w:line="360" w:lineRule="auto"/>
        <w:ind w:firstLine="4320" w:firstLineChars="1800"/>
        <w:contextualSpacing/>
        <w:rPr>
          <w:rFonts w:ascii="宋体" w:hAnsi="宋体" w:cs="宋体"/>
          <w:color w:val="auto"/>
          <w:kern w:val="21"/>
          <w:sz w:val="24"/>
          <w:highlight w:val="none"/>
        </w:rPr>
      </w:pPr>
      <w:r>
        <w:rPr>
          <w:rFonts w:hint="eastAsia" w:ascii="宋体" w:hAnsi="宋体" w:cs="宋体"/>
          <w:color w:val="auto"/>
          <w:kern w:val="21"/>
          <w:sz w:val="24"/>
          <w:highlight w:val="none"/>
        </w:rPr>
        <w:t>日  期：     年   月   日</w:t>
      </w:r>
    </w:p>
    <w:p w14:paraId="3458153C">
      <w:pPr>
        <w:spacing w:line="360" w:lineRule="auto"/>
        <w:contextualSpacing/>
        <w:rPr>
          <w:rFonts w:ascii="宋体" w:hAnsi="宋体" w:cs="宋体"/>
          <w:color w:val="auto"/>
          <w:kern w:val="21"/>
          <w:sz w:val="24"/>
          <w:highlight w:val="none"/>
        </w:rPr>
      </w:pPr>
    </w:p>
    <w:p w14:paraId="50D8FA49">
      <w:pPr>
        <w:spacing w:line="360" w:lineRule="auto"/>
        <w:contextualSpacing/>
        <w:rPr>
          <w:rFonts w:ascii="宋体" w:hAnsi="宋体" w:cs="宋体"/>
          <w:color w:val="auto"/>
          <w:kern w:val="21"/>
          <w:sz w:val="24"/>
          <w:highlight w:val="none"/>
        </w:rPr>
      </w:pPr>
    </w:p>
    <w:p w14:paraId="27CC61B0">
      <w:pPr>
        <w:spacing w:line="360" w:lineRule="auto"/>
        <w:contextualSpacing/>
        <w:rPr>
          <w:rFonts w:ascii="宋体" w:hAnsi="宋体" w:cs="宋体"/>
          <w:color w:val="auto"/>
          <w:kern w:val="21"/>
          <w:sz w:val="24"/>
          <w:highlight w:val="none"/>
        </w:rPr>
      </w:pPr>
    </w:p>
    <w:p w14:paraId="0DABEBAA">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注：请根据自己的真实情况出具《残疾人福利性单位声明函》。依法享受中小企业优惠政策的，采购人或者采购代理机构在公告中标/成交结果时，同时公告其《残疾人福利性单位声明函》，接受社会监督。</w:t>
      </w:r>
    </w:p>
    <w:p w14:paraId="5F981341">
      <w:pPr>
        <w:spacing w:line="520" w:lineRule="exact"/>
        <w:jc w:val="center"/>
        <w:rPr>
          <w:rFonts w:ascii="宋体" w:hAnsi="宋体" w:cs="宋体"/>
          <w:color w:val="auto"/>
          <w:kern w:val="21"/>
          <w:sz w:val="24"/>
          <w:highlight w:val="none"/>
        </w:rPr>
      </w:pPr>
    </w:p>
    <w:p w14:paraId="238AFE36">
      <w:pPr>
        <w:spacing w:line="520" w:lineRule="exact"/>
        <w:jc w:val="center"/>
        <w:rPr>
          <w:rFonts w:ascii="宋体" w:hAnsi="宋体" w:cs="宋体"/>
          <w:color w:val="auto"/>
          <w:kern w:val="21"/>
          <w:sz w:val="24"/>
          <w:highlight w:val="none"/>
        </w:rPr>
      </w:pPr>
    </w:p>
    <w:p w14:paraId="54A07A83">
      <w:pPr>
        <w:spacing w:line="520" w:lineRule="exact"/>
        <w:jc w:val="center"/>
        <w:rPr>
          <w:rFonts w:ascii="宋体" w:hAnsi="宋体" w:cs="宋体"/>
          <w:color w:val="auto"/>
          <w:kern w:val="21"/>
          <w:sz w:val="24"/>
          <w:highlight w:val="none"/>
        </w:rPr>
      </w:pPr>
    </w:p>
    <w:p w14:paraId="548C2A06">
      <w:pPr>
        <w:spacing w:line="520" w:lineRule="exact"/>
        <w:jc w:val="center"/>
        <w:rPr>
          <w:rFonts w:ascii="宋体" w:hAnsi="宋体" w:cs="宋体"/>
          <w:color w:val="auto"/>
          <w:kern w:val="21"/>
          <w:sz w:val="24"/>
          <w:highlight w:val="none"/>
        </w:rPr>
      </w:pPr>
    </w:p>
    <w:p w14:paraId="4F07C912">
      <w:pPr>
        <w:spacing w:line="520" w:lineRule="exact"/>
        <w:jc w:val="center"/>
        <w:rPr>
          <w:rFonts w:ascii="宋体" w:hAnsi="宋体" w:cs="宋体"/>
          <w:color w:val="auto"/>
          <w:kern w:val="21"/>
          <w:sz w:val="24"/>
          <w:highlight w:val="none"/>
        </w:rPr>
      </w:pPr>
    </w:p>
    <w:p w14:paraId="0EF248E4">
      <w:pPr>
        <w:spacing w:line="520" w:lineRule="exact"/>
        <w:jc w:val="center"/>
        <w:rPr>
          <w:rFonts w:ascii="宋体" w:hAnsi="宋体" w:cs="宋体"/>
          <w:color w:val="auto"/>
          <w:kern w:val="21"/>
          <w:sz w:val="24"/>
          <w:highlight w:val="none"/>
        </w:rPr>
      </w:pPr>
    </w:p>
    <w:p w14:paraId="0327FBFC">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最后报价表</w:t>
      </w:r>
    </w:p>
    <w:p w14:paraId="5CC93011">
      <w:pPr>
        <w:snapToGrid w:val="0"/>
        <w:spacing w:before="50" w:after="50" w:line="360" w:lineRule="auto"/>
        <w:rPr>
          <w:rFonts w:ascii="宋体" w:hAnsi="宋体" w:cs="宋体"/>
          <w:color w:val="auto"/>
          <w:kern w:val="21"/>
          <w:sz w:val="24"/>
          <w:highlight w:val="none"/>
        </w:rPr>
      </w:pPr>
    </w:p>
    <w:p w14:paraId="7C77A58A">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599AC841">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7FBD00CA">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130"/>
        <w:gridCol w:w="2453"/>
        <w:gridCol w:w="1081"/>
        <w:gridCol w:w="1238"/>
        <w:gridCol w:w="1609"/>
        <w:gridCol w:w="949"/>
      </w:tblGrid>
      <w:tr w14:paraId="1BB0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7BF644A6">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133E5C3">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6511A299">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8F6DCF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7F36D45">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3A9F607">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3F60E97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2B32022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39B8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50BD492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8A4639F">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AI赋能千行百业超级联赛对外宣传服务</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3C6D950A">
            <w:pPr>
              <w:spacing w:line="360" w:lineRule="auto"/>
              <w:jc w:val="center"/>
              <w:rPr>
                <w:rFonts w:ascii="宋体" w:hAnsi="宋体" w:cs="宋体"/>
                <w:color w:val="auto"/>
                <w:kern w:val="21"/>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6AA7900">
            <w:pPr>
              <w:spacing w:line="360" w:lineRule="auto"/>
              <w:jc w:val="center"/>
              <w:rPr>
                <w:rFonts w:ascii="宋体" w:hAnsi="宋体" w:cs="宋体"/>
                <w:color w:val="auto"/>
                <w:kern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5A65048E">
            <w:pPr>
              <w:spacing w:line="360" w:lineRule="auto"/>
              <w:jc w:val="left"/>
              <w:rPr>
                <w:rFonts w:ascii="宋体" w:hAnsi="宋体" w:cs="宋体"/>
                <w:color w:val="auto"/>
                <w:kern w:val="21"/>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C15581F">
            <w:pPr>
              <w:spacing w:line="360" w:lineRule="auto"/>
              <w:jc w:val="left"/>
              <w:rPr>
                <w:rFonts w:ascii="宋体" w:hAnsi="宋体" w:cs="宋体"/>
                <w:color w:val="auto"/>
                <w:kern w:val="21"/>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21732DC6">
            <w:pPr>
              <w:spacing w:line="360" w:lineRule="auto"/>
              <w:jc w:val="center"/>
              <w:rPr>
                <w:rFonts w:ascii="宋体" w:hAnsi="宋体" w:cs="宋体"/>
                <w:color w:val="auto"/>
                <w:kern w:val="21"/>
                <w:szCs w:val="21"/>
                <w:highlight w:val="none"/>
              </w:rPr>
            </w:pPr>
          </w:p>
        </w:tc>
      </w:tr>
      <w:tr w14:paraId="0DBE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393A4C66">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77BD2401">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 xml:space="preserve">                 </w:t>
      </w:r>
    </w:p>
    <w:p w14:paraId="53B4A731">
      <w:pPr>
        <w:snapToGrid w:val="0"/>
        <w:spacing w:before="50" w:after="50" w:line="560" w:lineRule="exact"/>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49A7A608">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755E0512">
      <w:pPr>
        <w:snapToGrid w:val="0"/>
        <w:spacing w:before="50" w:after="50" w:line="560" w:lineRule="exact"/>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394877E0">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555BCC4C">
      <w:pPr>
        <w:snapToGrid w:val="0"/>
        <w:spacing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4、供应商须提前做好最后报价的相关准备并在规定的时间内通过“广西政府采购云平台”递交附件（最后报价表）</w:t>
      </w:r>
    </w:p>
    <w:p w14:paraId="161467D6">
      <w:pPr>
        <w:autoSpaceDE w:val="0"/>
        <w:autoSpaceDN w:val="0"/>
        <w:spacing w:line="360" w:lineRule="auto"/>
        <w:ind w:left="4335" w:leftChars="1950" w:hanging="240" w:hangingChars="100"/>
        <w:rPr>
          <w:rFonts w:ascii="宋体" w:hAnsi="宋体" w:cs="宋体"/>
          <w:color w:val="auto"/>
          <w:kern w:val="21"/>
          <w:sz w:val="24"/>
          <w:highlight w:val="none"/>
        </w:rPr>
      </w:pPr>
    </w:p>
    <w:p w14:paraId="1E902CA1">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9B2ECB2">
      <w:pPr>
        <w:pStyle w:val="18"/>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40541E3A">
      <w:pPr>
        <w:keepNext/>
        <w:keepLines/>
        <w:adjustRightInd w:val="0"/>
        <w:snapToGrid w:val="0"/>
        <w:rPr>
          <w:rFonts w:ascii="宋体" w:hAnsi="宋体" w:cs="宋体"/>
          <w:color w:val="auto"/>
          <w:kern w:val="21"/>
          <w:highlight w:val="none"/>
        </w:rPr>
      </w:pPr>
      <w:r>
        <w:rPr>
          <w:rFonts w:hint="eastAsia" w:ascii="宋体" w:hAnsi="宋体" w:cs="宋体"/>
          <w:color w:val="auto"/>
          <w:kern w:val="21"/>
          <w:highlight w:val="none"/>
        </w:rPr>
        <w:br w:type="page"/>
      </w:r>
    </w:p>
    <w:p w14:paraId="183B8DBD">
      <w:pPr>
        <w:spacing w:line="520" w:lineRule="exact"/>
        <w:jc w:val="center"/>
        <w:rPr>
          <w:rFonts w:ascii="宋体" w:hAnsi="宋体" w:cs="宋体"/>
          <w:color w:val="auto"/>
          <w:kern w:val="21"/>
          <w:sz w:val="24"/>
          <w:highlight w:val="none"/>
        </w:rPr>
      </w:pPr>
    </w:p>
    <w:p w14:paraId="080FD8EC">
      <w:pPr>
        <w:spacing w:line="520" w:lineRule="exact"/>
        <w:jc w:val="center"/>
        <w:rPr>
          <w:rFonts w:ascii="宋体" w:hAnsi="宋体" w:cs="宋体"/>
          <w:color w:val="auto"/>
          <w:kern w:val="21"/>
          <w:sz w:val="24"/>
          <w:highlight w:val="none"/>
        </w:rPr>
      </w:pPr>
    </w:p>
    <w:p w14:paraId="700FBD87">
      <w:pPr>
        <w:spacing w:line="520" w:lineRule="exact"/>
        <w:jc w:val="center"/>
        <w:rPr>
          <w:rFonts w:ascii="宋体" w:hAnsi="宋体" w:cs="宋体"/>
          <w:color w:val="auto"/>
          <w:kern w:val="21"/>
          <w:sz w:val="24"/>
          <w:highlight w:val="none"/>
        </w:rPr>
      </w:pPr>
    </w:p>
    <w:p w14:paraId="574587BF">
      <w:pPr>
        <w:spacing w:line="520" w:lineRule="exact"/>
        <w:jc w:val="center"/>
        <w:rPr>
          <w:rFonts w:ascii="宋体" w:hAnsi="宋体" w:cs="宋体"/>
          <w:color w:val="auto"/>
          <w:kern w:val="21"/>
          <w:sz w:val="24"/>
          <w:highlight w:val="none"/>
        </w:rPr>
      </w:pPr>
    </w:p>
    <w:p w14:paraId="53F3E21C">
      <w:pPr>
        <w:spacing w:line="520" w:lineRule="exact"/>
        <w:jc w:val="center"/>
        <w:rPr>
          <w:rFonts w:ascii="宋体" w:hAnsi="宋体" w:cs="宋体"/>
          <w:color w:val="auto"/>
          <w:kern w:val="21"/>
          <w:sz w:val="24"/>
          <w:highlight w:val="none"/>
        </w:rPr>
      </w:pPr>
    </w:p>
    <w:p w14:paraId="040BBC1D">
      <w:pPr>
        <w:spacing w:line="520" w:lineRule="exact"/>
        <w:jc w:val="center"/>
        <w:rPr>
          <w:rFonts w:ascii="宋体" w:hAnsi="宋体" w:cs="宋体"/>
          <w:color w:val="auto"/>
          <w:kern w:val="21"/>
          <w:sz w:val="24"/>
          <w:highlight w:val="none"/>
        </w:rPr>
      </w:pPr>
    </w:p>
    <w:p w14:paraId="2B58D142">
      <w:pPr>
        <w:spacing w:line="520" w:lineRule="exact"/>
        <w:jc w:val="center"/>
        <w:rPr>
          <w:rFonts w:ascii="宋体" w:hAnsi="宋体" w:cs="宋体"/>
          <w:color w:val="auto"/>
          <w:kern w:val="21"/>
          <w:sz w:val="24"/>
          <w:highlight w:val="none"/>
        </w:rPr>
      </w:pPr>
    </w:p>
    <w:p w14:paraId="4C2690CC">
      <w:pPr>
        <w:spacing w:line="520" w:lineRule="exact"/>
        <w:jc w:val="center"/>
        <w:rPr>
          <w:rFonts w:ascii="宋体" w:hAnsi="宋体" w:cs="宋体"/>
          <w:color w:val="auto"/>
          <w:kern w:val="21"/>
          <w:sz w:val="24"/>
          <w:highlight w:val="none"/>
        </w:rPr>
      </w:pPr>
    </w:p>
    <w:p w14:paraId="6CDA5875">
      <w:pPr>
        <w:spacing w:line="520" w:lineRule="exact"/>
        <w:jc w:val="center"/>
        <w:rPr>
          <w:rFonts w:ascii="宋体" w:hAnsi="宋体" w:cs="宋体"/>
          <w:color w:val="auto"/>
          <w:kern w:val="21"/>
          <w:sz w:val="24"/>
          <w:highlight w:val="none"/>
        </w:rPr>
      </w:pPr>
    </w:p>
    <w:p w14:paraId="13F133C7">
      <w:pPr>
        <w:pStyle w:val="2"/>
        <w:jc w:val="center"/>
        <w:rPr>
          <w:rFonts w:hint="eastAsia" w:ascii="宋体" w:hAnsi="宋体" w:cs="宋体"/>
          <w:color w:val="auto"/>
          <w:kern w:val="21"/>
          <w:highlight w:val="none"/>
        </w:rPr>
      </w:pPr>
      <w:bookmarkStart w:id="100" w:name="_Toc11409"/>
      <w:bookmarkStart w:id="101" w:name="_Toc18493"/>
      <w:r>
        <w:rPr>
          <w:rFonts w:hint="eastAsia" w:ascii="宋体" w:hAnsi="宋体" w:cs="宋体"/>
          <w:color w:val="auto"/>
          <w:kern w:val="21"/>
          <w:highlight w:val="none"/>
        </w:rPr>
        <w:t>第六章 合同文本</w:t>
      </w:r>
    </w:p>
    <w:p w14:paraId="19FC82CD">
      <w:pPr>
        <w:pStyle w:val="2"/>
        <w:jc w:val="left"/>
        <w:rPr>
          <w:rFonts w:ascii="宋体" w:hAnsi="宋体" w:cs="宋体"/>
          <w:b w:val="0"/>
          <w:bCs w:val="0"/>
          <w:color w:val="auto"/>
          <w:kern w:val="21"/>
          <w:highlight w:val="none"/>
        </w:rPr>
      </w:pPr>
      <w:r>
        <w:rPr>
          <w:rFonts w:hint="eastAsia" w:ascii="宋体" w:hAnsi="宋体" w:cs="宋体"/>
          <w:b w:val="0"/>
          <w:bCs w:val="0"/>
          <w:color w:val="auto"/>
          <w:kern w:val="21"/>
          <w:highlight w:val="none"/>
        </w:rPr>
        <w:br w:type="page"/>
      </w:r>
      <w:bookmarkEnd w:id="100"/>
      <w:r>
        <w:rPr>
          <w:rFonts w:hint="eastAsia" w:ascii="宋体" w:hAnsi="宋体" w:cs="宋体"/>
          <w:color w:val="auto"/>
          <w:kern w:val="21"/>
          <w:sz w:val="24"/>
          <w:highlight w:val="none"/>
        </w:rPr>
        <w:t>“广西政府采购云平台”合同编号：</w:t>
      </w:r>
      <w:bookmarkEnd w:id="101"/>
    </w:p>
    <w:p w14:paraId="57C77C6B">
      <w:pPr>
        <w:spacing w:line="360" w:lineRule="auto"/>
        <w:jc w:val="center"/>
        <w:rPr>
          <w:rFonts w:ascii="宋体" w:hAnsi="宋体" w:cs="宋体"/>
          <w:b/>
          <w:bCs/>
          <w:color w:val="auto"/>
          <w:kern w:val="21"/>
          <w:sz w:val="52"/>
          <w:highlight w:val="none"/>
        </w:rPr>
      </w:pPr>
      <w:r>
        <w:rPr>
          <w:rFonts w:hint="eastAsia" w:ascii="宋体" w:hAnsi="宋体" w:cs="宋体"/>
          <w:b/>
          <w:bCs/>
          <w:color w:val="auto"/>
          <w:kern w:val="21"/>
          <w:sz w:val="52"/>
          <w:highlight w:val="none"/>
        </w:rPr>
        <w:t>广西壮族自治区政府采购</w:t>
      </w:r>
    </w:p>
    <w:p w14:paraId="65A64A04">
      <w:pPr>
        <w:spacing w:line="360" w:lineRule="auto"/>
        <w:ind w:firstLine="420" w:firstLineChars="200"/>
        <w:rPr>
          <w:rFonts w:ascii="宋体" w:hAnsi="宋体" w:cs="宋体"/>
          <w:color w:val="auto"/>
          <w:kern w:val="21"/>
          <w:highlight w:val="none"/>
        </w:rPr>
      </w:pPr>
    </w:p>
    <w:p w14:paraId="40F39A17">
      <w:pPr>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 xml:space="preserve">                                                 </w:t>
      </w:r>
    </w:p>
    <w:p w14:paraId="64B00010">
      <w:pPr>
        <w:spacing w:line="360" w:lineRule="auto"/>
        <w:jc w:val="center"/>
        <w:rPr>
          <w:rFonts w:ascii="宋体" w:hAnsi="宋体" w:cs="宋体"/>
          <w:b/>
          <w:bCs/>
          <w:color w:val="auto"/>
          <w:kern w:val="21"/>
          <w:sz w:val="44"/>
          <w:highlight w:val="none"/>
        </w:rPr>
      </w:pPr>
      <w:r>
        <w:rPr>
          <w:rFonts w:hint="eastAsia" w:ascii="宋体" w:hAnsi="宋体" w:cs="宋体"/>
          <w:b/>
          <w:bCs/>
          <w:color w:val="auto"/>
          <w:kern w:val="21"/>
          <w:sz w:val="44"/>
          <w:highlight w:val="none"/>
          <w:u w:val="single"/>
        </w:rPr>
        <w:t xml:space="preserve">         （项目名称）         </w:t>
      </w:r>
      <w:r>
        <w:rPr>
          <w:rFonts w:hint="eastAsia" w:ascii="宋体" w:hAnsi="宋体" w:cs="宋体"/>
          <w:b/>
          <w:bCs/>
          <w:color w:val="auto"/>
          <w:kern w:val="21"/>
          <w:sz w:val="44"/>
          <w:highlight w:val="none"/>
        </w:rPr>
        <w:t>合同</w:t>
      </w:r>
    </w:p>
    <w:p w14:paraId="5752F54E">
      <w:pPr>
        <w:spacing w:line="360" w:lineRule="auto"/>
        <w:jc w:val="center"/>
        <w:rPr>
          <w:rFonts w:ascii="宋体" w:hAnsi="宋体" w:cs="宋体"/>
          <w:b/>
          <w:bCs/>
          <w:color w:val="auto"/>
          <w:kern w:val="21"/>
          <w:sz w:val="44"/>
          <w:highlight w:val="none"/>
        </w:rPr>
      </w:pPr>
    </w:p>
    <w:p w14:paraId="7AC92FDB">
      <w:pPr>
        <w:spacing w:line="360" w:lineRule="auto"/>
        <w:ind w:firstLine="3507" w:firstLineChars="794"/>
        <w:rPr>
          <w:rFonts w:ascii="宋体" w:hAnsi="宋体" w:cs="宋体"/>
          <w:b/>
          <w:bCs/>
          <w:color w:val="auto"/>
          <w:kern w:val="21"/>
          <w:sz w:val="44"/>
          <w:highlight w:val="none"/>
        </w:rPr>
      </w:pPr>
    </w:p>
    <w:p w14:paraId="522AAF48">
      <w:pPr>
        <w:spacing w:line="360" w:lineRule="auto"/>
        <w:ind w:firstLine="3507" w:firstLineChars="794"/>
        <w:rPr>
          <w:rFonts w:ascii="宋体" w:hAnsi="宋体" w:cs="宋体"/>
          <w:b/>
          <w:bCs/>
          <w:color w:val="auto"/>
          <w:kern w:val="21"/>
          <w:sz w:val="44"/>
          <w:highlight w:val="none"/>
        </w:rPr>
      </w:pPr>
    </w:p>
    <w:p w14:paraId="3C3B82A2">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采购项目编号：</w:t>
      </w:r>
      <w:r>
        <w:rPr>
          <w:rFonts w:hint="eastAsia" w:ascii="宋体" w:hAnsi="宋体" w:cs="宋体"/>
          <w:b/>
          <w:color w:val="auto"/>
          <w:kern w:val="21"/>
          <w:sz w:val="36"/>
          <w:szCs w:val="36"/>
          <w:highlight w:val="none"/>
          <w:u w:val="single"/>
        </w:rPr>
        <w:t xml:space="preserve">                     </w:t>
      </w:r>
    </w:p>
    <w:p w14:paraId="7EB17225">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采购计划编号：</w:t>
      </w:r>
      <w:r>
        <w:rPr>
          <w:rFonts w:hint="eastAsia" w:ascii="宋体" w:hAnsi="宋体" w:cs="宋体"/>
          <w:b/>
          <w:color w:val="auto"/>
          <w:kern w:val="21"/>
          <w:sz w:val="36"/>
          <w:szCs w:val="36"/>
          <w:highlight w:val="none"/>
          <w:u w:val="single"/>
        </w:rPr>
        <w:t xml:space="preserve">                     </w:t>
      </w:r>
    </w:p>
    <w:p w14:paraId="5E2F1353">
      <w:pPr>
        <w:ind w:firstLine="1308" w:firstLineChars="545"/>
        <w:rPr>
          <w:rFonts w:ascii="宋体" w:hAnsi="宋体" w:cs="宋体"/>
          <w:color w:val="auto"/>
          <w:kern w:val="21"/>
          <w:sz w:val="24"/>
          <w:highlight w:val="none"/>
        </w:rPr>
      </w:pPr>
    </w:p>
    <w:p w14:paraId="3A91B6F2">
      <w:pPr>
        <w:ind w:firstLine="1995" w:firstLineChars="552"/>
        <w:rPr>
          <w:rFonts w:ascii="宋体" w:hAnsi="宋体" w:cs="宋体"/>
          <w:b/>
          <w:color w:val="auto"/>
          <w:kern w:val="21"/>
          <w:sz w:val="36"/>
          <w:szCs w:val="36"/>
          <w:highlight w:val="none"/>
          <w:u w:val="single"/>
        </w:rPr>
      </w:pPr>
    </w:p>
    <w:p w14:paraId="0A8176D1">
      <w:pPr>
        <w:ind w:firstLine="1995" w:firstLineChars="552"/>
        <w:rPr>
          <w:rFonts w:ascii="宋体" w:hAnsi="宋体" w:cs="宋体"/>
          <w:b/>
          <w:color w:val="auto"/>
          <w:kern w:val="21"/>
          <w:sz w:val="36"/>
          <w:szCs w:val="36"/>
          <w:highlight w:val="none"/>
          <w:u w:val="single"/>
        </w:rPr>
      </w:pPr>
    </w:p>
    <w:p w14:paraId="183BF985">
      <w:pPr>
        <w:tabs>
          <w:tab w:val="left" w:pos="7200"/>
        </w:tabs>
        <w:spacing w:line="360" w:lineRule="auto"/>
        <w:ind w:firstLine="1995" w:firstLineChars="552"/>
        <w:rPr>
          <w:rFonts w:ascii="宋体" w:hAnsi="宋体" w:cs="宋体"/>
          <w:b/>
          <w:color w:val="auto"/>
          <w:kern w:val="21"/>
          <w:sz w:val="36"/>
          <w:szCs w:val="36"/>
          <w:highlight w:val="none"/>
          <w:u w:val="single"/>
        </w:rPr>
      </w:pPr>
      <w:r>
        <w:rPr>
          <w:rFonts w:hint="eastAsia" w:ascii="宋体" w:hAnsi="宋体" w:cs="宋体"/>
          <w:b/>
          <w:color w:val="auto"/>
          <w:kern w:val="21"/>
          <w:sz w:val="36"/>
          <w:szCs w:val="36"/>
          <w:highlight w:val="none"/>
        </w:rPr>
        <w:t>采购人：</w:t>
      </w:r>
      <w:r>
        <w:rPr>
          <w:rFonts w:hint="eastAsia" w:ascii="宋体" w:hAnsi="宋体" w:cs="宋体"/>
          <w:b/>
          <w:color w:val="auto"/>
          <w:kern w:val="21"/>
          <w:sz w:val="36"/>
          <w:szCs w:val="36"/>
          <w:highlight w:val="none"/>
          <w:u w:val="single"/>
        </w:rPr>
        <w:t xml:space="preserve">                       </w:t>
      </w:r>
    </w:p>
    <w:p w14:paraId="1F8475AB">
      <w:pPr>
        <w:tabs>
          <w:tab w:val="left" w:pos="7380"/>
        </w:tabs>
        <w:spacing w:line="360" w:lineRule="auto"/>
        <w:ind w:firstLine="1995" w:firstLineChars="552"/>
        <w:rPr>
          <w:rFonts w:ascii="宋体" w:hAnsi="宋体" w:cs="宋体"/>
          <w:b/>
          <w:bCs/>
          <w:color w:val="auto"/>
          <w:kern w:val="21"/>
          <w:sz w:val="44"/>
          <w:highlight w:val="none"/>
        </w:rPr>
      </w:pPr>
      <w:r>
        <w:rPr>
          <w:rFonts w:hint="eastAsia" w:ascii="宋体" w:hAnsi="宋体" w:cs="宋体"/>
          <w:b/>
          <w:color w:val="auto"/>
          <w:kern w:val="21"/>
          <w:sz w:val="36"/>
          <w:szCs w:val="36"/>
          <w:highlight w:val="none"/>
        </w:rPr>
        <w:t>成交供应商：</w:t>
      </w:r>
      <w:r>
        <w:rPr>
          <w:rFonts w:hint="eastAsia" w:ascii="宋体" w:hAnsi="宋体" w:cs="宋体"/>
          <w:b/>
          <w:color w:val="auto"/>
          <w:kern w:val="21"/>
          <w:sz w:val="36"/>
          <w:szCs w:val="36"/>
          <w:highlight w:val="none"/>
          <w:u w:val="single"/>
        </w:rPr>
        <w:t xml:space="preserve">                   </w:t>
      </w:r>
    </w:p>
    <w:p w14:paraId="73AEBB76">
      <w:pPr>
        <w:tabs>
          <w:tab w:val="left" w:pos="7380"/>
        </w:tabs>
        <w:spacing w:line="360" w:lineRule="auto"/>
        <w:rPr>
          <w:rFonts w:ascii="宋体" w:hAnsi="宋体" w:cs="宋体"/>
          <w:b/>
          <w:bCs/>
          <w:color w:val="auto"/>
          <w:kern w:val="21"/>
          <w:sz w:val="44"/>
          <w:highlight w:val="none"/>
        </w:rPr>
      </w:pPr>
    </w:p>
    <w:p w14:paraId="05C79468">
      <w:pPr>
        <w:jc w:val="center"/>
        <w:rPr>
          <w:rFonts w:ascii="宋体" w:hAnsi="宋体" w:cs="宋体"/>
          <w:b/>
          <w:color w:val="auto"/>
          <w:kern w:val="21"/>
          <w:sz w:val="36"/>
          <w:szCs w:val="36"/>
          <w:highlight w:val="none"/>
        </w:rPr>
      </w:pPr>
      <w:r>
        <w:rPr>
          <w:rFonts w:hint="eastAsia" w:ascii="宋体" w:hAnsi="宋体" w:cs="宋体"/>
          <w:b/>
          <w:bCs/>
          <w:color w:val="auto"/>
          <w:kern w:val="21"/>
          <w:sz w:val="44"/>
          <w:highlight w:val="none"/>
        </w:rPr>
        <w:br w:type="page"/>
      </w:r>
      <w:r>
        <w:rPr>
          <w:rFonts w:hint="eastAsia" w:ascii="宋体" w:hAnsi="宋体" w:cs="宋体"/>
          <w:b/>
          <w:color w:val="auto"/>
          <w:kern w:val="21"/>
          <w:sz w:val="36"/>
          <w:szCs w:val="36"/>
          <w:highlight w:val="none"/>
          <w:lang w:bidi="ar"/>
        </w:rPr>
        <w:t>目  录</w:t>
      </w:r>
    </w:p>
    <w:p w14:paraId="2618BD38">
      <w:pPr>
        <w:spacing w:line="360" w:lineRule="auto"/>
        <w:ind w:left="359" w:leftChars="171" w:firstLine="198" w:firstLineChars="71"/>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ab/>
      </w:r>
    </w:p>
    <w:p w14:paraId="5DCB1557">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 xml:space="preserve">一、广西壮族自治区政府采购合同书 </w:t>
      </w:r>
    </w:p>
    <w:p w14:paraId="7C18A4BF">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二、合同附件</w:t>
      </w:r>
    </w:p>
    <w:p w14:paraId="1EB94D35">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附件1：成交通知书</w:t>
      </w:r>
    </w:p>
    <w:p w14:paraId="35C9B9BA">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附件2：项目采购需求</w:t>
      </w:r>
    </w:p>
    <w:p w14:paraId="12C26906">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附件3：资格声明函</w:t>
      </w:r>
    </w:p>
    <w:p w14:paraId="09A21003">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附件4：第一次报价</w:t>
      </w:r>
    </w:p>
    <w:p w14:paraId="36B1BBD5">
      <w:pPr>
        <w:spacing w:line="360" w:lineRule="auto"/>
        <w:ind w:firstLine="560" w:firstLineChars="200"/>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附件5：商务条款偏离表、服务需求偏离表</w:t>
      </w:r>
    </w:p>
    <w:p w14:paraId="50A703FE">
      <w:pPr>
        <w:pStyle w:val="27"/>
        <w:spacing w:line="360" w:lineRule="auto"/>
        <w:ind w:firstLine="560" w:firstLineChars="200"/>
        <w:rPr>
          <w:rFonts w:hint="eastAsia"/>
          <w:color w:val="auto"/>
          <w:kern w:val="21"/>
          <w:sz w:val="28"/>
          <w:szCs w:val="28"/>
          <w:highlight w:val="none"/>
        </w:rPr>
      </w:pPr>
      <w:r>
        <w:rPr>
          <w:rFonts w:hint="eastAsia"/>
          <w:color w:val="auto"/>
          <w:kern w:val="21"/>
          <w:sz w:val="28"/>
          <w:szCs w:val="28"/>
          <w:highlight w:val="none"/>
        </w:rPr>
        <w:t>附件6：最后报价</w:t>
      </w:r>
    </w:p>
    <w:p w14:paraId="5F72B03F">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附件7：售后服务承诺</w:t>
      </w:r>
    </w:p>
    <w:p w14:paraId="7515AA4D">
      <w:pPr>
        <w:snapToGrid w:val="0"/>
        <w:spacing w:line="360" w:lineRule="exact"/>
        <w:jc w:val="center"/>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 xml:space="preserve"> </w:t>
      </w:r>
    </w:p>
    <w:p w14:paraId="54C72794">
      <w:pPr>
        <w:pStyle w:val="18"/>
        <w:spacing w:line="480" w:lineRule="auto"/>
        <w:ind w:right="420"/>
        <w:jc w:val="center"/>
        <w:rPr>
          <w:rFonts w:hAnsi="宋体" w:cs="宋体"/>
          <w:b/>
          <w:bCs/>
          <w:color w:val="auto"/>
          <w:kern w:val="21"/>
          <w:sz w:val="32"/>
          <w:szCs w:val="32"/>
          <w:highlight w:val="none"/>
        </w:rPr>
      </w:pPr>
      <w:r>
        <w:rPr>
          <w:rFonts w:hint="eastAsia" w:hAnsi="宋体" w:cs="宋体"/>
          <w:b/>
          <w:bCs/>
          <w:color w:val="auto"/>
          <w:kern w:val="21"/>
          <w:sz w:val="32"/>
          <w:szCs w:val="32"/>
          <w:highlight w:val="none"/>
        </w:rPr>
        <w:br w:type="page"/>
      </w:r>
      <w:r>
        <w:rPr>
          <w:rFonts w:hint="eastAsia" w:hAnsi="宋体" w:cs="宋体"/>
          <w:b/>
          <w:bCs/>
          <w:color w:val="auto"/>
          <w:kern w:val="21"/>
          <w:sz w:val="32"/>
          <w:szCs w:val="32"/>
          <w:highlight w:val="none"/>
        </w:rPr>
        <w:t>广西壮族自治区政府采购合同（格式）</w:t>
      </w:r>
    </w:p>
    <w:p w14:paraId="47535B7E">
      <w:pPr>
        <w:snapToGrid w:val="0"/>
        <w:spacing w:line="400" w:lineRule="exact"/>
        <w:ind w:right="480" w:firstLine="5985" w:firstLineChars="2850"/>
        <w:rPr>
          <w:rFonts w:ascii="宋体" w:hAnsi="宋体" w:cs="宋体"/>
          <w:bCs/>
          <w:color w:val="auto"/>
          <w:kern w:val="21"/>
          <w:szCs w:val="21"/>
          <w:highlight w:val="none"/>
          <w:u w:val="single"/>
        </w:rPr>
      </w:pPr>
      <w:r>
        <w:rPr>
          <w:rFonts w:hint="eastAsia" w:ascii="宋体" w:hAnsi="宋体" w:cs="宋体"/>
          <w:bCs/>
          <w:color w:val="auto"/>
          <w:kern w:val="21"/>
          <w:szCs w:val="21"/>
          <w:highlight w:val="none"/>
        </w:rPr>
        <w:t>合同编号：</w:t>
      </w:r>
    </w:p>
    <w:p w14:paraId="7F5766E6">
      <w:pPr>
        <w:snapToGrid w:val="0"/>
        <w:spacing w:line="400" w:lineRule="exact"/>
        <w:rPr>
          <w:rFonts w:ascii="宋体" w:hAnsi="宋体" w:cs="宋体"/>
          <w:color w:val="auto"/>
          <w:kern w:val="21"/>
          <w:szCs w:val="21"/>
          <w:highlight w:val="none"/>
        </w:rPr>
      </w:pPr>
    </w:p>
    <w:p w14:paraId="5C1E8004">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采购单位（甲方）</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采 购 计 划 号</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3D1FFFE5">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供 应 商（乙方）</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项目名称编号</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25B756A3">
      <w:pPr>
        <w:snapToGrid w:val="0"/>
        <w:spacing w:line="400" w:lineRule="exact"/>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 xml:space="preserve">签  订  地  点 </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签 订 时 间</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5BC728D9">
      <w:pPr>
        <w:spacing w:line="400" w:lineRule="exact"/>
        <w:ind w:firstLine="420" w:firstLineChars="200"/>
        <w:rPr>
          <w:rFonts w:hint="eastAsia" w:ascii="宋体" w:hAnsi="宋体" w:eastAsia="宋体" w:cs="宋体"/>
          <w:color w:val="auto"/>
          <w:kern w:val="21"/>
          <w:sz w:val="21"/>
          <w:szCs w:val="21"/>
          <w:highlight w:val="none"/>
        </w:rPr>
      </w:pPr>
    </w:p>
    <w:p w14:paraId="36D159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根据《中华人民共和国政府采购法》《中华人民共和国民法典》等法律、法规的规定，甲乙双方基于公平原则，就甲方委托乙方提供</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宣传服务的相关事宜，签订本合同。</w:t>
      </w:r>
    </w:p>
    <w:p w14:paraId="3439E8BC">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2" w:name="_Toc15073"/>
      <w:r>
        <w:rPr>
          <w:rFonts w:hint="eastAsia" w:ascii="宋体" w:hAnsi="宋体" w:eastAsia="宋体" w:cs="宋体"/>
          <w:b/>
          <w:sz w:val="21"/>
          <w:szCs w:val="21"/>
          <w:highlight w:val="none"/>
        </w:rPr>
        <w:t>第一条　合同标的</w:t>
      </w:r>
      <w:bookmarkEnd w:id="102"/>
    </w:p>
    <w:p w14:paraId="026CB04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1.项目一览表</w:t>
      </w:r>
    </w:p>
    <w:tbl>
      <w:tblPr>
        <w:tblStyle w:val="32"/>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90"/>
        <w:gridCol w:w="2220"/>
        <w:gridCol w:w="765"/>
        <w:gridCol w:w="690"/>
        <w:gridCol w:w="1248"/>
        <w:gridCol w:w="1335"/>
      </w:tblGrid>
      <w:tr w14:paraId="7E87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E21171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590" w:type="dxa"/>
            <w:tcBorders>
              <w:top w:val="single" w:color="auto" w:sz="4" w:space="0"/>
              <w:left w:val="single" w:color="auto" w:sz="4" w:space="0"/>
              <w:bottom w:val="single" w:color="auto" w:sz="4" w:space="0"/>
              <w:right w:val="single" w:color="auto" w:sz="4" w:space="0"/>
            </w:tcBorders>
            <w:vAlign w:val="center"/>
          </w:tcPr>
          <w:p w14:paraId="3AA100B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名称</w:t>
            </w:r>
          </w:p>
        </w:tc>
        <w:tc>
          <w:tcPr>
            <w:tcW w:w="2220" w:type="dxa"/>
            <w:tcBorders>
              <w:top w:val="single" w:color="auto" w:sz="4" w:space="0"/>
              <w:left w:val="single" w:color="auto" w:sz="4" w:space="0"/>
              <w:bottom w:val="single" w:color="auto" w:sz="4" w:space="0"/>
              <w:right w:val="single" w:color="auto" w:sz="4" w:space="0"/>
            </w:tcBorders>
            <w:vAlign w:val="center"/>
          </w:tcPr>
          <w:p w14:paraId="59EDB65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765" w:type="dxa"/>
            <w:tcBorders>
              <w:top w:val="single" w:color="auto" w:sz="4" w:space="0"/>
              <w:left w:val="single" w:color="auto" w:sz="4" w:space="0"/>
              <w:bottom w:val="single" w:color="auto" w:sz="4" w:space="0"/>
              <w:right w:val="single" w:color="auto" w:sz="4" w:space="0"/>
            </w:tcBorders>
            <w:vAlign w:val="center"/>
          </w:tcPr>
          <w:p w14:paraId="7B8D00F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690" w:type="dxa"/>
            <w:tcBorders>
              <w:top w:val="single" w:color="auto" w:sz="4" w:space="0"/>
              <w:left w:val="single" w:color="auto" w:sz="4" w:space="0"/>
              <w:bottom w:val="single" w:color="auto" w:sz="4" w:space="0"/>
              <w:right w:val="single" w:color="auto" w:sz="4" w:space="0"/>
            </w:tcBorders>
            <w:vAlign w:val="center"/>
          </w:tcPr>
          <w:p w14:paraId="7FD7E30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1248" w:type="dxa"/>
            <w:tcBorders>
              <w:top w:val="single" w:color="auto" w:sz="4" w:space="0"/>
              <w:left w:val="single" w:color="auto" w:sz="4" w:space="0"/>
              <w:bottom w:val="single" w:color="auto" w:sz="4" w:space="0"/>
              <w:right w:val="single" w:color="auto" w:sz="4" w:space="0"/>
            </w:tcBorders>
            <w:vAlign w:val="center"/>
          </w:tcPr>
          <w:p w14:paraId="54EF521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单价（元）</w:t>
            </w:r>
          </w:p>
        </w:tc>
        <w:tc>
          <w:tcPr>
            <w:tcW w:w="1335" w:type="dxa"/>
            <w:tcBorders>
              <w:top w:val="single" w:color="auto" w:sz="4" w:space="0"/>
              <w:left w:val="single" w:color="auto" w:sz="4" w:space="0"/>
              <w:bottom w:val="single" w:color="auto" w:sz="4" w:space="0"/>
              <w:right w:val="single" w:color="auto" w:sz="4" w:space="0"/>
            </w:tcBorders>
            <w:vAlign w:val="center"/>
          </w:tcPr>
          <w:p w14:paraId="7DECE95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总价（元）</w:t>
            </w:r>
          </w:p>
        </w:tc>
      </w:tr>
      <w:tr w14:paraId="586A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58FFA5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90" w:type="dxa"/>
            <w:tcBorders>
              <w:top w:val="single" w:color="auto" w:sz="4" w:space="0"/>
              <w:left w:val="single" w:color="auto" w:sz="4" w:space="0"/>
              <w:bottom w:val="single" w:color="auto" w:sz="4" w:space="0"/>
              <w:right w:val="single" w:color="auto" w:sz="4" w:space="0"/>
            </w:tcBorders>
            <w:vAlign w:val="center"/>
          </w:tcPr>
          <w:p w14:paraId="5138CFD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AI赋能千行百业超级联赛对外宣传服务</w:t>
            </w:r>
          </w:p>
        </w:tc>
        <w:tc>
          <w:tcPr>
            <w:tcW w:w="2220" w:type="dxa"/>
            <w:tcBorders>
              <w:top w:val="single" w:color="auto" w:sz="4" w:space="0"/>
              <w:left w:val="single" w:color="auto" w:sz="4" w:space="0"/>
              <w:bottom w:val="single" w:color="auto" w:sz="4" w:space="0"/>
              <w:right w:val="single" w:color="auto" w:sz="4" w:space="0"/>
            </w:tcBorders>
            <w:vAlign w:val="center"/>
          </w:tcPr>
          <w:p w14:paraId="5B92435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内容详见《</w:t>
            </w:r>
            <w:r>
              <w:rPr>
                <w:rFonts w:hint="eastAsia" w:ascii="宋体" w:hAnsi="宋体" w:eastAsia="宋体" w:cs="宋体"/>
                <w:sz w:val="21"/>
                <w:szCs w:val="21"/>
                <w:highlight w:val="none"/>
                <w:lang w:val="en-US" w:eastAsia="zh-CN"/>
              </w:rPr>
              <w:t>AI赋能千行百业超级联赛对外宣传服务采购需求</w:t>
            </w:r>
            <w:r>
              <w:rPr>
                <w:rFonts w:hint="eastAsia" w:ascii="宋体" w:hAnsi="宋体" w:eastAsia="宋体" w:cs="宋体"/>
                <w:sz w:val="21"/>
                <w:szCs w:val="21"/>
                <w:highlight w:val="none"/>
              </w:rPr>
              <w:t>》</w:t>
            </w:r>
          </w:p>
        </w:tc>
        <w:tc>
          <w:tcPr>
            <w:tcW w:w="765" w:type="dxa"/>
            <w:tcBorders>
              <w:top w:val="single" w:color="auto" w:sz="4" w:space="0"/>
              <w:left w:val="single" w:color="auto" w:sz="4" w:space="0"/>
              <w:bottom w:val="single" w:color="auto" w:sz="4" w:space="0"/>
              <w:right w:val="single" w:color="auto" w:sz="4" w:space="0"/>
            </w:tcBorders>
            <w:vAlign w:val="center"/>
          </w:tcPr>
          <w:p w14:paraId="08BF196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90" w:type="dxa"/>
            <w:tcBorders>
              <w:top w:val="single" w:color="auto" w:sz="4" w:space="0"/>
              <w:left w:val="single" w:color="auto" w:sz="4" w:space="0"/>
              <w:bottom w:val="single" w:color="auto" w:sz="4" w:space="0"/>
              <w:right w:val="single" w:color="auto" w:sz="4" w:space="0"/>
            </w:tcBorders>
            <w:vAlign w:val="center"/>
          </w:tcPr>
          <w:p w14:paraId="5703043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1248" w:type="dxa"/>
            <w:tcBorders>
              <w:top w:val="single" w:color="auto" w:sz="4" w:space="0"/>
              <w:left w:val="single" w:color="auto" w:sz="4" w:space="0"/>
              <w:bottom w:val="single" w:color="auto" w:sz="4" w:space="0"/>
              <w:right w:val="single" w:color="auto" w:sz="4" w:space="0"/>
            </w:tcBorders>
            <w:vAlign w:val="center"/>
          </w:tcPr>
          <w:p w14:paraId="3D7BBF8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77F8F22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outlineLvl w:val="9"/>
              <w:rPr>
                <w:rFonts w:hint="eastAsia" w:ascii="宋体" w:hAnsi="宋体" w:eastAsia="宋体" w:cs="宋体"/>
                <w:sz w:val="21"/>
                <w:szCs w:val="21"/>
                <w:highlight w:val="none"/>
              </w:rPr>
            </w:pPr>
          </w:p>
        </w:tc>
      </w:tr>
      <w:tr w14:paraId="3DA8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58" w:type="dxa"/>
            <w:gridSpan w:val="7"/>
            <w:tcBorders>
              <w:top w:val="single" w:color="auto" w:sz="4" w:space="0"/>
              <w:left w:val="single" w:color="auto" w:sz="4" w:space="0"/>
              <w:bottom w:val="single" w:color="auto" w:sz="4" w:space="0"/>
              <w:right w:val="single" w:color="auto" w:sz="4" w:space="0"/>
            </w:tcBorders>
            <w:vAlign w:val="center"/>
          </w:tcPr>
          <w:p w14:paraId="7152F7C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0" w:firstLine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人民币合计金额（大写）：</w:t>
            </w:r>
            <w:r>
              <w:rPr>
                <w:rFonts w:hint="eastAsia" w:ascii="宋体" w:hAnsi="宋体" w:eastAsia="宋体" w:cs="宋体"/>
                <w:sz w:val="21"/>
                <w:szCs w:val="21"/>
                <w:highlight w:val="none"/>
                <w:u w:val="single"/>
              </w:rPr>
              <w:t xml:space="preserve">          元整 </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tc>
      </w:tr>
    </w:tbl>
    <w:p w14:paraId="3715A51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2.合同合计金额为完成</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rPr>
        <w:t>指定内容的整体包干价，包括但不限于技术工作费、人工费、设计费、材料费、验收费、差旅费、管理费、劳务费、邮寄费、维护、保险、利润及税金等所有费用</w:t>
      </w:r>
      <w:r>
        <w:rPr>
          <w:rFonts w:hint="eastAsia" w:ascii="宋体" w:hAnsi="宋体" w:eastAsia="宋体" w:cs="宋体"/>
          <w:kern w:val="2"/>
          <w:sz w:val="21"/>
          <w:szCs w:val="21"/>
          <w:highlight w:val="none"/>
          <w:shd w:val="clear"/>
        </w:rPr>
        <w:t>。</w:t>
      </w:r>
    </w:p>
    <w:p w14:paraId="765EDDC5">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bookmarkStart w:id="103" w:name="_Toc27861"/>
      <w:r>
        <w:rPr>
          <w:rFonts w:hint="eastAsia" w:ascii="宋体" w:hAnsi="宋体" w:eastAsia="宋体" w:cs="宋体"/>
          <w:b/>
          <w:sz w:val="21"/>
          <w:szCs w:val="21"/>
          <w:highlight w:val="none"/>
        </w:rPr>
        <w:t>第二条　</w:t>
      </w:r>
      <w:bookmarkEnd w:id="103"/>
      <w:r>
        <w:rPr>
          <w:rFonts w:hint="eastAsia" w:ascii="宋体" w:hAnsi="宋体" w:eastAsia="宋体" w:cs="宋体"/>
          <w:b/>
          <w:bCs/>
          <w:sz w:val="21"/>
          <w:szCs w:val="21"/>
          <w:highlight w:val="none"/>
        </w:rPr>
        <w:t>双方的权利和义务</w:t>
      </w:r>
    </w:p>
    <w:p w14:paraId="3397D60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（一）甲方的权利义务</w:t>
      </w:r>
    </w:p>
    <w:p w14:paraId="5D73AD7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1.甲方有权对乙方履行合同进行指导</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监督和提供建议。</w:t>
      </w:r>
    </w:p>
    <w:p w14:paraId="09C9914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2.甲方有权向乙方了解合同履行的进展情况，乙方应向甲方及时据实报告，若根据乙方报告的情况，甲方认为进度明显滞后的，甲方有权要求乙方在合理期限内整改至甲方要求的进度。</w:t>
      </w:r>
    </w:p>
    <w:p w14:paraId="37F43EA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3.甲方应按照《</w:t>
      </w:r>
      <w:r>
        <w:rPr>
          <w:rFonts w:hint="eastAsia" w:ascii="宋体" w:hAnsi="宋体" w:eastAsia="宋体" w:cs="宋体"/>
          <w:sz w:val="21"/>
          <w:szCs w:val="21"/>
          <w:highlight w:val="none"/>
          <w:u w:val="none"/>
          <w:lang w:val="en-US" w:eastAsia="zh-CN"/>
        </w:rPr>
        <w:t>采购需求</w:t>
      </w:r>
      <w:r>
        <w:rPr>
          <w:rFonts w:hint="eastAsia" w:ascii="宋体" w:hAnsi="宋体" w:eastAsia="宋体" w:cs="宋体"/>
          <w:sz w:val="21"/>
          <w:szCs w:val="21"/>
          <w:highlight w:val="none"/>
        </w:rPr>
        <w:t>》的工作要求，及时审核乙方提供的活动策划方案、活动计划等。对于乙方交付的活动方案、计划等，甲方应在5个工作日内提出书面调整意见，乙方应及时予以修改，但因甲方调整造成活动执行时间延迟的，乙方不承担责任。</w:t>
      </w:r>
    </w:p>
    <w:p w14:paraId="73AADBF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4.乙方在履行本合同过程中形成的策划方案、解决方案等成果和阶段性成果的所有权及知识产权归甲方所有。</w:t>
      </w:r>
    </w:p>
    <w:p w14:paraId="2617DD1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（二）乙方的权利义务</w:t>
      </w:r>
    </w:p>
    <w:p w14:paraId="4ECDFB4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1.根据《</w:t>
      </w:r>
      <w:r>
        <w:rPr>
          <w:rFonts w:hint="eastAsia" w:ascii="宋体" w:hAnsi="宋体" w:eastAsia="宋体" w:cs="宋体"/>
          <w:sz w:val="21"/>
          <w:szCs w:val="21"/>
          <w:highlight w:val="none"/>
          <w:u w:val="none"/>
          <w:lang w:val="en-US" w:eastAsia="zh-CN"/>
        </w:rPr>
        <w:t>采购需求</w:t>
      </w:r>
      <w:r>
        <w:rPr>
          <w:rFonts w:hint="eastAsia" w:ascii="宋体" w:hAnsi="宋体" w:eastAsia="宋体" w:cs="宋体"/>
          <w:sz w:val="21"/>
          <w:szCs w:val="21"/>
          <w:highlight w:val="none"/>
        </w:rPr>
        <w:t>》的工作要求，乙方应提供具有符合甲方活动要求的人力、资源完成宣传活动各项工作，乙方接受甲方对其工作的指导，根据甲方合理要求及实际情况，对有合作内容的履行方案进行及时地调整。</w:t>
      </w:r>
    </w:p>
    <w:p w14:paraId="516E628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应根据本次活动的情况与甲方进行必要的业务交流，要求甲方提供必要的信息和资料，并不定期向甲方汇报活动进展情况。就甲方提供的内容，包括但不限于数据、文字、图片、视频，有不符合国家有关法律、法规、政策或存在侵权情况的，乙方可及时通知甲方进行修改或更换。</w:t>
      </w:r>
    </w:p>
    <w:p w14:paraId="4F1357A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3.乙方保证为甲方服务所设计/形成/策划的文字、图片、活动方案的质量及合法性。</w:t>
      </w:r>
    </w:p>
    <w:p w14:paraId="0149BFE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4.乙方应保证所提供服务在甲方使用时不会侵犯任何第三方的专利权、商标权等知识产权及肖像权、隐私权等合法权利，且甲方的所有权、处分权等没有受到任何限制。</w:t>
      </w:r>
    </w:p>
    <w:p w14:paraId="0DA15AC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049F3CA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6.乙方不得将本协议项目非法分包或转包给任何单位和个人。</w:t>
      </w:r>
    </w:p>
    <w:p w14:paraId="34DDC7C3">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第三条　付款方式</w:t>
      </w:r>
    </w:p>
    <w:p w14:paraId="27088AE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自合同签订之日起10个工作日内，</w:t>
      </w:r>
      <w:r>
        <w:rPr>
          <w:rFonts w:hint="eastAsia" w:ascii="宋体" w:hAnsi="宋体" w:eastAsia="宋体" w:cs="宋体"/>
          <w:sz w:val="21"/>
          <w:szCs w:val="21"/>
          <w:highlight w:val="none"/>
        </w:rPr>
        <w:t>甲方</w:t>
      </w:r>
      <w:r>
        <w:rPr>
          <w:rFonts w:hint="eastAsia" w:ascii="宋体" w:hAnsi="宋体" w:eastAsia="宋体" w:cs="宋体"/>
          <w:color w:val="auto"/>
          <w:kern w:val="2"/>
          <w:sz w:val="21"/>
          <w:szCs w:val="21"/>
          <w:highlight w:val="none"/>
          <w:lang w:val="en-US" w:eastAsia="zh-CN" w:bidi="ar"/>
        </w:rPr>
        <w:t>向</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支付合同金额的40%；服务成果提交并通过</w:t>
      </w:r>
      <w:r>
        <w:rPr>
          <w:rFonts w:hint="eastAsia" w:ascii="宋体" w:hAnsi="宋体" w:eastAsia="宋体" w:cs="宋体"/>
          <w:sz w:val="21"/>
          <w:szCs w:val="21"/>
          <w:highlight w:val="none"/>
        </w:rPr>
        <w:t>甲方</w:t>
      </w:r>
      <w:r>
        <w:rPr>
          <w:rFonts w:hint="eastAsia" w:ascii="宋体" w:hAnsi="宋体" w:eastAsia="宋体" w:cs="宋体"/>
          <w:color w:val="auto"/>
          <w:kern w:val="2"/>
          <w:sz w:val="21"/>
          <w:szCs w:val="21"/>
          <w:highlight w:val="none"/>
          <w:lang w:val="en-US" w:eastAsia="zh-CN" w:bidi="ar"/>
        </w:rPr>
        <w:t>组织专家验收后10个工作日内，</w:t>
      </w:r>
      <w:r>
        <w:rPr>
          <w:rFonts w:hint="eastAsia" w:ascii="宋体" w:hAnsi="宋体" w:eastAsia="宋体" w:cs="宋体"/>
          <w:sz w:val="21"/>
          <w:szCs w:val="21"/>
          <w:highlight w:val="none"/>
        </w:rPr>
        <w:t>甲方</w:t>
      </w:r>
      <w:r>
        <w:rPr>
          <w:rFonts w:hint="eastAsia" w:ascii="宋体" w:hAnsi="宋体" w:eastAsia="宋体" w:cs="宋体"/>
          <w:color w:val="auto"/>
          <w:kern w:val="2"/>
          <w:sz w:val="21"/>
          <w:szCs w:val="21"/>
          <w:highlight w:val="none"/>
          <w:lang w:val="en-US" w:eastAsia="zh-CN" w:bidi="ar"/>
        </w:rPr>
        <w:t>向</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支付合同金额的60%。每次付款前，</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需向</w:t>
      </w:r>
      <w:r>
        <w:rPr>
          <w:rFonts w:hint="eastAsia" w:ascii="宋体" w:hAnsi="宋体" w:eastAsia="宋体" w:cs="宋体"/>
          <w:sz w:val="21"/>
          <w:szCs w:val="21"/>
          <w:highlight w:val="none"/>
        </w:rPr>
        <w:t>甲方</w:t>
      </w:r>
      <w:r>
        <w:rPr>
          <w:rFonts w:hint="eastAsia" w:ascii="宋体" w:hAnsi="宋体" w:eastAsia="宋体" w:cs="宋体"/>
          <w:color w:val="auto"/>
          <w:kern w:val="2"/>
          <w:sz w:val="21"/>
          <w:szCs w:val="21"/>
          <w:highlight w:val="none"/>
          <w:lang w:val="en-US" w:eastAsia="zh-CN" w:bidi="ar"/>
        </w:rPr>
        <w:t>提供请款函及等额合法有效的增值税发票。</w:t>
      </w:r>
    </w:p>
    <w:p w14:paraId="0530F7F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甲方发票信息：</w:t>
      </w:r>
    </w:p>
    <w:p w14:paraId="7360627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单位名称： </w:t>
      </w:r>
    </w:p>
    <w:p w14:paraId="232F6E7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税号： </w:t>
      </w:r>
    </w:p>
    <w:p w14:paraId="1FE934A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地址及电话：</w:t>
      </w:r>
    </w:p>
    <w:p w14:paraId="436EF16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w:t>
      </w:r>
    </w:p>
    <w:p w14:paraId="31C827C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银行账号： </w:t>
      </w:r>
    </w:p>
    <w:p w14:paraId="1947652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.乙方账户信息：</w:t>
      </w:r>
    </w:p>
    <w:p w14:paraId="31FCE8C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名称： </w:t>
      </w:r>
    </w:p>
    <w:p w14:paraId="64D49597">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w:t>
      </w:r>
    </w:p>
    <w:p w14:paraId="0005CEA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银行账号： </w:t>
      </w:r>
    </w:p>
    <w:p w14:paraId="62C08540">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bookmarkStart w:id="104" w:name="_Toc28219"/>
      <w:r>
        <w:rPr>
          <w:rFonts w:hint="eastAsia" w:ascii="宋体" w:hAnsi="宋体" w:eastAsia="宋体" w:cs="宋体"/>
          <w:b/>
          <w:sz w:val="21"/>
          <w:szCs w:val="21"/>
          <w:highlight w:val="none"/>
        </w:rPr>
        <w:t>第四条　服务期限、交付和验收</w:t>
      </w:r>
      <w:bookmarkEnd w:id="104"/>
    </w:p>
    <w:p w14:paraId="7C356D2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rPr>
        <w:t>1.服务期限：</w:t>
      </w:r>
      <w:r>
        <w:rPr>
          <w:rFonts w:hint="eastAsia" w:ascii="宋体" w:hAnsi="宋体" w:eastAsia="宋体" w:cs="宋体"/>
          <w:color w:val="auto"/>
          <w:sz w:val="21"/>
          <w:szCs w:val="21"/>
          <w:highlight w:val="none"/>
        </w:rPr>
        <w:t>合同签订之日起至</w:t>
      </w:r>
      <w:r>
        <w:rPr>
          <w:rFonts w:hint="eastAsia" w:ascii="宋体" w:hAnsi="宋体" w:cs="宋体"/>
          <w:color w:val="auto"/>
          <w:sz w:val="21"/>
          <w:szCs w:val="21"/>
          <w:highlight w:val="none"/>
          <w:lang w:val="en-US" w:eastAsia="zh-CN"/>
        </w:rPr>
        <w:t>全部</w:t>
      </w:r>
      <w:r>
        <w:rPr>
          <w:rFonts w:hint="eastAsia" w:ascii="宋体" w:hAnsi="宋体" w:eastAsia="宋体" w:cs="宋体"/>
          <w:color w:val="auto"/>
          <w:sz w:val="21"/>
          <w:szCs w:val="21"/>
          <w:highlight w:val="none"/>
        </w:rPr>
        <w:t>活动结束</w:t>
      </w:r>
      <w:r>
        <w:rPr>
          <w:rFonts w:hint="eastAsia" w:ascii="宋体" w:hAnsi="宋体" w:eastAsia="宋体" w:cs="宋体"/>
          <w:color w:val="auto"/>
          <w:sz w:val="21"/>
          <w:szCs w:val="21"/>
          <w:highlight w:val="none"/>
          <w:u w:val="none"/>
        </w:rPr>
        <w:t>后40</w:t>
      </w:r>
      <w:r>
        <w:rPr>
          <w:rFonts w:hint="eastAsia" w:ascii="宋体" w:hAnsi="宋体" w:eastAsia="宋体" w:cs="宋体"/>
          <w:color w:val="auto"/>
          <w:sz w:val="21"/>
          <w:szCs w:val="21"/>
          <w:highlight w:val="none"/>
          <w:u w:val="none"/>
          <w:lang w:val="en-US" w:eastAsia="zh-CN"/>
        </w:rPr>
        <w:t>个工作日</w:t>
      </w:r>
      <w:r>
        <w:rPr>
          <w:rFonts w:hint="eastAsia" w:ascii="宋体" w:hAnsi="宋体" w:eastAsia="宋体" w:cs="宋体"/>
          <w:sz w:val="21"/>
          <w:szCs w:val="21"/>
          <w:highlight w:val="none"/>
          <w:u w:val="none"/>
        </w:rPr>
        <w:t>。</w:t>
      </w:r>
    </w:p>
    <w:p w14:paraId="5D2B4AE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服务地点：广西</w:t>
      </w:r>
      <w:r>
        <w:rPr>
          <w:rFonts w:hint="eastAsia" w:ascii="宋体" w:hAnsi="宋体" w:eastAsia="宋体" w:cs="宋体"/>
          <w:sz w:val="21"/>
          <w:szCs w:val="21"/>
          <w:highlight w:val="none"/>
          <w:u w:val="none"/>
          <w:lang w:eastAsia="zh-CN"/>
        </w:rPr>
        <w:t>壮族自治区</w:t>
      </w:r>
      <w:r>
        <w:rPr>
          <w:rFonts w:hint="eastAsia" w:ascii="宋体" w:hAnsi="宋体" w:eastAsia="宋体" w:cs="宋体"/>
          <w:sz w:val="21"/>
          <w:szCs w:val="21"/>
          <w:highlight w:val="none"/>
          <w:u w:val="none"/>
        </w:rPr>
        <w:t>南宁市内甲方指定地</w:t>
      </w:r>
      <w:r>
        <w:rPr>
          <w:rFonts w:hint="eastAsia" w:ascii="宋体" w:hAnsi="宋体" w:cs="宋体"/>
          <w:sz w:val="21"/>
          <w:szCs w:val="21"/>
          <w:highlight w:val="none"/>
          <w:u w:val="none"/>
          <w:lang w:val="en-US" w:eastAsia="zh-CN"/>
        </w:rPr>
        <w:t>点</w:t>
      </w:r>
      <w:r>
        <w:rPr>
          <w:rFonts w:hint="eastAsia" w:ascii="宋体" w:hAnsi="宋体" w:eastAsia="宋体" w:cs="宋体"/>
          <w:sz w:val="21"/>
          <w:szCs w:val="21"/>
          <w:highlight w:val="none"/>
          <w:u w:val="none"/>
        </w:rPr>
        <w:t>。</w:t>
      </w:r>
    </w:p>
    <w:p w14:paraId="77D8E76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2.乙方应按附件一的服务内容及要求向甲方提供相应的服务，并提供所服务内容的相关技术资料。</w:t>
      </w:r>
    </w:p>
    <w:p w14:paraId="28263F81">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3.乙方提供不符合本合同规定的服务成果，甲方有权拒绝接受。</w:t>
      </w:r>
    </w:p>
    <w:p w14:paraId="684EE7B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4.乙方完成服务后应及时书面通知甲方进行验收，甲方应在收到通知后7个工作日内进行验收，逾期不开始验收的，乙方可视同验收合格。验收合格后由甲乙双方签署验收单并加盖甲方公章，甲乙双方各执一份。</w:t>
      </w:r>
    </w:p>
    <w:p w14:paraId="52C53EF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5.甲乙双方应按照《广西壮族自治区政府采购项目履约验收管理办法》、双方合同、附件等进行验收。</w:t>
      </w:r>
    </w:p>
    <w:p w14:paraId="798E536F">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6.甲方在验收过程中如发现乙方提供的服务成果不满足响应文件及本合同规定的，可暂缓向乙方付款，直到乙方及时完善并提交相应的服务成果且经甲方验收合格后，方可办理付款。</w:t>
      </w:r>
    </w:p>
    <w:p w14:paraId="29C8497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7.甲方验收时以书面形式提出异议的，乙方应自收到甲方书面异议后五个工作日内及时予以解决，否则甲方有权不出具服务验收合格单。</w:t>
      </w:r>
      <w:r>
        <w:rPr>
          <w:rFonts w:hint="eastAsia" w:ascii="宋体" w:hAnsi="宋体" w:eastAsia="宋体" w:cs="宋体"/>
          <w:sz w:val="21"/>
          <w:szCs w:val="21"/>
          <w:highlight w:val="none"/>
          <w:lang w:bidi="ar"/>
        </w:rPr>
        <w:t>如乙方未在前述期限内及时解决或最终仍无法解决导致验收不合格的，乙方应按本合同第六条第2款约定承担违约责任。</w:t>
      </w:r>
      <w:bookmarkStart w:id="105" w:name="_Toc23230"/>
    </w:p>
    <w:bookmarkEnd w:id="105"/>
    <w:p w14:paraId="690D3154">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6" w:name="_Toc9960"/>
      <w:r>
        <w:rPr>
          <w:rFonts w:hint="eastAsia" w:ascii="宋体" w:hAnsi="宋体" w:eastAsia="宋体" w:cs="宋体"/>
          <w:b/>
          <w:sz w:val="21"/>
          <w:szCs w:val="21"/>
          <w:highlight w:val="none"/>
        </w:rPr>
        <w:t>第五条  税费</w:t>
      </w:r>
      <w:bookmarkEnd w:id="106"/>
    </w:p>
    <w:p w14:paraId="152F45FA">
      <w:pPr>
        <w:keepNext w:val="0"/>
        <w:keepLines w:val="0"/>
        <w:pageBreakBefore w:val="0"/>
        <w:kinsoku/>
        <w:wordWrap/>
        <w:overflowPunct/>
        <w:topLinePunct w:val="0"/>
        <w:autoSpaceDE/>
        <w:autoSpaceDN/>
        <w:bidi w:val="0"/>
        <w:adjustRightInd/>
        <w:snapToGrid/>
        <w:spacing w:line="360" w:lineRule="auto"/>
        <w:ind w:firstLine="396" w:firstLineChars="200"/>
        <w:textAlignment w:val="auto"/>
        <w:outlineLvl w:val="9"/>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本合同执行中相关的一切税费均由乙方负担，合同另有约定的除外。</w:t>
      </w:r>
    </w:p>
    <w:p w14:paraId="1A1AAD4D">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7" w:name="_Toc23827"/>
      <w:r>
        <w:rPr>
          <w:rFonts w:hint="eastAsia" w:ascii="宋体" w:hAnsi="宋体" w:eastAsia="宋体" w:cs="宋体"/>
          <w:b/>
          <w:sz w:val="21"/>
          <w:szCs w:val="21"/>
          <w:highlight w:val="none"/>
        </w:rPr>
        <w:t>第六条　违约责任</w:t>
      </w:r>
      <w:bookmarkEnd w:id="107"/>
    </w:p>
    <w:p w14:paraId="0925468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1.除不可抗力原因外，乙方没有按照合同规定的时间提供服务</w:t>
      </w:r>
      <w:r>
        <w:rPr>
          <w:rFonts w:hint="eastAsia" w:ascii="宋体" w:hAnsi="宋体" w:cs="宋体"/>
          <w:sz w:val="21"/>
          <w:szCs w:val="21"/>
          <w:highlight w:val="none"/>
          <w:lang w:eastAsia="zh-CN" w:bidi="ar"/>
        </w:rPr>
        <w:t>。</w:t>
      </w:r>
      <w:r>
        <w:rPr>
          <w:rFonts w:hint="eastAsia" w:ascii="宋体" w:hAnsi="宋体" w:eastAsia="宋体" w:cs="宋体"/>
          <w:sz w:val="21"/>
          <w:szCs w:val="21"/>
          <w:highlight w:val="none"/>
          <w:lang w:bidi="ar"/>
        </w:rPr>
        <w:t>服务成果或办理验收</w:t>
      </w:r>
      <w:r>
        <w:rPr>
          <w:rFonts w:hint="eastAsia" w:ascii="宋体" w:hAnsi="宋体" w:eastAsia="宋体" w:cs="宋体"/>
          <w:sz w:val="21"/>
          <w:szCs w:val="21"/>
          <w:highlight w:val="none"/>
        </w:rPr>
        <w:t>的，甲方可要求乙方支付违约金。每推迟一天按合同金额的0.3%支付违约金，该违约金累计不超过合同金额的10%。</w:t>
      </w:r>
      <w:r>
        <w:rPr>
          <w:rFonts w:hint="eastAsia" w:ascii="宋体" w:hAnsi="宋体" w:eastAsia="宋体" w:cs="宋体"/>
          <w:sz w:val="21"/>
          <w:szCs w:val="21"/>
          <w:highlight w:val="none"/>
          <w:lang w:bidi="ar"/>
        </w:rPr>
        <w:t>乙方逾期提供服务或验收超过30日，甲方有权解除本合同，乙方按合同金额的20%向甲方支付违约金并赔偿损失。</w:t>
      </w:r>
    </w:p>
    <w:p w14:paraId="10CF2AB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2.在合同履行过程中，如乙方提供的各项服务不符合合同要求的，甲方可提出相应整改意见，乙方应根据甲方意见进行整改至符合合同要求的标准，如乙方拒不整改或整改后仍不符合标准的，需向甲方支付合同金额的10%作为违约金。如最终验收不合格的，甲方有权解除本合同，乙方按合同金额的20%向甲方支付违约金并赔偿损失。</w:t>
      </w:r>
    </w:p>
    <w:p w14:paraId="448CDF8A">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3.甲方延期付款的，每天向乙方偿付延期款额0.3%滞纳金，但滞纳金累计不得超过延期款额5%。</w:t>
      </w:r>
    </w:p>
    <w:p w14:paraId="7EEAADF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4.乙方在履行合同中，如发生违反新闻媒体相关法律法规、行业规范和职业道德的行为，造成恶劣影响的，乙方应采取措施积极消除影响并承担由此产生的费用，</w:t>
      </w:r>
      <w:r>
        <w:rPr>
          <w:rFonts w:hint="eastAsia" w:ascii="宋体" w:hAnsi="宋体" w:eastAsia="宋体" w:cs="宋体"/>
          <w:sz w:val="21"/>
          <w:szCs w:val="21"/>
          <w:highlight w:val="none"/>
          <w:lang w:bidi="ar"/>
        </w:rPr>
        <w:t>需向甲方支付合同金额的10%作为违约金，违约金不足以弥补甲方损失的，乙方还应赔偿损失。</w:t>
      </w:r>
    </w:p>
    <w:p w14:paraId="0012DF2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5.乙方存在其他违约行为的（如擅自转让其应履行的合同义务、违反保密义务），需向甲方支付合同金额的10%作为违约金，违约金不足以弥补甲方损失的，乙方还应赔偿损失。</w:t>
      </w:r>
    </w:p>
    <w:p w14:paraId="039EC6B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6.</w:t>
      </w:r>
      <w:r>
        <w:rPr>
          <w:rFonts w:hint="eastAsia" w:ascii="宋体" w:hAnsi="宋体" w:eastAsia="宋体" w:cs="宋体"/>
          <w:sz w:val="21"/>
          <w:szCs w:val="21"/>
          <w:highlight w:val="none"/>
        </w:rPr>
        <w:t>乙方提供的服务如侵犯了第三方合法权益而引发的任何纠纷或者诉讼，均由乙方负责交涉并承担全部责任。</w:t>
      </w:r>
      <w:r>
        <w:rPr>
          <w:rFonts w:hint="eastAsia" w:ascii="宋体" w:hAnsi="宋体" w:eastAsia="宋体" w:cs="宋体"/>
          <w:sz w:val="21"/>
          <w:szCs w:val="21"/>
          <w:highlight w:val="none"/>
          <w:lang w:bidi="ar"/>
        </w:rPr>
        <w:t>给甲方造成损失的，由乙方承担赔偿责任。</w:t>
      </w:r>
    </w:p>
    <w:p w14:paraId="10FFFB5E">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8" w:name="_Toc11546"/>
      <w:r>
        <w:rPr>
          <w:rFonts w:hint="eastAsia" w:ascii="宋体" w:hAnsi="宋体" w:eastAsia="宋体" w:cs="宋体"/>
          <w:b/>
          <w:sz w:val="21"/>
          <w:szCs w:val="21"/>
          <w:highlight w:val="none"/>
        </w:rPr>
        <w:t>第七条  不可抗力事件处理</w:t>
      </w:r>
      <w:bookmarkEnd w:id="108"/>
    </w:p>
    <w:p w14:paraId="12093A1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1.在合同有效期内，任何一方因不可抗力事件导致不能履行合同，则合同履行期可延长，其延长期与不可抗力影响期相同。</w:t>
      </w:r>
    </w:p>
    <w:p w14:paraId="3A7459A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2.不可抗力事件发生后，应立即通知对方，并寄送有关权威机构出具的证明。</w:t>
      </w:r>
    </w:p>
    <w:p w14:paraId="5C1837D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3.不可抗力事件延续一百二十天以上，双方应通过友好协商，确定是否解除合同。</w:t>
      </w:r>
    </w:p>
    <w:p w14:paraId="50281331">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bookmarkStart w:id="109" w:name="_Toc9435"/>
      <w:r>
        <w:rPr>
          <w:rFonts w:hint="eastAsia" w:ascii="宋体" w:hAnsi="宋体" w:eastAsia="宋体" w:cs="宋体"/>
          <w:b/>
          <w:sz w:val="21"/>
          <w:szCs w:val="21"/>
          <w:highlight w:val="none"/>
        </w:rPr>
        <w:t xml:space="preserve">第八条  </w:t>
      </w:r>
      <w:bookmarkEnd w:id="109"/>
      <w:bookmarkStart w:id="110" w:name="_Toc15188"/>
      <w:bookmarkStart w:id="111" w:name="_Toc1995"/>
      <w:r>
        <w:rPr>
          <w:rFonts w:hint="eastAsia" w:ascii="宋体" w:hAnsi="宋体" w:eastAsia="宋体" w:cs="宋体"/>
          <w:b/>
          <w:sz w:val="21"/>
          <w:szCs w:val="21"/>
          <w:highlight w:val="none"/>
        </w:rPr>
        <w:t>合同的变更及转让</w:t>
      </w:r>
      <w:bookmarkEnd w:id="110"/>
    </w:p>
    <w:p w14:paraId="30E69DF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1.除《中华人民共和国政府采购法》第五十条规定的情形外，本合同一经签订，甲乙双方不得擅自变更、中止或者终止。</w:t>
      </w:r>
    </w:p>
    <w:p w14:paraId="77DCC58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2.乙方不得擅自转让其应履行的合同义务。</w:t>
      </w:r>
    </w:p>
    <w:p w14:paraId="34AC9CBA">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第九条  通知及送达</w:t>
      </w:r>
    </w:p>
    <w:p w14:paraId="145238F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1.甲乙双方因履行本合同或解决本合同争议而相互发出或提供的所有通知、文件、资料、相关法律文书等，均以本合同所列明的地址送达。</w:t>
      </w:r>
    </w:p>
    <w:p w14:paraId="4C9AE51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2.一方变更本合同约定的地址的，应提前5日书面通知对方，否则对方按原约定地址发送的通知仍视为有效送达，由此产生的责任由变更方自行承担。上述通知、回复、法律文书及其他各类文件，如由专人送达的，交付当日视为已送达；以邮寄方式送达的，信件签收之日视为已送达。因提供或者确认的地址不准确、地址变更后未及时依程序告知对方或受送达方拒绝签收等原因，导致文书未能被实际接收的，邮寄送达的，以文书退回之日视为送达之日。</w:t>
      </w:r>
    </w:p>
    <w:p w14:paraId="426D81D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3.因本合同争议进入包括一审、二审、再审等在内的民事诉讼和执行程序，相关法律文书均按照本合同所载明的地址进行送达。</w:t>
      </w:r>
    </w:p>
    <w:p w14:paraId="7F09F789">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第十条  合同争议解决</w:t>
      </w:r>
    </w:p>
    <w:p w14:paraId="01DA9D5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1.因服务质量问题发生争议的，应邀请国家认可的质量检测机构进行鉴定。服务符合标准的，鉴定费由甲方承担；服务不符合标准的，鉴定费由乙方承担。</w:t>
      </w:r>
    </w:p>
    <w:p w14:paraId="6126E3F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2.因履行本合同引起的或者与本合同有关的争议，甲乙双方应首先通过友好协商解决，如果协商不能解决，可向甲方所在地有管辖权的人民法院提起诉讼。</w:t>
      </w:r>
    </w:p>
    <w:p w14:paraId="4B15B66D">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3.诉讼期间，本合同继续履行。</w:t>
      </w:r>
    </w:p>
    <w:p w14:paraId="55802360">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第十一条  合同生效及其它</w:t>
      </w:r>
      <w:bookmarkEnd w:id="111"/>
    </w:p>
    <w:p w14:paraId="74EA1BC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1.合同经双方法定代表人或者授权代表签字并加盖单位公章后生效（授权代表签字的，需附单位的授权委托书，格式自拟）。</w:t>
      </w:r>
    </w:p>
    <w:p w14:paraId="07304FC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2.本合同未尽事宜，遵照《中华人民共和国民法典》有关条文执行。</w:t>
      </w:r>
    </w:p>
    <w:p w14:paraId="291F5A63">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3.本合同的附件为本合同的组成部分，与本合同具有同等法律效力。</w:t>
      </w:r>
    </w:p>
    <w:p w14:paraId="6D8B092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合同一式陆份，具有同等法律效力，甲方三份，乙方二份，代理机构一份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甲方应在</w:t>
      </w:r>
      <w:r>
        <w:rPr>
          <w:rFonts w:hint="eastAsia" w:ascii="宋体" w:hAnsi="宋体" w:eastAsia="宋体" w:cs="宋体"/>
          <w:sz w:val="21"/>
          <w:szCs w:val="21"/>
          <w:highlight w:val="none"/>
        </w:rPr>
        <w:t>合同签订后两个工作日内在“广西政府采购云平台”进行合同备案。</w:t>
      </w:r>
    </w:p>
    <w:tbl>
      <w:tblPr>
        <w:tblStyle w:val="3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3AB5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noWrap w:val="0"/>
            <w:vAlign w:val="top"/>
          </w:tcPr>
          <w:p w14:paraId="572972AF">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甲方（章）           </w:t>
            </w:r>
          </w:p>
          <w:p w14:paraId="56E3E72B">
            <w:pPr>
              <w:snapToGrid w:val="0"/>
              <w:spacing w:line="360" w:lineRule="exact"/>
              <w:rPr>
                <w:rFonts w:hint="eastAsia" w:ascii="宋体" w:hAnsi="宋体" w:eastAsia="宋体" w:cs="宋体"/>
                <w:color w:val="auto"/>
                <w:kern w:val="21"/>
                <w:sz w:val="21"/>
                <w:szCs w:val="21"/>
                <w:highlight w:val="none"/>
              </w:rPr>
            </w:pPr>
          </w:p>
          <w:p w14:paraId="182917F3">
            <w:pPr>
              <w:snapToGrid w:val="0"/>
              <w:spacing w:line="360" w:lineRule="exact"/>
              <w:ind w:firstLine="945" w:firstLineChars="45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年   月   日</w:t>
            </w:r>
          </w:p>
        </w:tc>
        <w:tc>
          <w:tcPr>
            <w:tcW w:w="4609" w:type="dxa"/>
            <w:noWrap w:val="0"/>
            <w:vAlign w:val="top"/>
          </w:tcPr>
          <w:p w14:paraId="39A6B8F7">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乙方（章）              </w:t>
            </w:r>
          </w:p>
          <w:p w14:paraId="04AFA478">
            <w:pPr>
              <w:snapToGrid w:val="0"/>
              <w:spacing w:line="360" w:lineRule="exact"/>
              <w:rPr>
                <w:rFonts w:hint="eastAsia" w:ascii="宋体" w:hAnsi="宋体" w:eastAsia="宋体" w:cs="宋体"/>
                <w:color w:val="auto"/>
                <w:kern w:val="21"/>
                <w:sz w:val="21"/>
                <w:szCs w:val="21"/>
                <w:highlight w:val="none"/>
              </w:rPr>
            </w:pPr>
          </w:p>
          <w:p w14:paraId="52162577">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年   月   日</w:t>
            </w:r>
          </w:p>
        </w:tc>
      </w:tr>
      <w:tr w14:paraId="1829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noWrap w:val="0"/>
            <w:vAlign w:val="top"/>
          </w:tcPr>
          <w:p w14:paraId="4D3FBB91">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单位地址：</w:t>
            </w:r>
          </w:p>
        </w:tc>
        <w:tc>
          <w:tcPr>
            <w:tcW w:w="4609" w:type="dxa"/>
            <w:noWrap w:val="0"/>
            <w:vAlign w:val="top"/>
          </w:tcPr>
          <w:p w14:paraId="773C1789">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单位地址：</w:t>
            </w:r>
          </w:p>
        </w:tc>
      </w:tr>
      <w:tr w14:paraId="718B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noWrap w:val="0"/>
            <w:vAlign w:val="top"/>
          </w:tcPr>
          <w:p w14:paraId="4D1B6BB5">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法定代表人（负责人）：</w:t>
            </w:r>
          </w:p>
        </w:tc>
        <w:tc>
          <w:tcPr>
            <w:tcW w:w="4609" w:type="dxa"/>
            <w:noWrap w:val="0"/>
            <w:vAlign w:val="top"/>
          </w:tcPr>
          <w:p w14:paraId="481E9E3E">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法定代表人（负责人）：</w:t>
            </w:r>
          </w:p>
        </w:tc>
      </w:tr>
      <w:tr w14:paraId="2C6C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noWrap w:val="0"/>
            <w:vAlign w:val="top"/>
          </w:tcPr>
          <w:p w14:paraId="297C5BC9">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授权代表：</w:t>
            </w:r>
          </w:p>
        </w:tc>
        <w:tc>
          <w:tcPr>
            <w:tcW w:w="4609" w:type="dxa"/>
            <w:noWrap w:val="0"/>
            <w:vAlign w:val="top"/>
          </w:tcPr>
          <w:p w14:paraId="08F90903">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授权代表：</w:t>
            </w:r>
          </w:p>
        </w:tc>
      </w:tr>
      <w:tr w14:paraId="7ECF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noWrap w:val="0"/>
            <w:vAlign w:val="top"/>
          </w:tcPr>
          <w:p w14:paraId="7206ADF6">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电话：</w:t>
            </w:r>
          </w:p>
        </w:tc>
        <w:tc>
          <w:tcPr>
            <w:tcW w:w="4609" w:type="dxa"/>
            <w:noWrap w:val="0"/>
            <w:vAlign w:val="top"/>
          </w:tcPr>
          <w:p w14:paraId="5464680E">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电话：</w:t>
            </w:r>
          </w:p>
        </w:tc>
      </w:tr>
      <w:tr w14:paraId="2840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57C57A73">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电子邮箱：</w:t>
            </w:r>
          </w:p>
        </w:tc>
        <w:tc>
          <w:tcPr>
            <w:tcW w:w="4609" w:type="dxa"/>
            <w:noWrap w:val="0"/>
            <w:vAlign w:val="top"/>
          </w:tcPr>
          <w:p w14:paraId="50692776">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电子邮箱：</w:t>
            </w:r>
          </w:p>
        </w:tc>
      </w:tr>
      <w:tr w14:paraId="575B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noWrap w:val="0"/>
            <w:vAlign w:val="top"/>
          </w:tcPr>
          <w:p w14:paraId="631B175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开户银行：</w:t>
            </w:r>
          </w:p>
        </w:tc>
        <w:tc>
          <w:tcPr>
            <w:tcW w:w="4609" w:type="dxa"/>
            <w:noWrap w:val="0"/>
            <w:vAlign w:val="top"/>
          </w:tcPr>
          <w:p w14:paraId="4EE1E9F6">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开户银行：</w:t>
            </w:r>
          </w:p>
        </w:tc>
      </w:tr>
      <w:tr w14:paraId="2360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noWrap w:val="0"/>
            <w:vAlign w:val="top"/>
          </w:tcPr>
          <w:p w14:paraId="0150860B">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w:t>
            </w:r>
          </w:p>
        </w:tc>
        <w:tc>
          <w:tcPr>
            <w:tcW w:w="4609" w:type="dxa"/>
            <w:noWrap w:val="0"/>
            <w:vAlign w:val="top"/>
          </w:tcPr>
          <w:p w14:paraId="6883C50C">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w:t>
            </w:r>
          </w:p>
        </w:tc>
      </w:tr>
      <w:tr w14:paraId="5F2D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745345A1">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p>
        </w:tc>
        <w:tc>
          <w:tcPr>
            <w:tcW w:w="4609" w:type="dxa"/>
            <w:noWrap w:val="0"/>
            <w:vAlign w:val="top"/>
          </w:tcPr>
          <w:p w14:paraId="3B39764C">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p>
        </w:tc>
      </w:tr>
    </w:tbl>
    <w:p w14:paraId="4644F82D">
      <w:pPr>
        <w:pStyle w:val="18"/>
        <w:spacing w:line="360" w:lineRule="auto"/>
        <w:rPr>
          <w:rFonts w:hAnsi="宋体" w:cs="宋体"/>
          <w:color w:val="auto"/>
          <w:kern w:val="21"/>
          <w:highlight w:val="none"/>
        </w:rPr>
      </w:pPr>
      <w:r>
        <w:rPr>
          <w:rFonts w:hint="eastAsia" w:ascii="宋体" w:hAnsi="宋体" w:eastAsia="宋体" w:cs="宋体"/>
          <w:b/>
          <w:color w:val="auto"/>
          <w:kern w:val="21"/>
          <w:sz w:val="21"/>
          <w:szCs w:val="21"/>
          <w:highlight w:val="none"/>
        </w:rPr>
        <w:br w:type="page"/>
      </w:r>
      <w:r>
        <w:rPr>
          <w:rFonts w:hint="eastAsia" w:hAnsi="宋体" w:cs="宋体"/>
          <w:b/>
          <w:color w:val="auto"/>
          <w:kern w:val="21"/>
          <w:highlight w:val="none"/>
        </w:rPr>
        <w:t>附件I：</w:t>
      </w:r>
    </w:p>
    <w:p w14:paraId="076B8325">
      <w:pPr>
        <w:widowControl/>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政府采购项目合同验收报告（格式）</w:t>
      </w:r>
    </w:p>
    <w:p w14:paraId="2EF6DDF8">
      <w:pPr>
        <w:widowControl/>
        <w:spacing w:line="360" w:lineRule="auto"/>
        <w:jc w:val="center"/>
        <w:rPr>
          <w:rFonts w:ascii="宋体" w:hAnsi="宋体" w:cs="宋体"/>
          <w:b/>
          <w:bCs/>
          <w:color w:val="auto"/>
          <w:kern w:val="21"/>
          <w:szCs w:val="21"/>
          <w:highlight w:val="none"/>
        </w:rPr>
      </w:pPr>
    </w:p>
    <w:p w14:paraId="18C88A48">
      <w:pPr>
        <w:widowControl/>
        <w:snapToGrid w:val="0"/>
        <w:spacing w:line="360" w:lineRule="auto"/>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根据政府采购合同（采购合同编号：</w:t>
      </w:r>
      <w:r>
        <w:rPr>
          <w:rFonts w:hint="eastAsia" w:ascii="宋体" w:hAnsi="宋体" w:cs="宋体"/>
          <w:color w:val="auto"/>
          <w:kern w:val="21"/>
          <w:szCs w:val="21"/>
          <w:highlight w:val="none"/>
          <w:u w:val="single"/>
        </w:rPr>
        <w:softHyphen/>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）的约定，我单位对</w:t>
      </w:r>
      <w:r>
        <w:rPr>
          <w:rFonts w:hint="eastAsia" w:ascii="宋体" w:hAnsi="宋体" w:cs="宋体"/>
          <w:color w:val="auto"/>
          <w:kern w:val="21"/>
          <w:szCs w:val="21"/>
          <w:highlight w:val="none"/>
          <w:u w:val="single"/>
        </w:rPr>
        <w:t xml:space="preserve">（采购项目名称）       </w:t>
      </w:r>
      <w:r>
        <w:rPr>
          <w:rFonts w:hint="eastAsia" w:ascii="宋体" w:hAnsi="宋体" w:cs="宋体"/>
          <w:color w:val="auto"/>
          <w:kern w:val="21"/>
          <w:szCs w:val="21"/>
          <w:highlight w:val="none"/>
        </w:rPr>
        <w:t>政府采购项目中标（或成交）供应商</w:t>
      </w:r>
      <w:r>
        <w:rPr>
          <w:rFonts w:hint="eastAsia" w:ascii="宋体" w:hAnsi="宋体" w:cs="宋体"/>
          <w:color w:val="auto"/>
          <w:kern w:val="21"/>
          <w:szCs w:val="21"/>
          <w:highlight w:val="none"/>
          <w:u w:val="single"/>
        </w:rPr>
        <w:t xml:space="preserve">    （公司名称）    </w:t>
      </w:r>
      <w:r>
        <w:rPr>
          <w:rFonts w:hint="eastAsia" w:ascii="宋体" w:hAnsi="宋体" w:cs="宋体"/>
          <w:color w:val="auto"/>
          <w:kern w:val="21"/>
          <w:szCs w:val="21"/>
          <w:highlight w:val="none"/>
        </w:rPr>
        <w:t>提供的货物（或服务）进行了验收，验收情况如下：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11AF65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0C6AB38A">
            <w:pPr>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705" w:type="dxa"/>
            <w:gridSpan w:val="2"/>
            <w:tcBorders>
              <w:top w:val="single" w:color="auto" w:sz="4" w:space="0"/>
              <w:left w:val="single" w:color="auto" w:sz="4" w:space="0"/>
            </w:tcBorders>
            <w:noWrap w:val="0"/>
            <w:vAlign w:val="center"/>
          </w:tcPr>
          <w:p w14:paraId="645300F9">
            <w:pPr>
              <w:jc w:val="center"/>
              <w:rPr>
                <w:rFonts w:ascii="宋体" w:hAnsi="宋体" w:cs="宋体"/>
                <w:color w:val="auto"/>
                <w:kern w:val="21"/>
                <w:szCs w:val="21"/>
                <w:highlight w:val="none"/>
              </w:rPr>
            </w:pPr>
            <w:r>
              <w:rPr>
                <w:rFonts w:hint="eastAsia" w:ascii="宋体" w:hAnsi="宋体" w:cs="宋体"/>
                <w:color w:val="auto"/>
                <w:kern w:val="21"/>
                <w:szCs w:val="21"/>
                <w:highlight w:val="none"/>
              </w:rPr>
              <w:t>名    称</w:t>
            </w:r>
          </w:p>
        </w:tc>
        <w:tc>
          <w:tcPr>
            <w:tcW w:w="3100" w:type="dxa"/>
            <w:gridSpan w:val="2"/>
            <w:noWrap w:val="0"/>
            <w:vAlign w:val="center"/>
          </w:tcPr>
          <w:p w14:paraId="2F07C813">
            <w:pPr>
              <w:jc w:val="center"/>
              <w:rPr>
                <w:rFonts w:ascii="宋体" w:hAnsi="宋体" w:cs="宋体"/>
                <w:color w:val="auto"/>
                <w:kern w:val="21"/>
                <w:szCs w:val="21"/>
                <w:highlight w:val="none"/>
              </w:rPr>
            </w:pPr>
            <w:r>
              <w:rPr>
                <w:rFonts w:hint="eastAsia" w:ascii="宋体" w:hAnsi="宋体" w:cs="宋体"/>
                <w:color w:val="auto"/>
                <w:kern w:val="21"/>
                <w:szCs w:val="21"/>
                <w:highlight w:val="none"/>
              </w:rPr>
              <w:t>货物型号规格、标准及配置</w:t>
            </w:r>
          </w:p>
          <w:p w14:paraId="17AABB8A">
            <w:pPr>
              <w:jc w:val="center"/>
              <w:rPr>
                <w:rFonts w:ascii="宋体" w:hAnsi="宋体" w:cs="宋体"/>
                <w:color w:val="auto"/>
                <w:kern w:val="21"/>
                <w:szCs w:val="21"/>
                <w:highlight w:val="none"/>
              </w:rPr>
            </w:pPr>
            <w:r>
              <w:rPr>
                <w:rFonts w:hint="eastAsia" w:ascii="宋体" w:hAnsi="宋体" w:cs="宋体"/>
                <w:color w:val="auto"/>
                <w:kern w:val="21"/>
                <w:szCs w:val="21"/>
                <w:highlight w:val="none"/>
              </w:rPr>
              <w:t>（或服务内容、标准）</w:t>
            </w:r>
          </w:p>
        </w:tc>
        <w:tc>
          <w:tcPr>
            <w:tcW w:w="860" w:type="dxa"/>
            <w:gridSpan w:val="2"/>
            <w:noWrap w:val="0"/>
            <w:vAlign w:val="center"/>
          </w:tcPr>
          <w:p w14:paraId="4B0FE22A">
            <w:pPr>
              <w:jc w:val="center"/>
              <w:rPr>
                <w:rFonts w:ascii="宋体" w:hAnsi="宋体" w:cs="宋体"/>
                <w:color w:val="auto"/>
                <w:kern w:val="21"/>
                <w:szCs w:val="21"/>
                <w:highlight w:val="none"/>
              </w:rPr>
            </w:pPr>
            <w:r>
              <w:rPr>
                <w:rFonts w:hint="eastAsia" w:ascii="宋体" w:hAnsi="宋体" w:cs="宋体"/>
                <w:color w:val="auto"/>
                <w:kern w:val="21"/>
                <w:szCs w:val="21"/>
                <w:highlight w:val="none"/>
              </w:rPr>
              <w:t>数量</w:t>
            </w:r>
          </w:p>
        </w:tc>
        <w:tc>
          <w:tcPr>
            <w:tcW w:w="893" w:type="dxa"/>
            <w:tcBorders>
              <w:right w:val="single" w:color="auto" w:sz="4" w:space="0"/>
            </w:tcBorders>
            <w:noWrap w:val="0"/>
            <w:vAlign w:val="center"/>
          </w:tcPr>
          <w:p w14:paraId="2B8C2D46">
            <w:pPr>
              <w:jc w:val="center"/>
              <w:rPr>
                <w:rFonts w:ascii="宋体" w:hAnsi="宋体" w:cs="宋体"/>
                <w:color w:val="auto"/>
                <w:kern w:val="21"/>
                <w:szCs w:val="21"/>
                <w:highlight w:val="none"/>
              </w:rPr>
            </w:pPr>
            <w:r>
              <w:rPr>
                <w:rFonts w:hint="eastAsia" w:ascii="宋体" w:hAnsi="宋体" w:cs="宋体"/>
                <w:color w:val="auto"/>
                <w:kern w:val="21"/>
                <w:szCs w:val="21"/>
                <w:highlight w:val="none"/>
              </w:rPr>
              <w:t>金额</w:t>
            </w:r>
          </w:p>
        </w:tc>
        <w:tc>
          <w:tcPr>
            <w:tcW w:w="1297" w:type="dxa"/>
            <w:tcBorders>
              <w:left w:val="single" w:color="auto" w:sz="4" w:space="0"/>
            </w:tcBorders>
            <w:noWrap w:val="0"/>
            <w:vAlign w:val="center"/>
          </w:tcPr>
          <w:p w14:paraId="01F289EE">
            <w:pPr>
              <w:jc w:val="center"/>
              <w:rPr>
                <w:rFonts w:ascii="宋体" w:hAnsi="宋体" w:cs="宋体"/>
                <w:color w:val="auto"/>
                <w:kern w:val="21"/>
                <w:szCs w:val="21"/>
                <w:highlight w:val="none"/>
              </w:rPr>
            </w:pPr>
            <w:r>
              <w:rPr>
                <w:rFonts w:hint="eastAsia" w:ascii="宋体" w:hAnsi="宋体" w:cs="宋体"/>
                <w:color w:val="auto"/>
                <w:kern w:val="21"/>
                <w:szCs w:val="21"/>
                <w:highlight w:val="none"/>
              </w:rPr>
              <w:t>与合同约定</w:t>
            </w:r>
          </w:p>
          <w:p w14:paraId="08BAF94E">
            <w:pPr>
              <w:jc w:val="center"/>
              <w:rPr>
                <w:rFonts w:ascii="宋体" w:hAnsi="宋体" w:cs="宋体"/>
                <w:color w:val="auto"/>
                <w:kern w:val="21"/>
                <w:szCs w:val="21"/>
                <w:highlight w:val="none"/>
              </w:rPr>
            </w:pPr>
            <w:r>
              <w:rPr>
                <w:rFonts w:hint="eastAsia" w:ascii="宋体" w:hAnsi="宋体" w:cs="宋体"/>
                <w:color w:val="auto"/>
                <w:kern w:val="21"/>
                <w:szCs w:val="21"/>
                <w:highlight w:val="none"/>
              </w:rPr>
              <w:t>是否一致</w:t>
            </w:r>
          </w:p>
        </w:tc>
      </w:tr>
      <w:tr w14:paraId="633BFD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E2D6C56">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7CF8A68C">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1921C3D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17678D97">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256121F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09DA2C9C">
            <w:pPr>
              <w:rPr>
                <w:rFonts w:ascii="宋体" w:hAnsi="宋体" w:cs="宋体"/>
                <w:color w:val="auto"/>
                <w:kern w:val="21"/>
                <w:szCs w:val="21"/>
                <w:highlight w:val="none"/>
              </w:rPr>
            </w:pPr>
          </w:p>
        </w:tc>
      </w:tr>
      <w:tr w14:paraId="1BCF3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8B2652D">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112B8549">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50CE790C">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52B8FA16">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2EED36C6">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6C4688C2">
            <w:pPr>
              <w:rPr>
                <w:rFonts w:ascii="宋体" w:hAnsi="宋体" w:cs="宋体"/>
                <w:color w:val="auto"/>
                <w:kern w:val="21"/>
                <w:szCs w:val="21"/>
                <w:highlight w:val="none"/>
              </w:rPr>
            </w:pPr>
          </w:p>
        </w:tc>
      </w:tr>
      <w:tr w14:paraId="1D924D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C7051F5">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713528F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42C8B244">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4138D43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6ECF02A1">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4D370753">
            <w:pPr>
              <w:rPr>
                <w:rFonts w:ascii="宋体" w:hAnsi="宋体" w:cs="宋体"/>
                <w:color w:val="auto"/>
                <w:kern w:val="21"/>
                <w:szCs w:val="21"/>
                <w:highlight w:val="none"/>
              </w:rPr>
            </w:pPr>
          </w:p>
        </w:tc>
      </w:tr>
      <w:tr w14:paraId="1EB38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D6B5D5A">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3EB1148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3A42F739">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1FFE19D9">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0BFF1DD1">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6006888F">
            <w:pPr>
              <w:rPr>
                <w:rFonts w:ascii="宋体" w:hAnsi="宋体" w:cs="宋体"/>
                <w:color w:val="auto"/>
                <w:kern w:val="21"/>
                <w:szCs w:val="21"/>
                <w:highlight w:val="none"/>
              </w:rPr>
            </w:pPr>
          </w:p>
        </w:tc>
      </w:tr>
      <w:tr w14:paraId="7B5020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64C50FB7">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42290EEA">
            <w:pPr>
              <w:rPr>
                <w:rFonts w:ascii="宋体" w:hAnsi="宋体" w:cs="宋体"/>
                <w:color w:val="auto"/>
                <w:kern w:val="21"/>
                <w:szCs w:val="21"/>
                <w:highlight w:val="none"/>
              </w:rPr>
            </w:pPr>
          </w:p>
        </w:tc>
        <w:tc>
          <w:tcPr>
            <w:tcW w:w="3100" w:type="dxa"/>
            <w:gridSpan w:val="2"/>
            <w:noWrap w:val="0"/>
            <w:vAlign w:val="center"/>
          </w:tcPr>
          <w:p w14:paraId="56831047">
            <w:pPr>
              <w:rPr>
                <w:rFonts w:ascii="宋体" w:hAnsi="宋体" w:cs="宋体"/>
                <w:color w:val="auto"/>
                <w:kern w:val="21"/>
                <w:szCs w:val="21"/>
                <w:highlight w:val="none"/>
              </w:rPr>
            </w:pPr>
          </w:p>
        </w:tc>
        <w:tc>
          <w:tcPr>
            <w:tcW w:w="860" w:type="dxa"/>
            <w:gridSpan w:val="2"/>
            <w:noWrap w:val="0"/>
            <w:vAlign w:val="center"/>
          </w:tcPr>
          <w:p w14:paraId="278AE330">
            <w:pPr>
              <w:rPr>
                <w:rFonts w:ascii="宋体" w:hAnsi="宋体" w:cs="宋体"/>
                <w:color w:val="auto"/>
                <w:kern w:val="21"/>
                <w:szCs w:val="21"/>
                <w:highlight w:val="none"/>
              </w:rPr>
            </w:pPr>
          </w:p>
        </w:tc>
        <w:tc>
          <w:tcPr>
            <w:tcW w:w="893" w:type="dxa"/>
            <w:tcBorders>
              <w:right w:val="single" w:color="auto" w:sz="4" w:space="0"/>
            </w:tcBorders>
            <w:noWrap w:val="0"/>
            <w:vAlign w:val="center"/>
          </w:tcPr>
          <w:p w14:paraId="760CE1E3">
            <w:pPr>
              <w:rPr>
                <w:rFonts w:ascii="宋体" w:hAnsi="宋体" w:cs="宋体"/>
                <w:color w:val="auto"/>
                <w:kern w:val="21"/>
                <w:szCs w:val="21"/>
                <w:highlight w:val="none"/>
              </w:rPr>
            </w:pPr>
          </w:p>
        </w:tc>
        <w:tc>
          <w:tcPr>
            <w:tcW w:w="1297" w:type="dxa"/>
            <w:tcBorders>
              <w:left w:val="single" w:color="auto" w:sz="4" w:space="0"/>
            </w:tcBorders>
            <w:noWrap w:val="0"/>
            <w:vAlign w:val="center"/>
          </w:tcPr>
          <w:p w14:paraId="7D83998E">
            <w:pPr>
              <w:rPr>
                <w:rFonts w:ascii="宋体" w:hAnsi="宋体" w:cs="宋体"/>
                <w:color w:val="auto"/>
                <w:kern w:val="21"/>
                <w:szCs w:val="21"/>
                <w:highlight w:val="none"/>
              </w:rPr>
            </w:pPr>
          </w:p>
        </w:tc>
      </w:tr>
      <w:tr w14:paraId="45BA6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7054673F">
            <w:pPr>
              <w:rPr>
                <w:rFonts w:ascii="宋体" w:hAnsi="宋体" w:cs="宋体"/>
                <w:color w:val="auto"/>
                <w:kern w:val="21"/>
                <w:szCs w:val="21"/>
                <w:highlight w:val="none"/>
              </w:rPr>
            </w:pPr>
            <w:r>
              <w:rPr>
                <w:rFonts w:hint="eastAsia" w:ascii="宋体" w:hAnsi="宋体" w:cs="宋体"/>
                <w:color w:val="auto"/>
                <w:kern w:val="21"/>
                <w:szCs w:val="21"/>
                <w:highlight w:val="none"/>
              </w:rPr>
              <w:t>合     计</w:t>
            </w:r>
          </w:p>
        </w:tc>
        <w:tc>
          <w:tcPr>
            <w:tcW w:w="860" w:type="dxa"/>
            <w:gridSpan w:val="2"/>
            <w:noWrap w:val="0"/>
            <w:vAlign w:val="center"/>
          </w:tcPr>
          <w:p w14:paraId="10FD212A">
            <w:pPr>
              <w:rPr>
                <w:rFonts w:ascii="宋体" w:hAnsi="宋体" w:cs="宋体"/>
                <w:color w:val="auto"/>
                <w:kern w:val="21"/>
                <w:szCs w:val="21"/>
                <w:highlight w:val="none"/>
              </w:rPr>
            </w:pPr>
          </w:p>
        </w:tc>
        <w:tc>
          <w:tcPr>
            <w:tcW w:w="893" w:type="dxa"/>
            <w:tcBorders>
              <w:right w:val="single" w:color="auto" w:sz="4" w:space="0"/>
            </w:tcBorders>
            <w:noWrap w:val="0"/>
            <w:vAlign w:val="center"/>
          </w:tcPr>
          <w:p w14:paraId="24EAD3F4">
            <w:pPr>
              <w:rPr>
                <w:rFonts w:ascii="宋体" w:hAnsi="宋体" w:cs="宋体"/>
                <w:color w:val="auto"/>
                <w:kern w:val="21"/>
                <w:szCs w:val="21"/>
                <w:highlight w:val="none"/>
              </w:rPr>
            </w:pPr>
          </w:p>
        </w:tc>
        <w:tc>
          <w:tcPr>
            <w:tcW w:w="1297" w:type="dxa"/>
            <w:tcBorders>
              <w:left w:val="single" w:color="auto" w:sz="4" w:space="0"/>
            </w:tcBorders>
            <w:noWrap w:val="0"/>
            <w:vAlign w:val="center"/>
          </w:tcPr>
          <w:p w14:paraId="3B7FEB5A">
            <w:pPr>
              <w:rPr>
                <w:rFonts w:ascii="宋体" w:hAnsi="宋体" w:cs="宋体"/>
                <w:color w:val="auto"/>
                <w:kern w:val="21"/>
                <w:szCs w:val="21"/>
                <w:highlight w:val="none"/>
              </w:rPr>
            </w:pPr>
          </w:p>
        </w:tc>
      </w:tr>
      <w:tr w14:paraId="562B5E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1508446E">
            <w:pPr>
              <w:rPr>
                <w:rFonts w:ascii="宋体" w:hAnsi="宋体" w:cs="宋体"/>
                <w:color w:val="auto"/>
                <w:kern w:val="21"/>
                <w:szCs w:val="21"/>
                <w:highlight w:val="none"/>
              </w:rPr>
            </w:pPr>
            <w:r>
              <w:rPr>
                <w:rFonts w:hint="eastAsia" w:ascii="宋体" w:hAnsi="宋体" w:cs="宋体"/>
                <w:color w:val="auto"/>
                <w:kern w:val="21"/>
                <w:szCs w:val="21"/>
                <w:highlight w:val="none"/>
              </w:rPr>
              <w:t>合 计 大 写 金 额 ：人民币                             元</w:t>
            </w:r>
          </w:p>
        </w:tc>
      </w:tr>
      <w:tr w14:paraId="301651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528D6E97">
            <w:pPr>
              <w:rPr>
                <w:rFonts w:ascii="宋体" w:hAnsi="宋体" w:cs="宋体"/>
                <w:color w:val="auto"/>
                <w:kern w:val="21"/>
                <w:szCs w:val="21"/>
                <w:highlight w:val="none"/>
              </w:rPr>
            </w:pPr>
            <w:r>
              <w:rPr>
                <w:rFonts w:hint="eastAsia" w:ascii="宋体" w:hAnsi="宋体" w:cs="宋体"/>
                <w:color w:val="auto"/>
                <w:kern w:val="21"/>
                <w:szCs w:val="21"/>
                <w:highlight w:val="none"/>
              </w:rPr>
              <w:t>实际供货日期</w:t>
            </w:r>
          </w:p>
        </w:tc>
        <w:tc>
          <w:tcPr>
            <w:tcW w:w="3239" w:type="dxa"/>
            <w:gridSpan w:val="2"/>
            <w:noWrap w:val="0"/>
            <w:vAlign w:val="center"/>
          </w:tcPr>
          <w:p w14:paraId="011BE0D3">
            <w:pPr>
              <w:rPr>
                <w:rFonts w:ascii="宋体" w:hAnsi="宋体" w:cs="宋体"/>
                <w:color w:val="auto"/>
                <w:kern w:val="21"/>
                <w:szCs w:val="21"/>
                <w:highlight w:val="none"/>
              </w:rPr>
            </w:pPr>
          </w:p>
        </w:tc>
        <w:tc>
          <w:tcPr>
            <w:tcW w:w="1835" w:type="dxa"/>
            <w:gridSpan w:val="2"/>
            <w:noWrap w:val="0"/>
            <w:vAlign w:val="center"/>
          </w:tcPr>
          <w:p w14:paraId="6F9BA182">
            <w:pPr>
              <w:rPr>
                <w:rFonts w:ascii="宋体" w:hAnsi="宋体" w:cs="宋体"/>
                <w:color w:val="auto"/>
                <w:kern w:val="21"/>
                <w:szCs w:val="21"/>
                <w:highlight w:val="none"/>
              </w:rPr>
            </w:pPr>
            <w:r>
              <w:rPr>
                <w:rFonts w:hint="eastAsia" w:ascii="宋体" w:hAnsi="宋体" w:cs="宋体"/>
                <w:color w:val="auto"/>
                <w:kern w:val="21"/>
                <w:szCs w:val="21"/>
                <w:highlight w:val="none"/>
              </w:rPr>
              <w:t>合同交货验收日期</w:t>
            </w:r>
          </w:p>
        </w:tc>
        <w:tc>
          <w:tcPr>
            <w:tcW w:w="3037" w:type="dxa"/>
            <w:gridSpan w:val="3"/>
            <w:noWrap w:val="0"/>
            <w:vAlign w:val="center"/>
          </w:tcPr>
          <w:p w14:paraId="3358119B">
            <w:pPr>
              <w:rPr>
                <w:rFonts w:ascii="宋体" w:hAnsi="宋体" w:cs="宋体"/>
                <w:color w:val="auto"/>
                <w:kern w:val="21"/>
                <w:szCs w:val="21"/>
                <w:highlight w:val="none"/>
              </w:rPr>
            </w:pPr>
          </w:p>
        </w:tc>
      </w:tr>
      <w:tr w14:paraId="178C2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4518359A">
            <w:pPr>
              <w:rPr>
                <w:rFonts w:ascii="宋体" w:hAnsi="宋体" w:cs="宋体"/>
                <w:color w:val="auto"/>
                <w:kern w:val="21"/>
                <w:szCs w:val="21"/>
                <w:highlight w:val="none"/>
              </w:rPr>
            </w:pPr>
            <w:r>
              <w:rPr>
                <w:rFonts w:hint="eastAsia" w:ascii="宋体" w:hAnsi="宋体" w:cs="宋体"/>
                <w:color w:val="auto"/>
                <w:kern w:val="21"/>
                <w:szCs w:val="21"/>
                <w:highlight w:val="none"/>
              </w:rPr>
              <w:t>验收具体内容</w:t>
            </w:r>
          </w:p>
        </w:tc>
        <w:tc>
          <w:tcPr>
            <w:tcW w:w="8111" w:type="dxa"/>
            <w:gridSpan w:val="7"/>
            <w:noWrap w:val="0"/>
            <w:tcMar>
              <w:top w:w="0" w:type="dxa"/>
              <w:left w:w="108" w:type="dxa"/>
              <w:bottom w:w="0" w:type="dxa"/>
              <w:right w:w="108" w:type="dxa"/>
            </w:tcMar>
            <w:vAlign w:val="center"/>
          </w:tcPr>
          <w:p w14:paraId="756810B4">
            <w:pPr>
              <w:rPr>
                <w:rFonts w:ascii="宋体" w:hAnsi="宋体" w:cs="宋体"/>
                <w:color w:val="auto"/>
                <w:kern w:val="21"/>
                <w:szCs w:val="21"/>
                <w:highlight w:val="none"/>
              </w:rPr>
            </w:pPr>
            <w:r>
              <w:rPr>
                <w:rFonts w:hint="eastAsia" w:ascii="宋体" w:hAnsi="宋体" w:cs="宋体"/>
                <w:color w:val="auto"/>
                <w:kern w:val="21"/>
                <w:szCs w:val="21"/>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p>
        </w:tc>
      </w:tr>
      <w:tr w14:paraId="7579C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16FE5F68">
            <w:pPr>
              <w:rPr>
                <w:rFonts w:ascii="宋体" w:hAnsi="宋体" w:cs="宋体"/>
                <w:color w:val="auto"/>
                <w:kern w:val="21"/>
                <w:szCs w:val="21"/>
                <w:highlight w:val="none"/>
              </w:rPr>
            </w:pPr>
            <w:r>
              <w:rPr>
                <w:rFonts w:hint="eastAsia" w:ascii="宋体" w:hAnsi="宋体" w:cs="宋体"/>
                <w:color w:val="auto"/>
                <w:kern w:val="21"/>
                <w:szCs w:val="21"/>
                <w:highlight w:val="none"/>
              </w:rPr>
              <w:t>验收小组意见</w:t>
            </w:r>
          </w:p>
        </w:tc>
        <w:tc>
          <w:tcPr>
            <w:tcW w:w="8111" w:type="dxa"/>
            <w:gridSpan w:val="7"/>
            <w:tcBorders>
              <w:bottom w:val="single" w:color="auto" w:sz="4" w:space="0"/>
            </w:tcBorders>
            <w:noWrap w:val="0"/>
            <w:vAlign w:val="center"/>
          </w:tcPr>
          <w:p w14:paraId="64E908E7">
            <w:pPr>
              <w:rPr>
                <w:rFonts w:ascii="宋体" w:hAnsi="宋体" w:cs="宋体"/>
                <w:color w:val="auto"/>
                <w:kern w:val="21"/>
                <w:szCs w:val="21"/>
                <w:highlight w:val="none"/>
              </w:rPr>
            </w:pPr>
            <w:r>
              <w:rPr>
                <w:rFonts w:hint="eastAsia" w:ascii="宋体" w:hAnsi="宋体" w:cs="宋体"/>
                <w:color w:val="auto"/>
                <w:kern w:val="21"/>
                <w:szCs w:val="21"/>
                <w:highlight w:val="none"/>
              </w:rPr>
              <w:t>验收结论性意见：</w:t>
            </w:r>
          </w:p>
          <w:p w14:paraId="28928381">
            <w:pPr>
              <w:rPr>
                <w:rFonts w:ascii="宋体" w:hAnsi="宋体" w:cs="宋体"/>
                <w:color w:val="auto"/>
                <w:kern w:val="21"/>
                <w:szCs w:val="21"/>
                <w:highlight w:val="none"/>
              </w:rPr>
            </w:pPr>
          </w:p>
          <w:p w14:paraId="44CF9343">
            <w:pPr>
              <w:rPr>
                <w:rFonts w:ascii="宋体" w:hAnsi="宋体" w:cs="宋体"/>
                <w:color w:val="auto"/>
                <w:kern w:val="21"/>
                <w:szCs w:val="21"/>
                <w:highlight w:val="none"/>
              </w:rPr>
            </w:pPr>
          </w:p>
        </w:tc>
      </w:tr>
      <w:tr w14:paraId="19B73D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0B81CD91">
            <w:pPr>
              <w:rPr>
                <w:rFonts w:ascii="宋体" w:hAnsi="宋体" w:cs="宋体"/>
                <w:color w:val="auto"/>
                <w:kern w:val="21"/>
                <w:szCs w:val="21"/>
                <w:highlight w:val="none"/>
              </w:rPr>
            </w:pPr>
          </w:p>
        </w:tc>
        <w:tc>
          <w:tcPr>
            <w:tcW w:w="8111" w:type="dxa"/>
            <w:gridSpan w:val="7"/>
            <w:tcBorders>
              <w:top w:val="single" w:color="auto" w:sz="4" w:space="0"/>
            </w:tcBorders>
            <w:noWrap w:val="0"/>
            <w:vAlign w:val="center"/>
          </w:tcPr>
          <w:p w14:paraId="0EFB34F4">
            <w:pPr>
              <w:rPr>
                <w:rFonts w:ascii="宋体" w:hAnsi="宋体" w:cs="宋体"/>
                <w:color w:val="auto"/>
                <w:kern w:val="21"/>
                <w:szCs w:val="21"/>
                <w:highlight w:val="none"/>
              </w:rPr>
            </w:pPr>
            <w:r>
              <w:rPr>
                <w:rFonts w:hint="eastAsia" w:ascii="宋体" w:hAnsi="宋体" w:cs="宋体"/>
                <w:color w:val="auto"/>
                <w:kern w:val="21"/>
                <w:szCs w:val="21"/>
                <w:highlight w:val="none"/>
              </w:rPr>
              <w:t>有异议的意见和说明理由：</w:t>
            </w:r>
          </w:p>
          <w:p w14:paraId="4BB2AA46">
            <w:pPr>
              <w:rPr>
                <w:rFonts w:ascii="宋体" w:hAnsi="宋体" w:cs="宋体"/>
                <w:color w:val="auto"/>
                <w:kern w:val="21"/>
                <w:szCs w:val="21"/>
                <w:highlight w:val="none"/>
              </w:rPr>
            </w:pPr>
          </w:p>
          <w:p w14:paraId="71562FF3">
            <w:pPr>
              <w:rPr>
                <w:rFonts w:ascii="宋体" w:hAnsi="宋体" w:cs="宋体"/>
                <w:color w:val="auto"/>
                <w:kern w:val="21"/>
                <w:szCs w:val="21"/>
                <w:highlight w:val="none"/>
              </w:rPr>
            </w:pPr>
          </w:p>
        </w:tc>
      </w:tr>
      <w:tr w14:paraId="1D5C73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6EDCA459">
            <w:pPr>
              <w:rPr>
                <w:rFonts w:ascii="宋体" w:hAnsi="宋体" w:cs="宋体"/>
                <w:color w:val="auto"/>
                <w:kern w:val="21"/>
                <w:szCs w:val="21"/>
                <w:highlight w:val="none"/>
              </w:rPr>
            </w:pPr>
            <w:r>
              <w:rPr>
                <w:rFonts w:hint="eastAsia" w:ascii="宋体" w:hAnsi="宋体" w:cs="宋体"/>
                <w:color w:val="auto"/>
                <w:kern w:val="21"/>
                <w:szCs w:val="21"/>
                <w:highlight w:val="none"/>
              </w:rPr>
              <w:t>验收小组成员签字：</w:t>
            </w:r>
          </w:p>
        </w:tc>
      </w:tr>
      <w:tr w14:paraId="1A05C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70E693E2">
            <w:pPr>
              <w:rPr>
                <w:rFonts w:ascii="宋体" w:hAnsi="宋体" w:cs="宋体"/>
                <w:color w:val="auto"/>
                <w:kern w:val="21"/>
                <w:szCs w:val="21"/>
                <w:highlight w:val="none"/>
              </w:rPr>
            </w:pPr>
            <w:r>
              <w:rPr>
                <w:rFonts w:hint="eastAsia" w:ascii="宋体" w:hAnsi="宋体" w:cs="宋体"/>
                <w:color w:val="auto"/>
                <w:kern w:val="21"/>
                <w:szCs w:val="21"/>
                <w:highlight w:val="none"/>
              </w:rPr>
              <w:t>参与验收其他或监督人员签字：</w:t>
            </w:r>
          </w:p>
        </w:tc>
      </w:tr>
      <w:tr w14:paraId="088467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68AFBD77">
            <w:pPr>
              <w:rPr>
                <w:rFonts w:ascii="宋体" w:hAnsi="宋体" w:cs="宋体"/>
                <w:color w:val="auto"/>
                <w:kern w:val="21"/>
                <w:szCs w:val="21"/>
                <w:highlight w:val="none"/>
              </w:rPr>
            </w:pPr>
            <w:r>
              <w:rPr>
                <w:rFonts w:hint="eastAsia" w:ascii="宋体" w:hAnsi="宋体" w:cs="宋体"/>
                <w:color w:val="auto"/>
                <w:kern w:val="21"/>
                <w:szCs w:val="21"/>
                <w:highlight w:val="none"/>
              </w:rPr>
              <w:t>中标（或成交）供应商签字或盖章：</w:t>
            </w:r>
          </w:p>
          <w:p w14:paraId="34F66C97">
            <w:pPr>
              <w:rPr>
                <w:rFonts w:ascii="宋体" w:hAnsi="宋体" w:cs="宋体"/>
                <w:color w:val="auto"/>
                <w:kern w:val="21"/>
                <w:szCs w:val="21"/>
                <w:highlight w:val="none"/>
              </w:rPr>
            </w:pPr>
          </w:p>
          <w:p w14:paraId="3D33D378">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4CEED1D0">
            <w:pPr>
              <w:rPr>
                <w:rFonts w:ascii="宋体" w:hAnsi="宋体" w:cs="宋体"/>
                <w:color w:val="auto"/>
                <w:kern w:val="21"/>
                <w:szCs w:val="21"/>
                <w:highlight w:val="none"/>
              </w:rPr>
            </w:pPr>
          </w:p>
          <w:p w14:paraId="3ACA80C7">
            <w:pPr>
              <w:rPr>
                <w:rFonts w:ascii="宋体" w:hAnsi="宋体" w:cs="宋体"/>
                <w:color w:val="auto"/>
                <w:kern w:val="21"/>
                <w:szCs w:val="21"/>
                <w:highlight w:val="none"/>
              </w:rPr>
            </w:pPr>
            <w:r>
              <w:rPr>
                <w:rFonts w:hint="eastAsia" w:ascii="宋体" w:hAnsi="宋体" w:cs="宋体"/>
                <w:color w:val="auto"/>
                <w:kern w:val="21"/>
                <w:szCs w:val="21"/>
                <w:highlight w:val="none"/>
              </w:rPr>
              <w:t>                            年  月   日</w:t>
            </w:r>
          </w:p>
        </w:tc>
        <w:tc>
          <w:tcPr>
            <w:tcW w:w="4872" w:type="dxa"/>
            <w:gridSpan w:val="5"/>
            <w:noWrap w:val="0"/>
            <w:vAlign w:val="center"/>
          </w:tcPr>
          <w:p w14:paraId="46D5CE40">
            <w:pPr>
              <w:rPr>
                <w:rFonts w:ascii="宋体" w:hAnsi="宋体" w:cs="宋体"/>
                <w:color w:val="auto"/>
                <w:kern w:val="21"/>
                <w:szCs w:val="21"/>
                <w:highlight w:val="none"/>
              </w:rPr>
            </w:pPr>
            <w:r>
              <w:rPr>
                <w:rFonts w:hint="eastAsia" w:ascii="宋体" w:hAnsi="宋体" w:cs="宋体"/>
                <w:color w:val="auto"/>
                <w:kern w:val="21"/>
                <w:szCs w:val="21"/>
                <w:highlight w:val="none"/>
              </w:rPr>
              <w:t>采购人的意见（盖章）：</w:t>
            </w:r>
          </w:p>
          <w:p w14:paraId="52AA78A1">
            <w:pPr>
              <w:rPr>
                <w:rFonts w:ascii="宋体" w:hAnsi="宋体" w:cs="宋体"/>
                <w:color w:val="auto"/>
                <w:kern w:val="21"/>
                <w:szCs w:val="21"/>
                <w:highlight w:val="none"/>
              </w:rPr>
            </w:pPr>
          </w:p>
          <w:p w14:paraId="1087E7D3">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51D32BFF">
            <w:pPr>
              <w:rPr>
                <w:rFonts w:ascii="宋体" w:hAnsi="宋体" w:cs="宋体"/>
                <w:color w:val="auto"/>
                <w:kern w:val="21"/>
                <w:szCs w:val="21"/>
                <w:highlight w:val="none"/>
              </w:rPr>
            </w:pPr>
          </w:p>
          <w:p w14:paraId="323D560F">
            <w:pPr>
              <w:rPr>
                <w:rFonts w:ascii="宋体" w:hAnsi="宋体" w:cs="宋体"/>
                <w:color w:val="auto"/>
                <w:kern w:val="21"/>
                <w:szCs w:val="21"/>
                <w:highlight w:val="none"/>
              </w:rPr>
            </w:pPr>
            <w:r>
              <w:rPr>
                <w:rFonts w:hint="eastAsia" w:ascii="宋体" w:hAnsi="宋体" w:cs="宋体"/>
                <w:color w:val="auto"/>
                <w:kern w:val="21"/>
                <w:szCs w:val="21"/>
                <w:highlight w:val="none"/>
              </w:rPr>
              <w:t xml:space="preserve">   年  月   日</w:t>
            </w:r>
          </w:p>
        </w:tc>
      </w:tr>
    </w:tbl>
    <w:p w14:paraId="391A3C7D">
      <w:pPr>
        <w:widowControl/>
        <w:ind w:firstLine="210" w:firstLineChars="100"/>
        <w:jc w:val="left"/>
        <w:rPr>
          <w:rFonts w:ascii="宋体" w:hAnsi="宋体" w:cs="宋体"/>
          <w:color w:val="auto"/>
          <w:kern w:val="21"/>
          <w:szCs w:val="21"/>
          <w:highlight w:val="none"/>
        </w:rPr>
      </w:pPr>
      <w:r>
        <w:rPr>
          <w:rFonts w:hint="eastAsia" w:ascii="宋体" w:hAnsi="宋体" w:cs="宋体"/>
          <w:color w:val="auto"/>
          <w:kern w:val="21"/>
          <w:szCs w:val="21"/>
          <w:highlight w:val="none"/>
        </w:rPr>
        <w:t>备注：本报告单一式三份（采购人1份、中标（或成交）供应商1份、采购代理机构1份）。</w:t>
      </w:r>
    </w:p>
    <w:p w14:paraId="295C8D55">
      <w:pPr>
        <w:jc w:val="left"/>
        <w:rPr>
          <w:rFonts w:ascii="宋体" w:hAnsi="宋体" w:cs="宋体"/>
          <w:b/>
          <w:color w:val="auto"/>
          <w:kern w:val="21"/>
          <w:sz w:val="44"/>
          <w:szCs w:val="44"/>
          <w:highlight w:val="none"/>
        </w:rPr>
      </w:pPr>
    </w:p>
    <w:p w14:paraId="7249755C">
      <w:pPr>
        <w:snapToGrid w:val="0"/>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 xml:space="preserve"> </w:t>
      </w:r>
    </w:p>
    <w:p w14:paraId="2E3DDB36">
      <w:pPr>
        <w:snapToGrid w:val="0"/>
        <w:rPr>
          <w:rFonts w:ascii="宋体" w:hAnsi="宋体" w:cs="宋体"/>
          <w:color w:val="auto"/>
          <w:kern w:val="21"/>
          <w:szCs w:val="20"/>
          <w:highlight w:val="none"/>
        </w:rPr>
      </w:pPr>
      <w:r>
        <w:rPr>
          <w:rFonts w:hint="eastAsia" w:ascii="宋体" w:hAnsi="宋体" w:cs="宋体"/>
          <w:b/>
          <w:color w:val="auto"/>
          <w:kern w:val="21"/>
          <w:szCs w:val="20"/>
          <w:highlight w:val="none"/>
        </w:rPr>
        <w:t>附件II：</w:t>
      </w:r>
    </w:p>
    <w:p w14:paraId="34F76DE7">
      <w:pPr>
        <w:jc w:val="center"/>
        <w:rPr>
          <w:rFonts w:ascii="宋体" w:hAnsi="宋体" w:cs="宋体"/>
          <w:color w:val="auto"/>
          <w:kern w:val="21"/>
          <w:sz w:val="32"/>
          <w:szCs w:val="32"/>
          <w:highlight w:val="none"/>
        </w:rPr>
      </w:pPr>
      <w:r>
        <w:rPr>
          <w:rFonts w:hint="eastAsia" w:ascii="宋体" w:hAnsi="宋体" w:cs="宋体"/>
          <w:b/>
          <w:bCs/>
          <w:color w:val="auto"/>
          <w:kern w:val="21"/>
          <w:sz w:val="32"/>
          <w:szCs w:val="32"/>
          <w:highlight w:val="none"/>
        </w:rPr>
        <w:t>政府采购项目履约保证金退付意见书（格式）</w:t>
      </w:r>
    </w:p>
    <w:p w14:paraId="4A998990">
      <w:pPr>
        <w:jc w:val="center"/>
        <w:rPr>
          <w:rFonts w:ascii="宋体" w:hAnsi="宋体" w:cs="宋体"/>
          <w:color w:val="auto"/>
          <w:kern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3D55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43FA9D1D">
            <w:pPr>
              <w:jc w:val="center"/>
              <w:rPr>
                <w:rFonts w:ascii="宋体" w:hAnsi="宋体" w:cs="宋体"/>
                <w:color w:val="auto"/>
                <w:kern w:val="21"/>
                <w:highlight w:val="none"/>
              </w:rPr>
            </w:pPr>
            <w:r>
              <w:rPr>
                <w:rFonts w:hint="eastAsia" w:ascii="宋体" w:hAnsi="宋体" w:cs="宋体"/>
                <w:color w:val="auto"/>
                <w:kern w:val="21"/>
                <w:highlight w:val="none"/>
              </w:rPr>
              <w:t>供</w:t>
            </w:r>
          </w:p>
          <w:p w14:paraId="12169D96">
            <w:pPr>
              <w:jc w:val="center"/>
              <w:rPr>
                <w:rFonts w:ascii="宋体" w:hAnsi="宋体" w:cs="宋体"/>
                <w:color w:val="auto"/>
                <w:kern w:val="21"/>
                <w:highlight w:val="none"/>
              </w:rPr>
            </w:pPr>
            <w:r>
              <w:rPr>
                <w:rFonts w:hint="eastAsia" w:ascii="宋体" w:hAnsi="宋体" w:cs="宋体"/>
                <w:color w:val="auto"/>
                <w:kern w:val="21"/>
                <w:highlight w:val="none"/>
              </w:rPr>
              <w:t>应</w:t>
            </w:r>
          </w:p>
          <w:p w14:paraId="0BC81DC4">
            <w:pPr>
              <w:jc w:val="center"/>
              <w:rPr>
                <w:rFonts w:ascii="宋体" w:hAnsi="宋体" w:cs="宋体"/>
                <w:color w:val="auto"/>
                <w:kern w:val="21"/>
                <w:highlight w:val="none"/>
              </w:rPr>
            </w:pPr>
            <w:r>
              <w:rPr>
                <w:rFonts w:hint="eastAsia" w:ascii="宋体" w:hAnsi="宋体" w:cs="宋体"/>
                <w:color w:val="auto"/>
                <w:kern w:val="21"/>
                <w:highlight w:val="none"/>
              </w:rPr>
              <w:t>商</w:t>
            </w:r>
          </w:p>
          <w:p w14:paraId="1A1D06DB">
            <w:pPr>
              <w:jc w:val="center"/>
              <w:rPr>
                <w:rFonts w:ascii="宋体" w:hAnsi="宋体" w:cs="宋体"/>
                <w:color w:val="auto"/>
                <w:kern w:val="21"/>
                <w:highlight w:val="none"/>
              </w:rPr>
            </w:pPr>
            <w:r>
              <w:rPr>
                <w:rFonts w:hint="eastAsia" w:ascii="宋体" w:hAnsi="宋体" w:cs="宋体"/>
                <w:color w:val="auto"/>
                <w:kern w:val="21"/>
                <w:highlight w:val="none"/>
              </w:rPr>
              <w:t>申</w:t>
            </w:r>
          </w:p>
          <w:p w14:paraId="66937948">
            <w:pPr>
              <w:jc w:val="center"/>
              <w:rPr>
                <w:rFonts w:ascii="宋体" w:hAnsi="宋体" w:cs="宋体"/>
                <w:color w:val="auto"/>
                <w:kern w:val="21"/>
                <w:highlight w:val="none"/>
              </w:rPr>
            </w:pPr>
            <w:r>
              <w:rPr>
                <w:rFonts w:hint="eastAsia" w:ascii="宋体" w:hAnsi="宋体" w:cs="宋体"/>
                <w:color w:val="auto"/>
                <w:kern w:val="21"/>
                <w:highlight w:val="none"/>
              </w:rPr>
              <w:t>请</w:t>
            </w:r>
          </w:p>
        </w:tc>
        <w:tc>
          <w:tcPr>
            <w:tcW w:w="8454" w:type="dxa"/>
            <w:noWrap w:val="0"/>
            <w:vAlign w:val="center"/>
          </w:tcPr>
          <w:p w14:paraId="18D24355">
            <w:pPr>
              <w:rPr>
                <w:rFonts w:ascii="宋体" w:hAnsi="宋体" w:cs="宋体"/>
                <w:color w:val="auto"/>
                <w:kern w:val="21"/>
                <w:highlight w:val="none"/>
              </w:rPr>
            </w:pPr>
            <w:r>
              <w:rPr>
                <w:rFonts w:hint="eastAsia" w:ascii="宋体" w:hAnsi="宋体" w:cs="宋体"/>
                <w:color w:val="auto"/>
                <w:kern w:val="21"/>
                <w:highlight w:val="none"/>
              </w:rPr>
              <w:t>采购项目编号：</w:t>
            </w:r>
          </w:p>
        </w:tc>
      </w:tr>
      <w:tr w14:paraId="18EC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181E6D39">
            <w:pPr>
              <w:rPr>
                <w:rFonts w:ascii="宋体" w:hAnsi="宋体" w:cs="宋体"/>
                <w:color w:val="auto"/>
                <w:kern w:val="21"/>
                <w:highlight w:val="none"/>
              </w:rPr>
            </w:pPr>
          </w:p>
        </w:tc>
        <w:tc>
          <w:tcPr>
            <w:tcW w:w="8454" w:type="dxa"/>
            <w:noWrap w:val="0"/>
            <w:vAlign w:val="center"/>
          </w:tcPr>
          <w:p w14:paraId="7449F1B6">
            <w:pPr>
              <w:rPr>
                <w:rFonts w:ascii="宋体" w:hAnsi="宋体" w:cs="宋体"/>
                <w:color w:val="auto"/>
                <w:kern w:val="21"/>
                <w:highlight w:val="none"/>
              </w:rPr>
            </w:pPr>
            <w:r>
              <w:rPr>
                <w:rFonts w:hint="eastAsia" w:ascii="宋体" w:hAnsi="宋体" w:cs="宋体"/>
                <w:color w:val="auto"/>
                <w:kern w:val="21"/>
                <w:highlight w:val="none"/>
              </w:rPr>
              <w:t xml:space="preserve">采购项目名称： </w:t>
            </w:r>
          </w:p>
        </w:tc>
      </w:tr>
      <w:tr w14:paraId="5BFF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74A5A0C7">
            <w:pPr>
              <w:rPr>
                <w:rFonts w:ascii="宋体" w:hAnsi="宋体" w:cs="宋体"/>
                <w:color w:val="auto"/>
                <w:kern w:val="21"/>
                <w:highlight w:val="none"/>
              </w:rPr>
            </w:pPr>
          </w:p>
        </w:tc>
        <w:tc>
          <w:tcPr>
            <w:tcW w:w="8454" w:type="dxa"/>
            <w:noWrap w:val="0"/>
            <w:vAlign w:val="top"/>
          </w:tcPr>
          <w:p w14:paraId="25A5E28C">
            <w:pPr>
              <w:rPr>
                <w:rFonts w:ascii="宋体" w:hAnsi="宋体" w:cs="宋体"/>
                <w:color w:val="auto"/>
                <w:kern w:val="21"/>
                <w:highlight w:val="none"/>
              </w:rPr>
            </w:pPr>
          </w:p>
          <w:p w14:paraId="7171BA70">
            <w:pPr>
              <w:ind w:firstLine="525" w:firstLineChars="250"/>
              <w:rPr>
                <w:rFonts w:ascii="宋体" w:hAnsi="宋体" w:cs="宋体"/>
                <w:color w:val="auto"/>
                <w:kern w:val="21"/>
                <w:highlight w:val="none"/>
              </w:rPr>
            </w:pPr>
            <w:r>
              <w:rPr>
                <w:rFonts w:hint="eastAsia" w:ascii="宋体" w:hAnsi="宋体" w:cs="宋体"/>
                <w:color w:val="auto"/>
                <w:kern w:val="21"/>
                <w:highlight w:val="none"/>
              </w:rPr>
              <w:t>该项目已于 年 月 日验收并交付使用。根据合同规定，可将履约保证金（大写）人民币 元（小写）￥ 元退付到以下账户：</w:t>
            </w:r>
          </w:p>
          <w:p w14:paraId="5C364EC8">
            <w:pPr>
              <w:rPr>
                <w:rFonts w:ascii="宋体" w:hAnsi="宋体" w:cs="宋体"/>
                <w:color w:val="auto"/>
                <w:kern w:val="21"/>
                <w:highlight w:val="none"/>
              </w:rPr>
            </w:pPr>
          </w:p>
          <w:p w14:paraId="59DE0C63">
            <w:pPr>
              <w:spacing w:line="420" w:lineRule="exact"/>
              <w:rPr>
                <w:rFonts w:ascii="宋体" w:hAnsi="宋体" w:cs="宋体"/>
                <w:color w:val="auto"/>
                <w:kern w:val="21"/>
                <w:highlight w:val="none"/>
              </w:rPr>
            </w:pPr>
            <w:r>
              <w:rPr>
                <w:rFonts w:hint="eastAsia" w:ascii="宋体" w:hAnsi="宋体" w:cs="宋体"/>
                <w:color w:val="auto"/>
                <w:kern w:val="21"/>
                <w:highlight w:val="none"/>
              </w:rPr>
              <w:t>单位名称：</w:t>
            </w:r>
          </w:p>
          <w:p w14:paraId="74A26AAB">
            <w:pPr>
              <w:spacing w:line="420" w:lineRule="exact"/>
              <w:rPr>
                <w:rFonts w:ascii="宋体" w:hAnsi="宋体" w:cs="宋体"/>
                <w:color w:val="auto"/>
                <w:kern w:val="21"/>
                <w:highlight w:val="none"/>
              </w:rPr>
            </w:pPr>
            <w:r>
              <w:rPr>
                <w:rFonts w:hint="eastAsia" w:ascii="宋体" w:hAnsi="宋体" w:cs="宋体"/>
                <w:color w:val="auto"/>
                <w:kern w:val="21"/>
                <w:highlight w:val="none"/>
              </w:rPr>
              <w:t>开户银行：银行账号：</w:t>
            </w:r>
          </w:p>
          <w:p w14:paraId="2B25B66D">
            <w:pPr>
              <w:rPr>
                <w:rFonts w:ascii="宋体" w:hAnsi="宋体" w:cs="宋体"/>
                <w:color w:val="auto"/>
                <w:kern w:val="21"/>
                <w:highlight w:val="none"/>
              </w:rPr>
            </w:pPr>
          </w:p>
          <w:p w14:paraId="7FF9F4D4">
            <w:pPr>
              <w:rPr>
                <w:rFonts w:ascii="宋体" w:hAnsi="宋体" w:cs="宋体"/>
                <w:color w:val="auto"/>
                <w:kern w:val="21"/>
                <w:highlight w:val="none"/>
              </w:rPr>
            </w:pPr>
          </w:p>
          <w:p w14:paraId="10776E18">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75E6B1D1">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25819812">
            <w:pPr>
              <w:rPr>
                <w:rFonts w:ascii="宋体" w:hAnsi="宋体" w:cs="宋体"/>
                <w:color w:val="auto"/>
                <w:kern w:val="21"/>
                <w:highlight w:val="none"/>
              </w:rPr>
            </w:pPr>
          </w:p>
          <w:p w14:paraId="3878AF74">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供应商签章</w:t>
            </w:r>
          </w:p>
          <w:p w14:paraId="3CDBE94F">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p w14:paraId="1271918F">
            <w:pPr>
              <w:rPr>
                <w:rFonts w:ascii="宋体" w:hAnsi="宋体" w:cs="宋体"/>
                <w:color w:val="auto"/>
                <w:kern w:val="21"/>
                <w:highlight w:val="none"/>
              </w:rPr>
            </w:pPr>
          </w:p>
        </w:tc>
      </w:tr>
      <w:tr w14:paraId="2B3F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357A39A9">
            <w:pPr>
              <w:jc w:val="center"/>
              <w:rPr>
                <w:rFonts w:ascii="宋体" w:hAnsi="宋体" w:cs="宋体"/>
                <w:color w:val="auto"/>
                <w:kern w:val="21"/>
                <w:highlight w:val="none"/>
              </w:rPr>
            </w:pPr>
            <w:r>
              <w:rPr>
                <w:rFonts w:hint="eastAsia" w:ascii="宋体" w:hAnsi="宋体" w:cs="宋体"/>
                <w:color w:val="auto"/>
                <w:kern w:val="21"/>
                <w:highlight w:val="none"/>
              </w:rPr>
              <w:t>采</w:t>
            </w:r>
          </w:p>
          <w:p w14:paraId="3EF68F3C">
            <w:pPr>
              <w:jc w:val="center"/>
              <w:rPr>
                <w:rFonts w:ascii="宋体" w:hAnsi="宋体" w:cs="宋体"/>
                <w:color w:val="auto"/>
                <w:kern w:val="21"/>
                <w:highlight w:val="none"/>
              </w:rPr>
            </w:pPr>
            <w:r>
              <w:rPr>
                <w:rFonts w:hint="eastAsia" w:ascii="宋体" w:hAnsi="宋体" w:cs="宋体"/>
                <w:color w:val="auto"/>
                <w:kern w:val="21"/>
                <w:highlight w:val="none"/>
              </w:rPr>
              <w:t>购</w:t>
            </w:r>
          </w:p>
          <w:p w14:paraId="328B5E44">
            <w:pPr>
              <w:jc w:val="center"/>
              <w:rPr>
                <w:rFonts w:ascii="宋体" w:hAnsi="宋体" w:cs="宋体"/>
                <w:color w:val="auto"/>
                <w:kern w:val="21"/>
                <w:highlight w:val="none"/>
              </w:rPr>
            </w:pPr>
            <w:r>
              <w:rPr>
                <w:rFonts w:hint="eastAsia" w:ascii="宋体" w:hAnsi="宋体" w:cs="宋体"/>
                <w:color w:val="auto"/>
                <w:kern w:val="21"/>
                <w:highlight w:val="none"/>
              </w:rPr>
              <w:t>单</w:t>
            </w:r>
          </w:p>
          <w:p w14:paraId="62038F6E">
            <w:pPr>
              <w:jc w:val="center"/>
              <w:rPr>
                <w:rFonts w:ascii="宋体" w:hAnsi="宋体" w:cs="宋体"/>
                <w:color w:val="auto"/>
                <w:kern w:val="21"/>
                <w:highlight w:val="none"/>
              </w:rPr>
            </w:pPr>
            <w:r>
              <w:rPr>
                <w:rFonts w:hint="eastAsia" w:ascii="宋体" w:hAnsi="宋体" w:cs="宋体"/>
                <w:color w:val="auto"/>
                <w:kern w:val="21"/>
                <w:highlight w:val="none"/>
              </w:rPr>
              <w:t>位</w:t>
            </w:r>
          </w:p>
          <w:p w14:paraId="317BC258">
            <w:pPr>
              <w:jc w:val="center"/>
              <w:rPr>
                <w:rFonts w:ascii="宋体" w:hAnsi="宋体" w:cs="宋体"/>
                <w:color w:val="auto"/>
                <w:kern w:val="21"/>
                <w:highlight w:val="none"/>
              </w:rPr>
            </w:pPr>
            <w:r>
              <w:rPr>
                <w:rFonts w:hint="eastAsia" w:ascii="宋体" w:hAnsi="宋体" w:cs="宋体"/>
                <w:color w:val="auto"/>
                <w:kern w:val="21"/>
                <w:highlight w:val="none"/>
              </w:rPr>
              <w:t>意</w:t>
            </w:r>
          </w:p>
          <w:p w14:paraId="68F31AA5">
            <w:pPr>
              <w:jc w:val="center"/>
              <w:rPr>
                <w:rFonts w:ascii="宋体" w:hAnsi="宋体" w:cs="宋体"/>
                <w:color w:val="auto"/>
                <w:kern w:val="21"/>
                <w:highlight w:val="none"/>
              </w:rPr>
            </w:pPr>
            <w:r>
              <w:rPr>
                <w:rFonts w:hint="eastAsia" w:ascii="宋体" w:hAnsi="宋体" w:cs="宋体"/>
                <w:color w:val="auto"/>
                <w:kern w:val="21"/>
                <w:highlight w:val="none"/>
              </w:rPr>
              <w:t>见</w:t>
            </w:r>
          </w:p>
        </w:tc>
        <w:tc>
          <w:tcPr>
            <w:tcW w:w="8454" w:type="dxa"/>
            <w:noWrap w:val="0"/>
            <w:vAlign w:val="top"/>
          </w:tcPr>
          <w:p w14:paraId="5814E64B">
            <w:pPr>
              <w:rPr>
                <w:rFonts w:ascii="宋体" w:hAnsi="宋体" w:cs="宋体"/>
                <w:color w:val="auto"/>
                <w:kern w:val="21"/>
                <w:highlight w:val="none"/>
              </w:rPr>
            </w:pPr>
          </w:p>
          <w:p w14:paraId="2F39FB2F">
            <w:pPr>
              <w:rPr>
                <w:rFonts w:ascii="宋体" w:hAnsi="宋体" w:cs="宋体"/>
                <w:color w:val="auto"/>
                <w:kern w:val="21"/>
                <w:highlight w:val="none"/>
              </w:rPr>
            </w:pPr>
            <w:r>
              <w:rPr>
                <w:rFonts w:hint="eastAsia" w:ascii="宋体" w:hAnsi="宋体" w:cs="宋体"/>
                <w:color w:val="auto"/>
                <w:kern w:val="21"/>
                <w:highlight w:val="none"/>
              </w:rPr>
              <w:t>退付意见：是否同意退付履约保证金及退付金额：</w:t>
            </w:r>
          </w:p>
          <w:p w14:paraId="74C71F83">
            <w:pPr>
              <w:rPr>
                <w:rFonts w:ascii="宋体" w:hAnsi="宋体" w:cs="宋体"/>
                <w:color w:val="auto"/>
                <w:kern w:val="21"/>
                <w:highlight w:val="none"/>
              </w:rPr>
            </w:pPr>
          </w:p>
          <w:p w14:paraId="7BA1816A">
            <w:pPr>
              <w:rPr>
                <w:rFonts w:ascii="宋体" w:hAnsi="宋体" w:cs="宋体"/>
                <w:color w:val="auto"/>
                <w:kern w:val="21"/>
                <w:highlight w:val="none"/>
              </w:rPr>
            </w:pPr>
          </w:p>
          <w:p w14:paraId="520D3A1C">
            <w:pPr>
              <w:rPr>
                <w:rFonts w:ascii="宋体" w:hAnsi="宋体" w:cs="宋体"/>
                <w:color w:val="auto"/>
                <w:kern w:val="21"/>
                <w:highlight w:val="none"/>
              </w:rPr>
            </w:pPr>
          </w:p>
          <w:p w14:paraId="62BF5C7B">
            <w:pPr>
              <w:rPr>
                <w:rFonts w:ascii="宋体" w:hAnsi="宋体" w:cs="宋体"/>
                <w:color w:val="auto"/>
                <w:kern w:val="21"/>
                <w:highlight w:val="none"/>
              </w:rPr>
            </w:pPr>
          </w:p>
          <w:p w14:paraId="3996BBBB">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26ED3145">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6A03F38E">
            <w:pPr>
              <w:rPr>
                <w:rFonts w:ascii="宋体" w:hAnsi="宋体" w:cs="宋体"/>
                <w:color w:val="auto"/>
                <w:kern w:val="21"/>
                <w:highlight w:val="none"/>
              </w:rPr>
            </w:pPr>
          </w:p>
          <w:p w14:paraId="225B2181">
            <w:pPr>
              <w:rPr>
                <w:rFonts w:ascii="宋体" w:hAnsi="宋体" w:cs="宋体"/>
                <w:color w:val="auto"/>
                <w:kern w:val="21"/>
                <w:highlight w:val="none"/>
              </w:rPr>
            </w:pPr>
          </w:p>
          <w:p w14:paraId="6B351F08">
            <w:pPr>
              <w:rPr>
                <w:rFonts w:ascii="宋体" w:hAnsi="宋体" w:cs="宋体"/>
                <w:color w:val="auto"/>
                <w:kern w:val="21"/>
                <w:highlight w:val="none"/>
              </w:rPr>
            </w:pPr>
          </w:p>
          <w:p w14:paraId="3FCAB370">
            <w:pPr>
              <w:rPr>
                <w:rFonts w:ascii="宋体" w:hAnsi="宋体" w:cs="宋体"/>
                <w:color w:val="auto"/>
                <w:kern w:val="21"/>
                <w:highlight w:val="none"/>
              </w:rPr>
            </w:pPr>
          </w:p>
          <w:p w14:paraId="17EE0E69">
            <w:pPr>
              <w:rPr>
                <w:rFonts w:ascii="宋体" w:hAnsi="宋体" w:cs="宋体"/>
                <w:color w:val="auto"/>
                <w:kern w:val="21"/>
                <w:highlight w:val="none"/>
              </w:rPr>
            </w:pPr>
            <w:r>
              <w:rPr>
                <w:rFonts w:hint="eastAsia" w:ascii="宋体" w:hAnsi="宋体" w:cs="宋体"/>
                <w:color w:val="auto"/>
                <w:kern w:val="21"/>
                <w:highlight w:val="none"/>
              </w:rPr>
              <w:t xml:space="preserve">                                         单位签章</w:t>
            </w:r>
          </w:p>
          <w:p w14:paraId="53280922">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tc>
      </w:tr>
    </w:tbl>
    <w:p w14:paraId="75584661">
      <w:pPr>
        <w:spacing w:line="380" w:lineRule="exact"/>
        <w:ind w:left="420" w:leftChars="114" w:hanging="181" w:hangingChars="100"/>
        <w:rPr>
          <w:rFonts w:ascii="宋体" w:hAnsi="宋体" w:cs="宋体"/>
          <w:color w:val="auto"/>
          <w:kern w:val="21"/>
          <w:highlight w:val="none"/>
        </w:rPr>
      </w:pPr>
      <w:r>
        <w:rPr>
          <w:rFonts w:hint="eastAsia" w:ascii="宋体" w:hAnsi="宋体" w:cs="宋体"/>
          <w:b/>
          <w:bCs/>
          <w:color w:val="auto"/>
          <w:kern w:val="21"/>
          <w:sz w:val="18"/>
          <w:highlight w:val="none"/>
        </w:rPr>
        <w:t>注：供应商凭经采购单位审批的退付意见书到履约保证金收取单位财务部办理履约保证金退付事宜。</w:t>
      </w:r>
    </w:p>
    <w:p w14:paraId="724AECC1">
      <w:pPr>
        <w:snapToGrid w:val="0"/>
        <w:spacing w:line="370" w:lineRule="exact"/>
        <w:ind w:firstLine="315" w:firstLineChars="150"/>
        <w:rPr>
          <w:rFonts w:ascii="宋体" w:hAnsi="宋体" w:cs="宋体"/>
          <w:color w:val="auto"/>
          <w:kern w:val="21"/>
          <w:szCs w:val="20"/>
          <w:highlight w:val="none"/>
        </w:rPr>
      </w:pPr>
    </w:p>
    <w:p w14:paraId="67CD1D39">
      <w:pPr>
        <w:tabs>
          <w:tab w:val="left" w:pos="3261"/>
        </w:tabs>
        <w:spacing w:line="360" w:lineRule="auto"/>
        <w:contextualSpacing/>
        <w:jc w:val="center"/>
        <w:rPr>
          <w:rFonts w:ascii="宋体" w:hAnsi="宋体" w:cs="宋体"/>
          <w:b/>
          <w:color w:val="auto"/>
          <w:kern w:val="21"/>
          <w:sz w:val="44"/>
          <w:szCs w:val="44"/>
          <w:highlight w:val="none"/>
        </w:rPr>
      </w:pPr>
    </w:p>
    <w:p w14:paraId="4A25B256">
      <w:pPr>
        <w:spacing w:line="360" w:lineRule="auto"/>
        <w:jc w:val="center"/>
        <w:rPr>
          <w:rFonts w:ascii="宋体" w:hAnsi="宋体" w:cs="宋体"/>
          <w:b/>
          <w:bCs/>
          <w:color w:val="auto"/>
          <w:kern w:val="21"/>
          <w:sz w:val="44"/>
          <w:szCs w:val="44"/>
          <w:highlight w:val="none"/>
        </w:rPr>
        <w:sectPr>
          <w:pgSz w:w="11911" w:h="16838"/>
          <w:pgMar w:top="1440" w:right="1440" w:bottom="1440" w:left="1440" w:header="720" w:footer="720" w:gutter="0"/>
          <w:cols w:space="720" w:num="1"/>
        </w:sectPr>
      </w:pPr>
    </w:p>
    <w:p w14:paraId="20C3BAD4">
      <w:pPr>
        <w:tabs>
          <w:tab w:val="left" w:pos="3261"/>
        </w:tabs>
        <w:spacing w:line="360" w:lineRule="auto"/>
        <w:contextualSpacing/>
        <w:jc w:val="center"/>
        <w:rPr>
          <w:rFonts w:ascii="宋体" w:hAnsi="宋体" w:cs="宋体"/>
          <w:b/>
          <w:color w:val="auto"/>
          <w:kern w:val="21"/>
          <w:sz w:val="44"/>
          <w:szCs w:val="44"/>
          <w:highlight w:val="none"/>
        </w:rPr>
      </w:pPr>
    </w:p>
    <w:p w14:paraId="54B53C0F">
      <w:pPr>
        <w:tabs>
          <w:tab w:val="left" w:pos="3261"/>
        </w:tabs>
        <w:spacing w:line="360" w:lineRule="auto"/>
        <w:contextualSpacing/>
        <w:jc w:val="center"/>
        <w:rPr>
          <w:rFonts w:ascii="宋体" w:hAnsi="宋体" w:cs="宋体"/>
          <w:b/>
          <w:color w:val="auto"/>
          <w:kern w:val="21"/>
          <w:sz w:val="44"/>
          <w:szCs w:val="44"/>
          <w:highlight w:val="none"/>
        </w:rPr>
      </w:pPr>
    </w:p>
    <w:p w14:paraId="53426E59">
      <w:pPr>
        <w:tabs>
          <w:tab w:val="left" w:pos="3261"/>
        </w:tabs>
        <w:spacing w:line="360" w:lineRule="auto"/>
        <w:contextualSpacing/>
        <w:jc w:val="center"/>
        <w:rPr>
          <w:rFonts w:ascii="宋体" w:hAnsi="宋体" w:cs="宋体"/>
          <w:b/>
          <w:color w:val="auto"/>
          <w:kern w:val="21"/>
          <w:sz w:val="44"/>
          <w:szCs w:val="44"/>
          <w:highlight w:val="none"/>
        </w:rPr>
      </w:pPr>
    </w:p>
    <w:p w14:paraId="2D9C6FC4">
      <w:pPr>
        <w:tabs>
          <w:tab w:val="left" w:pos="3261"/>
        </w:tabs>
        <w:spacing w:line="360" w:lineRule="auto"/>
        <w:contextualSpacing/>
        <w:jc w:val="center"/>
        <w:rPr>
          <w:rFonts w:ascii="宋体" w:hAnsi="宋体" w:cs="宋体"/>
          <w:b/>
          <w:color w:val="auto"/>
          <w:kern w:val="21"/>
          <w:sz w:val="44"/>
          <w:szCs w:val="44"/>
          <w:highlight w:val="none"/>
        </w:rPr>
      </w:pPr>
    </w:p>
    <w:p w14:paraId="55D5ECFC">
      <w:pPr>
        <w:tabs>
          <w:tab w:val="left" w:pos="3261"/>
        </w:tabs>
        <w:spacing w:line="360" w:lineRule="auto"/>
        <w:contextualSpacing/>
        <w:jc w:val="center"/>
        <w:rPr>
          <w:rFonts w:ascii="宋体" w:hAnsi="宋体" w:cs="宋体"/>
          <w:b/>
          <w:color w:val="auto"/>
          <w:kern w:val="21"/>
          <w:sz w:val="44"/>
          <w:szCs w:val="44"/>
          <w:highlight w:val="none"/>
        </w:rPr>
      </w:pPr>
    </w:p>
    <w:p w14:paraId="2DDD8432">
      <w:pPr>
        <w:pStyle w:val="2"/>
        <w:jc w:val="center"/>
        <w:rPr>
          <w:rFonts w:ascii="宋体" w:hAnsi="宋体" w:cs="宋体"/>
          <w:bCs w:val="0"/>
          <w:color w:val="auto"/>
          <w:kern w:val="21"/>
          <w:highlight w:val="none"/>
        </w:rPr>
        <w:sectPr>
          <w:pgSz w:w="11911" w:h="16838"/>
          <w:pgMar w:top="1440" w:right="1440" w:bottom="1440" w:left="1440" w:header="720" w:footer="720" w:gutter="0"/>
          <w:cols w:space="720" w:num="1"/>
        </w:sectPr>
      </w:pPr>
      <w:bookmarkStart w:id="112" w:name="_Toc6341"/>
      <w:bookmarkStart w:id="113" w:name="_Toc23662"/>
      <w:r>
        <w:rPr>
          <w:rFonts w:hint="eastAsia" w:ascii="宋体" w:hAnsi="宋体" w:cs="宋体"/>
          <w:bCs w:val="0"/>
          <w:color w:val="auto"/>
          <w:kern w:val="21"/>
          <w:highlight w:val="none"/>
        </w:rPr>
        <w:t>第七章 质疑、投诉材料格式</w:t>
      </w:r>
      <w:bookmarkEnd w:id="112"/>
      <w:bookmarkEnd w:id="113"/>
    </w:p>
    <w:p w14:paraId="74531DDF">
      <w:pPr>
        <w:spacing w:line="360" w:lineRule="auto"/>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质疑函（格式）</w:t>
      </w:r>
    </w:p>
    <w:p w14:paraId="381698BF">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一、质疑供应商基本信息：</w:t>
      </w:r>
    </w:p>
    <w:p w14:paraId="02123DE1">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质疑供应商：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A761DFA">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460CF3B4">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5507FCBD">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p>
    <w:p w14:paraId="41C87BFD">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473647BA">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4604A001">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二、质疑项目基本情况：</w:t>
      </w:r>
    </w:p>
    <w:p w14:paraId="6A3043D0">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7F218B6F">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7E287B56">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3CE160FD">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w:t>
      </w:r>
    </w:p>
    <w:p w14:paraId="32605AFF">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□采购文件   采购文件获取日期：</w:t>
      </w:r>
      <w:r>
        <w:rPr>
          <w:rFonts w:hint="eastAsia" w:hAnsi="宋体" w:cs="宋体"/>
          <w:bCs/>
          <w:color w:val="auto"/>
          <w:kern w:val="21"/>
          <w:sz w:val="24"/>
          <w:szCs w:val="24"/>
          <w:highlight w:val="none"/>
          <w:u w:val="single"/>
        </w:rPr>
        <w:t xml:space="preserve">                                   </w:t>
      </w:r>
    </w:p>
    <w:p w14:paraId="5F74F044">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 xml:space="preserve">□采购过程   </w:t>
      </w:r>
    </w:p>
    <w:p w14:paraId="482DCE9A">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□成交结果   </w:t>
      </w:r>
    </w:p>
    <w:p w14:paraId="53A9CAF9">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三、质疑事项具体内容</w:t>
      </w:r>
    </w:p>
    <w:p w14:paraId="5F01B091">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质疑事项1：</w:t>
      </w:r>
      <w:r>
        <w:rPr>
          <w:rFonts w:hint="eastAsia" w:hAnsi="宋体" w:cs="宋体"/>
          <w:bCs/>
          <w:color w:val="auto"/>
          <w:kern w:val="21"/>
          <w:sz w:val="24"/>
          <w:szCs w:val="24"/>
          <w:highlight w:val="none"/>
          <w:u w:val="single"/>
        </w:rPr>
        <w:t xml:space="preserve">                                                                    </w:t>
      </w:r>
    </w:p>
    <w:p w14:paraId="41296684">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事实依据：</w:t>
      </w:r>
      <w:r>
        <w:rPr>
          <w:rFonts w:hint="eastAsia" w:hAnsi="宋体" w:cs="宋体"/>
          <w:bCs/>
          <w:color w:val="auto"/>
          <w:kern w:val="21"/>
          <w:sz w:val="24"/>
          <w:szCs w:val="24"/>
          <w:highlight w:val="none"/>
          <w:u w:val="single"/>
        </w:rPr>
        <w:t xml:space="preserve">                                                                      </w:t>
      </w:r>
    </w:p>
    <w:p w14:paraId="6BD67F34">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法律依据：</w:t>
      </w:r>
      <w:r>
        <w:rPr>
          <w:rFonts w:hint="eastAsia" w:hAnsi="宋体" w:cs="宋体"/>
          <w:color w:val="auto"/>
          <w:kern w:val="21"/>
          <w:sz w:val="24"/>
          <w:szCs w:val="24"/>
          <w:highlight w:val="none"/>
          <w:u w:val="single"/>
        </w:rPr>
        <w:t xml:space="preserve">                                                        </w:t>
      </w:r>
      <w:r>
        <w:rPr>
          <w:rFonts w:hint="eastAsia" w:hAnsi="宋体" w:cs="宋体"/>
          <w:bCs/>
          <w:color w:val="auto"/>
          <w:kern w:val="21"/>
          <w:sz w:val="24"/>
          <w:szCs w:val="24"/>
          <w:highlight w:val="none"/>
          <w:u w:val="single"/>
        </w:rPr>
        <w:t xml:space="preserve">               </w:t>
      </w:r>
    </w:p>
    <w:p w14:paraId="457A9DAC">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质疑事项2</w:t>
      </w:r>
    </w:p>
    <w:p w14:paraId="549BD2E3">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w:t>
      </w:r>
    </w:p>
    <w:p w14:paraId="5BC03F18">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四、与质疑事项相关的质疑请求：</w:t>
      </w:r>
    </w:p>
    <w:p w14:paraId="45FB3029">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69CF2C35">
      <w:pPr>
        <w:pStyle w:val="18"/>
        <w:spacing w:line="360" w:lineRule="auto"/>
        <w:ind w:firstLine="480" w:firstLineChars="200"/>
        <w:contextualSpacing/>
        <w:rPr>
          <w:rFonts w:hAnsi="宋体" w:cs="宋体"/>
          <w:color w:val="auto"/>
          <w:kern w:val="21"/>
          <w:sz w:val="24"/>
          <w:szCs w:val="24"/>
          <w:highlight w:val="none"/>
        </w:rPr>
      </w:pPr>
    </w:p>
    <w:p w14:paraId="580F11EB">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67FB2F06">
      <w:pPr>
        <w:pStyle w:val="18"/>
        <w:spacing w:line="360" w:lineRule="auto"/>
        <w:ind w:firstLine="480" w:firstLineChars="200"/>
        <w:contextualSpacing/>
        <w:rPr>
          <w:rFonts w:hAnsi="宋体" w:cs="宋体"/>
          <w:color w:val="auto"/>
          <w:kern w:val="21"/>
          <w:sz w:val="24"/>
          <w:szCs w:val="24"/>
          <w:highlight w:val="none"/>
        </w:rPr>
      </w:pPr>
    </w:p>
    <w:p w14:paraId="14D0CC87">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0FD9CDE5">
      <w:pPr>
        <w:pStyle w:val="18"/>
        <w:spacing w:line="360" w:lineRule="auto"/>
        <w:contextualSpacing/>
        <w:rPr>
          <w:rFonts w:hAnsi="宋体" w:cs="宋体"/>
          <w:b/>
          <w:color w:val="auto"/>
          <w:kern w:val="21"/>
          <w:sz w:val="24"/>
          <w:szCs w:val="24"/>
          <w:highlight w:val="none"/>
        </w:rPr>
      </w:pPr>
    </w:p>
    <w:p w14:paraId="41282FCE">
      <w:pPr>
        <w:pStyle w:val="18"/>
        <w:spacing w:line="360" w:lineRule="auto"/>
        <w:contextualSpacing/>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31313B24">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color w:val="auto"/>
          <w:kern w:val="21"/>
          <w:sz w:val="24"/>
          <w:szCs w:val="24"/>
          <w:highlight w:val="none"/>
        </w:rPr>
        <w:t>1.供应商提出质疑时，应提交质疑函和必要的证明材料</w:t>
      </w:r>
      <w:r>
        <w:rPr>
          <w:rFonts w:hint="eastAsia" w:hAnsi="宋体" w:cs="宋体"/>
          <w:b/>
          <w:bCs/>
          <w:color w:val="auto"/>
          <w:kern w:val="21"/>
          <w:sz w:val="24"/>
          <w:szCs w:val="24"/>
          <w:highlight w:val="none"/>
        </w:rPr>
        <w:t>。</w:t>
      </w:r>
    </w:p>
    <w:p w14:paraId="4F5A4768">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BF3EFA1">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3.质疑函的质疑事项应具体、明确，并有必要的事实依据和法律依据。</w:t>
      </w:r>
    </w:p>
    <w:p w14:paraId="34EFB4E8">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4.质疑函的质疑请求应与质疑事项相关。</w:t>
      </w:r>
    </w:p>
    <w:p w14:paraId="75DD0A25">
      <w:pPr>
        <w:pStyle w:val="18"/>
        <w:spacing w:line="360" w:lineRule="auto"/>
        <w:ind w:firstLine="482" w:firstLineChars="200"/>
        <w:contextualSpacing/>
        <w:rPr>
          <w:rFonts w:hAnsi="宋体" w:cs="宋体"/>
          <w:b/>
          <w:color w:val="auto"/>
          <w:kern w:val="21"/>
          <w:highlight w:val="none"/>
        </w:rPr>
      </w:pPr>
      <w:r>
        <w:rPr>
          <w:rFonts w:hint="eastAsia" w:hAnsi="宋体" w:cs="宋体"/>
          <w:b/>
          <w:color w:val="auto"/>
          <w:kern w:val="21"/>
          <w:sz w:val="24"/>
          <w:szCs w:val="24"/>
          <w:highlight w:val="none"/>
        </w:rPr>
        <w:t>5.质疑供应商为法人或者其他组织的，质疑函应由法定代表人、主要负责人，或者其授权代表签字或者盖章，并加盖公章。</w:t>
      </w:r>
    </w:p>
    <w:p w14:paraId="62264B2A">
      <w:pPr>
        <w:pStyle w:val="18"/>
        <w:snapToGrid w:val="0"/>
        <w:rPr>
          <w:rFonts w:hAnsi="宋体" w:cs="宋体"/>
          <w:b/>
          <w:color w:val="auto"/>
          <w:kern w:val="21"/>
          <w:sz w:val="24"/>
          <w:szCs w:val="24"/>
          <w:highlight w:val="none"/>
        </w:rPr>
      </w:pPr>
    </w:p>
    <w:p w14:paraId="56F712D6">
      <w:pPr>
        <w:spacing w:line="460" w:lineRule="exact"/>
        <w:jc w:val="center"/>
        <w:rPr>
          <w:rFonts w:ascii="宋体" w:hAnsi="宋体" w:cs="宋体"/>
          <w:b/>
          <w:bCs/>
          <w:color w:val="auto"/>
          <w:kern w:val="21"/>
          <w:sz w:val="32"/>
          <w:szCs w:val="32"/>
          <w:highlight w:val="none"/>
        </w:rPr>
      </w:pPr>
      <w:r>
        <w:rPr>
          <w:rFonts w:hint="eastAsia" w:ascii="宋体" w:hAnsi="宋体" w:cs="宋体"/>
          <w:color w:val="auto"/>
          <w:kern w:val="21"/>
          <w:sz w:val="44"/>
          <w:highlight w:val="none"/>
        </w:rPr>
        <w:br w:type="page"/>
      </w:r>
      <w:r>
        <w:rPr>
          <w:rFonts w:hint="eastAsia" w:ascii="宋体" w:hAnsi="宋体" w:cs="宋体"/>
          <w:b/>
          <w:bCs/>
          <w:color w:val="auto"/>
          <w:kern w:val="21"/>
          <w:sz w:val="32"/>
          <w:szCs w:val="32"/>
          <w:highlight w:val="none"/>
        </w:rPr>
        <w:t>投诉书（格式）</w:t>
      </w:r>
    </w:p>
    <w:p w14:paraId="7A80BA42">
      <w:pPr>
        <w:pStyle w:val="18"/>
        <w:snapToGrid w:val="0"/>
        <w:spacing w:line="360" w:lineRule="auto"/>
        <w:ind w:firstLine="482" w:firstLineChars="200"/>
        <w:rPr>
          <w:rFonts w:hAnsi="宋体" w:cs="宋体"/>
          <w:b/>
          <w:bCs/>
          <w:color w:val="auto"/>
          <w:kern w:val="21"/>
          <w:sz w:val="24"/>
          <w:szCs w:val="24"/>
          <w:highlight w:val="none"/>
        </w:rPr>
      </w:pPr>
    </w:p>
    <w:p w14:paraId="65D78D94">
      <w:pPr>
        <w:pStyle w:val="18"/>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一、投诉相关主体基本情况：</w:t>
      </w:r>
    </w:p>
    <w:p w14:paraId="47338082">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5F3A7547">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64AFA558">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法定代表人/主要负责人：</w:t>
      </w:r>
      <w:r>
        <w:rPr>
          <w:rFonts w:hint="eastAsia" w:hAnsi="宋体" w:cs="宋体"/>
          <w:bCs/>
          <w:color w:val="auto"/>
          <w:kern w:val="21"/>
          <w:sz w:val="24"/>
          <w:szCs w:val="24"/>
          <w:highlight w:val="none"/>
          <w:u w:val="single"/>
        </w:rPr>
        <w:t xml:space="preserve">                                                         </w:t>
      </w:r>
    </w:p>
    <w:p w14:paraId="20823D47">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41B9E2E0">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5010D964">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53FA4705">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7F7F3407">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被投诉人1：</w:t>
      </w:r>
    </w:p>
    <w:p w14:paraId="373ADB49">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60170314">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92A128D">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7693D1D2">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被投诉人2：</w:t>
      </w:r>
    </w:p>
    <w:p w14:paraId="1D1043F9">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455B5B51">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相关供应商：</w:t>
      </w:r>
      <w:r>
        <w:rPr>
          <w:rFonts w:hint="eastAsia" w:hAnsi="宋体" w:cs="宋体"/>
          <w:bCs/>
          <w:color w:val="auto"/>
          <w:kern w:val="21"/>
          <w:sz w:val="24"/>
          <w:szCs w:val="24"/>
          <w:highlight w:val="none"/>
          <w:u w:val="single"/>
        </w:rPr>
        <w:t xml:space="preserve">                                                                       </w:t>
      </w:r>
    </w:p>
    <w:p w14:paraId="2B1BD8DD">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p>
    <w:p w14:paraId="7A61DCC1">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F68C328">
      <w:pPr>
        <w:pStyle w:val="18"/>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二、投诉项目基本情况：</w:t>
      </w:r>
    </w:p>
    <w:p w14:paraId="0497B304">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28779CA1">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1517D1BA">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37F62920">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代理机构名称：</w:t>
      </w:r>
      <w:r>
        <w:rPr>
          <w:rFonts w:hint="eastAsia" w:hAnsi="宋体" w:cs="宋体"/>
          <w:bCs/>
          <w:color w:val="auto"/>
          <w:kern w:val="21"/>
          <w:sz w:val="24"/>
          <w:szCs w:val="24"/>
          <w:highlight w:val="none"/>
          <w:u w:val="single"/>
        </w:rPr>
        <w:t xml:space="preserve">                                                                      </w:t>
      </w:r>
    </w:p>
    <w:p w14:paraId="15DE84EF">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采购文件公告：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370AD3E9">
      <w:pPr>
        <w:pStyle w:val="18"/>
        <w:spacing w:line="360" w:lineRule="auto"/>
        <w:ind w:firstLine="480" w:firstLineChars="200"/>
        <w:rPr>
          <w:rFonts w:hAnsi="宋体" w:cs="宋体"/>
          <w:b/>
          <w:color w:val="auto"/>
          <w:kern w:val="21"/>
          <w:sz w:val="24"/>
          <w:szCs w:val="24"/>
          <w:highlight w:val="none"/>
        </w:rPr>
      </w:pPr>
      <w:r>
        <w:rPr>
          <w:rFonts w:hint="eastAsia" w:hAnsi="宋体" w:cs="宋体"/>
          <w:bCs/>
          <w:color w:val="auto"/>
          <w:kern w:val="21"/>
          <w:sz w:val="24"/>
          <w:szCs w:val="24"/>
          <w:highlight w:val="none"/>
        </w:rPr>
        <w:t>采购结果公告：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5C323A7D">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三、质疑基本情况</w:t>
      </w:r>
    </w:p>
    <w:p w14:paraId="56B2B453">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投诉人于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日，向</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提出质疑，质疑事项为：</w:t>
      </w:r>
    </w:p>
    <w:p w14:paraId="4BF5F445">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4C9C869A">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41FAEC26">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采购人/代理机构</w:t>
      </w:r>
      <w:r>
        <w:rPr>
          <w:rFonts w:hint="eastAsia" w:hAnsi="宋体" w:cs="宋体"/>
          <w:bCs/>
          <w:color w:val="auto"/>
          <w:kern w:val="21"/>
          <w:sz w:val="24"/>
          <w:szCs w:val="24"/>
          <w:highlight w:val="none"/>
        </w:rPr>
        <w:t>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w:t>
      </w:r>
      <w:r>
        <w:rPr>
          <w:rFonts w:hint="eastAsia" w:hAnsi="宋体" w:cs="宋体"/>
          <w:bCs/>
          <w:color w:val="auto"/>
          <w:kern w:val="21"/>
          <w:sz w:val="24"/>
          <w:szCs w:val="24"/>
          <w:highlight w:val="none"/>
        </w:rPr>
        <w:t xml:space="preserve">就质疑事项作出了答复/没有在法定期限内作出答复。                                                                                             </w:t>
      </w:r>
    </w:p>
    <w:p w14:paraId="173361E9">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四、投诉事项具体内容</w:t>
      </w:r>
    </w:p>
    <w:p w14:paraId="7D1AF37B">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投诉事项1：</w:t>
      </w:r>
      <w:r>
        <w:rPr>
          <w:rFonts w:hint="eastAsia" w:hAnsi="宋体" w:cs="宋体"/>
          <w:bCs/>
          <w:color w:val="auto"/>
          <w:kern w:val="21"/>
          <w:sz w:val="24"/>
          <w:szCs w:val="24"/>
          <w:highlight w:val="none"/>
          <w:u w:val="single"/>
        </w:rPr>
        <w:t xml:space="preserve">                                                                           </w:t>
      </w:r>
    </w:p>
    <w:p w14:paraId="7E9970DC">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事实依据：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74EFA4F4">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 xml:space="preserve">                                                                                        </w:t>
      </w:r>
    </w:p>
    <w:p w14:paraId="33F73E20">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法律依据：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7E38C7C8">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1CB24ADF">
      <w:pPr>
        <w:pStyle w:val="18"/>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投诉事项2  </w:t>
      </w:r>
      <w:r>
        <w:rPr>
          <w:rFonts w:hint="eastAsia" w:hAnsi="宋体" w:cs="宋体"/>
          <w:bCs/>
          <w:color w:val="auto"/>
          <w:kern w:val="21"/>
          <w:sz w:val="24"/>
          <w:szCs w:val="24"/>
          <w:highlight w:val="none"/>
        </w:rPr>
        <w:t xml:space="preserve">   </w:t>
      </w:r>
    </w:p>
    <w:p w14:paraId="081CDFB9">
      <w:pPr>
        <w:pStyle w:val="18"/>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47F6BDBE">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五、与投诉事项相关的投诉请求：</w:t>
      </w:r>
    </w:p>
    <w:p w14:paraId="3AC941D1">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28404140">
      <w:pPr>
        <w:pStyle w:val="18"/>
        <w:spacing w:line="360" w:lineRule="auto"/>
        <w:ind w:firstLine="480" w:firstLineChars="200"/>
        <w:rPr>
          <w:rFonts w:hAnsi="宋体" w:cs="宋体"/>
          <w:color w:val="auto"/>
          <w:kern w:val="21"/>
          <w:sz w:val="24"/>
          <w:szCs w:val="24"/>
          <w:highlight w:val="none"/>
        </w:rPr>
      </w:pPr>
    </w:p>
    <w:p w14:paraId="6B83E4DA">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5602B87A">
      <w:pPr>
        <w:pStyle w:val="18"/>
        <w:spacing w:line="360" w:lineRule="auto"/>
        <w:ind w:firstLine="480" w:firstLineChars="200"/>
        <w:rPr>
          <w:rFonts w:hAnsi="宋体" w:cs="宋体"/>
          <w:color w:val="auto"/>
          <w:kern w:val="21"/>
          <w:sz w:val="24"/>
          <w:szCs w:val="24"/>
          <w:highlight w:val="none"/>
        </w:rPr>
      </w:pPr>
    </w:p>
    <w:p w14:paraId="488F3C94">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7F0621E7">
      <w:pPr>
        <w:pStyle w:val="18"/>
        <w:snapToGrid w:val="0"/>
        <w:spacing w:line="360" w:lineRule="auto"/>
        <w:rPr>
          <w:rFonts w:hAnsi="宋体" w:cs="宋体"/>
          <w:b/>
          <w:color w:val="auto"/>
          <w:kern w:val="21"/>
          <w:sz w:val="24"/>
          <w:szCs w:val="24"/>
          <w:highlight w:val="none"/>
        </w:rPr>
      </w:pPr>
    </w:p>
    <w:p w14:paraId="09CA04A6">
      <w:pPr>
        <w:pStyle w:val="18"/>
        <w:snapToGrid w:val="0"/>
        <w:spacing w:line="360" w:lineRule="auto"/>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78EF8376">
      <w:pPr>
        <w:pStyle w:val="18"/>
        <w:spacing w:line="360" w:lineRule="auto"/>
        <w:ind w:left="25" w:leftChars="12" w:firstLine="354" w:firstLineChars="147"/>
        <w:rPr>
          <w:rFonts w:hAnsi="宋体" w:cs="宋体"/>
          <w:b/>
          <w:bCs/>
          <w:color w:val="auto"/>
          <w:kern w:val="21"/>
          <w:sz w:val="24"/>
          <w:szCs w:val="24"/>
          <w:highlight w:val="none"/>
        </w:rPr>
      </w:pPr>
      <w:r>
        <w:rPr>
          <w:rFonts w:hint="eastAsia" w:hAnsi="宋体" w:cs="宋体"/>
          <w:b/>
          <w:color w:val="auto"/>
          <w:kern w:val="2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kern w:val="21"/>
          <w:sz w:val="24"/>
          <w:szCs w:val="24"/>
          <w:highlight w:val="none"/>
        </w:rPr>
        <w:t>。</w:t>
      </w:r>
    </w:p>
    <w:p w14:paraId="085090E6">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5738B7">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3.投诉书应简要列明质疑事项，质疑函、质疑答复等作为附件材料提供。</w:t>
      </w:r>
    </w:p>
    <w:p w14:paraId="4FE1BF40">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4.投诉书的投诉事项应具体、明确，并有必要的事实依据和法律依据。</w:t>
      </w:r>
    </w:p>
    <w:p w14:paraId="24E6B321">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5.投诉书的投诉请求应与投诉事项相关。</w:t>
      </w:r>
    </w:p>
    <w:p w14:paraId="3EE41419">
      <w:pPr>
        <w:pStyle w:val="18"/>
        <w:spacing w:line="360" w:lineRule="auto"/>
        <w:ind w:left="25" w:leftChars="12" w:firstLine="354" w:firstLineChars="147"/>
        <w:rPr>
          <w:rFonts w:hAnsi="宋体" w:cs="宋体"/>
          <w:b/>
          <w:color w:val="auto"/>
          <w:kern w:val="21"/>
          <w:highlight w:val="none"/>
        </w:rPr>
      </w:pPr>
      <w:r>
        <w:rPr>
          <w:rFonts w:hint="eastAsia" w:hAnsi="宋体" w:cs="宋体"/>
          <w:b/>
          <w:color w:val="auto"/>
          <w:kern w:val="21"/>
          <w:sz w:val="24"/>
          <w:szCs w:val="24"/>
          <w:highlight w:val="none"/>
        </w:rPr>
        <w:t>6.投诉人为法人或者其他组织的，投诉书应由法定代表人、主要负责人，或者其授权代表签字或者盖章，并加盖公章。</w:t>
      </w:r>
    </w:p>
    <w:p w14:paraId="56B36411">
      <w:pPr>
        <w:rPr>
          <w:color w:val="auto"/>
          <w:highlight w:val="none"/>
        </w:rPr>
      </w:pPr>
    </w:p>
    <w:sectPr>
      <w:pgSz w:w="11911"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FA64">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6868">
    <w:pPr>
      <w:pStyle w:val="21"/>
      <w:framePr w:wrap="around" w:vAnchor="text" w:hAnchor="margin" w:xAlign="center" w:y="1"/>
      <w:rPr>
        <w:rStyle w:val="37"/>
        <w:sz w:val="21"/>
      </w:rPr>
    </w:pPr>
    <w:r>
      <w:rPr>
        <w:sz w:val="21"/>
      </w:rPr>
      <w:fldChar w:fldCharType="begin"/>
    </w:r>
    <w:r>
      <w:rPr>
        <w:rStyle w:val="37"/>
        <w:sz w:val="21"/>
      </w:rPr>
      <w:instrText xml:space="preserve">PAGE  </w:instrText>
    </w:r>
    <w:r>
      <w:rPr>
        <w:sz w:val="21"/>
      </w:rPr>
      <w:fldChar w:fldCharType="separate"/>
    </w:r>
    <w:r>
      <w:rPr>
        <w:rStyle w:val="37"/>
        <w:sz w:val="21"/>
      </w:rPr>
      <w:t>0</w:t>
    </w:r>
    <w:r>
      <w:rPr>
        <w:sz w:val="21"/>
      </w:rPr>
      <w:fldChar w:fldCharType="end"/>
    </w:r>
  </w:p>
  <w:p w14:paraId="27E920FA">
    <w:pPr>
      <w:pStyle w:val="2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A913">
    <w:pPr>
      <w:pStyle w:val="21"/>
      <w:tabs>
        <w:tab w:val="center" w:pos="4439"/>
        <w:tab w:val="clear" w:pos="4153"/>
      </w:tabs>
      <w:jc w:val="both"/>
    </w:pPr>
  </w:p>
  <w:p w14:paraId="329F42C3">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38B6">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335D49"/>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38335D49"/>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1049">
    <w:pPr>
      <w:pStyle w:val="21"/>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D28FD6">
                          <w:pPr>
                            <w:pStyle w:val="21"/>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VhXrzIAQAAngMAAA4AAAAAAAAAAQAgAAAAHgEAAGRycy9lMm9Eb2Mu&#10;eG1sUEsFBgAAAAAGAAYAWQEAAFgFAAAAAA==&#10;">
              <v:fill on="f" focussize="0,0"/>
              <v:stroke on="f"/>
              <v:imagedata o:title=""/>
              <o:lock v:ext="edit" aspectratio="f"/>
              <v:textbox inset="0mm,0mm,0mm,0mm" style="mso-fit-shape-to-text:t;">
                <w:txbxContent>
                  <w:p w14:paraId="02D28FD6">
                    <w:pPr>
                      <w:pStyle w:val="21"/>
                    </w:pPr>
                    <w:r>
                      <w:fldChar w:fldCharType="begin"/>
                    </w:r>
                    <w:r>
                      <w:instrText xml:space="preserve"> PAGE  \* MERGEFORMAT </w:instrText>
                    </w:r>
                    <w:r>
                      <w:fldChar w:fldCharType="separate"/>
                    </w:r>
                    <w:r>
                      <w:t>12</w:t>
                    </w:r>
                    <w:r>
                      <w:fldChar w:fldCharType="end"/>
                    </w:r>
                  </w:p>
                </w:txbxContent>
              </v:textbox>
            </v:shape>
          </w:pict>
        </mc:Fallback>
      </mc:AlternateContent>
    </w:r>
  </w:p>
  <w:p w14:paraId="76F1BC6F">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0DFEF">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6DD31A">
                          <w:pPr>
                            <w:pStyle w:val="21"/>
                            <w:jc w:val="center"/>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14:paraId="3A6DD31A">
                    <w:pPr>
                      <w:pStyle w:val="21"/>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086D94A0">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EA23C">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F453CC">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7DF453CC">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092F3">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7E57">
    <w:pPr>
      <w:pStyle w:val="2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MGY1MjhkY2JiNWYxMTk1ZmYwNTIzNzk2ZWRhNWMifQ=="/>
  </w:docVars>
  <w:rsids>
    <w:rsidRoot w:val="711F283F"/>
    <w:rsid w:val="00000672"/>
    <w:rsid w:val="00001013"/>
    <w:rsid w:val="00001799"/>
    <w:rsid w:val="00001AF2"/>
    <w:rsid w:val="00001ECA"/>
    <w:rsid w:val="00002D29"/>
    <w:rsid w:val="00003B93"/>
    <w:rsid w:val="0000474D"/>
    <w:rsid w:val="00005FDF"/>
    <w:rsid w:val="000070B3"/>
    <w:rsid w:val="00007273"/>
    <w:rsid w:val="000076B8"/>
    <w:rsid w:val="0001047A"/>
    <w:rsid w:val="000109C8"/>
    <w:rsid w:val="000109DC"/>
    <w:rsid w:val="00010D39"/>
    <w:rsid w:val="0001172C"/>
    <w:rsid w:val="00011A4D"/>
    <w:rsid w:val="00011BC9"/>
    <w:rsid w:val="0001220F"/>
    <w:rsid w:val="00012854"/>
    <w:rsid w:val="00012BE2"/>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3C8F"/>
    <w:rsid w:val="00024463"/>
    <w:rsid w:val="00025461"/>
    <w:rsid w:val="00025636"/>
    <w:rsid w:val="00025AB5"/>
    <w:rsid w:val="00025E36"/>
    <w:rsid w:val="00026855"/>
    <w:rsid w:val="00026886"/>
    <w:rsid w:val="0002785D"/>
    <w:rsid w:val="000321F6"/>
    <w:rsid w:val="000329E0"/>
    <w:rsid w:val="000352E9"/>
    <w:rsid w:val="00035494"/>
    <w:rsid w:val="00036125"/>
    <w:rsid w:val="00036A07"/>
    <w:rsid w:val="0003780B"/>
    <w:rsid w:val="00040571"/>
    <w:rsid w:val="00040973"/>
    <w:rsid w:val="0004156E"/>
    <w:rsid w:val="00041713"/>
    <w:rsid w:val="0004440C"/>
    <w:rsid w:val="00044CA4"/>
    <w:rsid w:val="00046B5E"/>
    <w:rsid w:val="000470CB"/>
    <w:rsid w:val="000509D9"/>
    <w:rsid w:val="00051ACB"/>
    <w:rsid w:val="00052CAA"/>
    <w:rsid w:val="000533E7"/>
    <w:rsid w:val="00055D41"/>
    <w:rsid w:val="00057CD6"/>
    <w:rsid w:val="00057FB4"/>
    <w:rsid w:val="00060DCE"/>
    <w:rsid w:val="000610E3"/>
    <w:rsid w:val="000614F3"/>
    <w:rsid w:val="00061BD7"/>
    <w:rsid w:val="000623B4"/>
    <w:rsid w:val="00062405"/>
    <w:rsid w:val="000634A7"/>
    <w:rsid w:val="00063B0B"/>
    <w:rsid w:val="00063F81"/>
    <w:rsid w:val="00064847"/>
    <w:rsid w:val="000648A4"/>
    <w:rsid w:val="00065BD4"/>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C5D"/>
    <w:rsid w:val="00082D02"/>
    <w:rsid w:val="00083871"/>
    <w:rsid w:val="00083B91"/>
    <w:rsid w:val="0008473C"/>
    <w:rsid w:val="0008520B"/>
    <w:rsid w:val="000857F5"/>
    <w:rsid w:val="000860BD"/>
    <w:rsid w:val="000871B8"/>
    <w:rsid w:val="000906AE"/>
    <w:rsid w:val="0009144E"/>
    <w:rsid w:val="00091647"/>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B7E77"/>
    <w:rsid w:val="000C02B1"/>
    <w:rsid w:val="000C0A2C"/>
    <w:rsid w:val="000C1679"/>
    <w:rsid w:val="000C1EE3"/>
    <w:rsid w:val="000C289C"/>
    <w:rsid w:val="000C3AE7"/>
    <w:rsid w:val="000C3CC9"/>
    <w:rsid w:val="000C6DE4"/>
    <w:rsid w:val="000C7202"/>
    <w:rsid w:val="000D0896"/>
    <w:rsid w:val="000D0A89"/>
    <w:rsid w:val="000D1389"/>
    <w:rsid w:val="000D1798"/>
    <w:rsid w:val="000D1CA4"/>
    <w:rsid w:val="000D2626"/>
    <w:rsid w:val="000D265F"/>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3DE"/>
    <w:rsid w:val="00103646"/>
    <w:rsid w:val="001037C8"/>
    <w:rsid w:val="00103918"/>
    <w:rsid w:val="00104897"/>
    <w:rsid w:val="00104EDE"/>
    <w:rsid w:val="00105CDA"/>
    <w:rsid w:val="00106BEE"/>
    <w:rsid w:val="00107C74"/>
    <w:rsid w:val="0011091C"/>
    <w:rsid w:val="00111266"/>
    <w:rsid w:val="001112EB"/>
    <w:rsid w:val="0011203A"/>
    <w:rsid w:val="00112768"/>
    <w:rsid w:val="00113678"/>
    <w:rsid w:val="00113C3E"/>
    <w:rsid w:val="00115E11"/>
    <w:rsid w:val="00115EEE"/>
    <w:rsid w:val="00115F56"/>
    <w:rsid w:val="00116CA9"/>
    <w:rsid w:val="00116F38"/>
    <w:rsid w:val="001170A4"/>
    <w:rsid w:val="00117AE7"/>
    <w:rsid w:val="00117CBD"/>
    <w:rsid w:val="0012006A"/>
    <w:rsid w:val="00121081"/>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328"/>
    <w:rsid w:val="00135530"/>
    <w:rsid w:val="00135947"/>
    <w:rsid w:val="001359A2"/>
    <w:rsid w:val="00135F92"/>
    <w:rsid w:val="00136020"/>
    <w:rsid w:val="00136445"/>
    <w:rsid w:val="00140132"/>
    <w:rsid w:val="00141C9C"/>
    <w:rsid w:val="0014277F"/>
    <w:rsid w:val="001434BE"/>
    <w:rsid w:val="00143573"/>
    <w:rsid w:val="00144050"/>
    <w:rsid w:val="0014479F"/>
    <w:rsid w:val="001452B4"/>
    <w:rsid w:val="00145320"/>
    <w:rsid w:val="001476D3"/>
    <w:rsid w:val="001509CF"/>
    <w:rsid w:val="00150AA9"/>
    <w:rsid w:val="00150D01"/>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883"/>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31C6"/>
    <w:rsid w:val="00184F57"/>
    <w:rsid w:val="00185544"/>
    <w:rsid w:val="00185617"/>
    <w:rsid w:val="00185EF8"/>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6E2B"/>
    <w:rsid w:val="001A7717"/>
    <w:rsid w:val="001A793A"/>
    <w:rsid w:val="001B125A"/>
    <w:rsid w:val="001B1EBA"/>
    <w:rsid w:val="001B2142"/>
    <w:rsid w:val="001B2F2B"/>
    <w:rsid w:val="001B327A"/>
    <w:rsid w:val="001B3424"/>
    <w:rsid w:val="001B35DE"/>
    <w:rsid w:val="001B3A13"/>
    <w:rsid w:val="001B3F5C"/>
    <w:rsid w:val="001B4831"/>
    <w:rsid w:val="001B59FF"/>
    <w:rsid w:val="001B6512"/>
    <w:rsid w:val="001B65D7"/>
    <w:rsid w:val="001B6752"/>
    <w:rsid w:val="001B6768"/>
    <w:rsid w:val="001B6809"/>
    <w:rsid w:val="001B6F1F"/>
    <w:rsid w:val="001B757F"/>
    <w:rsid w:val="001B7CD7"/>
    <w:rsid w:val="001B7ECC"/>
    <w:rsid w:val="001C025B"/>
    <w:rsid w:val="001C115F"/>
    <w:rsid w:val="001C1EAB"/>
    <w:rsid w:val="001C25A7"/>
    <w:rsid w:val="001C318C"/>
    <w:rsid w:val="001C35C4"/>
    <w:rsid w:val="001C4287"/>
    <w:rsid w:val="001C4479"/>
    <w:rsid w:val="001C5190"/>
    <w:rsid w:val="001C6081"/>
    <w:rsid w:val="001C6C07"/>
    <w:rsid w:val="001C754A"/>
    <w:rsid w:val="001C7B48"/>
    <w:rsid w:val="001C7D1D"/>
    <w:rsid w:val="001D04CB"/>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257"/>
    <w:rsid w:val="001E3B63"/>
    <w:rsid w:val="001E3E19"/>
    <w:rsid w:val="001E522E"/>
    <w:rsid w:val="001E5A94"/>
    <w:rsid w:val="001E5F6F"/>
    <w:rsid w:val="001E7D4F"/>
    <w:rsid w:val="001F0373"/>
    <w:rsid w:val="001F0D95"/>
    <w:rsid w:val="001F2A2E"/>
    <w:rsid w:val="001F3356"/>
    <w:rsid w:val="001F3AFD"/>
    <w:rsid w:val="001F3C63"/>
    <w:rsid w:val="001F4460"/>
    <w:rsid w:val="001F66C8"/>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5"/>
    <w:rsid w:val="00210BD4"/>
    <w:rsid w:val="002114C7"/>
    <w:rsid w:val="0021302C"/>
    <w:rsid w:val="00213B1C"/>
    <w:rsid w:val="00214202"/>
    <w:rsid w:val="002148E3"/>
    <w:rsid w:val="0021552D"/>
    <w:rsid w:val="002156AE"/>
    <w:rsid w:val="00215E99"/>
    <w:rsid w:val="0022054D"/>
    <w:rsid w:val="00220CA2"/>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2A2B"/>
    <w:rsid w:val="00232F60"/>
    <w:rsid w:val="002346B4"/>
    <w:rsid w:val="00234F6E"/>
    <w:rsid w:val="002355BE"/>
    <w:rsid w:val="002358EA"/>
    <w:rsid w:val="002364BB"/>
    <w:rsid w:val="00236578"/>
    <w:rsid w:val="00236DE9"/>
    <w:rsid w:val="00236EA0"/>
    <w:rsid w:val="00237342"/>
    <w:rsid w:val="00237D5A"/>
    <w:rsid w:val="002415AE"/>
    <w:rsid w:val="00241D3C"/>
    <w:rsid w:val="00242109"/>
    <w:rsid w:val="00243189"/>
    <w:rsid w:val="002439AB"/>
    <w:rsid w:val="00243C19"/>
    <w:rsid w:val="00244AE8"/>
    <w:rsid w:val="00244DC9"/>
    <w:rsid w:val="00245587"/>
    <w:rsid w:val="00245F2B"/>
    <w:rsid w:val="002461E5"/>
    <w:rsid w:val="002469BD"/>
    <w:rsid w:val="00247F3A"/>
    <w:rsid w:val="00250122"/>
    <w:rsid w:val="00250755"/>
    <w:rsid w:val="00251043"/>
    <w:rsid w:val="00251470"/>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0B72"/>
    <w:rsid w:val="002612B1"/>
    <w:rsid w:val="00266165"/>
    <w:rsid w:val="002662FE"/>
    <w:rsid w:val="00266696"/>
    <w:rsid w:val="00266F2C"/>
    <w:rsid w:val="0027125E"/>
    <w:rsid w:val="00271767"/>
    <w:rsid w:val="00272293"/>
    <w:rsid w:val="002723C8"/>
    <w:rsid w:val="00273C2A"/>
    <w:rsid w:val="00273CBE"/>
    <w:rsid w:val="002746B1"/>
    <w:rsid w:val="00274BAD"/>
    <w:rsid w:val="00276253"/>
    <w:rsid w:val="00281B20"/>
    <w:rsid w:val="00282D56"/>
    <w:rsid w:val="00282FE8"/>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42"/>
    <w:rsid w:val="002952B1"/>
    <w:rsid w:val="00295D11"/>
    <w:rsid w:val="00296FB6"/>
    <w:rsid w:val="002A0001"/>
    <w:rsid w:val="002A0BD9"/>
    <w:rsid w:val="002A0C3A"/>
    <w:rsid w:val="002A1130"/>
    <w:rsid w:val="002A1880"/>
    <w:rsid w:val="002A1DC0"/>
    <w:rsid w:val="002A23B7"/>
    <w:rsid w:val="002A3A57"/>
    <w:rsid w:val="002A4051"/>
    <w:rsid w:val="002A4B4F"/>
    <w:rsid w:val="002A57A8"/>
    <w:rsid w:val="002A6DEF"/>
    <w:rsid w:val="002A6E42"/>
    <w:rsid w:val="002A742E"/>
    <w:rsid w:val="002A770B"/>
    <w:rsid w:val="002B013E"/>
    <w:rsid w:val="002B058D"/>
    <w:rsid w:val="002B0C16"/>
    <w:rsid w:val="002B2427"/>
    <w:rsid w:val="002B2AC5"/>
    <w:rsid w:val="002B3528"/>
    <w:rsid w:val="002B3539"/>
    <w:rsid w:val="002B4532"/>
    <w:rsid w:val="002B5042"/>
    <w:rsid w:val="002B69CC"/>
    <w:rsid w:val="002B6D71"/>
    <w:rsid w:val="002C0C1C"/>
    <w:rsid w:val="002C13AA"/>
    <w:rsid w:val="002C1920"/>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46"/>
    <w:rsid w:val="002E109C"/>
    <w:rsid w:val="002E193E"/>
    <w:rsid w:val="002E1A94"/>
    <w:rsid w:val="002E1D55"/>
    <w:rsid w:val="002E26C4"/>
    <w:rsid w:val="002E30A5"/>
    <w:rsid w:val="002E34A9"/>
    <w:rsid w:val="002E47E4"/>
    <w:rsid w:val="002E4BF9"/>
    <w:rsid w:val="002E4D61"/>
    <w:rsid w:val="002E5FED"/>
    <w:rsid w:val="002E68A7"/>
    <w:rsid w:val="002E6E6C"/>
    <w:rsid w:val="002F0522"/>
    <w:rsid w:val="002F0B85"/>
    <w:rsid w:val="002F1334"/>
    <w:rsid w:val="002F16DD"/>
    <w:rsid w:val="002F199D"/>
    <w:rsid w:val="002F1D78"/>
    <w:rsid w:val="002F213C"/>
    <w:rsid w:val="002F2453"/>
    <w:rsid w:val="002F29FE"/>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4D7"/>
    <w:rsid w:val="00311B60"/>
    <w:rsid w:val="00312504"/>
    <w:rsid w:val="00313026"/>
    <w:rsid w:val="00313913"/>
    <w:rsid w:val="0031421F"/>
    <w:rsid w:val="00314B31"/>
    <w:rsid w:val="00315A65"/>
    <w:rsid w:val="003165D7"/>
    <w:rsid w:val="00317BA7"/>
    <w:rsid w:val="00320BE2"/>
    <w:rsid w:val="00321886"/>
    <w:rsid w:val="003218D2"/>
    <w:rsid w:val="00323694"/>
    <w:rsid w:val="00323BE7"/>
    <w:rsid w:val="00324C3A"/>
    <w:rsid w:val="00324D63"/>
    <w:rsid w:val="003255AF"/>
    <w:rsid w:val="003256EB"/>
    <w:rsid w:val="003259DB"/>
    <w:rsid w:val="003264B8"/>
    <w:rsid w:val="003314D9"/>
    <w:rsid w:val="00331653"/>
    <w:rsid w:val="00331A48"/>
    <w:rsid w:val="00331BCC"/>
    <w:rsid w:val="003330C9"/>
    <w:rsid w:val="0033364C"/>
    <w:rsid w:val="00334415"/>
    <w:rsid w:val="00335EA1"/>
    <w:rsid w:val="0033691E"/>
    <w:rsid w:val="00336A6A"/>
    <w:rsid w:val="00336CCB"/>
    <w:rsid w:val="00340B80"/>
    <w:rsid w:val="003411D1"/>
    <w:rsid w:val="003416BA"/>
    <w:rsid w:val="00342148"/>
    <w:rsid w:val="00342F99"/>
    <w:rsid w:val="0034575A"/>
    <w:rsid w:val="00345F57"/>
    <w:rsid w:val="003475E5"/>
    <w:rsid w:val="00350458"/>
    <w:rsid w:val="00350E6C"/>
    <w:rsid w:val="003517C6"/>
    <w:rsid w:val="003518A6"/>
    <w:rsid w:val="00351E7F"/>
    <w:rsid w:val="00352953"/>
    <w:rsid w:val="00354062"/>
    <w:rsid w:val="0035459E"/>
    <w:rsid w:val="003547B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2A5C"/>
    <w:rsid w:val="0038326A"/>
    <w:rsid w:val="00383302"/>
    <w:rsid w:val="00383C37"/>
    <w:rsid w:val="0038444F"/>
    <w:rsid w:val="003861F0"/>
    <w:rsid w:val="00387051"/>
    <w:rsid w:val="00387ECF"/>
    <w:rsid w:val="0039021B"/>
    <w:rsid w:val="00390429"/>
    <w:rsid w:val="003906A0"/>
    <w:rsid w:val="00391513"/>
    <w:rsid w:val="003928BE"/>
    <w:rsid w:val="0039366C"/>
    <w:rsid w:val="00393EC8"/>
    <w:rsid w:val="003950F5"/>
    <w:rsid w:val="0039538F"/>
    <w:rsid w:val="00395E42"/>
    <w:rsid w:val="00396409"/>
    <w:rsid w:val="00396A2D"/>
    <w:rsid w:val="00396FC3"/>
    <w:rsid w:val="003A1A94"/>
    <w:rsid w:val="003A204E"/>
    <w:rsid w:val="003A2D25"/>
    <w:rsid w:val="003A378B"/>
    <w:rsid w:val="003A5728"/>
    <w:rsid w:val="003A5820"/>
    <w:rsid w:val="003A60E7"/>
    <w:rsid w:val="003A6769"/>
    <w:rsid w:val="003A7092"/>
    <w:rsid w:val="003A71C8"/>
    <w:rsid w:val="003A72A1"/>
    <w:rsid w:val="003A7611"/>
    <w:rsid w:val="003A7D1F"/>
    <w:rsid w:val="003B0B6A"/>
    <w:rsid w:val="003B22F7"/>
    <w:rsid w:val="003B29CF"/>
    <w:rsid w:val="003B3A90"/>
    <w:rsid w:val="003B3D8A"/>
    <w:rsid w:val="003B534F"/>
    <w:rsid w:val="003B56E9"/>
    <w:rsid w:val="003B5E4F"/>
    <w:rsid w:val="003B772A"/>
    <w:rsid w:val="003B7A79"/>
    <w:rsid w:val="003C0FE1"/>
    <w:rsid w:val="003C151A"/>
    <w:rsid w:val="003C2610"/>
    <w:rsid w:val="003C350C"/>
    <w:rsid w:val="003C3903"/>
    <w:rsid w:val="003C3BA0"/>
    <w:rsid w:val="003C4580"/>
    <w:rsid w:val="003C5C5E"/>
    <w:rsid w:val="003C6746"/>
    <w:rsid w:val="003C7555"/>
    <w:rsid w:val="003C7898"/>
    <w:rsid w:val="003D0FF5"/>
    <w:rsid w:val="003D11A3"/>
    <w:rsid w:val="003D1537"/>
    <w:rsid w:val="003D183C"/>
    <w:rsid w:val="003D2044"/>
    <w:rsid w:val="003D2D1B"/>
    <w:rsid w:val="003D48C7"/>
    <w:rsid w:val="003D4C27"/>
    <w:rsid w:val="003D7109"/>
    <w:rsid w:val="003D7CE8"/>
    <w:rsid w:val="003E0514"/>
    <w:rsid w:val="003E0809"/>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2BB"/>
    <w:rsid w:val="003F3865"/>
    <w:rsid w:val="003F3D55"/>
    <w:rsid w:val="003F44E2"/>
    <w:rsid w:val="003F4632"/>
    <w:rsid w:val="003F47BA"/>
    <w:rsid w:val="003F4FE6"/>
    <w:rsid w:val="003F5638"/>
    <w:rsid w:val="003F6617"/>
    <w:rsid w:val="003F71A1"/>
    <w:rsid w:val="003F71E9"/>
    <w:rsid w:val="00402332"/>
    <w:rsid w:val="004025C2"/>
    <w:rsid w:val="00403195"/>
    <w:rsid w:val="004033A9"/>
    <w:rsid w:val="00403E55"/>
    <w:rsid w:val="0040407C"/>
    <w:rsid w:val="0040416C"/>
    <w:rsid w:val="00404681"/>
    <w:rsid w:val="00405059"/>
    <w:rsid w:val="00405AC1"/>
    <w:rsid w:val="00406923"/>
    <w:rsid w:val="0040763D"/>
    <w:rsid w:val="00410D17"/>
    <w:rsid w:val="00413442"/>
    <w:rsid w:val="00413821"/>
    <w:rsid w:val="00413BA5"/>
    <w:rsid w:val="004141A3"/>
    <w:rsid w:val="00414909"/>
    <w:rsid w:val="0041538E"/>
    <w:rsid w:val="0041582F"/>
    <w:rsid w:val="00416112"/>
    <w:rsid w:val="00416AC8"/>
    <w:rsid w:val="00417AE0"/>
    <w:rsid w:val="00417BAA"/>
    <w:rsid w:val="0042042B"/>
    <w:rsid w:val="00420B45"/>
    <w:rsid w:val="00420D7A"/>
    <w:rsid w:val="00421257"/>
    <w:rsid w:val="00422193"/>
    <w:rsid w:val="004223DE"/>
    <w:rsid w:val="00422A10"/>
    <w:rsid w:val="00424D17"/>
    <w:rsid w:val="004258C8"/>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298"/>
    <w:rsid w:val="00434B70"/>
    <w:rsid w:val="00435E8D"/>
    <w:rsid w:val="004360C8"/>
    <w:rsid w:val="004371D5"/>
    <w:rsid w:val="004372DF"/>
    <w:rsid w:val="0043758B"/>
    <w:rsid w:val="0044006B"/>
    <w:rsid w:val="0044033F"/>
    <w:rsid w:val="00440630"/>
    <w:rsid w:val="00441F0F"/>
    <w:rsid w:val="00442965"/>
    <w:rsid w:val="00444157"/>
    <w:rsid w:val="0044417C"/>
    <w:rsid w:val="00444DB3"/>
    <w:rsid w:val="00445617"/>
    <w:rsid w:val="00445A2F"/>
    <w:rsid w:val="0044684E"/>
    <w:rsid w:val="00446F22"/>
    <w:rsid w:val="00447DAB"/>
    <w:rsid w:val="0045019F"/>
    <w:rsid w:val="004503A4"/>
    <w:rsid w:val="00450555"/>
    <w:rsid w:val="004506FA"/>
    <w:rsid w:val="00450DC6"/>
    <w:rsid w:val="004516A5"/>
    <w:rsid w:val="00451E9C"/>
    <w:rsid w:val="0045280F"/>
    <w:rsid w:val="004535AE"/>
    <w:rsid w:val="00453C9C"/>
    <w:rsid w:val="0045444D"/>
    <w:rsid w:val="0045463A"/>
    <w:rsid w:val="00454AC9"/>
    <w:rsid w:val="00455050"/>
    <w:rsid w:val="004554A3"/>
    <w:rsid w:val="00455A6E"/>
    <w:rsid w:val="00455EAD"/>
    <w:rsid w:val="004578EB"/>
    <w:rsid w:val="004604D5"/>
    <w:rsid w:val="00460697"/>
    <w:rsid w:val="0046117B"/>
    <w:rsid w:val="00462506"/>
    <w:rsid w:val="00464AB7"/>
    <w:rsid w:val="00464C33"/>
    <w:rsid w:val="00465DE5"/>
    <w:rsid w:val="00467EF8"/>
    <w:rsid w:val="00472429"/>
    <w:rsid w:val="004725E5"/>
    <w:rsid w:val="00472751"/>
    <w:rsid w:val="00473128"/>
    <w:rsid w:val="00473263"/>
    <w:rsid w:val="00475078"/>
    <w:rsid w:val="00475767"/>
    <w:rsid w:val="004779A0"/>
    <w:rsid w:val="004804E9"/>
    <w:rsid w:val="004808E3"/>
    <w:rsid w:val="00481016"/>
    <w:rsid w:val="0048204C"/>
    <w:rsid w:val="004821BB"/>
    <w:rsid w:val="00482339"/>
    <w:rsid w:val="004826FE"/>
    <w:rsid w:val="004827D5"/>
    <w:rsid w:val="00482AF2"/>
    <w:rsid w:val="00482D8F"/>
    <w:rsid w:val="004830C9"/>
    <w:rsid w:val="00483347"/>
    <w:rsid w:val="00483E2E"/>
    <w:rsid w:val="00484B69"/>
    <w:rsid w:val="00485406"/>
    <w:rsid w:val="0048590F"/>
    <w:rsid w:val="00486D60"/>
    <w:rsid w:val="00491FA1"/>
    <w:rsid w:val="00492A25"/>
    <w:rsid w:val="004938A3"/>
    <w:rsid w:val="0049558B"/>
    <w:rsid w:val="00496350"/>
    <w:rsid w:val="00496BE6"/>
    <w:rsid w:val="0049797C"/>
    <w:rsid w:val="004A00E1"/>
    <w:rsid w:val="004A0943"/>
    <w:rsid w:val="004A1405"/>
    <w:rsid w:val="004A1FC6"/>
    <w:rsid w:val="004A2E5F"/>
    <w:rsid w:val="004A38C2"/>
    <w:rsid w:val="004A3C03"/>
    <w:rsid w:val="004A3DB7"/>
    <w:rsid w:val="004A4B12"/>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06"/>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605"/>
    <w:rsid w:val="004D5D45"/>
    <w:rsid w:val="004D618D"/>
    <w:rsid w:val="004D62A9"/>
    <w:rsid w:val="004D6FC3"/>
    <w:rsid w:val="004D7476"/>
    <w:rsid w:val="004D7716"/>
    <w:rsid w:val="004E0306"/>
    <w:rsid w:val="004E0572"/>
    <w:rsid w:val="004E06D5"/>
    <w:rsid w:val="004E0B06"/>
    <w:rsid w:val="004E1641"/>
    <w:rsid w:val="004E1818"/>
    <w:rsid w:val="004E1990"/>
    <w:rsid w:val="004E25A8"/>
    <w:rsid w:val="004E2A96"/>
    <w:rsid w:val="004E3930"/>
    <w:rsid w:val="004E3ED9"/>
    <w:rsid w:val="004E4BB1"/>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5C73"/>
    <w:rsid w:val="004F7160"/>
    <w:rsid w:val="00500258"/>
    <w:rsid w:val="00500B2D"/>
    <w:rsid w:val="005014D9"/>
    <w:rsid w:val="00501A99"/>
    <w:rsid w:val="00503180"/>
    <w:rsid w:val="005038A4"/>
    <w:rsid w:val="00505450"/>
    <w:rsid w:val="0050753B"/>
    <w:rsid w:val="005100B7"/>
    <w:rsid w:val="005113C9"/>
    <w:rsid w:val="00512050"/>
    <w:rsid w:val="00512055"/>
    <w:rsid w:val="0051280C"/>
    <w:rsid w:val="00512842"/>
    <w:rsid w:val="005128BE"/>
    <w:rsid w:val="0051356F"/>
    <w:rsid w:val="00513E7C"/>
    <w:rsid w:val="005140BB"/>
    <w:rsid w:val="00514209"/>
    <w:rsid w:val="00514FBE"/>
    <w:rsid w:val="00514FD9"/>
    <w:rsid w:val="0051550A"/>
    <w:rsid w:val="0051608F"/>
    <w:rsid w:val="00520EF8"/>
    <w:rsid w:val="005210F7"/>
    <w:rsid w:val="00521753"/>
    <w:rsid w:val="0052239D"/>
    <w:rsid w:val="005224EE"/>
    <w:rsid w:val="00522879"/>
    <w:rsid w:val="00523A39"/>
    <w:rsid w:val="00523BB1"/>
    <w:rsid w:val="0052570E"/>
    <w:rsid w:val="005260CD"/>
    <w:rsid w:val="0052623A"/>
    <w:rsid w:val="00526265"/>
    <w:rsid w:val="0052655D"/>
    <w:rsid w:val="005265E0"/>
    <w:rsid w:val="00526A3C"/>
    <w:rsid w:val="00526BC3"/>
    <w:rsid w:val="00527BCC"/>
    <w:rsid w:val="00531761"/>
    <w:rsid w:val="00531F1F"/>
    <w:rsid w:val="0053248F"/>
    <w:rsid w:val="0053332A"/>
    <w:rsid w:val="0053358A"/>
    <w:rsid w:val="00534668"/>
    <w:rsid w:val="00534DDD"/>
    <w:rsid w:val="00535291"/>
    <w:rsid w:val="00535A94"/>
    <w:rsid w:val="00537874"/>
    <w:rsid w:val="0053795F"/>
    <w:rsid w:val="00537D3D"/>
    <w:rsid w:val="00540451"/>
    <w:rsid w:val="00540511"/>
    <w:rsid w:val="00540578"/>
    <w:rsid w:val="00540808"/>
    <w:rsid w:val="0054080E"/>
    <w:rsid w:val="00540EA1"/>
    <w:rsid w:val="005429BD"/>
    <w:rsid w:val="0054358E"/>
    <w:rsid w:val="00543A4B"/>
    <w:rsid w:val="00543AF4"/>
    <w:rsid w:val="00544191"/>
    <w:rsid w:val="0054440C"/>
    <w:rsid w:val="005448C9"/>
    <w:rsid w:val="005448EC"/>
    <w:rsid w:val="00544C0A"/>
    <w:rsid w:val="00544F39"/>
    <w:rsid w:val="00546F90"/>
    <w:rsid w:val="005478AF"/>
    <w:rsid w:val="00547EFB"/>
    <w:rsid w:val="0055122A"/>
    <w:rsid w:val="005522F2"/>
    <w:rsid w:val="005531DF"/>
    <w:rsid w:val="00553874"/>
    <w:rsid w:val="00554577"/>
    <w:rsid w:val="00554AD8"/>
    <w:rsid w:val="00554B9A"/>
    <w:rsid w:val="00554F78"/>
    <w:rsid w:val="00555DA1"/>
    <w:rsid w:val="00556BF7"/>
    <w:rsid w:val="00557F60"/>
    <w:rsid w:val="00561730"/>
    <w:rsid w:val="00561B97"/>
    <w:rsid w:val="00562149"/>
    <w:rsid w:val="005669FB"/>
    <w:rsid w:val="00567B5D"/>
    <w:rsid w:val="005706D5"/>
    <w:rsid w:val="00570757"/>
    <w:rsid w:val="00573733"/>
    <w:rsid w:val="00573F8B"/>
    <w:rsid w:val="00574554"/>
    <w:rsid w:val="00574DD6"/>
    <w:rsid w:val="00574E06"/>
    <w:rsid w:val="005751BB"/>
    <w:rsid w:val="00576089"/>
    <w:rsid w:val="005763D9"/>
    <w:rsid w:val="005764B1"/>
    <w:rsid w:val="00576852"/>
    <w:rsid w:val="00576D06"/>
    <w:rsid w:val="00577287"/>
    <w:rsid w:val="0057744D"/>
    <w:rsid w:val="005779E4"/>
    <w:rsid w:val="00577F9F"/>
    <w:rsid w:val="00580EC7"/>
    <w:rsid w:val="00581132"/>
    <w:rsid w:val="0058289C"/>
    <w:rsid w:val="005836C7"/>
    <w:rsid w:val="0058408E"/>
    <w:rsid w:val="0058523E"/>
    <w:rsid w:val="00585374"/>
    <w:rsid w:val="005854CA"/>
    <w:rsid w:val="00585FAB"/>
    <w:rsid w:val="00587768"/>
    <w:rsid w:val="00587DC6"/>
    <w:rsid w:val="00590B77"/>
    <w:rsid w:val="00590D9A"/>
    <w:rsid w:val="005913A3"/>
    <w:rsid w:val="005940D4"/>
    <w:rsid w:val="00594A7B"/>
    <w:rsid w:val="0059580E"/>
    <w:rsid w:val="00595D90"/>
    <w:rsid w:val="00596A6F"/>
    <w:rsid w:val="00596FCE"/>
    <w:rsid w:val="005A1073"/>
    <w:rsid w:val="005A11BC"/>
    <w:rsid w:val="005A1525"/>
    <w:rsid w:val="005A1E17"/>
    <w:rsid w:val="005A252B"/>
    <w:rsid w:val="005A2A8F"/>
    <w:rsid w:val="005A3204"/>
    <w:rsid w:val="005A3341"/>
    <w:rsid w:val="005A3C3D"/>
    <w:rsid w:val="005A46EC"/>
    <w:rsid w:val="005A5EAE"/>
    <w:rsid w:val="005A6407"/>
    <w:rsid w:val="005A726C"/>
    <w:rsid w:val="005B07EC"/>
    <w:rsid w:val="005B248D"/>
    <w:rsid w:val="005B2B11"/>
    <w:rsid w:val="005B2CA1"/>
    <w:rsid w:val="005B32A4"/>
    <w:rsid w:val="005B3371"/>
    <w:rsid w:val="005B338D"/>
    <w:rsid w:val="005B36D7"/>
    <w:rsid w:val="005B3BAF"/>
    <w:rsid w:val="005B3C09"/>
    <w:rsid w:val="005B4DA3"/>
    <w:rsid w:val="005B5BEE"/>
    <w:rsid w:val="005B6902"/>
    <w:rsid w:val="005B77D2"/>
    <w:rsid w:val="005C019B"/>
    <w:rsid w:val="005C08D0"/>
    <w:rsid w:val="005C1AED"/>
    <w:rsid w:val="005C30F5"/>
    <w:rsid w:val="005C4459"/>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247"/>
    <w:rsid w:val="005D6B59"/>
    <w:rsid w:val="005D6B88"/>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018"/>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5ED"/>
    <w:rsid w:val="00617EEE"/>
    <w:rsid w:val="00620A1F"/>
    <w:rsid w:val="006214DE"/>
    <w:rsid w:val="0062169D"/>
    <w:rsid w:val="0062181E"/>
    <w:rsid w:val="006218D5"/>
    <w:rsid w:val="0062211B"/>
    <w:rsid w:val="00622BB7"/>
    <w:rsid w:val="00622C1E"/>
    <w:rsid w:val="00623389"/>
    <w:rsid w:val="00623DAA"/>
    <w:rsid w:val="00623FAF"/>
    <w:rsid w:val="006257B2"/>
    <w:rsid w:val="006265C4"/>
    <w:rsid w:val="0062678A"/>
    <w:rsid w:val="006270AF"/>
    <w:rsid w:val="00631532"/>
    <w:rsid w:val="00634367"/>
    <w:rsid w:val="0063607E"/>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4EE7"/>
    <w:rsid w:val="00655AB6"/>
    <w:rsid w:val="00656281"/>
    <w:rsid w:val="0065636A"/>
    <w:rsid w:val="0065659F"/>
    <w:rsid w:val="00657003"/>
    <w:rsid w:val="00660238"/>
    <w:rsid w:val="006602EF"/>
    <w:rsid w:val="00660C8E"/>
    <w:rsid w:val="00661277"/>
    <w:rsid w:val="006612CE"/>
    <w:rsid w:val="006619E0"/>
    <w:rsid w:val="00663FEA"/>
    <w:rsid w:val="00664803"/>
    <w:rsid w:val="00665158"/>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E6F"/>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09CC"/>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2E57"/>
    <w:rsid w:val="006B376E"/>
    <w:rsid w:val="006B3C85"/>
    <w:rsid w:val="006B4589"/>
    <w:rsid w:val="006B610E"/>
    <w:rsid w:val="006B643B"/>
    <w:rsid w:val="006B6805"/>
    <w:rsid w:val="006B6DE0"/>
    <w:rsid w:val="006B7D62"/>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71E"/>
    <w:rsid w:val="006E58BF"/>
    <w:rsid w:val="006E5DD8"/>
    <w:rsid w:val="006E5EA1"/>
    <w:rsid w:val="006E5FA8"/>
    <w:rsid w:val="006E6DEE"/>
    <w:rsid w:val="006E6F05"/>
    <w:rsid w:val="006E7D4B"/>
    <w:rsid w:val="006F0760"/>
    <w:rsid w:val="006F11E2"/>
    <w:rsid w:val="006F2574"/>
    <w:rsid w:val="006F3221"/>
    <w:rsid w:val="006F3231"/>
    <w:rsid w:val="006F3DE3"/>
    <w:rsid w:val="006F4787"/>
    <w:rsid w:val="006F5C43"/>
    <w:rsid w:val="006F61D8"/>
    <w:rsid w:val="006F62B7"/>
    <w:rsid w:val="006F682E"/>
    <w:rsid w:val="006F70BC"/>
    <w:rsid w:val="006F734B"/>
    <w:rsid w:val="006F7E7C"/>
    <w:rsid w:val="00701137"/>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D99"/>
    <w:rsid w:val="00724044"/>
    <w:rsid w:val="007248D3"/>
    <w:rsid w:val="00724DF8"/>
    <w:rsid w:val="00725137"/>
    <w:rsid w:val="00725378"/>
    <w:rsid w:val="0072623D"/>
    <w:rsid w:val="00727A43"/>
    <w:rsid w:val="00727FF2"/>
    <w:rsid w:val="00730550"/>
    <w:rsid w:val="00730C2A"/>
    <w:rsid w:val="00731434"/>
    <w:rsid w:val="007314CD"/>
    <w:rsid w:val="0073154F"/>
    <w:rsid w:val="00731E59"/>
    <w:rsid w:val="007323E0"/>
    <w:rsid w:val="00732911"/>
    <w:rsid w:val="007333B9"/>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0E8"/>
    <w:rsid w:val="00747295"/>
    <w:rsid w:val="00747829"/>
    <w:rsid w:val="00747DE2"/>
    <w:rsid w:val="00747E3E"/>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69B"/>
    <w:rsid w:val="007648AD"/>
    <w:rsid w:val="0076504E"/>
    <w:rsid w:val="00767BFD"/>
    <w:rsid w:val="00767EA0"/>
    <w:rsid w:val="0077068F"/>
    <w:rsid w:val="00771EDF"/>
    <w:rsid w:val="00772A90"/>
    <w:rsid w:val="00772F8D"/>
    <w:rsid w:val="0077408D"/>
    <w:rsid w:val="00774270"/>
    <w:rsid w:val="007743F6"/>
    <w:rsid w:val="007754E0"/>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0817"/>
    <w:rsid w:val="00791E6D"/>
    <w:rsid w:val="00791EB5"/>
    <w:rsid w:val="00791FF2"/>
    <w:rsid w:val="007921E2"/>
    <w:rsid w:val="007934E4"/>
    <w:rsid w:val="00793696"/>
    <w:rsid w:val="0079527F"/>
    <w:rsid w:val="00795433"/>
    <w:rsid w:val="007955DA"/>
    <w:rsid w:val="00796F65"/>
    <w:rsid w:val="007A0CDB"/>
    <w:rsid w:val="007A11C2"/>
    <w:rsid w:val="007A18BB"/>
    <w:rsid w:val="007A27DD"/>
    <w:rsid w:val="007A2BA8"/>
    <w:rsid w:val="007A385D"/>
    <w:rsid w:val="007A41BF"/>
    <w:rsid w:val="007A490A"/>
    <w:rsid w:val="007A7B95"/>
    <w:rsid w:val="007A7F02"/>
    <w:rsid w:val="007B0297"/>
    <w:rsid w:val="007B02FA"/>
    <w:rsid w:val="007B0E89"/>
    <w:rsid w:val="007B0F53"/>
    <w:rsid w:val="007B21AE"/>
    <w:rsid w:val="007B2570"/>
    <w:rsid w:val="007B3113"/>
    <w:rsid w:val="007B3304"/>
    <w:rsid w:val="007B6E34"/>
    <w:rsid w:val="007B7490"/>
    <w:rsid w:val="007C0525"/>
    <w:rsid w:val="007C13F7"/>
    <w:rsid w:val="007C218D"/>
    <w:rsid w:val="007C2D28"/>
    <w:rsid w:val="007C3E22"/>
    <w:rsid w:val="007C5B90"/>
    <w:rsid w:val="007C6218"/>
    <w:rsid w:val="007C6484"/>
    <w:rsid w:val="007C67C6"/>
    <w:rsid w:val="007C78BE"/>
    <w:rsid w:val="007C7E59"/>
    <w:rsid w:val="007D0164"/>
    <w:rsid w:val="007D0476"/>
    <w:rsid w:val="007D0B91"/>
    <w:rsid w:val="007D1386"/>
    <w:rsid w:val="007D1452"/>
    <w:rsid w:val="007D2324"/>
    <w:rsid w:val="007D3DCB"/>
    <w:rsid w:val="007D460C"/>
    <w:rsid w:val="007D4996"/>
    <w:rsid w:val="007D4AD3"/>
    <w:rsid w:val="007D5D19"/>
    <w:rsid w:val="007D5FDC"/>
    <w:rsid w:val="007D6176"/>
    <w:rsid w:val="007D6536"/>
    <w:rsid w:val="007D6D68"/>
    <w:rsid w:val="007D7DB2"/>
    <w:rsid w:val="007E28CD"/>
    <w:rsid w:val="007E32DA"/>
    <w:rsid w:val="007E4998"/>
    <w:rsid w:val="007E4A9C"/>
    <w:rsid w:val="007E6914"/>
    <w:rsid w:val="007E727A"/>
    <w:rsid w:val="007E7F78"/>
    <w:rsid w:val="007F0179"/>
    <w:rsid w:val="007F2C13"/>
    <w:rsid w:val="007F2CEC"/>
    <w:rsid w:val="007F3435"/>
    <w:rsid w:val="007F55DE"/>
    <w:rsid w:val="007F689D"/>
    <w:rsid w:val="007F762D"/>
    <w:rsid w:val="007F78F0"/>
    <w:rsid w:val="007F78FF"/>
    <w:rsid w:val="008001C5"/>
    <w:rsid w:val="00800F6C"/>
    <w:rsid w:val="00801065"/>
    <w:rsid w:val="008014A7"/>
    <w:rsid w:val="00802A38"/>
    <w:rsid w:val="00802C0B"/>
    <w:rsid w:val="008051FC"/>
    <w:rsid w:val="008055A9"/>
    <w:rsid w:val="008056C4"/>
    <w:rsid w:val="008057FD"/>
    <w:rsid w:val="00805D8B"/>
    <w:rsid w:val="00810BB6"/>
    <w:rsid w:val="00810E8E"/>
    <w:rsid w:val="0081205D"/>
    <w:rsid w:val="00812C44"/>
    <w:rsid w:val="008135E1"/>
    <w:rsid w:val="00813779"/>
    <w:rsid w:val="00813E26"/>
    <w:rsid w:val="0081481D"/>
    <w:rsid w:val="00814BE8"/>
    <w:rsid w:val="00814F6E"/>
    <w:rsid w:val="00815363"/>
    <w:rsid w:val="00815B84"/>
    <w:rsid w:val="00816514"/>
    <w:rsid w:val="00816BE9"/>
    <w:rsid w:val="0082027C"/>
    <w:rsid w:val="00820480"/>
    <w:rsid w:val="00822518"/>
    <w:rsid w:val="008226F5"/>
    <w:rsid w:val="00823D6C"/>
    <w:rsid w:val="00823FC6"/>
    <w:rsid w:val="00824306"/>
    <w:rsid w:val="00825C74"/>
    <w:rsid w:val="00825CFA"/>
    <w:rsid w:val="00826AB9"/>
    <w:rsid w:val="00826E0E"/>
    <w:rsid w:val="00827D11"/>
    <w:rsid w:val="00827E0F"/>
    <w:rsid w:val="00827F6E"/>
    <w:rsid w:val="00831758"/>
    <w:rsid w:val="008317D9"/>
    <w:rsid w:val="0083279F"/>
    <w:rsid w:val="00832975"/>
    <w:rsid w:val="008334DB"/>
    <w:rsid w:val="00833B7F"/>
    <w:rsid w:val="00833E8E"/>
    <w:rsid w:val="00834906"/>
    <w:rsid w:val="00836075"/>
    <w:rsid w:val="00836417"/>
    <w:rsid w:val="00836A3E"/>
    <w:rsid w:val="00837184"/>
    <w:rsid w:val="00837526"/>
    <w:rsid w:val="008407A7"/>
    <w:rsid w:val="0084223B"/>
    <w:rsid w:val="0084322B"/>
    <w:rsid w:val="00843F81"/>
    <w:rsid w:val="00844087"/>
    <w:rsid w:val="00844285"/>
    <w:rsid w:val="00844526"/>
    <w:rsid w:val="008448F1"/>
    <w:rsid w:val="0084519E"/>
    <w:rsid w:val="00845CAE"/>
    <w:rsid w:val="00846370"/>
    <w:rsid w:val="008475A3"/>
    <w:rsid w:val="008477E7"/>
    <w:rsid w:val="00847C2B"/>
    <w:rsid w:val="008501DA"/>
    <w:rsid w:val="00850272"/>
    <w:rsid w:val="008506B9"/>
    <w:rsid w:val="00851822"/>
    <w:rsid w:val="008532BF"/>
    <w:rsid w:val="008539B2"/>
    <w:rsid w:val="00853BF4"/>
    <w:rsid w:val="00854294"/>
    <w:rsid w:val="0085572E"/>
    <w:rsid w:val="0085788B"/>
    <w:rsid w:val="00857A9E"/>
    <w:rsid w:val="00857DCB"/>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226"/>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97584"/>
    <w:rsid w:val="008A0FC9"/>
    <w:rsid w:val="008A1956"/>
    <w:rsid w:val="008A1A7C"/>
    <w:rsid w:val="008A2CE2"/>
    <w:rsid w:val="008A312C"/>
    <w:rsid w:val="008A40D3"/>
    <w:rsid w:val="008A469C"/>
    <w:rsid w:val="008A51D1"/>
    <w:rsid w:val="008A5DCE"/>
    <w:rsid w:val="008A6290"/>
    <w:rsid w:val="008A75D3"/>
    <w:rsid w:val="008B05DD"/>
    <w:rsid w:val="008B07B8"/>
    <w:rsid w:val="008B17E8"/>
    <w:rsid w:val="008B2E7C"/>
    <w:rsid w:val="008B321A"/>
    <w:rsid w:val="008B399A"/>
    <w:rsid w:val="008B442B"/>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5630"/>
    <w:rsid w:val="008C6118"/>
    <w:rsid w:val="008C6341"/>
    <w:rsid w:val="008C6B7C"/>
    <w:rsid w:val="008C731F"/>
    <w:rsid w:val="008C74D9"/>
    <w:rsid w:val="008D03C2"/>
    <w:rsid w:val="008D12FB"/>
    <w:rsid w:val="008D3B2D"/>
    <w:rsid w:val="008D554A"/>
    <w:rsid w:val="008D58D9"/>
    <w:rsid w:val="008D5AD4"/>
    <w:rsid w:val="008D62BD"/>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16"/>
    <w:rsid w:val="008F22B3"/>
    <w:rsid w:val="008F357B"/>
    <w:rsid w:val="008F44CA"/>
    <w:rsid w:val="008F4885"/>
    <w:rsid w:val="008F49D3"/>
    <w:rsid w:val="008F62C1"/>
    <w:rsid w:val="008F6519"/>
    <w:rsid w:val="008F7012"/>
    <w:rsid w:val="008F7ADA"/>
    <w:rsid w:val="008F7B17"/>
    <w:rsid w:val="00900042"/>
    <w:rsid w:val="0090034B"/>
    <w:rsid w:val="00901121"/>
    <w:rsid w:val="00902623"/>
    <w:rsid w:val="00902A67"/>
    <w:rsid w:val="00902C5E"/>
    <w:rsid w:val="00902CAF"/>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6C67"/>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7B0"/>
    <w:rsid w:val="00927A2D"/>
    <w:rsid w:val="00927B37"/>
    <w:rsid w:val="009308F5"/>
    <w:rsid w:val="0093099F"/>
    <w:rsid w:val="00931917"/>
    <w:rsid w:val="009321B1"/>
    <w:rsid w:val="00932ED7"/>
    <w:rsid w:val="009333CF"/>
    <w:rsid w:val="00933979"/>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47A29"/>
    <w:rsid w:val="00953808"/>
    <w:rsid w:val="009539A6"/>
    <w:rsid w:val="00954032"/>
    <w:rsid w:val="00954537"/>
    <w:rsid w:val="0095472D"/>
    <w:rsid w:val="00955065"/>
    <w:rsid w:val="00955FBB"/>
    <w:rsid w:val="0095694B"/>
    <w:rsid w:val="00956BD5"/>
    <w:rsid w:val="00956D84"/>
    <w:rsid w:val="009577B5"/>
    <w:rsid w:val="009578D0"/>
    <w:rsid w:val="009608E6"/>
    <w:rsid w:val="00960AC1"/>
    <w:rsid w:val="00960F57"/>
    <w:rsid w:val="00961C90"/>
    <w:rsid w:val="00965443"/>
    <w:rsid w:val="00965954"/>
    <w:rsid w:val="00965A21"/>
    <w:rsid w:val="00965E55"/>
    <w:rsid w:val="0096608E"/>
    <w:rsid w:val="00966522"/>
    <w:rsid w:val="00966C33"/>
    <w:rsid w:val="00966C51"/>
    <w:rsid w:val="00966FCB"/>
    <w:rsid w:val="00970427"/>
    <w:rsid w:val="00970F18"/>
    <w:rsid w:val="00971CF1"/>
    <w:rsid w:val="00971F5D"/>
    <w:rsid w:val="009721E9"/>
    <w:rsid w:val="00973772"/>
    <w:rsid w:val="00973E61"/>
    <w:rsid w:val="0097471B"/>
    <w:rsid w:val="0097560A"/>
    <w:rsid w:val="00975C33"/>
    <w:rsid w:val="00975E1E"/>
    <w:rsid w:val="00975E70"/>
    <w:rsid w:val="009761DE"/>
    <w:rsid w:val="009766FA"/>
    <w:rsid w:val="00977C91"/>
    <w:rsid w:val="00977CD6"/>
    <w:rsid w:val="0098048B"/>
    <w:rsid w:val="00980DF9"/>
    <w:rsid w:val="00981150"/>
    <w:rsid w:val="009813A4"/>
    <w:rsid w:val="0098183B"/>
    <w:rsid w:val="0098243D"/>
    <w:rsid w:val="00982D26"/>
    <w:rsid w:val="00983B6E"/>
    <w:rsid w:val="00983FE5"/>
    <w:rsid w:val="009849E9"/>
    <w:rsid w:val="009859E4"/>
    <w:rsid w:val="00986DF8"/>
    <w:rsid w:val="00987812"/>
    <w:rsid w:val="009879DE"/>
    <w:rsid w:val="00990225"/>
    <w:rsid w:val="00991E77"/>
    <w:rsid w:val="00992A13"/>
    <w:rsid w:val="00994AAD"/>
    <w:rsid w:val="00994DE1"/>
    <w:rsid w:val="00995150"/>
    <w:rsid w:val="00995D67"/>
    <w:rsid w:val="009A013B"/>
    <w:rsid w:val="009A02F4"/>
    <w:rsid w:val="009A0408"/>
    <w:rsid w:val="009A06BF"/>
    <w:rsid w:val="009A0716"/>
    <w:rsid w:val="009A0D17"/>
    <w:rsid w:val="009A2494"/>
    <w:rsid w:val="009A32B1"/>
    <w:rsid w:val="009A33A3"/>
    <w:rsid w:val="009A36F2"/>
    <w:rsid w:val="009A3F25"/>
    <w:rsid w:val="009A40C3"/>
    <w:rsid w:val="009A40D5"/>
    <w:rsid w:val="009A57D0"/>
    <w:rsid w:val="009A6559"/>
    <w:rsid w:val="009A68FC"/>
    <w:rsid w:val="009A6CE4"/>
    <w:rsid w:val="009A7313"/>
    <w:rsid w:val="009A7514"/>
    <w:rsid w:val="009A7E7A"/>
    <w:rsid w:val="009B0BF6"/>
    <w:rsid w:val="009B1584"/>
    <w:rsid w:val="009B18F0"/>
    <w:rsid w:val="009B1F4C"/>
    <w:rsid w:val="009B2471"/>
    <w:rsid w:val="009B314F"/>
    <w:rsid w:val="009B439C"/>
    <w:rsid w:val="009B46BC"/>
    <w:rsid w:val="009B46FF"/>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0D9"/>
    <w:rsid w:val="009E0286"/>
    <w:rsid w:val="009E1097"/>
    <w:rsid w:val="009E153F"/>
    <w:rsid w:val="009E322A"/>
    <w:rsid w:val="009E393E"/>
    <w:rsid w:val="009E396B"/>
    <w:rsid w:val="009E444E"/>
    <w:rsid w:val="009E4968"/>
    <w:rsid w:val="009E663C"/>
    <w:rsid w:val="009E684A"/>
    <w:rsid w:val="009E6BB1"/>
    <w:rsid w:val="009E6E14"/>
    <w:rsid w:val="009E71B7"/>
    <w:rsid w:val="009E794A"/>
    <w:rsid w:val="009E7C14"/>
    <w:rsid w:val="009F0494"/>
    <w:rsid w:val="009F0CD9"/>
    <w:rsid w:val="009F1A79"/>
    <w:rsid w:val="009F1A96"/>
    <w:rsid w:val="009F1F57"/>
    <w:rsid w:val="009F284B"/>
    <w:rsid w:val="009F2DDD"/>
    <w:rsid w:val="009F3447"/>
    <w:rsid w:val="009F65F4"/>
    <w:rsid w:val="009F676B"/>
    <w:rsid w:val="009F6D2D"/>
    <w:rsid w:val="009F6D54"/>
    <w:rsid w:val="00A0010C"/>
    <w:rsid w:val="00A004DF"/>
    <w:rsid w:val="00A00FD5"/>
    <w:rsid w:val="00A012C0"/>
    <w:rsid w:val="00A019A8"/>
    <w:rsid w:val="00A01B03"/>
    <w:rsid w:val="00A01B89"/>
    <w:rsid w:val="00A02198"/>
    <w:rsid w:val="00A02C66"/>
    <w:rsid w:val="00A02C84"/>
    <w:rsid w:val="00A0464C"/>
    <w:rsid w:val="00A050BB"/>
    <w:rsid w:val="00A054CC"/>
    <w:rsid w:val="00A054E0"/>
    <w:rsid w:val="00A05D91"/>
    <w:rsid w:val="00A0735D"/>
    <w:rsid w:val="00A0740B"/>
    <w:rsid w:val="00A07ED3"/>
    <w:rsid w:val="00A10CA8"/>
    <w:rsid w:val="00A11042"/>
    <w:rsid w:val="00A12579"/>
    <w:rsid w:val="00A133D8"/>
    <w:rsid w:val="00A1400F"/>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3FDF"/>
    <w:rsid w:val="00A3467F"/>
    <w:rsid w:val="00A34B4C"/>
    <w:rsid w:val="00A35030"/>
    <w:rsid w:val="00A3551A"/>
    <w:rsid w:val="00A36508"/>
    <w:rsid w:val="00A366A0"/>
    <w:rsid w:val="00A37209"/>
    <w:rsid w:val="00A37584"/>
    <w:rsid w:val="00A376E8"/>
    <w:rsid w:val="00A37F8E"/>
    <w:rsid w:val="00A41537"/>
    <w:rsid w:val="00A41737"/>
    <w:rsid w:val="00A42B8F"/>
    <w:rsid w:val="00A42D8E"/>
    <w:rsid w:val="00A43254"/>
    <w:rsid w:val="00A43896"/>
    <w:rsid w:val="00A43A26"/>
    <w:rsid w:val="00A447A0"/>
    <w:rsid w:val="00A45096"/>
    <w:rsid w:val="00A459F5"/>
    <w:rsid w:val="00A45FC0"/>
    <w:rsid w:val="00A46B74"/>
    <w:rsid w:val="00A47ECC"/>
    <w:rsid w:val="00A50171"/>
    <w:rsid w:val="00A504FA"/>
    <w:rsid w:val="00A50A60"/>
    <w:rsid w:val="00A5102E"/>
    <w:rsid w:val="00A5132E"/>
    <w:rsid w:val="00A51375"/>
    <w:rsid w:val="00A51533"/>
    <w:rsid w:val="00A531D4"/>
    <w:rsid w:val="00A54572"/>
    <w:rsid w:val="00A575B8"/>
    <w:rsid w:val="00A61C60"/>
    <w:rsid w:val="00A61ECB"/>
    <w:rsid w:val="00A6410C"/>
    <w:rsid w:val="00A647B1"/>
    <w:rsid w:val="00A64DEF"/>
    <w:rsid w:val="00A654D2"/>
    <w:rsid w:val="00A6654E"/>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4D3"/>
    <w:rsid w:val="00A85930"/>
    <w:rsid w:val="00A863F7"/>
    <w:rsid w:val="00A86604"/>
    <w:rsid w:val="00A87519"/>
    <w:rsid w:val="00A901A9"/>
    <w:rsid w:val="00A918BD"/>
    <w:rsid w:val="00A9246D"/>
    <w:rsid w:val="00A92CCA"/>
    <w:rsid w:val="00A93BD0"/>
    <w:rsid w:val="00A93CC2"/>
    <w:rsid w:val="00A9463C"/>
    <w:rsid w:val="00A95863"/>
    <w:rsid w:val="00A95D6D"/>
    <w:rsid w:val="00A965EA"/>
    <w:rsid w:val="00A974CC"/>
    <w:rsid w:val="00AA1067"/>
    <w:rsid w:val="00AA2001"/>
    <w:rsid w:val="00AA2B5C"/>
    <w:rsid w:val="00AA2E29"/>
    <w:rsid w:val="00AA32D2"/>
    <w:rsid w:val="00AA4016"/>
    <w:rsid w:val="00AA4C1F"/>
    <w:rsid w:val="00AA5328"/>
    <w:rsid w:val="00AA5393"/>
    <w:rsid w:val="00AA5E70"/>
    <w:rsid w:val="00AA63D4"/>
    <w:rsid w:val="00AA68ED"/>
    <w:rsid w:val="00AB03FD"/>
    <w:rsid w:val="00AB2000"/>
    <w:rsid w:val="00AB2E94"/>
    <w:rsid w:val="00AB3452"/>
    <w:rsid w:val="00AB38CB"/>
    <w:rsid w:val="00AB3BEC"/>
    <w:rsid w:val="00AB3D0B"/>
    <w:rsid w:val="00AB44E4"/>
    <w:rsid w:val="00AB4AEB"/>
    <w:rsid w:val="00AB4E5F"/>
    <w:rsid w:val="00AB5352"/>
    <w:rsid w:val="00AB56AE"/>
    <w:rsid w:val="00AB62D5"/>
    <w:rsid w:val="00AB65B5"/>
    <w:rsid w:val="00AB6DCD"/>
    <w:rsid w:val="00AB6EE0"/>
    <w:rsid w:val="00AC17A2"/>
    <w:rsid w:val="00AC40B7"/>
    <w:rsid w:val="00AC4932"/>
    <w:rsid w:val="00AC4E24"/>
    <w:rsid w:val="00AC531F"/>
    <w:rsid w:val="00AC5B36"/>
    <w:rsid w:val="00AC6377"/>
    <w:rsid w:val="00AC66A4"/>
    <w:rsid w:val="00AC6C8A"/>
    <w:rsid w:val="00AC6CB1"/>
    <w:rsid w:val="00AC7D6D"/>
    <w:rsid w:val="00AD0091"/>
    <w:rsid w:val="00AD23EF"/>
    <w:rsid w:val="00AD2662"/>
    <w:rsid w:val="00AD307B"/>
    <w:rsid w:val="00AD4014"/>
    <w:rsid w:val="00AD41B3"/>
    <w:rsid w:val="00AD4A9D"/>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6D9B"/>
    <w:rsid w:val="00AE7280"/>
    <w:rsid w:val="00AE7B95"/>
    <w:rsid w:val="00AF033A"/>
    <w:rsid w:val="00AF123F"/>
    <w:rsid w:val="00AF1699"/>
    <w:rsid w:val="00AF1FD3"/>
    <w:rsid w:val="00AF2910"/>
    <w:rsid w:val="00AF34B8"/>
    <w:rsid w:val="00AF3896"/>
    <w:rsid w:val="00AF3FC2"/>
    <w:rsid w:val="00B0098A"/>
    <w:rsid w:val="00B00A5F"/>
    <w:rsid w:val="00B00F89"/>
    <w:rsid w:val="00B029B8"/>
    <w:rsid w:val="00B02F60"/>
    <w:rsid w:val="00B032B8"/>
    <w:rsid w:val="00B038D9"/>
    <w:rsid w:val="00B04721"/>
    <w:rsid w:val="00B04B15"/>
    <w:rsid w:val="00B04B46"/>
    <w:rsid w:val="00B05058"/>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A35"/>
    <w:rsid w:val="00B20F18"/>
    <w:rsid w:val="00B21516"/>
    <w:rsid w:val="00B21A37"/>
    <w:rsid w:val="00B21D23"/>
    <w:rsid w:val="00B21DF2"/>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0601"/>
    <w:rsid w:val="00B42264"/>
    <w:rsid w:val="00B42B90"/>
    <w:rsid w:val="00B434B2"/>
    <w:rsid w:val="00B43D45"/>
    <w:rsid w:val="00B43D68"/>
    <w:rsid w:val="00B44B95"/>
    <w:rsid w:val="00B46705"/>
    <w:rsid w:val="00B468F2"/>
    <w:rsid w:val="00B469DE"/>
    <w:rsid w:val="00B47286"/>
    <w:rsid w:val="00B50234"/>
    <w:rsid w:val="00B51BF4"/>
    <w:rsid w:val="00B5283D"/>
    <w:rsid w:val="00B52C68"/>
    <w:rsid w:val="00B5372B"/>
    <w:rsid w:val="00B542FE"/>
    <w:rsid w:val="00B55A1B"/>
    <w:rsid w:val="00B561DB"/>
    <w:rsid w:val="00B56DF9"/>
    <w:rsid w:val="00B5792A"/>
    <w:rsid w:val="00B57EA6"/>
    <w:rsid w:val="00B600BD"/>
    <w:rsid w:val="00B61274"/>
    <w:rsid w:val="00B61DCE"/>
    <w:rsid w:val="00B62188"/>
    <w:rsid w:val="00B62F79"/>
    <w:rsid w:val="00B62F82"/>
    <w:rsid w:val="00B6306A"/>
    <w:rsid w:val="00B635E3"/>
    <w:rsid w:val="00B653D7"/>
    <w:rsid w:val="00B662FF"/>
    <w:rsid w:val="00B66679"/>
    <w:rsid w:val="00B67628"/>
    <w:rsid w:val="00B70145"/>
    <w:rsid w:val="00B71A92"/>
    <w:rsid w:val="00B721D8"/>
    <w:rsid w:val="00B730CA"/>
    <w:rsid w:val="00B747C5"/>
    <w:rsid w:val="00B74F2F"/>
    <w:rsid w:val="00B753ED"/>
    <w:rsid w:val="00B769BC"/>
    <w:rsid w:val="00B76B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1B8A"/>
    <w:rsid w:val="00BA2C97"/>
    <w:rsid w:val="00BA305B"/>
    <w:rsid w:val="00BA31BF"/>
    <w:rsid w:val="00BA3FC7"/>
    <w:rsid w:val="00BA478B"/>
    <w:rsid w:val="00BA49D2"/>
    <w:rsid w:val="00BA5224"/>
    <w:rsid w:val="00BA575E"/>
    <w:rsid w:val="00BA6E49"/>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C7BE0"/>
    <w:rsid w:val="00BD0014"/>
    <w:rsid w:val="00BD01D8"/>
    <w:rsid w:val="00BD255F"/>
    <w:rsid w:val="00BD2895"/>
    <w:rsid w:val="00BD3BEB"/>
    <w:rsid w:val="00BD4236"/>
    <w:rsid w:val="00BD483B"/>
    <w:rsid w:val="00BD5CD4"/>
    <w:rsid w:val="00BD65D9"/>
    <w:rsid w:val="00BD6DF3"/>
    <w:rsid w:val="00BD6E09"/>
    <w:rsid w:val="00BD6EF9"/>
    <w:rsid w:val="00BE0ACB"/>
    <w:rsid w:val="00BE102D"/>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105"/>
    <w:rsid w:val="00BF6A78"/>
    <w:rsid w:val="00BF7695"/>
    <w:rsid w:val="00BF79B4"/>
    <w:rsid w:val="00BF7C61"/>
    <w:rsid w:val="00C00037"/>
    <w:rsid w:val="00C01427"/>
    <w:rsid w:val="00C014C7"/>
    <w:rsid w:val="00C047AB"/>
    <w:rsid w:val="00C058AF"/>
    <w:rsid w:val="00C075B6"/>
    <w:rsid w:val="00C10F9F"/>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582D"/>
    <w:rsid w:val="00C4712A"/>
    <w:rsid w:val="00C5034F"/>
    <w:rsid w:val="00C50830"/>
    <w:rsid w:val="00C52479"/>
    <w:rsid w:val="00C5266E"/>
    <w:rsid w:val="00C52C59"/>
    <w:rsid w:val="00C5349E"/>
    <w:rsid w:val="00C539FF"/>
    <w:rsid w:val="00C544BD"/>
    <w:rsid w:val="00C54D3D"/>
    <w:rsid w:val="00C55A30"/>
    <w:rsid w:val="00C56384"/>
    <w:rsid w:val="00C56BE2"/>
    <w:rsid w:val="00C60F8C"/>
    <w:rsid w:val="00C61794"/>
    <w:rsid w:val="00C62475"/>
    <w:rsid w:val="00C62A48"/>
    <w:rsid w:val="00C62AC4"/>
    <w:rsid w:val="00C62B59"/>
    <w:rsid w:val="00C62F96"/>
    <w:rsid w:val="00C631E1"/>
    <w:rsid w:val="00C638D8"/>
    <w:rsid w:val="00C63AE7"/>
    <w:rsid w:val="00C63D26"/>
    <w:rsid w:val="00C641ED"/>
    <w:rsid w:val="00C6540A"/>
    <w:rsid w:val="00C668A1"/>
    <w:rsid w:val="00C67223"/>
    <w:rsid w:val="00C67CF6"/>
    <w:rsid w:val="00C7047C"/>
    <w:rsid w:val="00C707B8"/>
    <w:rsid w:val="00C712AC"/>
    <w:rsid w:val="00C71C15"/>
    <w:rsid w:val="00C71F3D"/>
    <w:rsid w:val="00C72F53"/>
    <w:rsid w:val="00C74035"/>
    <w:rsid w:val="00C74224"/>
    <w:rsid w:val="00C748EA"/>
    <w:rsid w:val="00C77818"/>
    <w:rsid w:val="00C8063F"/>
    <w:rsid w:val="00C80C2D"/>
    <w:rsid w:val="00C81282"/>
    <w:rsid w:val="00C81383"/>
    <w:rsid w:val="00C81E4F"/>
    <w:rsid w:val="00C827B4"/>
    <w:rsid w:val="00C82CE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11"/>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3C09"/>
    <w:rsid w:val="00CB4E54"/>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09C"/>
    <w:rsid w:val="00D0334D"/>
    <w:rsid w:val="00D0374D"/>
    <w:rsid w:val="00D03E20"/>
    <w:rsid w:val="00D05248"/>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22D"/>
    <w:rsid w:val="00D25668"/>
    <w:rsid w:val="00D2585A"/>
    <w:rsid w:val="00D259B0"/>
    <w:rsid w:val="00D26C3F"/>
    <w:rsid w:val="00D26CDF"/>
    <w:rsid w:val="00D27026"/>
    <w:rsid w:val="00D27185"/>
    <w:rsid w:val="00D30EF8"/>
    <w:rsid w:val="00D32518"/>
    <w:rsid w:val="00D33488"/>
    <w:rsid w:val="00D33AB3"/>
    <w:rsid w:val="00D33F24"/>
    <w:rsid w:val="00D34160"/>
    <w:rsid w:val="00D346B8"/>
    <w:rsid w:val="00D34DCA"/>
    <w:rsid w:val="00D35987"/>
    <w:rsid w:val="00D35AC8"/>
    <w:rsid w:val="00D36F87"/>
    <w:rsid w:val="00D37E4E"/>
    <w:rsid w:val="00D400A4"/>
    <w:rsid w:val="00D40DEF"/>
    <w:rsid w:val="00D417D8"/>
    <w:rsid w:val="00D41F78"/>
    <w:rsid w:val="00D42B2F"/>
    <w:rsid w:val="00D42DBE"/>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6474"/>
    <w:rsid w:val="00D57D53"/>
    <w:rsid w:val="00D57EB6"/>
    <w:rsid w:val="00D608C0"/>
    <w:rsid w:val="00D60D6D"/>
    <w:rsid w:val="00D6128C"/>
    <w:rsid w:val="00D6404C"/>
    <w:rsid w:val="00D648F8"/>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6FA"/>
    <w:rsid w:val="00D9074A"/>
    <w:rsid w:val="00D90960"/>
    <w:rsid w:val="00D9099E"/>
    <w:rsid w:val="00D9193A"/>
    <w:rsid w:val="00D923B2"/>
    <w:rsid w:val="00D92463"/>
    <w:rsid w:val="00D93E64"/>
    <w:rsid w:val="00D93F64"/>
    <w:rsid w:val="00D94CA4"/>
    <w:rsid w:val="00D95E99"/>
    <w:rsid w:val="00D965D5"/>
    <w:rsid w:val="00D970AB"/>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257"/>
    <w:rsid w:val="00DC4782"/>
    <w:rsid w:val="00DC514A"/>
    <w:rsid w:val="00DC67B1"/>
    <w:rsid w:val="00DC7293"/>
    <w:rsid w:val="00DC7FBC"/>
    <w:rsid w:val="00DD0019"/>
    <w:rsid w:val="00DD0FE8"/>
    <w:rsid w:val="00DD132B"/>
    <w:rsid w:val="00DD1725"/>
    <w:rsid w:val="00DD2159"/>
    <w:rsid w:val="00DD218B"/>
    <w:rsid w:val="00DD2A18"/>
    <w:rsid w:val="00DD3044"/>
    <w:rsid w:val="00DD3985"/>
    <w:rsid w:val="00DD3CD9"/>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75"/>
    <w:rsid w:val="00DF1299"/>
    <w:rsid w:val="00DF174E"/>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2BFB"/>
    <w:rsid w:val="00E0376B"/>
    <w:rsid w:val="00E041D1"/>
    <w:rsid w:val="00E04C0F"/>
    <w:rsid w:val="00E04FB2"/>
    <w:rsid w:val="00E0570B"/>
    <w:rsid w:val="00E10343"/>
    <w:rsid w:val="00E10913"/>
    <w:rsid w:val="00E10B87"/>
    <w:rsid w:val="00E121CE"/>
    <w:rsid w:val="00E1478B"/>
    <w:rsid w:val="00E14FAC"/>
    <w:rsid w:val="00E15007"/>
    <w:rsid w:val="00E16277"/>
    <w:rsid w:val="00E16EC7"/>
    <w:rsid w:val="00E219CE"/>
    <w:rsid w:val="00E23A80"/>
    <w:rsid w:val="00E24071"/>
    <w:rsid w:val="00E24EBC"/>
    <w:rsid w:val="00E2522C"/>
    <w:rsid w:val="00E2552F"/>
    <w:rsid w:val="00E2599B"/>
    <w:rsid w:val="00E25B3F"/>
    <w:rsid w:val="00E2710C"/>
    <w:rsid w:val="00E27428"/>
    <w:rsid w:val="00E305B4"/>
    <w:rsid w:val="00E3078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0A5E"/>
    <w:rsid w:val="00E5103F"/>
    <w:rsid w:val="00E51673"/>
    <w:rsid w:val="00E517A5"/>
    <w:rsid w:val="00E51E16"/>
    <w:rsid w:val="00E53730"/>
    <w:rsid w:val="00E5438D"/>
    <w:rsid w:val="00E54511"/>
    <w:rsid w:val="00E54E50"/>
    <w:rsid w:val="00E55288"/>
    <w:rsid w:val="00E57577"/>
    <w:rsid w:val="00E62043"/>
    <w:rsid w:val="00E626B9"/>
    <w:rsid w:val="00E627C9"/>
    <w:rsid w:val="00E629C5"/>
    <w:rsid w:val="00E630F3"/>
    <w:rsid w:val="00E6332F"/>
    <w:rsid w:val="00E637C9"/>
    <w:rsid w:val="00E6402D"/>
    <w:rsid w:val="00E6672A"/>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4B19"/>
    <w:rsid w:val="00E85014"/>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59DD"/>
    <w:rsid w:val="00EA60BF"/>
    <w:rsid w:val="00EA6CCD"/>
    <w:rsid w:val="00EA7365"/>
    <w:rsid w:val="00EA763F"/>
    <w:rsid w:val="00EA77E9"/>
    <w:rsid w:val="00EB05D0"/>
    <w:rsid w:val="00EB1151"/>
    <w:rsid w:val="00EB1D49"/>
    <w:rsid w:val="00EB23D9"/>
    <w:rsid w:val="00EB39A0"/>
    <w:rsid w:val="00EB559F"/>
    <w:rsid w:val="00EB566C"/>
    <w:rsid w:val="00EB5F3D"/>
    <w:rsid w:val="00EC10AC"/>
    <w:rsid w:val="00EC16EC"/>
    <w:rsid w:val="00EC1CEB"/>
    <w:rsid w:val="00EC1DC0"/>
    <w:rsid w:val="00EC1DC2"/>
    <w:rsid w:val="00EC1F6F"/>
    <w:rsid w:val="00EC21EC"/>
    <w:rsid w:val="00EC24B8"/>
    <w:rsid w:val="00EC268C"/>
    <w:rsid w:val="00EC2CCC"/>
    <w:rsid w:val="00EC3753"/>
    <w:rsid w:val="00EC4E71"/>
    <w:rsid w:val="00EC5F1C"/>
    <w:rsid w:val="00EC78C3"/>
    <w:rsid w:val="00ED0365"/>
    <w:rsid w:val="00ED0865"/>
    <w:rsid w:val="00ED1C60"/>
    <w:rsid w:val="00ED1FFA"/>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8D6"/>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0CC"/>
    <w:rsid w:val="00F0459B"/>
    <w:rsid w:val="00F04E15"/>
    <w:rsid w:val="00F05DF3"/>
    <w:rsid w:val="00F0692C"/>
    <w:rsid w:val="00F069EA"/>
    <w:rsid w:val="00F070E5"/>
    <w:rsid w:val="00F07DDE"/>
    <w:rsid w:val="00F11166"/>
    <w:rsid w:val="00F11675"/>
    <w:rsid w:val="00F12557"/>
    <w:rsid w:val="00F13599"/>
    <w:rsid w:val="00F13B28"/>
    <w:rsid w:val="00F14E01"/>
    <w:rsid w:val="00F156A0"/>
    <w:rsid w:val="00F15730"/>
    <w:rsid w:val="00F176A6"/>
    <w:rsid w:val="00F202C2"/>
    <w:rsid w:val="00F212F6"/>
    <w:rsid w:val="00F223C0"/>
    <w:rsid w:val="00F22756"/>
    <w:rsid w:val="00F23248"/>
    <w:rsid w:val="00F23890"/>
    <w:rsid w:val="00F23A05"/>
    <w:rsid w:val="00F2504D"/>
    <w:rsid w:val="00F2637F"/>
    <w:rsid w:val="00F268F7"/>
    <w:rsid w:val="00F30B83"/>
    <w:rsid w:val="00F30BDB"/>
    <w:rsid w:val="00F30CF8"/>
    <w:rsid w:val="00F31EDF"/>
    <w:rsid w:val="00F32CDE"/>
    <w:rsid w:val="00F32D4C"/>
    <w:rsid w:val="00F32EC8"/>
    <w:rsid w:val="00F3327E"/>
    <w:rsid w:val="00F338C3"/>
    <w:rsid w:val="00F34B14"/>
    <w:rsid w:val="00F34F58"/>
    <w:rsid w:val="00F355D7"/>
    <w:rsid w:val="00F35DA7"/>
    <w:rsid w:val="00F3602D"/>
    <w:rsid w:val="00F3614B"/>
    <w:rsid w:val="00F36A6A"/>
    <w:rsid w:val="00F40101"/>
    <w:rsid w:val="00F404F7"/>
    <w:rsid w:val="00F40CCA"/>
    <w:rsid w:val="00F42D97"/>
    <w:rsid w:val="00F4316F"/>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3A9"/>
    <w:rsid w:val="00F556FF"/>
    <w:rsid w:val="00F55D12"/>
    <w:rsid w:val="00F5687F"/>
    <w:rsid w:val="00F56D3F"/>
    <w:rsid w:val="00F56EF2"/>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40E"/>
    <w:rsid w:val="00F71936"/>
    <w:rsid w:val="00F724FB"/>
    <w:rsid w:val="00F726B8"/>
    <w:rsid w:val="00F72A26"/>
    <w:rsid w:val="00F733C3"/>
    <w:rsid w:val="00F73B0E"/>
    <w:rsid w:val="00F746A1"/>
    <w:rsid w:val="00F74820"/>
    <w:rsid w:val="00F756DD"/>
    <w:rsid w:val="00F77F4E"/>
    <w:rsid w:val="00F80047"/>
    <w:rsid w:val="00F800C7"/>
    <w:rsid w:val="00F807AA"/>
    <w:rsid w:val="00F8104D"/>
    <w:rsid w:val="00F81587"/>
    <w:rsid w:val="00F8288F"/>
    <w:rsid w:val="00F84033"/>
    <w:rsid w:val="00F84802"/>
    <w:rsid w:val="00F84A66"/>
    <w:rsid w:val="00F85B72"/>
    <w:rsid w:val="00F86540"/>
    <w:rsid w:val="00F865CE"/>
    <w:rsid w:val="00F8766F"/>
    <w:rsid w:val="00F91082"/>
    <w:rsid w:val="00F9116D"/>
    <w:rsid w:val="00F91A9A"/>
    <w:rsid w:val="00F9203B"/>
    <w:rsid w:val="00F92E56"/>
    <w:rsid w:val="00F93A2B"/>
    <w:rsid w:val="00F93ABB"/>
    <w:rsid w:val="00F943D5"/>
    <w:rsid w:val="00F94D79"/>
    <w:rsid w:val="00F9658C"/>
    <w:rsid w:val="00F97A7F"/>
    <w:rsid w:val="00FA0889"/>
    <w:rsid w:val="00FA13E9"/>
    <w:rsid w:val="00FA16E7"/>
    <w:rsid w:val="00FA31C7"/>
    <w:rsid w:val="00FA472D"/>
    <w:rsid w:val="00FA5FA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452C"/>
    <w:rsid w:val="00FD6071"/>
    <w:rsid w:val="00FD633B"/>
    <w:rsid w:val="00FE0794"/>
    <w:rsid w:val="00FE1041"/>
    <w:rsid w:val="00FE24CB"/>
    <w:rsid w:val="00FE323F"/>
    <w:rsid w:val="00FE3473"/>
    <w:rsid w:val="00FE4049"/>
    <w:rsid w:val="00FE4794"/>
    <w:rsid w:val="00FE480F"/>
    <w:rsid w:val="00FE4998"/>
    <w:rsid w:val="00FE5454"/>
    <w:rsid w:val="00FE57DE"/>
    <w:rsid w:val="00FE59CB"/>
    <w:rsid w:val="00FE7A68"/>
    <w:rsid w:val="00FF0231"/>
    <w:rsid w:val="00FF1C9B"/>
    <w:rsid w:val="00FF1D49"/>
    <w:rsid w:val="00FF203B"/>
    <w:rsid w:val="00FF2562"/>
    <w:rsid w:val="00FF3A41"/>
    <w:rsid w:val="00FF3E5B"/>
    <w:rsid w:val="00FF57E4"/>
    <w:rsid w:val="00FF78E5"/>
    <w:rsid w:val="014D3611"/>
    <w:rsid w:val="014F29C7"/>
    <w:rsid w:val="01590077"/>
    <w:rsid w:val="01766DA8"/>
    <w:rsid w:val="01A2652D"/>
    <w:rsid w:val="01AF3D99"/>
    <w:rsid w:val="01CD1890"/>
    <w:rsid w:val="02105DD0"/>
    <w:rsid w:val="02511F9D"/>
    <w:rsid w:val="026D686C"/>
    <w:rsid w:val="027A1662"/>
    <w:rsid w:val="027D179D"/>
    <w:rsid w:val="028714F9"/>
    <w:rsid w:val="0294577F"/>
    <w:rsid w:val="02C511E7"/>
    <w:rsid w:val="02D33622"/>
    <w:rsid w:val="02DC78BE"/>
    <w:rsid w:val="02E903CF"/>
    <w:rsid w:val="02F474A0"/>
    <w:rsid w:val="033B7165"/>
    <w:rsid w:val="034B4BE6"/>
    <w:rsid w:val="03724869"/>
    <w:rsid w:val="03861008"/>
    <w:rsid w:val="03884C34"/>
    <w:rsid w:val="039E2A19"/>
    <w:rsid w:val="03A27FBB"/>
    <w:rsid w:val="03A314B8"/>
    <w:rsid w:val="03AF33C7"/>
    <w:rsid w:val="03BE7B32"/>
    <w:rsid w:val="03C13275"/>
    <w:rsid w:val="03C75EB2"/>
    <w:rsid w:val="03CC5C22"/>
    <w:rsid w:val="03D82B98"/>
    <w:rsid w:val="03F83E8B"/>
    <w:rsid w:val="03FB6676"/>
    <w:rsid w:val="03FE0D6A"/>
    <w:rsid w:val="04077019"/>
    <w:rsid w:val="04186DB0"/>
    <w:rsid w:val="043C33BD"/>
    <w:rsid w:val="04534B2F"/>
    <w:rsid w:val="04965E47"/>
    <w:rsid w:val="04AC5F40"/>
    <w:rsid w:val="04C57E52"/>
    <w:rsid w:val="04EB36D1"/>
    <w:rsid w:val="04FF402F"/>
    <w:rsid w:val="04FF6F21"/>
    <w:rsid w:val="05047743"/>
    <w:rsid w:val="05383F82"/>
    <w:rsid w:val="053E0EA6"/>
    <w:rsid w:val="053E7845"/>
    <w:rsid w:val="05677445"/>
    <w:rsid w:val="059211F2"/>
    <w:rsid w:val="059D3E1F"/>
    <w:rsid w:val="05C41BC0"/>
    <w:rsid w:val="05C56868"/>
    <w:rsid w:val="05CE7FAF"/>
    <w:rsid w:val="05D06147"/>
    <w:rsid w:val="05D37B44"/>
    <w:rsid w:val="05F02C7D"/>
    <w:rsid w:val="06474FA8"/>
    <w:rsid w:val="065F7D3D"/>
    <w:rsid w:val="06824D59"/>
    <w:rsid w:val="06917249"/>
    <w:rsid w:val="06936FD0"/>
    <w:rsid w:val="069961B7"/>
    <w:rsid w:val="06C20BFC"/>
    <w:rsid w:val="06CC7736"/>
    <w:rsid w:val="06EF019B"/>
    <w:rsid w:val="06F86282"/>
    <w:rsid w:val="0717375D"/>
    <w:rsid w:val="07734B85"/>
    <w:rsid w:val="0773571E"/>
    <w:rsid w:val="0774295E"/>
    <w:rsid w:val="07B62E11"/>
    <w:rsid w:val="07B72767"/>
    <w:rsid w:val="07E95234"/>
    <w:rsid w:val="08070D6B"/>
    <w:rsid w:val="08077E72"/>
    <w:rsid w:val="08094A76"/>
    <w:rsid w:val="081163FE"/>
    <w:rsid w:val="08451EB2"/>
    <w:rsid w:val="08882DD0"/>
    <w:rsid w:val="08A166C6"/>
    <w:rsid w:val="08B17BE1"/>
    <w:rsid w:val="08C94101"/>
    <w:rsid w:val="08F209EF"/>
    <w:rsid w:val="09047D11"/>
    <w:rsid w:val="090B06E2"/>
    <w:rsid w:val="091851C2"/>
    <w:rsid w:val="092D43FF"/>
    <w:rsid w:val="09376339"/>
    <w:rsid w:val="09537BDC"/>
    <w:rsid w:val="09673489"/>
    <w:rsid w:val="096B4234"/>
    <w:rsid w:val="096D6A3E"/>
    <w:rsid w:val="0971040B"/>
    <w:rsid w:val="099C7E91"/>
    <w:rsid w:val="09AE4217"/>
    <w:rsid w:val="09CC2AAC"/>
    <w:rsid w:val="09D26E76"/>
    <w:rsid w:val="09E457B4"/>
    <w:rsid w:val="0A3313E7"/>
    <w:rsid w:val="0A42224C"/>
    <w:rsid w:val="0A652D3E"/>
    <w:rsid w:val="0A717628"/>
    <w:rsid w:val="0A7804FF"/>
    <w:rsid w:val="0A7E4546"/>
    <w:rsid w:val="0AA11D43"/>
    <w:rsid w:val="0AD75259"/>
    <w:rsid w:val="0AE10FC7"/>
    <w:rsid w:val="0AE35F8A"/>
    <w:rsid w:val="0AF85654"/>
    <w:rsid w:val="0B0932BE"/>
    <w:rsid w:val="0B1F35B4"/>
    <w:rsid w:val="0B326F2A"/>
    <w:rsid w:val="0B330F22"/>
    <w:rsid w:val="0B331E39"/>
    <w:rsid w:val="0B4F539D"/>
    <w:rsid w:val="0B5A57FC"/>
    <w:rsid w:val="0B61144B"/>
    <w:rsid w:val="0BA37CB5"/>
    <w:rsid w:val="0BB56BDB"/>
    <w:rsid w:val="0C0B585A"/>
    <w:rsid w:val="0C1E2888"/>
    <w:rsid w:val="0C4546BE"/>
    <w:rsid w:val="0C4A10B7"/>
    <w:rsid w:val="0C92213C"/>
    <w:rsid w:val="0CA34F8A"/>
    <w:rsid w:val="0CA60D13"/>
    <w:rsid w:val="0CC67BD9"/>
    <w:rsid w:val="0CD01317"/>
    <w:rsid w:val="0CD95A91"/>
    <w:rsid w:val="0CE77B2B"/>
    <w:rsid w:val="0CF74B43"/>
    <w:rsid w:val="0CFD30CD"/>
    <w:rsid w:val="0D307327"/>
    <w:rsid w:val="0D38442D"/>
    <w:rsid w:val="0D3F7E1A"/>
    <w:rsid w:val="0D451480"/>
    <w:rsid w:val="0D50069F"/>
    <w:rsid w:val="0D84032B"/>
    <w:rsid w:val="0DD91591"/>
    <w:rsid w:val="0E0407B3"/>
    <w:rsid w:val="0E4137B5"/>
    <w:rsid w:val="0E4733A2"/>
    <w:rsid w:val="0E4E4012"/>
    <w:rsid w:val="0E545297"/>
    <w:rsid w:val="0E581951"/>
    <w:rsid w:val="0E7043E7"/>
    <w:rsid w:val="0E980B75"/>
    <w:rsid w:val="0E9E6512"/>
    <w:rsid w:val="0ECA394A"/>
    <w:rsid w:val="0ED1219D"/>
    <w:rsid w:val="0EE2757A"/>
    <w:rsid w:val="0EE827B7"/>
    <w:rsid w:val="0EE97A29"/>
    <w:rsid w:val="0EFD281A"/>
    <w:rsid w:val="0F032819"/>
    <w:rsid w:val="0F2A74C4"/>
    <w:rsid w:val="0F3A55EC"/>
    <w:rsid w:val="0F4277DD"/>
    <w:rsid w:val="0F5512C6"/>
    <w:rsid w:val="0F7560D2"/>
    <w:rsid w:val="0FB35F2D"/>
    <w:rsid w:val="0FCB5743"/>
    <w:rsid w:val="0FCD18E1"/>
    <w:rsid w:val="100677B7"/>
    <w:rsid w:val="1025513D"/>
    <w:rsid w:val="10284C2D"/>
    <w:rsid w:val="104A239C"/>
    <w:rsid w:val="10703A74"/>
    <w:rsid w:val="10892972"/>
    <w:rsid w:val="10947BCD"/>
    <w:rsid w:val="10A27F31"/>
    <w:rsid w:val="10AC5B32"/>
    <w:rsid w:val="10B14C22"/>
    <w:rsid w:val="10EB07AD"/>
    <w:rsid w:val="10F13943"/>
    <w:rsid w:val="110411F6"/>
    <w:rsid w:val="113C31CE"/>
    <w:rsid w:val="115F642C"/>
    <w:rsid w:val="11603F53"/>
    <w:rsid w:val="11927058"/>
    <w:rsid w:val="11A011DF"/>
    <w:rsid w:val="11AA6F10"/>
    <w:rsid w:val="11EB466C"/>
    <w:rsid w:val="12023F74"/>
    <w:rsid w:val="127D55EF"/>
    <w:rsid w:val="12941A88"/>
    <w:rsid w:val="12DA3987"/>
    <w:rsid w:val="12E110C3"/>
    <w:rsid w:val="12E27315"/>
    <w:rsid w:val="12E63710"/>
    <w:rsid w:val="12F714BE"/>
    <w:rsid w:val="12F901BB"/>
    <w:rsid w:val="132C67E2"/>
    <w:rsid w:val="13702B73"/>
    <w:rsid w:val="13A17282"/>
    <w:rsid w:val="13AF4F03"/>
    <w:rsid w:val="13BF7656"/>
    <w:rsid w:val="13C42256"/>
    <w:rsid w:val="140E7C96"/>
    <w:rsid w:val="141A7FE7"/>
    <w:rsid w:val="14567892"/>
    <w:rsid w:val="14736E66"/>
    <w:rsid w:val="1475242F"/>
    <w:rsid w:val="147F458F"/>
    <w:rsid w:val="148501AF"/>
    <w:rsid w:val="14923734"/>
    <w:rsid w:val="14D958EC"/>
    <w:rsid w:val="14DB3544"/>
    <w:rsid w:val="14E95859"/>
    <w:rsid w:val="1534169A"/>
    <w:rsid w:val="1534197E"/>
    <w:rsid w:val="153511A5"/>
    <w:rsid w:val="153D258B"/>
    <w:rsid w:val="1559566F"/>
    <w:rsid w:val="156F0C08"/>
    <w:rsid w:val="15C03E03"/>
    <w:rsid w:val="15E909BB"/>
    <w:rsid w:val="15EF58A5"/>
    <w:rsid w:val="1603535C"/>
    <w:rsid w:val="160E1864"/>
    <w:rsid w:val="16242433"/>
    <w:rsid w:val="162A25EB"/>
    <w:rsid w:val="16531E7E"/>
    <w:rsid w:val="16553B2A"/>
    <w:rsid w:val="16573B76"/>
    <w:rsid w:val="165E00D0"/>
    <w:rsid w:val="166409AA"/>
    <w:rsid w:val="16704C38"/>
    <w:rsid w:val="16894003"/>
    <w:rsid w:val="168E50BE"/>
    <w:rsid w:val="16B01A6C"/>
    <w:rsid w:val="16B13437"/>
    <w:rsid w:val="16C805D0"/>
    <w:rsid w:val="16FD2A55"/>
    <w:rsid w:val="17067C1A"/>
    <w:rsid w:val="1711641B"/>
    <w:rsid w:val="17366761"/>
    <w:rsid w:val="17641474"/>
    <w:rsid w:val="17661734"/>
    <w:rsid w:val="17740758"/>
    <w:rsid w:val="177C01F0"/>
    <w:rsid w:val="179D1A5D"/>
    <w:rsid w:val="17B60C89"/>
    <w:rsid w:val="17B71679"/>
    <w:rsid w:val="17CE6630"/>
    <w:rsid w:val="17D94400"/>
    <w:rsid w:val="18084F59"/>
    <w:rsid w:val="180F3C4A"/>
    <w:rsid w:val="182C4697"/>
    <w:rsid w:val="1859722A"/>
    <w:rsid w:val="185D4F83"/>
    <w:rsid w:val="18F0461E"/>
    <w:rsid w:val="19280238"/>
    <w:rsid w:val="193D3387"/>
    <w:rsid w:val="19B012E6"/>
    <w:rsid w:val="19E71A2C"/>
    <w:rsid w:val="19EB4094"/>
    <w:rsid w:val="19EC0AFA"/>
    <w:rsid w:val="19F45B80"/>
    <w:rsid w:val="1A015928"/>
    <w:rsid w:val="1A254D6A"/>
    <w:rsid w:val="1A46462D"/>
    <w:rsid w:val="1A704552"/>
    <w:rsid w:val="1A8E7887"/>
    <w:rsid w:val="1A9A6727"/>
    <w:rsid w:val="1AED4AA9"/>
    <w:rsid w:val="1AF35E37"/>
    <w:rsid w:val="1AFF0AFE"/>
    <w:rsid w:val="1B400F1F"/>
    <w:rsid w:val="1B4F19F8"/>
    <w:rsid w:val="1B7C70C7"/>
    <w:rsid w:val="1B860A5A"/>
    <w:rsid w:val="1BA3148F"/>
    <w:rsid w:val="1BA57132"/>
    <w:rsid w:val="1BB93055"/>
    <w:rsid w:val="1BBB0703"/>
    <w:rsid w:val="1BBC08C0"/>
    <w:rsid w:val="1BDB35D9"/>
    <w:rsid w:val="1BEE2558"/>
    <w:rsid w:val="1C115AAB"/>
    <w:rsid w:val="1C226F03"/>
    <w:rsid w:val="1C3145BB"/>
    <w:rsid w:val="1C4B66CC"/>
    <w:rsid w:val="1C510989"/>
    <w:rsid w:val="1C971DDB"/>
    <w:rsid w:val="1CB5479A"/>
    <w:rsid w:val="1CDA105D"/>
    <w:rsid w:val="1CF0357C"/>
    <w:rsid w:val="1D1F1D26"/>
    <w:rsid w:val="1D663B5A"/>
    <w:rsid w:val="1DA008E8"/>
    <w:rsid w:val="1DA763C2"/>
    <w:rsid w:val="1DB23D88"/>
    <w:rsid w:val="1E056A50"/>
    <w:rsid w:val="1E1C4097"/>
    <w:rsid w:val="1E275347"/>
    <w:rsid w:val="1E294F23"/>
    <w:rsid w:val="1E2D1660"/>
    <w:rsid w:val="1E37701B"/>
    <w:rsid w:val="1E3B2E95"/>
    <w:rsid w:val="1E582D6B"/>
    <w:rsid w:val="1E5F5CBE"/>
    <w:rsid w:val="1E683DC3"/>
    <w:rsid w:val="1E6F42B9"/>
    <w:rsid w:val="1E7B454E"/>
    <w:rsid w:val="1ECC44FA"/>
    <w:rsid w:val="1EEB0F76"/>
    <w:rsid w:val="1F063325"/>
    <w:rsid w:val="1F0A4CC7"/>
    <w:rsid w:val="1F2D70E9"/>
    <w:rsid w:val="1F334A54"/>
    <w:rsid w:val="1F3525AA"/>
    <w:rsid w:val="1F483B21"/>
    <w:rsid w:val="1F4F5C3E"/>
    <w:rsid w:val="1F571AD6"/>
    <w:rsid w:val="1F680BA2"/>
    <w:rsid w:val="1F8D5991"/>
    <w:rsid w:val="1FA70967"/>
    <w:rsid w:val="1FA93BA7"/>
    <w:rsid w:val="1FB24EFB"/>
    <w:rsid w:val="1FBC5DF5"/>
    <w:rsid w:val="1FCF29CF"/>
    <w:rsid w:val="1FF90588"/>
    <w:rsid w:val="20503958"/>
    <w:rsid w:val="2070410F"/>
    <w:rsid w:val="209D25D8"/>
    <w:rsid w:val="20A8767A"/>
    <w:rsid w:val="20C3623F"/>
    <w:rsid w:val="21555ECC"/>
    <w:rsid w:val="21654C88"/>
    <w:rsid w:val="21781212"/>
    <w:rsid w:val="217C0935"/>
    <w:rsid w:val="218D48F0"/>
    <w:rsid w:val="21B83F86"/>
    <w:rsid w:val="21CE4F94"/>
    <w:rsid w:val="21F4496F"/>
    <w:rsid w:val="221178A8"/>
    <w:rsid w:val="221213CF"/>
    <w:rsid w:val="22316CD7"/>
    <w:rsid w:val="22327A92"/>
    <w:rsid w:val="2254293F"/>
    <w:rsid w:val="22646696"/>
    <w:rsid w:val="22D64075"/>
    <w:rsid w:val="230A4ABA"/>
    <w:rsid w:val="23197D41"/>
    <w:rsid w:val="231D53A2"/>
    <w:rsid w:val="233377A7"/>
    <w:rsid w:val="23691BCC"/>
    <w:rsid w:val="236D5383"/>
    <w:rsid w:val="2398757C"/>
    <w:rsid w:val="23A902C3"/>
    <w:rsid w:val="23B7504C"/>
    <w:rsid w:val="23C81977"/>
    <w:rsid w:val="23E31514"/>
    <w:rsid w:val="23EF1C87"/>
    <w:rsid w:val="23F459D5"/>
    <w:rsid w:val="241B123B"/>
    <w:rsid w:val="2441640D"/>
    <w:rsid w:val="24457704"/>
    <w:rsid w:val="244E44DD"/>
    <w:rsid w:val="24571307"/>
    <w:rsid w:val="24753553"/>
    <w:rsid w:val="247753E3"/>
    <w:rsid w:val="24834BB9"/>
    <w:rsid w:val="248875F1"/>
    <w:rsid w:val="248B3210"/>
    <w:rsid w:val="24DA1B49"/>
    <w:rsid w:val="24E011DB"/>
    <w:rsid w:val="24E728D1"/>
    <w:rsid w:val="24EC412C"/>
    <w:rsid w:val="24F47DEC"/>
    <w:rsid w:val="25110A2A"/>
    <w:rsid w:val="25396B3D"/>
    <w:rsid w:val="253E4521"/>
    <w:rsid w:val="254D29F2"/>
    <w:rsid w:val="256C0944"/>
    <w:rsid w:val="259E1775"/>
    <w:rsid w:val="25A027D6"/>
    <w:rsid w:val="25D346D3"/>
    <w:rsid w:val="25DF4BF7"/>
    <w:rsid w:val="25DF5422"/>
    <w:rsid w:val="25E35426"/>
    <w:rsid w:val="25E60A73"/>
    <w:rsid w:val="26074AC6"/>
    <w:rsid w:val="260A3F7D"/>
    <w:rsid w:val="260F0234"/>
    <w:rsid w:val="26274BF4"/>
    <w:rsid w:val="263703E2"/>
    <w:rsid w:val="263B09E6"/>
    <w:rsid w:val="263D3288"/>
    <w:rsid w:val="26446DE3"/>
    <w:rsid w:val="26505AD0"/>
    <w:rsid w:val="267A231A"/>
    <w:rsid w:val="267B565F"/>
    <w:rsid w:val="269669E7"/>
    <w:rsid w:val="26BE675C"/>
    <w:rsid w:val="26C32C94"/>
    <w:rsid w:val="26CA481B"/>
    <w:rsid w:val="26D7699F"/>
    <w:rsid w:val="26E23971"/>
    <w:rsid w:val="26E2748C"/>
    <w:rsid w:val="26E80F3D"/>
    <w:rsid w:val="26FC6074"/>
    <w:rsid w:val="27152303"/>
    <w:rsid w:val="271F4BB7"/>
    <w:rsid w:val="27315D1D"/>
    <w:rsid w:val="275D7507"/>
    <w:rsid w:val="27652D21"/>
    <w:rsid w:val="27654CF2"/>
    <w:rsid w:val="276757FC"/>
    <w:rsid w:val="27A176DF"/>
    <w:rsid w:val="27B801ED"/>
    <w:rsid w:val="28203D56"/>
    <w:rsid w:val="28330BB9"/>
    <w:rsid w:val="284F12A1"/>
    <w:rsid w:val="286A231A"/>
    <w:rsid w:val="28844573"/>
    <w:rsid w:val="28907A7E"/>
    <w:rsid w:val="28E87A85"/>
    <w:rsid w:val="2916469B"/>
    <w:rsid w:val="293878AD"/>
    <w:rsid w:val="29400D59"/>
    <w:rsid w:val="2941722A"/>
    <w:rsid w:val="297509EC"/>
    <w:rsid w:val="29984DDA"/>
    <w:rsid w:val="29AB4E3A"/>
    <w:rsid w:val="29C538B1"/>
    <w:rsid w:val="29CA4694"/>
    <w:rsid w:val="29F717CB"/>
    <w:rsid w:val="29FE4E52"/>
    <w:rsid w:val="2A0E1019"/>
    <w:rsid w:val="2A404AB8"/>
    <w:rsid w:val="2A4B7339"/>
    <w:rsid w:val="2A4C14A2"/>
    <w:rsid w:val="2A5306A1"/>
    <w:rsid w:val="2A9767DF"/>
    <w:rsid w:val="2AE24B98"/>
    <w:rsid w:val="2AF518AD"/>
    <w:rsid w:val="2B077AD4"/>
    <w:rsid w:val="2B774624"/>
    <w:rsid w:val="2BC363AB"/>
    <w:rsid w:val="2BC5350C"/>
    <w:rsid w:val="2BDF28E2"/>
    <w:rsid w:val="2BE9196E"/>
    <w:rsid w:val="2BEE01C4"/>
    <w:rsid w:val="2C0643CF"/>
    <w:rsid w:val="2C071743"/>
    <w:rsid w:val="2C250D85"/>
    <w:rsid w:val="2C29790B"/>
    <w:rsid w:val="2C3A001B"/>
    <w:rsid w:val="2C3D2B5C"/>
    <w:rsid w:val="2C59335D"/>
    <w:rsid w:val="2C5B6608"/>
    <w:rsid w:val="2C7A72BE"/>
    <w:rsid w:val="2C8B4122"/>
    <w:rsid w:val="2C8F68B4"/>
    <w:rsid w:val="2C9A7D75"/>
    <w:rsid w:val="2CC17412"/>
    <w:rsid w:val="2CC413E2"/>
    <w:rsid w:val="2CC55886"/>
    <w:rsid w:val="2CDE06F5"/>
    <w:rsid w:val="2D214A86"/>
    <w:rsid w:val="2D3922BA"/>
    <w:rsid w:val="2D5201B2"/>
    <w:rsid w:val="2D54617B"/>
    <w:rsid w:val="2DAE631A"/>
    <w:rsid w:val="2DB14C42"/>
    <w:rsid w:val="2DBF0527"/>
    <w:rsid w:val="2DFF6236"/>
    <w:rsid w:val="2E0B28F8"/>
    <w:rsid w:val="2E262354"/>
    <w:rsid w:val="2E3031D3"/>
    <w:rsid w:val="2E440D00"/>
    <w:rsid w:val="2E730DA6"/>
    <w:rsid w:val="2E9976CE"/>
    <w:rsid w:val="2EBC4A66"/>
    <w:rsid w:val="2EC60CD4"/>
    <w:rsid w:val="2EEF1D7E"/>
    <w:rsid w:val="2EF43641"/>
    <w:rsid w:val="2F0C1847"/>
    <w:rsid w:val="2F1D1E78"/>
    <w:rsid w:val="2F1D58AE"/>
    <w:rsid w:val="2F3B2F8F"/>
    <w:rsid w:val="2F401D3C"/>
    <w:rsid w:val="2F436F36"/>
    <w:rsid w:val="2F4D0836"/>
    <w:rsid w:val="2F5B24E1"/>
    <w:rsid w:val="2F723377"/>
    <w:rsid w:val="2F752BA8"/>
    <w:rsid w:val="2F8A36BF"/>
    <w:rsid w:val="2FA92C7F"/>
    <w:rsid w:val="2FA95C88"/>
    <w:rsid w:val="2FAA0D63"/>
    <w:rsid w:val="2FD20A88"/>
    <w:rsid w:val="2FDBD549"/>
    <w:rsid w:val="2FE57FED"/>
    <w:rsid w:val="2FEC6193"/>
    <w:rsid w:val="301042F0"/>
    <w:rsid w:val="303811F8"/>
    <w:rsid w:val="3041370F"/>
    <w:rsid w:val="306F4936"/>
    <w:rsid w:val="30703D5A"/>
    <w:rsid w:val="30B65734"/>
    <w:rsid w:val="30CD4D80"/>
    <w:rsid w:val="30E1446E"/>
    <w:rsid w:val="30E327D8"/>
    <w:rsid w:val="30FE10EF"/>
    <w:rsid w:val="312B50A3"/>
    <w:rsid w:val="31382F03"/>
    <w:rsid w:val="315D57B2"/>
    <w:rsid w:val="31647A24"/>
    <w:rsid w:val="316653F9"/>
    <w:rsid w:val="31684A32"/>
    <w:rsid w:val="31712FE1"/>
    <w:rsid w:val="31887B62"/>
    <w:rsid w:val="3192444C"/>
    <w:rsid w:val="31AF207F"/>
    <w:rsid w:val="31AF3253"/>
    <w:rsid w:val="31BB4AF8"/>
    <w:rsid w:val="31EB72EA"/>
    <w:rsid w:val="320D2B22"/>
    <w:rsid w:val="32136105"/>
    <w:rsid w:val="323F5AAC"/>
    <w:rsid w:val="32453A27"/>
    <w:rsid w:val="325D030E"/>
    <w:rsid w:val="3263064A"/>
    <w:rsid w:val="3276317E"/>
    <w:rsid w:val="32805DAB"/>
    <w:rsid w:val="32A43132"/>
    <w:rsid w:val="32AA7915"/>
    <w:rsid w:val="32AC0C06"/>
    <w:rsid w:val="32C43C94"/>
    <w:rsid w:val="32D16607"/>
    <w:rsid w:val="32E80A44"/>
    <w:rsid w:val="32EB3B6C"/>
    <w:rsid w:val="32FE3804"/>
    <w:rsid w:val="33125E56"/>
    <w:rsid w:val="331836DC"/>
    <w:rsid w:val="33190199"/>
    <w:rsid w:val="332A5750"/>
    <w:rsid w:val="33344EF5"/>
    <w:rsid w:val="33471AD0"/>
    <w:rsid w:val="33852A1B"/>
    <w:rsid w:val="33BA00DB"/>
    <w:rsid w:val="33D03C7A"/>
    <w:rsid w:val="33DD03A0"/>
    <w:rsid w:val="33F94067"/>
    <w:rsid w:val="34076784"/>
    <w:rsid w:val="3424741B"/>
    <w:rsid w:val="342D773D"/>
    <w:rsid w:val="34385926"/>
    <w:rsid w:val="344160C1"/>
    <w:rsid w:val="34AE5EA8"/>
    <w:rsid w:val="34BD7886"/>
    <w:rsid w:val="34E87939"/>
    <w:rsid w:val="34F56B8F"/>
    <w:rsid w:val="351B358A"/>
    <w:rsid w:val="3537750C"/>
    <w:rsid w:val="3537798C"/>
    <w:rsid w:val="35721391"/>
    <w:rsid w:val="35AB5476"/>
    <w:rsid w:val="35AE16C9"/>
    <w:rsid w:val="35B75F88"/>
    <w:rsid w:val="35BD1EFA"/>
    <w:rsid w:val="35C13FC9"/>
    <w:rsid w:val="35CF5A3D"/>
    <w:rsid w:val="35F710FF"/>
    <w:rsid w:val="360C7CE9"/>
    <w:rsid w:val="361336E7"/>
    <w:rsid w:val="362F3D1C"/>
    <w:rsid w:val="364257B6"/>
    <w:rsid w:val="365E789E"/>
    <w:rsid w:val="36744955"/>
    <w:rsid w:val="367E3807"/>
    <w:rsid w:val="367F740D"/>
    <w:rsid w:val="368E5592"/>
    <w:rsid w:val="37066518"/>
    <w:rsid w:val="373C06F3"/>
    <w:rsid w:val="376E1E31"/>
    <w:rsid w:val="37EA5922"/>
    <w:rsid w:val="38276B93"/>
    <w:rsid w:val="3833706B"/>
    <w:rsid w:val="38844787"/>
    <w:rsid w:val="38AC3431"/>
    <w:rsid w:val="38D17360"/>
    <w:rsid w:val="392B1836"/>
    <w:rsid w:val="392F2E16"/>
    <w:rsid w:val="398443D3"/>
    <w:rsid w:val="39856902"/>
    <w:rsid w:val="39B21C69"/>
    <w:rsid w:val="39B61C37"/>
    <w:rsid w:val="39CE564E"/>
    <w:rsid w:val="39DC420F"/>
    <w:rsid w:val="39DE77CB"/>
    <w:rsid w:val="39E00529"/>
    <w:rsid w:val="3A0B64A7"/>
    <w:rsid w:val="3A403313"/>
    <w:rsid w:val="3A4579E6"/>
    <w:rsid w:val="3A574DDA"/>
    <w:rsid w:val="3A596BD1"/>
    <w:rsid w:val="3A8F1281"/>
    <w:rsid w:val="3ABE3E9E"/>
    <w:rsid w:val="3AD3075A"/>
    <w:rsid w:val="3AF74C02"/>
    <w:rsid w:val="3B84149C"/>
    <w:rsid w:val="3B8F618D"/>
    <w:rsid w:val="3B9823EF"/>
    <w:rsid w:val="3BC36272"/>
    <w:rsid w:val="3BD07FDD"/>
    <w:rsid w:val="3BE13D5E"/>
    <w:rsid w:val="3BE849D3"/>
    <w:rsid w:val="3BF53366"/>
    <w:rsid w:val="3C0059A5"/>
    <w:rsid w:val="3C103151"/>
    <w:rsid w:val="3C113558"/>
    <w:rsid w:val="3C134E78"/>
    <w:rsid w:val="3C434314"/>
    <w:rsid w:val="3C5F1A0E"/>
    <w:rsid w:val="3CA22F6A"/>
    <w:rsid w:val="3CB05246"/>
    <w:rsid w:val="3CCB5FED"/>
    <w:rsid w:val="3CD062CD"/>
    <w:rsid w:val="3D014A01"/>
    <w:rsid w:val="3D1C1921"/>
    <w:rsid w:val="3D32789A"/>
    <w:rsid w:val="3D5FE6E5"/>
    <w:rsid w:val="3D7E0262"/>
    <w:rsid w:val="3D956BAE"/>
    <w:rsid w:val="3DBA03C3"/>
    <w:rsid w:val="3DC5043F"/>
    <w:rsid w:val="3DEC7285"/>
    <w:rsid w:val="3DF6345D"/>
    <w:rsid w:val="3DFF227A"/>
    <w:rsid w:val="3E047890"/>
    <w:rsid w:val="3E111308"/>
    <w:rsid w:val="3E252895"/>
    <w:rsid w:val="3E2B5515"/>
    <w:rsid w:val="3E4D4F28"/>
    <w:rsid w:val="3E546FF0"/>
    <w:rsid w:val="3E815385"/>
    <w:rsid w:val="3E816851"/>
    <w:rsid w:val="3E8A01E6"/>
    <w:rsid w:val="3EBA7D92"/>
    <w:rsid w:val="3EBC3D16"/>
    <w:rsid w:val="3EE13701"/>
    <w:rsid w:val="3EF50C1C"/>
    <w:rsid w:val="3F0F400B"/>
    <w:rsid w:val="3F1A4BB3"/>
    <w:rsid w:val="3F3C5097"/>
    <w:rsid w:val="3FBA5E41"/>
    <w:rsid w:val="3FE16CD9"/>
    <w:rsid w:val="40192BA6"/>
    <w:rsid w:val="402E0B16"/>
    <w:rsid w:val="403D2262"/>
    <w:rsid w:val="40553D7B"/>
    <w:rsid w:val="405D62C1"/>
    <w:rsid w:val="40615CD2"/>
    <w:rsid w:val="407231D7"/>
    <w:rsid w:val="40821AFC"/>
    <w:rsid w:val="40952AB4"/>
    <w:rsid w:val="40B632BF"/>
    <w:rsid w:val="40B9220B"/>
    <w:rsid w:val="40BF3C01"/>
    <w:rsid w:val="41571534"/>
    <w:rsid w:val="41731A9F"/>
    <w:rsid w:val="41766EA9"/>
    <w:rsid w:val="41BF1229"/>
    <w:rsid w:val="41E35BD2"/>
    <w:rsid w:val="422D18EA"/>
    <w:rsid w:val="42550A18"/>
    <w:rsid w:val="425D1C65"/>
    <w:rsid w:val="42613503"/>
    <w:rsid w:val="4277217A"/>
    <w:rsid w:val="428B303D"/>
    <w:rsid w:val="428D0A5E"/>
    <w:rsid w:val="429D496A"/>
    <w:rsid w:val="42C43697"/>
    <w:rsid w:val="42F473A1"/>
    <w:rsid w:val="430F539D"/>
    <w:rsid w:val="439672A2"/>
    <w:rsid w:val="43D87F6C"/>
    <w:rsid w:val="43DB0121"/>
    <w:rsid w:val="43E97C54"/>
    <w:rsid w:val="441E62C0"/>
    <w:rsid w:val="442E38B9"/>
    <w:rsid w:val="444E001B"/>
    <w:rsid w:val="44723326"/>
    <w:rsid w:val="447802E0"/>
    <w:rsid w:val="44824F14"/>
    <w:rsid w:val="44CE2FE3"/>
    <w:rsid w:val="44D24623"/>
    <w:rsid w:val="44D570FB"/>
    <w:rsid w:val="44E4585D"/>
    <w:rsid w:val="44EF5F9C"/>
    <w:rsid w:val="45231E65"/>
    <w:rsid w:val="45246816"/>
    <w:rsid w:val="45325D14"/>
    <w:rsid w:val="45404BDA"/>
    <w:rsid w:val="45464C32"/>
    <w:rsid w:val="45811C7C"/>
    <w:rsid w:val="45834CF2"/>
    <w:rsid w:val="45906116"/>
    <w:rsid w:val="459C3BCC"/>
    <w:rsid w:val="45F66658"/>
    <w:rsid w:val="46244F73"/>
    <w:rsid w:val="462705C0"/>
    <w:rsid w:val="46421A0C"/>
    <w:rsid w:val="466452EE"/>
    <w:rsid w:val="468B3EFB"/>
    <w:rsid w:val="469B5FE6"/>
    <w:rsid w:val="46D17B1C"/>
    <w:rsid w:val="46D43C1A"/>
    <w:rsid w:val="46D65EC9"/>
    <w:rsid w:val="46D9799A"/>
    <w:rsid w:val="4703462D"/>
    <w:rsid w:val="470A6193"/>
    <w:rsid w:val="471C6E91"/>
    <w:rsid w:val="472C2CA2"/>
    <w:rsid w:val="47385210"/>
    <w:rsid w:val="474B769A"/>
    <w:rsid w:val="474D04AA"/>
    <w:rsid w:val="47565B16"/>
    <w:rsid w:val="477D50A0"/>
    <w:rsid w:val="478F3682"/>
    <w:rsid w:val="47BF709A"/>
    <w:rsid w:val="47DC4F5C"/>
    <w:rsid w:val="47EA50A0"/>
    <w:rsid w:val="47F60B91"/>
    <w:rsid w:val="47F6293F"/>
    <w:rsid w:val="481C2B1D"/>
    <w:rsid w:val="4836718F"/>
    <w:rsid w:val="485A7DD9"/>
    <w:rsid w:val="485D44EE"/>
    <w:rsid w:val="486C04A3"/>
    <w:rsid w:val="486E1F78"/>
    <w:rsid w:val="48B40671"/>
    <w:rsid w:val="48C42A3E"/>
    <w:rsid w:val="48C90538"/>
    <w:rsid w:val="48D15A8D"/>
    <w:rsid w:val="48E846C6"/>
    <w:rsid w:val="492C0191"/>
    <w:rsid w:val="49312A5F"/>
    <w:rsid w:val="49384E4D"/>
    <w:rsid w:val="498918D2"/>
    <w:rsid w:val="499B5738"/>
    <w:rsid w:val="499F244D"/>
    <w:rsid w:val="49A07E15"/>
    <w:rsid w:val="49C52618"/>
    <w:rsid w:val="49DE17B9"/>
    <w:rsid w:val="4A015856"/>
    <w:rsid w:val="4A2737D4"/>
    <w:rsid w:val="4A2F7563"/>
    <w:rsid w:val="4A331C29"/>
    <w:rsid w:val="4A394044"/>
    <w:rsid w:val="4A4060F4"/>
    <w:rsid w:val="4A693610"/>
    <w:rsid w:val="4A973F3F"/>
    <w:rsid w:val="4AD152CC"/>
    <w:rsid w:val="4AE101DF"/>
    <w:rsid w:val="4AF96BC7"/>
    <w:rsid w:val="4B1C090F"/>
    <w:rsid w:val="4B416A7D"/>
    <w:rsid w:val="4B42169D"/>
    <w:rsid w:val="4B5A416B"/>
    <w:rsid w:val="4B6D116B"/>
    <w:rsid w:val="4B8019D2"/>
    <w:rsid w:val="4B862A85"/>
    <w:rsid w:val="4BB77BA6"/>
    <w:rsid w:val="4BEC36C6"/>
    <w:rsid w:val="4C063EED"/>
    <w:rsid w:val="4C0762F7"/>
    <w:rsid w:val="4C771B75"/>
    <w:rsid w:val="4C997D3D"/>
    <w:rsid w:val="4CA867C7"/>
    <w:rsid w:val="4CC64D17"/>
    <w:rsid w:val="4CEF36E2"/>
    <w:rsid w:val="4CEF4DC5"/>
    <w:rsid w:val="4D0F2B48"/>
    <w:rsid w:val="4D127D69"/>
    <w:rsid w:val="4D16138E"/>
    <w:rsid w:val="4D1F3437"/>
    <w:rsid w:val="4D254854"/>
    <w:rsid w:val="4D502AF2"/>
    <w:rsid w:val="4D6640C3"/>
    <w:rsid w:val="4D700D09"/>
    <w:rsid w:val="4D930C30"/>
    <w:rsid w:val="4D9868C3"/>
    <w:rsid w:val="4E257655"/>
    <w:rsid w:val="4E636CCA"/>
    <w:rsid w:val="4E8E7871"/>
    <w:rsid w:val="4EDE7433"/>
    <w:rsid w:val="4F031AB7"/>
    <w:rsid w:val="4F2B696A"/>
    <w:rsid w:val="4F372380"/>
    <w:rsid w:val="4F372FFB"/>
    <w:rsid w:val="4F3B0718"/>
    <w:rsid w:val="4F5C26A0"/>
    <w:rsid w:val="4F6D5E7B"/>
    <w:rsid w:val="4FA16685"/>
    <w:rsid w:val="4FA83899"/>
    <w:rsid w:val="4FE63299"/>
    <w:rsid w:val="4FF11CEE"/>
    <w:rsid w:val="4FF2476A"/>
    <w:rsid w:val="501D1BC6"/>
    <w:rsid w:val="5025116D"/>
    <w:rsid w:val="5042503E"/>
    <w:rsid w:val="50455767"/>
    <w:rsid w:val="506E6C92"/>
    <w:rsid w:val="5075461D"/>
    <w:rsid w:val="509937A3"/>
    <w:rsid w:val="50D457E8"/>
    <w:rsid w:val="51190719"/>
    <w:rsid w:val="51281690"/>
    <w:rsid w:val="514C3C74"/>
    <w:rsid w:val="51546100"/>
    <w:rsid w:val="51775CBB"/>
    <w:rsid w:val="51860594"/>
    <w:rsid w:val="51876136"/>
    <w:rsid w:val="519344F0"/>
    <w:rsid w:val="51BF6995"/>
    <w:rsid w:val="51F30671"/>
    <w:rsid w:val="52240B17"/>
    <w:rsid w:val="52332402"/>
    <w:rsid w:val="523522B6"/>
    <w:rsid w:val="52395ECD"/>
    <w:rsid w:val="52525566"/>
    <w:rsid w:val="52C10D75"/>
    <w:rsid w:val="52F7756C"/>
    <w:rsid w:val="530530EA"/>
    <w:rsid w:val="53103DA2"/>
    <w:rsid w:val="5311687F"/>
    <w:rsid w:val="53377FEC"/>
    <w:rsid w:val="53536239"/>
    <w:rsid w:val="535E58BA"/>
    <w:rsid w:val="537868FE"/>
    <w:rsid w:val="538A62F2"/>
    <w:rsid w:val="539271B1"/>
    <w:rsid w:val="53C27FF8"/>
    <w:rsid w:val="541A33FA"/>
    <w:rsid w:val="54212AF2"/>
    <w:rsid w:val="542B05BF"/>
    <w:rsid w:val="546D7D50"/>
    <w:rsid w:val="547F351F"/>
    <w:rsid w:val="54986FAB"/>
    <w:rsid w:val="549E1A80"/>
    <w:rsid w:val="54A12E49"/>
    <w:rsid w:val="54B73573"/>
    <w:rsid w:val="54C658F4"/>
    <w:rsid w:val="54DF3DD3"/>
    <w:rsid w:val="54E83743"/>
    <w:rsid w:val="54EA551B"/>
    <w:rsid w:val="550C4BD7"/>
    <w:rsid w:val="5512524B"/>
    <w:rsid w:val="553650C5"/>
    <w:rsid w:val="553E1624"/>
    <w:rsid w:val="55456CB4"/>
    <w:rsid w:val="554C1D56"/>
    <w:rsid w:val="555206C5"/>
    <w:rsid w:val="55572986"/>
    <w:rsid w:val="557F360E"/>
    <w:rsid w:val="55A364A7"/>
    <w:rsid w:val="55B646A3"/>
    <w:rsid w:val="55BE64BA"/>
    <w:rsid w:val="55C062DD"/>
    <w:rsid w:val="561B0A97"/>
    <w:rsid w:val="56241882"/>
    <w:rsid w:val="563E723D"/>
    <w:rsid w:val="564822B6"/>
    <w:rsid w:val="565340FA"/>
    <w:rsid w:val="56535401"/>
    <w:rsid w:val="56676D66"/>
    <w:rsid w:val="56A408FF"/>
    <w:rsid w:val="56B35639"/>
    <w:rsid w:val="56B631D9"/>
    <w:rsid w:val="56D407C0"/>
    <w:rsid w:val="56D431EB"/>
    <w:rsid w:val="56DC53F6"/>
    <w:rsid w:val="570E7132"/>
    <w:rsid w:val="57134EAE"/>
    <w:rsid w:val="5723343E"/>
    <w:rsid w:val="573D7EAB"/>
    <w:rsid w:val="57543E57"/>
    <w:rsid w:val="576229BC"/>
    <w:rsid w:val="576784A1"/>
    <w:rsid w:val="577832D6"/>
    <w:rsid w:val="578F5BA5"/>
    <w:rsid w:val="57A203EE"/>
    <w:rsid w:val="57B160A2"/>
    <w:rsid w:val="57B60D2F"/>
    <w:rsid w:val="57F25ABC"/>
    <w:rsid w:val="57F74D08"/>
    <w:rsid w:val="58172265"/>
    <w:rsid w:val="582C5A22"/>
    <w:rsid w:val="58694A68"/>
    <w:rsid w:val="58697B42"/>
    <w:rsid w:val="586B4C84"/>
    <w:rsid w:val="589A378D"/>
    <w:rsid w:val="58B8166E"/>
    <w:rsid w:val="58C85C32"/>
    <w:rsid w:val="58DC16DE"/>
    <w:rsid w:val="595B6075"/>
    <w:rsid w:val="59CB24F0"/>
    <w:rsid w:val="59D84667"/>
    <w:rsid w:val="5A073226"/>
    <w:rsid w:val="5A242B45"/>
    <w:rsid w:val="5A2F2CC8"/>
    <w:rsid w:val="5A5C78D3"/>
    <w:rsid w:val="5A6D500B"/>
    <w:rsid w:val="5ACC7594"/>
    <w:rsid w:val="5ADC59C5"/>
    <w:rsid w:val="5AE1122D"/>
    <w:rsid w:val="5AF86C4E"/>
    <w:rsid w:val="5B0A6A40"/>
    <w:rsid w:val="5B0F559B"/>
    <w:rsid w:val="5B13484C"/>
    <w:rsid w:val="5B341898"/>
    <w:rsid w:val="5B593A87"/>
    <w:rsid w:val="5B6339F0"/>
    <w:rsid w:val="5BA26962"/>
    <w:rsid w:val="5BD428E4"/>
    <w:rsid w:val="5BF7EFE6"/>
    <w:rsid w:val="5C10702D"/>
    <w:rsid w:val="5C152601"/>
    <w:rsid w:val="5C200D9C"/>
    <w:rsid w:val="5C591F03"/>
    <w:rsid w:val="5C79077B"/>
    <w:rsid w:val="5C7D31D8"/>
    <w:rsid w:val="5C8A1B2F"/>
    <w:rsid w:val="5C8F586D"/>
    <w:rsid w:val="5C9A5B38"/>
    <w:rsid w:val="5CB353D5"/>
    <w:rsid w:val="5CFE264B"/>
    <w:rsid w:val="5D2C7ED8"/>
    <w:rsid w:val="5D3610BD"/>
    <w:rsid w:val="5D714C12"/>
    <w:rsid w:val="5D914004"/>
    <w:rsid w:val="5DCE0B04"/>
    <w:rsid w:val="5DD72473"/>
    <w:rsid w:val="5DD86807"/>
    <w:rsid w:val="5DDD1055"/>
    <w:rsid w:val="5DED0803"/>
    <w:rsid w:val="5DF503DE"/>
    <w:rsid w:val="5E1B6E61"/>
    <w:rsid w:val="5E241926"/>
    <w:rsid w:val="5E2A4C99"/>
    <w:rsid w:val="5E3A670F"/>
    <w:rsid w:val="5E6C7858"/>
    <w:rsid w:val="5E8327CD"/>
    <w:rsid w:val="5E9347E2"/>
    <w:rsid w:val="5EA77AE8"/>
    <w:rsid w:val="5EAA5DDA"/>
    <w:rsid w:val="5ED37402"/>
    <w:rsid w:val="5F070D03"/>
    <w:rsid w:val="5F0D0843"/>
    <w:rsid w:val="5F1D752B"/>
    <w:rsid w:val="5F41229A"/>
    <w:rsid w:val="5F426012"/>
    <w:rsid w:val="5F561B72"/>
    <w:rsid w:val="5F5B3C1C"/>
    <w:rsid w:val="5F69359F"/>
    <w:rsid w:val="5FBA5EDB"/>
    <w:rsid w:val="5FD043FA"/>
    <w:rsid w:val="5FF53085"/>
    <w:rsid w:val="603B4F3C"/>
    <w:rsid w:val="6057256B"/>
    <w:rsid w:val="606007BB"/>
    <w:rsid w:val="607E33C1"/>
    <w:rsid w:val="60977324"/>
    <w:rsid w:val="60AC7F66"/>
    <w:rsid w:val="60D7754C"/>
    <w:rsid w:val="61333E65"/>
    <w:rsid w:val="61400C47"/>
    <w:rsid w:val="617E7A28"/>
    <w:rsid w:val="61AD3C2D"/>
    <w:rsid w:val="61BF10D9"/>
    <w:rsid w:val="61DA3D4C"/>
    <w:rsid w:val="61E3619B"/>
    <w:rsid w:val="61E6537B"/>
    <w:rsid w:val="61FE26C5"/>
    <w:rsid w:val="62025CAE"/>
    <w:rsid w:val="62146E01"/>
    <w:rsid w:val="6226028A"/>
    <w:rsid w:val="6233139D"/>
    <w:rsid w:val="62592CAB"/>
    <w:rsid w:val="628232F6"/>
    <w:rsid w:val="628456F5"/>
    <w:rsid w:val="628D1E2F"/>
    <w:rsid w:val="628F79E4"/>
    <w:rsid w:val="629E103F"/>
    <w:rsid w:val="62A72EEF"/>
    <w:rsid w:val="62AC22DC"/>
    <w:rsid w:val="62AE40EB"/>
    <w:rsid w:val="62DE2A8A"/>
    <w:rsid w:val="632C14B3"/>
    <w:rsid w:val="633D7B3F"/>
    <w:rsid w:val="63440525"/>
    <w:rsid w:val="63447D07"/>
    <w:rsid w:val="634F5114"/>
    <w:rsid w:val="637833E8"/>
    <w:rsid w:val="638042E0"/>
    <w:rsid w:val="638719BF"/>
    <w:rsid w:val="63C45248"/>
    <w:rsid w:val="63C931B9"/>
    <w:rsid w:val="63CB03E6"/>
    <w:rsid w:val="63D863F5"/>
    <w:rsid w:val="64575176"/>
    <w:rsid w:val="645E78E8"/>
    <w:rsid w:val="6477734C"/>
    <w:rsid w:val="648B4726"/>
    <w:rsid w:val="64C13D51"/>
    <w:rsid w:val="64C67905"/>
    <w:rsid w:val="64D04446"/>
    <w:rsid w:val="64E45EF7"/>
    <w:rsid w:val="64FF67AA"/>
    <w:rsid w:val="650F4BE9"/>
    <w:rsid w:val="652354C5"/>
    <w:rsid w:val="65384825"/>
    <w:rsid w:val="654B5C68"/>
    <w:rsid w:val="656E284E"/>
    <w:rsid w:val="65A9009F"/>
    <w:rsid w:val="65E762C3"/>
    <w:rsid w:val="65EC7453"/>
    <w:rsid w:val="65EE2DA5"/>
    <w:rsid w:val="662619CF"/>
    <w:rsid w:val="663F7B69"/>
    <w:rsid w:val="66532087"/>
    <w:rsid w:val="665E794C"/>
    <w:rsid w:val="666343D5"/>
    <w:rsid w:val="6691014E"/>
    <w:rsid w:val="66B670A5"/>
    <w:rsid w:val="66BC652E"/>
    <w:rsid w:val="66C87CCE"/>
    <w:rsid w:val="66D66656"/>
    <w:rsid w:val="66F67B9F"/>
    <w:rsid w:val="66FA0EB5"/>
    <w:rsid w:val="670D6454"/>
    <w:rsid w:val="6739419F"/>
    <w:rsid w:val="674814BF"/>
    <w:rsid w:val="67696A4A"/>
    <w:rsid w:val="677435B2"/>
    <w:rsid w:val="6774683B"/>
    <w:rsid w:val="678447F7"/>
    <w:rsid w:val="67A602CE"/>
    <w:rsid w:val="67AE4896"/>
    <w:rsid w:val="67C779FD"/>
    <w:rsid w:val="67EF75F1"/>
    <w:rsid w:val="67FB0C50"/>
    <w:rsid w:val="681F19AF"/>
    <w:rsid w:val="684F3C7A"/>
    <w:rsid w:val="68526DAE"/>
    <w:rsid w:val="685B53D9"/>
    <w:rsid w:val="685D21D0"/>
    <w:rsid w:val="68722B08"/>
    <w:rsid w:val="68815DFE"/>
    <w:rsid w:val="68BE3783"/>
    <w:rsid w:val="68F71794"/>
    <w:rsid w:val="69124F16"/>
    <w:rsid w:val="691A5092"/>
    <w:rsid w:val="69381A97"/>
    <w:rsid w:val="694A5205"/>
    <w:rsid w:val="695C5694"/>
    <w:rsid w:val="69892875"/>
    <w:rsid w:val="6990454A"/>
    <w:rsid w:val="69CD5C14"/>
    <w:rsid w:val="69CF0D33"/>
    <w:rsid w:val="69D84304"/>
    <w:rsid w:val="69E62A27"/>
    <w:rsid w:val="69E7542D"/>
    <w:rsid w:val="69EB7719"/>
    <w:rsid w:val="69F32995"/>
    <w:rsid w:val="6A002EBA"/>
    <w:rsid w:val="6A3A7E8E"/>
    <w:rsid w:val="6A480F33"/>
    <w:rsid w:val="6A784CEA"/>
    <w:rsid w:val="6A7A48B2"/>
    <w:rsid w:val="6A8C38EE"/>
    <w:rsid w:val="6ABE50E7"/>
    <w:rsid w:val="6AC835CF"/>
    <w:rsid w:val="6AD25AE7"/>
    <w:rsid w:val="6AE05B2C"/>
    <w:rsid w:val="6AEE01B2"/>
    <w:rsid w:val="6AF04462"/>
    <w:rsid w:val="6AF24D91"/>
    <w:rsid w:val="6B074E0D"/>
    <w:rsid w:val="6B090A33"/>
    <w:rsid w:val="6B135351"/>
    <w:rsid w:val="6B711C68"/>
    <w:rsid w:val="6B9876E6"/>
    <w:rsid w:val="6B9946B3"/>
    <w:rsid w:val="6BBB33D4"/>
    <w:rsid w:val="6BBD539F"/>
    <w:rsid w:val="6BC61FA3"/>
    <w:rsid w:val="6BDB259B"/>
    <w:rsid w:val="6C046B2A"/>
    <w:rsid w:val="6C094140"/>
    <w:rsid w:val="6C19627C"/>
    <w:rsid w:val="6C354F35"/>
    <w:rsid w:val="6C4863DB"/>
    <w:rsid w:val="6C662189"/>
    <w:rsid w:val="6C7007C7"/>
    <w:rsid w:val="6C8E0AE9"/>
    <w:rsid w:val="6CD75FEC"/>
    <w:rsid w:val="6D266F73"/>
    <w:rsid w:val="6D383FB8"/>
    <w:rsid w:val="6D4E3D87"/>
    <w:rsid w:val="6D51738B"/>
    <w:rsid w:val="6D8A036F"/>
    <w:rsid w:val="6DA55BF3"/>
    <w:rsid w:val="6DE76850"/>
    <w:rsid w:val="6E1E324F"/>
    <w:rsid w:val="6E707791"/>
    <w:rsid w:val="6E8377F4"/>
    <w:rsid w:val="6EC142A0"/>
    <w:rsid w:val="6EE12692"/>
    <w:rsid w:val="6EE36822"/>
    <w:rsid w:val="6F1658B7"/>
    <w:rsid w:val="6F2D08E9"/>
    <w:rsid w:val="6F353AC5"/>
    <w:rsid w:val="6FA81B6E"/>
    <w:rsid w:val="6FB20BD4"/>
    <w:rsid w:val="6FB650F7"/>
    <w:rsid w:val="6FBA59BE"/>
    <w:rsid w:val="6FBE3493"/>
    <w:rsid w:val="6FF46A05"/>
    <w:rsid w:val="6FFB5639"/>
    <w:rsid w:val="70231548"/>
    <w:rsid w:val="70296B3E"/>
    <w:rsid w:val="70583ECF"/>
    <w:rsid w:val="70611204"/>
    <w:rsid w:val="707A560C"/>
    <w:rsid w:val="70B00E07"/>
    <w:rsid w:val="70CB3C99"/>
    <w:rsid w:val="70CC17AC"/>
    <w:rsid w:val="70F80C27"/>
    <w:rsid w:val="71055CBF"/>
    <w:rsid w:val="711D5064"/>
    <w:rsid w:val="711F283F"/>
    <w:rsid w:val="71392DC0"/>
    <w:rsid w:val="715F4802"/>
    <w:rsid w:val="716B3747"/>
    <w:rsid w:val="71721C3E"/>
    <w:rsid w:val="71B04CD4"/>
    <w:rsid w:val="71F847D3"/>
    <w:rsid w:val="72163645"/>
    <w:rsid w:val="722E4900"/>
    <w:rsid w:val="72502D25"/>
    <w:rsid w:val="726447C6"/>
    <w:rsid w:val="727C31C5"/>
    <w:rsid w:val="72B172DF"/>
    <w:rsid w:val="72B50C40"/>
    <w:rsid w:val="72C47013"/>
    <w:rsid w:val="72D75E5C"/>
    <w:rsid w:val="72E53190"/>
    <w:rsid w:val="7306587D"/>
    <w:rsid w:val="73221F8B"/>
    <w:rsid w:val="733A0C49"/>
    <w:rsid w:val="73445350"/>
    <w:rsid w:val="73497E70"/>
    <w:rsid w:val="7368528F"/>
    <w:rsid w:val="739764D5"/>
    <w:rsid w:val="73C66DBA"/>
    <w:rsid w:val="73CC5F59"/>
    <w:rsid w:val="73EF5E77"/>
    <w:rsid w:val="74321789"/>
    <w:rsid w:val="746E7751"/>
    <w:rsid w:val="74844CAB"/>
    <w:rsid w:val="748527D2"/>
    <w:rsid w:val="74891FC3"/>
    <w:rsid w:val="74940C67"/>
    <w:rsid w:val="74943C59"/>
    <w:rsid w:val="74983EEE"/>
    <w:rsid w:val="74A40EAA"/>
    <w:rsid w:val="74C26C40"/>
    <w:rsid w:val="74D00D6F"/>
    <w:rsid w:val="74D45277"/>
    <w:rsid w:val="74D61BA3"/>
    <w:rsid w:val="74E76FE8"/>
    <w:rsid w:val="74EE227B"/>
    <w:rsid w:val="74EF0950"/>
    <w:rsid w:val="74F11C15"/>
    <w:rsid w:val="74FA2C30"/>
    <w:rsid w:val="753104B4"/>
    <w:rsid w:val="754A19EC"/>
    <w:rsid w:val="754D5C4B"/>
    <w:rsid w:val="754F4FA8"/>
    <w:rsid w:val="755E7B15"/>
    <w:rsid w:val="759018D1"/>
    <w:rsid w:val="75B63B45"/>
    <w:rsid w:val="75EFF971"/>
    <w:rsid w:val="762B1157"/>
    <w:rsid w:val="76B83436"/>
    <w:rsid w:val="76C240A7"/>
    <w:rsid w:val="76C5258F"/>
    <w:rsid w:val="76CC2C60"/>
    <w:rsid w:val="76CD7179"/>
    <w:rsid w:val="76F66945"/>
    <w:rsid w:val="77307FA2"/>
    <w:rsid w:val="775246B7"/>
    <w:rsid w:val="775C3CBE"/>
    <w:rsid w:val="779C40E2"/>
    <w:rsid w:val="77B21B30"/>
    <w:rsid w:val="77B533CE"/>
    <w:rsid w:val="77F07CEF"/>
    <w:rsid w:val="78016ADA"/>
    <w:rsid w:val="780B7492"/>
    <w:rsid w:val="781E69D1"/>
    <w:rsid w:val="782C123D"/>
    <w:rsid w:val="78727511"/>
    <w:rsid w:val="789A1168"/>
    <w:rsid w:val="78A771BA"/>
    <w:rsid w:val="78AF124B"/>
    <w:rsid w:val="78CD05A1"/>
    <w:rsid w:val="790A599B"/>
    <w:rsid w:val="79322002"/>
    <w:rsid w:val="79586707"/>
    <w:rsid w:val="79652BD2"/>
    <w:rsid w:val="7967694A"/>
    <w:rsid w:val="797A7CBE"/>
    <w:rsid w:val="79817A0B"/>
    <w:rsid w:val="79921C19"/>
    <w:rsid w:val="79982FA7"/>
    <w:rsid w:val="79A256AA"/>
    <w:rsid w:val="79C0148D"/>
    <w:rsid w:val="79D24E9E"/>
    <w:rsid w:val="7A247576"/>
    <w:rsid w:val="7A263B6B"/>
    <w:rsid w:val="7A282EAC"/>
    <w:rsid w:val="7A5275FA"/>
    <w:rsid w:val="7A601D17"/>
    <w:rsid w:val="7A6211FC"/>
    <w:rsid w:val="7A68030C"/>
    <w:rsid w:val="7A680BCB"/>
    <w:rsid w:val="7AAD2FF6"/>
    <w:rsid w:val="7ACA53E2"/>
    <w:rsid w:val="7ADC6261"/>
    <w:rsid w:val="7AF46346"/>
    <w:rsid w:val="7B0F5EBF"/>
    <w:rsid w:val="7B130FB9"/>
    <w:rsid w:val="7B32669C"/>
    <w:rsid w:val="7B3771BE"/>
    <w:rsid w:val="7B8214FC"/>
    <w:rsid w:val="7B9A4DB4"/>
    <w:rsid w:val="7BAE449F"/>
    <w:rsid w:val="7BF64EDE"/>
    <w:rsid w:val="7BFF59BA"/>
    <w:rsid w:val="7C0D107D"/>
    <w:rsid w:val="7C393401"/>
    <w:rsid w:val="7C400C1E"/>
    <w:rsid w:val="7C4A0868"/>
    <w:rsid w:val="7C4F64B9"/>
    <w:rsid w:val="7C5D43D5"/>
    <w:rsid w:val="7C860D51"/>
    <w:rsid w:val="7C961A20"/>
    <w:rsid w:val="7CAB2FF1"/>
    <w:rsid w:val="7CBA7D64"/>
    <w:rsid w:val="7CD54468"/>
    <w:rsid w:val="7D225696"/>
    <w:rsid w:val="7D427213"/>
    <w:rsid w:val="7D5D1D41"/>
    <w:rsid w:val="7D9D71DE"/>
    <w:rsid w:val="7DAF77C9"/>
    <w:rsid w:val="7DD11708"/>
    <w:rsid w:val="7DED07EA"/>
    <w:rsid w:val="7DFD412D"/>
    <w:rsid w:val="7DFEC959"/>
    <w:rsid w:val="7E196D83"/>
    <w:rsid w:val="7E201ADB"/>
    <w:rsid w:val="7E4159BB"/>
    <w:rsid w:val="7E536247"/>
    <w:rsid w:val="7E5865EC"/>
    <w:rsid w:val="7E6C2BA8"/>
    <w:rsid w:val="7EAE3255"/>
    <w:rsid w:val="7EBD579E"/>
    <w:rsid w:val="7EC167BD"/>
    <w:rsid w:val="7ED20D09"/>
    <w:rsid w:val="7EEF71C5"/>
    <w:rsid w:val="7EF90DCD"/>
    <w:rsid w:val="7F0B1E1F"/>
    <w:rsid w:val="7F1B445E"/>
    <w:rsid w:val="7F250D8D"/>
    <w:rsid w:val="7F272D9E"/>
    <w:rsid w:val="7F2A6313"/>
    <w:rsid w:val="7F390D88"/>
    <w:rsid w:val="7FE32573"/>
    <w:rsid w:val="7FFBFF6F"/>
    <w:rsid w:val="7FFF1493"/>
    <w:rsid w:val="B6FD9A8C"/>
    <w:rsid w:val="B9FFD03C"/>
    <w:rsid w:val="BB972D23"/>
    <w:rsid w:val="BBFB7150"/>
    <w:rsid w:val="BFDB829A"/>
    <w:rsid w:val="C66F2C53"/>
    <w:rsid w:val="DFD9FA4E"/>
    <w:rsid w:val="DFEE071A"/>
    <w:rsid w:val="DFF5746D"/>
    <w:rsid w:val="EAFD71AF"/>
    <w:rsid w:val="EFF778A1"/>
    <w:rsid w:val="FDB3815B"/>
    <w:rsid w:val="FFB7E8EB"/>
    <w:rsid w:val="FFBFA2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6"/>
    <w:qFormat/>
    <w:uiPriority w:val="9"/>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17" w:lineRule="auto"/>
      <w:outlineLvl w:val="5"/>
    </w:pPr>
    <w:rPr>
      <w:rFonts w:ascii="Arial" w:hAnsi="Arial" w:eastAsia="黑体"/>
      <w:b/>
      <w:sz w:val="24"/>
      <w:szCs w:val="20"/>
    </w:rPr>
  </w:style>
  <w:style w:type="paragraph" w:styleId="10">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link w:val="47"/>
    <w:qFormat/>
    <w:uiPriority w:val="0"/>
    <w:pPr>
      <w:ind w:firstLine="830" w:firstLineChars="352"/>
    </w:pPr>
    <w:rPr>
      <w:rFonts w:ascii="仿宋_GB2312" w:eastAsia="仿宋_GB2312"/>
      <w:kern w:val="0"/>
      <w:sz w:val="32"/>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49"/>
    <w:qFormat/>
    <w:uiPriority w:val="0"/>
    <w:pPr>
      <w:jc w:val="left"/>
    </w:pPr>
  </w:style>
  <w:style w:type="paragraph" w:styleId="14">
    <w:name w:val="Body Text 3"/>
    <w:basedOn w:val="1"/>
    <w:link w:val="50"/>
    <w:unhideWhenUsed/>
    <w:qFormat/>
    <w:uiPriority w:val="99"/>
    <w:pPr>
      <w:spacing w:after="120"/>
    </w:pPr>
    <w:rPr>
      <w:sz w:val="16"/>
      <w:szCs w:val="16"/>
    </w:rPr>
  </w:style>
  <w:style w:type="paragraph" w:styleId="15">
    <w:name w:val="Body Text"/>
    <w:basedOn w:val="1"/>
    <w:next w:val="1"/>
    <w:link w:val="51"/>
    <w:unhideWhenUsed/>
    <w:qFormat/>
    <w:uiPriority w:val="0"/>
    <w:pPr>
      <w:spacing w:after="120"/>
    </w:p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next w:val="5"/>
    <w:link w:val="52"/>
    <w:qFormat/>
    <w:uiPriority w:val="0"/>
    <w:rPr>
      <w:rFonts w:ascii="宋体" w:hAnsi="Courier New"/>
      <w:kern w:val="0"/>
      <w:sz w:val="20"/>
      <w:szCs w:val="21"/>
    </w:rPr>
  </w:style>
  <w:style w:type="paragraph" w:styleId="19">
    <w:name w:val="Date"/>
    <w:basedOn w:val="1"/>
    <w:next w:val="1"/>
    <w:link w:val="53"/>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footer"/>
    <w:basedOn w:val="1"/>
    <w:link w:val="54"/>
    <w:unhideWhenUsed/>
    <w:qFormat/>
    <w:uiPriority w:val="99"/>
    <w:pPr>
      <w:tabs>
        <w:tab w:val="center" w:pos="4153"/>
        <w:tab w:val="right" w:pos="8306"/>
      </w:tabs>
      <w:snapToGrid w:val="0"/>
      <w:jc w:val="left"/>
    </w:pPr>
    <w:rPr>
      <w:kern w:val="0"/>
      <w:sz w:val="18"/>
      <w:szCs w:val="18"/>
    </w:rPr>
  </w:style>
  <w:style w:type="paragraph" w:styleId="22">
    <w:name w:val="header"/>
    <w:basedOn w:val="1"/>
    <w:link w:val="5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oc 2"/>
    <w:basedOn w:val="1"/>
    <w:next w:val="1"/>
    <w:unhideWhenUsed/>
    <w:qFormat/>
    <w:uiPriority w:val="39"/>
    <w:pPr>
      <w:tabs>
        <w:tab w:val="right" w:leader="dot" w:pos="8296"/>
      </w:tabs>
      <w:ind w:left="420" w:leftChars="200"/>
    </w:pPr>
  </w:style>
  <w:style w:type="paragraph" w:styleId="2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7">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9">
    <w:name w:val="annotation subject"/>
    <w:basedOn w:val="13"/>
    <w:next w:val="13"/>
    <w:link w:val="56"/>
    <w:qFormat/>
    <w:uiPriority w:val="99"/>
    <w:rPr>
      <w:b/>
      <w:bCs/>
    </w:rPr>
  </w:style>
  <w:style w:type="paragraph" w:styleId="30">
    <w:name w:val="Body Text First Indent"/>
    <w:basedOn w:val="15"/>
    <w:qFormat/>
    <w:uiPriority w:val="0"/>
    <w:pPr>
      <w:spacing w:afterLines="0" w:line="240" w:lineRule="auto"/>
      <w:ind w:firstLine="420" w:firstLineChars="100"/>
    </w:pPr>
    <w:rPr>
      <w:sz w:val="21"/>
    </w:rPr>
  </w:style>
  <w:style w:type="paragraph" w:styleId="31">
    <w:name w:val="Body Text First Indent 2"/>
    <w:basedOn w:val="8"/>
    <w:next w:val="1"/>
    <w:unhideWhenUsed/>
    <w:qFormat/>
    <w:uiPriority w:val="99"/>
    <w:pPr>
      <w:ind w:firstLine="420" w:firstLineChars="200"/>
    </w:pPr>
    <w:rPr>
      <w:rFonts w:ascii="Calibri" w:hAnsi="Calibri" w:eastAsia="宋体" w:cs="Times New Roman"/>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rPr>
  </w:style>
  <w:style w:type="character" w:styleId="36">
    <w:name w:val="endnote reference"/>
    <w:unhideWhenUsed/>
    <w:qFormat/>
    <w:uiPriority w:val="99"/>
    <w:rPr>
      <w:vertAlign w:val="superscript"/>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qFormat/>
    <w:uiPriority w:val="0"/>
    <w:rPr>
      <w:sz w:val="21"/>
      <w:szCs w:val="21"/>
    </w:rPr>
  </w:style>
  <w:style w:type="paragraph" w:customStyle="1" w:styleId="41">
    <w:name w:val="Default"/>
    <w:basedOn w:val="42"/>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2">
    <w:name w:val="正文1"/>
    <w:qFormat/>
    <w:uiPriority w:val="0"/>
    <w:pPr>
      <w:jc w:val="both"/>
    </w:pPr>
    <w:rPr>
      <w:rFonts w:ascii="Calibri" w:hAnsi="Calibri" w:eastAsia="宋体" w:cs="Times New Roman"/>
      <w:sz w:val="32"/>
      <w:szCs w:val="32"/>
      <w:lang w:val="en-US" w:eastAsia="zh-CN" w:bidi="ar-SA"/>
    </w:rPr>
  </w:style>
  <w:style w:type="character" w:customStyle="1" w:styleId="43">
    <w:name w:val="标题 1 字符"/>
    <w:link w:val="2"/>
    <w:qFormat/>
    <w:uiPriority w:val="9"/>
    <w:rPr>
      <w:b/>
      <w:bCs/>
      <w:kern w:val="44"/>
      <w:sz w:val="44"/>
      <w:szCs w:val="44"/>
    </w:rPr>
  </w:style>
  <w:style w:type="character" w:customStyle="1" w:styleId="44">
    <w:name w:val="标题 2 字符"/>
    <w:link w:val="3"/>
    <w:qFormat/>
    <w:uiPriority w:val="9"/>
    <w:rPr>
      <w:rFonts w:ascii="Cambria" w:hAnsi="Cambria" w:eastAsia="宋体" w:cs="Times New Roman"/>
      <w:b/>
      <w:bCs/>
      <w:kern w:val="2"/>
      <w:sz w:val="32"/>
      <w:szCs w:val="32"/>
    </w:rPr>
  </w:style>
  <w:style w:type="character" w:customStyle="1" w:styleId="45">
    <w:name w:val="标题 3 字符"/>
    <w:link w:val="4"/>
    <w:semiHidden/>
    <w:qFormat/>
    <w:uiPriority w:val="9"/>
    <w:rPr>
      <w:b/>
      <w:bCs/>
      <w:kern w:val="2"/>
      <w:sz w:val="32"/>
      <w:szCs w:val="32"/>
    </w:rPr>
  </w:style>
  <w:style w:type="character" w:customStyle="1" w:styleId="46">
    <w:name w:val="标题 5 字符"/>
    <w:link w:val="6"/>
    <w:qFormat/>
    <w:uiPriority w:val="9"/>
    <w:rPr>
      <w:rFonts w:ascii="Times New Roman" w:hAnsi="Times New Roman"/>
      <w:b/>
      <w:bCs/>
      <w:kern w:val="2"/>
      <w:sz w:val="28"/>
      <w:szCs w:val="28"/>
    </w:rPr>
  </w:style>
  <w:style w:type="character" w:customStyle="1" w:styleId="47">
    <w:name w:val="正文文本缩进 字符"/>
    <w:link w:val="8"/>
    <w:qFormat/>
    <w:uiPriority w:val="0"/>
    <w:rPr>
      <w:rFonts w:ascii="仿宋_GB2312" w:hAnsi="Times New Roman" w:eastAsia="仿宋_GB2312" w:cs="Times New Roman"/>
      <w:sz w:val="32"/>
      <w:szCs w:val="20"/>
    </w:rPr>
  </w:style>
  <w:style w:type="character" w:customStyle="1" w:styleId="48">
    <w:name w:val="标题 8 字符"/>
    <w:link w:val="10"/>
    <w:semiHidden/>
    <w:qFormat/>
    <w:uiPriority w:val="9"/>
    <w:rPr>
      <w:rFonts w:ascii="等线 Light" w:hAnsi="等线 Light" w:eastAsia="等线 Light" w:cs="Times New Roman"/>
      <w:kern w:val="2"/>
      <w:sz w:val="24"/>
      <w:szCs w:val="24"/>
    </w:rPr>
  </w:style>
  <w:style w:type="character" w:customStyle="1" w:styleId="49">
    <w:name w:val="批注文字 字符2"/>
    <w:link w:val="13"/>
    <w:qFormat/>
    <w:uiPriority w:val="0"/>
    <w:rPr>
      <w:rFonts w:ascii="Times New Roman" w:hAnsi="Times New Roman"/>
      <w:kern w:val="2"/>
      <w:sz w:val="21"/>
      <w:szCs w:val="24"/>
    </w:rPr>
  </w:style>
  <w:style w:type="character" w:customStyle="1" w:styleId="50">
    <w:name w:val="正文文本 3 字符"/>
    <w:link w:val="14"/>
    <w:semiHidden/>
    <w:qFormat/>
    <w:uiPriority w:val="99"/>
    <w:rPr>
      <w:kern w:val="2"/>
      <w:sz w:val="16"/>
      <w:szCs w:val="16"/>
    </w:rPr>
  </w:style>
  <w:style w:type="character" w:customStyle="1" w:styleId="51">
    <w:name w:val="正文文本 字符1"/>
    <w:link w:val="15"/>
    <w:qFormat/>
    <w:uiPriority w:val="0"/>
    <w:rPr>
      <w:rFonts w:ascii="Times New Roman" w:hAnsi="Times New Roman"/>
      <w:kern w:val="2"/>
      <w:sz w:val="21"/>
      <w:szCs w:val="24"/>
    </w:rPr>
  </w:style>
  <w:style w:type="character" w:customStyle="1" w:styleId="52">
    <w:name w:val="纯文本 字符3"/>
    <w:link w:val="18"/>
    <w:qFormat/>
    <w:uiPriority w:val="0"/>
    <w:rPr>
      <w:rFonts w:ascii="宋体" w:hAnsi="Courier New" w:eastAsia="宋体" w:cs="Courier New"/>
      <w:szCs w:val="21"/>
    </w:rPr>
  </w:style>
  <w:style w:type="character" w:customStyle="1" w:styleId="53">
    <w:name w:val="日期 字符"/>
    <w:link w:val="19"/>
    <w:semiHidden/>
    <w:qFormat/>
    <w:uiPriority w:val="99"/>
    <w:rPr>
      <w:rFonts w:ascii="Times New Roman" w:hAnsi="Times New Roman"/>
      <w:kern w:val="2"/>
      <w:sz w:val="21"/>
      <w:szCs w:val="24"/>
    </w:rPr>
  </w:style>
  <w:style w:type="character" w:customStyle="1" w:styleId="54">
    <w:name w:val="页脚 字符"/>
    <w:link w:val="21"/>
    <w:qFormat/>
    <w:uiPriority w:val="99"/>
    <w:rPr>
      <w:sz w:val="18"/>
      <w:szCs w:val="18"/>
    </w:rPr>
  </w:style>
  <w:style w:type="character" w:customStyle="1" w:styleId="55">
    <w:name w:val="页眉 字符"/>
    <w:link w:val="22"/>
    <w:qFormat/>
    <w:uiPriority w:val="99"/>
    <w:rPr>
      <w:sz w:val="18"/>
      <w:szCs w:val="18"/>
    </w:rPr>
  </w:style>
  <w:style w:type="character" w:customStyle="1" w:styleId="56">
    <w:name w:val="批注主题 字符"/>
    <w:link w:val="29"/>
    <w:qFormat/>
    <w:uiPriority w:val="99"/>
    <w:rPr>
      <w:rFonts w:ascii="Times New Roman" w:hAnsi="Times New Roman"/>
      <w:b/>
      <w:bCs/>
      <w:kern w:val="2"/>
      <w:sz w:val="21"/>
      <w:szCs w:val="24"/>
    </w:rPr>
  </w:style>
  <w:style w:type="paragraph" w:customStyle="1" w:styleId="57">
    <w:name w:val="正文首行缩进 21"/>
    <w:basedOn w:val="58"/>
    <w:qFormat/>
    <w:uiPriority w:val="0"/>
    <w:pPr>
      <w:ind w:firstLine="482"/>
      <w:jc w:val="left"/>
    </w:pPr>
    <w:rPr>
      <w:rFonts w:ascii="仿宋_GB2312" w:hAnsi="仿宋_GB2312" w:eastAsia="仿宋_GB2312" w:cs="仿宋_GB2312"/>
      <w:b/>
      <w:bCs/>
      <w:sz w:val="24"/>
    </w:rPr>
  </w:style>
  <w:style w:type="paragraph" w:customStyle="1" w:styleId="58">
    <w:name w:val="正文文本缩进1"/>
    <w:basedOn w:val="1"/>
    <w:next w:val="59"/>
    <w:qFormat/>
    <w:uiPriority w:val="0"/>
    <w:pPr>
      <w:spacing w:line="500" w:lineRule="exact"/>
      <w:ind w:firstLine="200" w:firstLineChars="200"/>
    </w:pPr>
  </w:style>
  <w:style w:type="paragraph" w:customStyle="1" w:styleId="59">
    <w:name w:val="Body Text First Indent 21"/>
    <w:basedOn w:val="60"/>
    <w:qFormat/>
    <w:uiPriority w:val="0"/>
    <w:pPr>
      <w:widowControl/>
    </w:pPr>
    <w:rPr>
      <w:szCs w:val="20"/>
    </w:rPr>
  </w:style>
  <w:style w:type="paragraph" w:customStyle="1" w:styleId="60">
    <w:name w:val="Body Text Indent1"/>
    <w:basedOn w:val="1"/>
    <w:qFormat/>
    <w:uiPriority w:val="0"/>
    <w:pPr>
      <w:spacing w:line="500" w:lineRule="exact"/>
      <w:ind w:firstLine="200" w:firstLineChars="200"/>
    </w:pPr>
  </w:style>
  <w:style w:type="character" w:customStyle="1" w:styleId="61">
    <w:name w:val="纯文本 字符2"/>
    <w:qFormat/>
    <w:uiPriority w:val="0"/>
    <w:rPr>
      <w:rFonts w:ascii="宋体" w:hAnsi="Courier New" w:eastAsia="宋体" w:cs="Courier New"/>
      <w:szCs w:val="21"/>
    </w:rPr>
  </w:style>
  <w:style w:type="character" w:customStyle="1" w:styleId="62">
    <w:name w:val="apple-style-span"/>
    <w:qFormat/>
    <w:uiPriority w:val="0"/>
  </w:style>
  <w:style w:type="character" w:customStyle="1" w:styleId="63">
    <w:name w:val="标题 2 Char"/>
    <w:qFormat/>
    <w:uiPriority w:val="9"/>
    <w:rPr>
      <w:rFonts w:ascii="Cambria" w:hAnsi="Cambria" w:eastAsia="宋体" w:cs="Times New Roman"/>
      <w:b/>
      <w:bCs/>
      <w:kern w:val="2"/>
      <w:sz w:val="32"/>
      <w:szCs w:val="32"/>
    </w:rPr>
  </w:style>
  <w:style w:type="character" w:customStyle="1" w:styleId="64">
    <w:name w:val="纯文本 字符"/>
    <w:qFormat/>
    <w:uiPriority w:val="0"/>
    <w:rPr>
      <w:rFonts w:ascii="宋体" w:hAnsi="Courier New" w:eastAsia="宋体" w:cs="Courier New"/>
      <w:szCs w:val="21"/>
    </w:rPr>
  </w:style>
  <w:style w:type="character" w:customStyle="1" w:styleId="65">
    <w:name w:val="纯文本 字符1"/>
    <w:qFormat/>
    <w:uiPriority w:val="0"/>
    <w:rPr>
      <w:rFonts w:ascii="宋体" w:hAnsi="Courier New"/>
    </w:rPr>
  </w:style>
  <w:style w:type="character" w:customStyle="1" w:styleId="66">
    <w:name w:val="标题 8 Char"/>
    <w:qFormat/>
    <w:uiPriority w:val="0"/>
    <w:rPr>
      <w:rFonts w:ascii="Arial" w:hAnsi="Arial" w:eastAsia="黑体"/>
      <w:kern w:val="2"/>
      <w:sz w:val="24"/>
      <w:szCs w:val="24"/>
    </w:rPr>
  </w:style>
  <w:style w:type="character" w:customStyle="1" w:styleId="67">
    <w:name w:val="纯文本 Char"/>
    <w:qFormat/>
    <w:uiPriority w:val="0"/>
    <w:rPr>
      <w:rFonts w:ascii="宋体" w:hAnsi="Courier New" w:eastAsia="宋体" w:cs="Courier New"/>
      <w:szCs w:val="21"/>
    </w:rPr>
  </w:style>
  <w:style w:type="character" w:customStyle="1" w:styleId="68">
    <w:name w:val="正文文本 Char"/>
    <w:qFormat/>
    <w:uiPriority w:val="99"/>
    <w:rPr>
      <w:rFonts w:ascii="Times New Roman" w:hAnsi="Times New Roman"/>
      <w:kern w:val="2"/>
      <w:sz w:val="21"/>
      <w:szCs w:val="24"/>
    </w:rPr>
  </w:style>
  <w:style w:type="character" w:customStyle="1" w:styleId="69">
    <w:name w:val="批注文字 字符1"/>
    <w:qFormat/>
    <w:uiPriority w:val="0"/>
    <w:rPr>
      <w:rFonts w:ascii="Times New Roman" w:hAnsi="Times New Roman"/>
      <w:kern w:val="2"/>
      <w:sz w:val="21"/>
      <w:szCs w:val="24"/>
    </w:rPr>
  </w:style>
  <w:style w:type="character" w:customStyle="1" w:styleId="7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标题 1 字符1"/>
    <w:qFormat/>
    <w:uiPriority w:val="0"/>
    <w:rPr>
      <w:b/>
      <w:bCs/>
      <w:kern w:val="44"/>
      <w:sz w:val="44"/>
      <w:szCs w:val="44"/>
    </w:rPr>
  </w:style>
  <w:style w:type="character" w:customStyle="1" w:styleId="72">
    <w:name w:val="正文文本 字符"/>
    <w:qFormat/>
    <w:uiPriority w:val="0"/>
    <w:rPr>
      <w:rFonts w:ascii="Times New Roman" w:hAnsi="Times New Roman"/>
      <w:kern w:val="2"/>
      <w:sz w:val="21"/>
      <w:szCs w:val="24"/>
    </w:rPr>
  </w:style>
  <w:style w:type="character" w:customStyle="1" w:styleId="73">
    <w:name w:val="批注文字 字符"/>
    <w:qFormat/>
    <w:uiPriority w:val="0"/>
    <w:rPr>
      <w:rFonts w:ascii="Times New Roman" w:hAnsi="Times New Roman"/>
      <w:kern w:val="2"/>
      <w:sz w:val="21"/>
      <w:szCs w:val="24"/>
    </w:rPr>
  </w:style>
  <w:style w:type="character" w:customStyle="1" w:styleId="74">
    <w:name w:val="textcontents"/>
    <w:qFormat/>
    <w:uiPriority w:val="0"/>
  </w:style>
  <w:style w:type="character" w:customStyle="1" w:styleId="75">
    <w:name w:val="批注文字 Char"/>
    <w:qFormat/>
    <w:uiPriority w:val="0"/>
    <w:rPr>
      <w:rFonts w:ascii="Times New Roman" w:hAnsi="Times New Roman"/>
      <w:kern w:val="2"/>
      <w:sz w:val="21"/>
      <w:szCs w:val="24"/>
    </w:rPr>
  </w:style>
  <w:style w:type="paragraph" w:customStyle="1" w:styleId="7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7">
    <w:name w:val="List Paragraph"/>
    <w:basedOn w:val="1"/>
    <w:qFormat/>
    <w:uiPriority w:val="34"/>
    <w:pPr>
      <w:ind w:firstLine="420" w:firstLineChars="200"/>
    </w:pPr>
  </w:style>
  <w:style w:type="paragraph" w:customStyle="1" w:styleId="78">
    <w:name w:val="默认段落字体 Para Char Char Char Char Char Char Char Char Char1 Char Char Char Char"/>
    <w:basedOn w:val="1"/>
    <w:qFormat/>
    <w:uiPriority w:val="0"/>
    <w:rPr>
      <w:rFonts w:ascii="Tahoma" w:hAnsi="Tahoma"/>
      <w:sz w:val="24"/>
      <w:szCs w:val="20"/>
    </w:rPr>
  </w:style>
  <w:style w:type="paragraph" w:customStyle="1" w:styleId="79">
    <w:name w:val="Table Paragraph"/>
    <w:basedOn w:val="1"/>
    <w:qFormat/>
    <w:uiPriority w:val="1"/>
    <w:pPr>
      <w:jc w:val="left"/>
    </w:pPr>
    <w:rPr>
      <w:rFonts w:ascii="Calibri" w:hAnsi="Calibri"/>
      <w:kern w:val="0"/>
      <w:sz w:val="22"/>
      <w:szCs w:val="22"/>
      <w:lang w:eastAsia="en-US"/>
    </w:rPr>
  </w:style>
  <w:style w:type="paragraph" w:customStyle="1" w:styleId="80">
    <w:name w:val="Char Char Char Char"/>
    <w:basedOn w:val="1"/>
    <w:qFormat/>
    <w:uiPriority w:val="0"/>
    <w:pPr>
      <w:widowControl/>
      <w:spacing w:after="160" w:line="240" w:lineRule="exact"/>
      <w:jc w:val="left"/>
    </w:pPr>
  </w:style>
  <w:style w:type="character" w:customStyle="1" w:styleId="81">
    <w:name w:val="_Style 77"/>
    <w:unhideWhenUsed/>
    <w:qFormat/>
    <w:uiPriority w:val="99"/>
    <w:rPr>
      <w:color w:val="605E5C"/>
      <w:shd w:val="clear" w:color="auto" w:fill="E1DFDD"/>
    </w:rPr>
  </w:style>
  <w:style w:type="paragraph" w:customStyle="1" w:styleId="82">
    <w:name w:val="_Style 78"/>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83">
    <w:name w:val="正文2 Char Char"/>
    <w:link w:val="84"/>
    <w:qFormat/>
    <w:uiPriority w:val="0"/>
    <w:rPr>
      <w:sz w:val="24"/>
    </w:rPr>
  </w:style>
  <w:style w:type="paragraph" w:customStyle="1" w:styleId="84">
    <w:name w:val="正文2"/>
    <w:basedOn w:val="1"/>
    <w:link w:val="83"/>
    <w:qFormat/>
    <w:uiPriority w:val="0"/>
    <w:pPr>
      <w:adjustRightInd w:val="0"/>
      <w:spacing w:before="156" w:line="360" w:lineRule="auto"/>
      <w:ind w:firstLine="510" w:firstLineChars="200"/>
    </w:pPr>
    <w:rPr>
      <w:kern w:val="0"/>
      <w:sz w:val="24"/>
      <w:szCs w:val="20"/>
    </w:rPr>
  </w:style>
  <w:style w:type="paragraph" w:customStyle="1" w:styleId="8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6">
    <w:name w:val="正文缩进1"/>
    <w:basedOn w:val="1"/>
    <w:next w:val="8"/>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7">
    <w:name w:val="1"/>
    <w:basedOn w:val="1"/>
    <w:next w:val="18"/>
    <w:qFormat/>
    <w:uiPriority w:val="0"/>
    <w:rPr>
      <w:rFonts w:ascii="宋体" w:hAnsi="Courier New"/>
      <w:szCs w:val="20"/>
    </w:rPr>
  </w:style>
  <w:style w:type="paragraph" w:customStyle="1" w:styleId="88">
    <w:name w:val="_Style 84"/>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方案正文"/>
    <w:basedOn w:val="1"/>
    <w:next w:val="1"/>
    <w:link w:val="90"/>
    <w:qFormat/>
    <w:uiPriority w:val="0"/>
    <w:pPr>
      <w:spacing w:line="360" w:lineRule="auto"/>
      <w:ind w:firstLine="420"/>
    </w:pPr>
    <w:rPr>
      <w:rFonts w:ascii="Calibri" w:hAnsi="Calibri" w:cs="Calibri"/>
      <w:sz w:val="22"/>
      <w:szCs w:val="18"/>
    </w:rPr>
  </w:style>
  <w:style w:type="character" w:customStyle="1" w:styleId="90">
    <w:name w:val="方案正文 字符"/>
    <w:link w:val="89"/>
    <w:qFormat/>
    <w:uiPriority w:val="0"/>
    <w:rPr>
      <w:rFonts w:ascii="Calibri" w:hAnsi="Calibri" w:cs="Calibri"/>
      <w:kern w:val="2"/>
      <w:sz w:val="22"/>
      <w:szCs w:val="18"/>
    </w:rPr>
  </w:style>
  <w:style w:type="paragraph" w:customStyle="1" w:styleId="91">
    <w:name w:val="正文一"/>
    <w:basedOn w:val="1"/>
    <w:qFormat/>
    <w:uiPriority w:val="0"/>
    <w:pPr>
      <w:widowControl/>
      <w:spacing w:before="120" w:after="120" w:line="360" w:lineRule="auto"/>
      <w:jc w:val="left"/>
    </w:pPr>
    <w:rPr>
      <w:rFonts w:cs="宋体"/>
      <w:kern w:val="0"/>
      <w:szCs w:val="21"/>
    </w:rPr>
  </w:style>
  <w:style w:type="character" w:customStyle="1" w:styleId="92">
    <w:name w:val="15"/>
    <w:qFormat/>
    <w:uiPriority w:val="0"/>
    <w:rPr>
      <w:rFonts w:hint="default" w:ascii="Times New Roman" w:hAnsi="Times New Roman" w:cs="Times New Roman"/>
      <w:color w:val="0000FF"/>
      <w:u w:val="single"/>
    </w:rPr>
  </w:style>
  <w:style w:type="character" w:customStyle="1" w:styleId="93">
    <w:name w:val="font11"/>
    <w:qFormat/>
    <w:uiPriority w:val="0"/>
    <w:rPr>
      <w:rFonts w:hint="eastAsia" w:ascii="宋体" w:hAnsi="宋体" w:eastAsia="宋体" w:cs="宋体"/>
      <w:color w:val="000000"/>
      <w:sz w:val="21"/>
      <w:szCs w:val="21"/>
      <w:u w:val="none"/>
    </w:rPr>
  </w:style>
  <w:style w:type="paragraph" w:customStyle="1" w:styleId="94">
    <w:name w:val="表格文字"/>
    <w:basedOn w:val="1"/>
    <w:qFormat/>
    <w:uiPriority w:val="0"/>
    <w:pPr>
      <w:adjustRightInd w:val="0"/>
      <w:spacing w:line="420" w:lineRule="atLeast"/>
      <w:jc w:val="left"/>
      <w:textAlignment w:val="baseline"/>
    </w:pPr>
    <w:rPr>
      <w:kern w:val="0"/>
    </w:rPr>
  </w:style>
  <w:style w:type="paragraph" w:customStyle="1" w:styleId="95">
    <w:name w:val="NOTE_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xxc\E:\Users\yunchen\Library\Containers\com.kingsoft.wpsoffice.mac\Data\D:\Users\yunchen\Library\Containers\com.kingsoft.wpsoffice.mac\Data\C:\Users\MI\Documents\WeChat%20Files\wxid_z78t6njrdkcy22\FileStorage\File\2024-11\11.8&#31454;&#20105;&#24615;&#30923;&#21830;&#25991;&#20214;-&#25919;&#21153;&#25968;&#25454;&#27835;&#29702;&#19987;&#39033;&#26381;&#21153;-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11.8竞争性磋商文件-政务数据治理专项服务-1120.dot</Template>
  <Pages>90</Pages>
  <Words>3748</Words>
  <Characters>4115</Characters>
  <Lines>433</Lines>
  <Paragraphs>122</Paragraphs>
  <TotalTime>25</TotalTime>
  <ScaleCrop>false</ScaleCrop>
  <LinksUpToDate>false</LinksUpToDate>
  <CharactersWithSpaces>4196</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2024-11-21T18:33:00Z</dcterms:created>
  <dc:creator>Steven</dc:creator>
  <cp:lastModifiedBy>作者</cp:lastModifiedBy>
  <cp:lastPrinted>2025-10-13T18:26:00Z</cp:lastPrinted>
  <dcterms:modified xsi:type="dcterms:W3CDTF">2025-11-14T02:00:10Z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2CCEA9D5552E4DEA90AD62AEF6199DF8_13</vt:lpwstr>
  </property>
  <property fmtid="{D5CDD505-2E9C-101B-9397-08002B2CF9AE}" pid="4" name="KSOTemplateDocerSaveRecord">
    <vt:lpwstr>eyJoZGlkIjoiNDBmMzVmY2I4YzE1NGQ1NDAwNzg2OGEzYmZmZmFhZjYiLCJ1c2VySWQiOiIyNzEyMTg0NDQifQ==</vt:lpwstr>
  </property>
</Properties>
</file>