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E3CAE">
      <w:pPr>
        <w:spacing w:before="165" w:beforeLines="50" w:line="360" w:lineRule="auto"/>
        <w:jc w:val="center"/>
        <w:rPr>
          <w:rFonts w:ascii="宋体" w:hAnsi="宋体" w:cs="宋体"/>
          <w:color w:val="auto"/>
          <w:sz w:val="52"/>
          <w:szCs w:val="52"/>
          <w:highlight w:val="none"/>
        </w:rPr>
      </w:pPr>
      <w:r>
        <w:rPr>
          <w:rFonts w:hint="eastAsia" w:ascii="宋体" w:hAnsi="宋体" w:cs="宋体"/>
          <w:color w:val="auto"/>
          <w:sz w:val="52"/>
          <w:szCs w:val="52"/>
          <w:highlight w:val="none"/>
          <w:lang w:val="en-US" w:eastAsia="zh-CN"/>
        </w:rPr>
        <w:t>防城港市上思县</w:t>
      </w:r>
      <w:r>
        <w:rPr>
          <w:rFonts w:hint="eastAsia" w:ascii="宋体" w:hAnsi="宋体" w:cs="宋体"/>
          <w:color w:val="auto"/>
          <w:sz w:val="52"/>
          <w:szCs w:val="52"/>
          <w:highlight w:val="none"/>
        </w:rPr>
        <w:t>政府采购</w:t>
      </w:r>
    </w:p>
    <w:p w14:paraId="17CBF4FC">
      <w:pPr>
        <w:spacing w:before="165" w:beforeLines="50" w:line="360" w:lineRule="auto"/>
        <w:jc w:val="center"/>
        <w:rPr>
          <w:rFonts w:ascii="宋体" w:hAnsi="宋体" w:cs="宋体"/>
          <w:color w:val="auto"/>
          <w:sz w:val="36"/>
          <w:szCs w:val="36"/>
          <w:highlight w:val="none"/>
        </w:rPr>
      </w:pPr>
    </w:p>
    <w:p w14:paraId="42B44E4A">
      <w:pPr>
        <w:snapToGrid w:val="0"/>
        <w:spacing w:before="165" w:beforeLines="50" w:line="360" w:lineRule="auto"/>
        <w:jc w:val="center"/>
        <w:rPr>
          <w:rFonts w:ascii="宋体" w:hAnsi="宋体" w:cs="宋体"/>
          <w:color w:val="auto"/>
          <w:sz w:val="44"/>
          <w:szCs w:val="44"/>
          <w:highlight w:val="none"/>
        </w:rPr>
      </w:pPr>
      <w:r>
        <w:rPr>
          <w:rFonts w:hint="eastAsia" w:ascii="宋体" w:hAnsi="宋体" w:cs="宋体"/>
          <w:color w:val="auto"/>
          <w:sz w:val="72"/>
          <w:szCs w:val="72"/>
          <w:highlight w:val="none"/>
        </w:rPr>
        <w:t>竞争性磋商文件</w:t>
      </w:r>
    </w:p>
    <w:p w14:paraId="76F70EBB">
      <w:pPr>
        <w:spacing w:before="331" w:beforeLines="100" w:after="165" w:afterLines="50" w:line="360" w:lineRule="auto"/>
        <w:jc w:val="center"/>
        <w:rPr>
          <w:rFonts w:ascii="宋体" w:hAnsi="宋体" w:cs="宋体"/>
          <w:color w:val="auto"/>
          <w:szCs w:val="21"/>
          <w:highlight w:val="none"/>
        </w:rPr>
      </w:pPr>
      <w:r>
        <w:rPr>
          <w:rFonts w:hint="eastAsia" w:ascii="宋体" w:hAnsi="宋体" w:cs="宋体"/>
          <w:color w:val="auto"/>
          <w:szCs w:val="21"/>
          <w:highlight w:val="none"/>
        </w:rPr>
        <w:t>（全流程电子化评标）</w:t>
      </w:r>
    </w:p>
    <w:p w14:paraId="00ACE4CA">
      <w:pPr>
        <w:spacing w:line="360" w:lineRule="auto"/>
        <w:rPr>
          <w:rFonts w:ascii="宋体" w:hAnsi="宋体" w:cs="宋体"/>
          <w:b/>
          <w:color w:val="auto"/>
          <w:sz w:val="32"/>
          <w:szCs w:val="32"/>
          <w:highlight w:val="none"/>
        </w:rPr>
      </w:pPr>
    </w:p>
    <w:p w14:paraId="3FEC3126">
      <w:pPr>
        <w:spacing w:line="360" w:lineRule="auto"/>
        <w:jc w:val="center"/>
        <w:rPr>
          <w:rFonts w:ascii="宋体" w:hAnsi="宋体" w:cs="宋体"/>
          <w:b/>
          <w:color w:val="auto"/>
          <w:sz w:val="32"/>
          <w:szCs w:val="32"/>
          <w:highlight w:val="none"/>
        </w:rPr>
      </w:pPr>
    </w:p>
    <w:p w14:paraId="4C027CE0">
      <w:pPr>
        <w:pStyle w:val="15"/>
        <w:snapToGrid w:val="0"/>
        <w:spacing w:before="50" w:after="120" w:line="360" w:lineRule="auto"/>
        <w:ind w:left="3295" w:leftChars="852" w:hanging="1506" w:hangingChars="500"/>
        <w:rPr>
          <w:rFonts w:hint="eastAsia" w:hAnsi="宋体" w:eastAsia="宋体" w:cs="宋体"/>
          <w:b/>
          <w:bCs/>
          <w:color w:val="auto"/>
          <w:sz w:val="30"/>
          <w:szCs w:val="30"/>
          <w:highlight w:val="none"/>
          <w:lang w:eastAsia="zh-CN"/>
        </w:rPr>
      </w:pPr>
      <w:r>
        <w:rPr>
          <w:rFonts w:hint="eastAsia" w:hAnsi="宋体" w:cs="宋体"/>
          <w:b/>
          <w:bCs/>
          <w:color w:val="auto"/>
          <w:sz w:val="30"/>
          <w:szCs w:val="30"/>
          <w:highlight w:val="none"/>
        </w:rPr>
        <w:t>项目名称：</w:t>
      </w:r>
      <w:r>
        <w:rPr>
          <w:rFonts w:hint="eastAsia" w:hAnsi="宋体" w:cs="宋体"/>
          <w:b/>
          <w:bCs/>
          <w:color w:val="auto"/>
          <w:sz w:val="30"/>
          <w:szCs w:val="30"/>
          <w:highlight w:val="none"/>
          <w:lang w:eastAsia="zh-CN"/>
        </w:rPr>
        <w:t>2025年公正乡信良村道路硬化项目</w:t>
      </w:r>
    </w:p>
    <w:p w14:paraId="575086AF">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0" w:name="_Toc7308"/>
      <w:bookmarkStart w:id="1" w:name="_Toc681"/>
      <w:r>
        <w:rPr>
          <w:rFonts w:hint="eastAsia" w:hAnsi="宋体" w:cs="宋体"/>
          <w:b/>
          <w:bCs/>
          <w:color w:val="auto"/>
          <w:sz w:val="30"/>
          <w:szCs w:val="30"/>
          <w:highlight w:val="none"/>
        </w:rPr>
        <w:t>项目编号：</w:t>
      </w:r>
      <w:bookmarkEnd w:id="0"/>
      <w:bookmarkEnd w:id="1"/>
      <w:r>
        <w:rPr>
          <w:rFonts w:hint="eastAsia" w:hAnsi="宋体" w:cs="宋体"/>
          <w:b/>
          <w:bCs/>
          <w:color w:val="auto"/>
          <w:sz w:val="30"/>
          <w:szCs w:val="30"/>
          <w:highlight w:val="none"/>
        </w:rPr>
        <w:fldChar w:fldCharType="begin"/>
      </w:r>
      <w:r>
        <w:rPr>
          <w:rFonts w:hint="eastAsia" w:hAnsi="宋体" w:cs="宋体"/>
          <w:b/>
          <w:bCs/>
          <w:color w:val="auto"/>
          <w:sz w:val="30"/>
          <w:szCs w:val="30"/>
          <w:highlight w:val="none"/>
        </w:rPr>
        <w:instrText xml:space="preserve"> HYPERLINK "https://www.gcy.zfcg.gxzf.gov.cn/gaea/api/project/flow/redirect?projectId=7228424328079736838&amp;newUrl=https://www.gcy.zfcg.gxzf.gov.cn/micro-app-back-index/blank?_flow_type_=agency&amp;_flow_projectId_=7228424328079736838&amp;_jump_page_type_=project_procurement_management_flow&amp;_app_=zcy.procurement&amp;oldUrl=https://www.gcy.zfcg.gxzf.gov.cn/project-center/_procurement_/project-result-detail/7228424328079736838" \t "https://www.gcy.zfcg.gxzf.gov.cn/project-center/_procurement_/self-project/_blank" </w:instrText>
      </w:r>
      <w:r>
        <w:rPr>
          <w:rFonts w:hint="eastAsia" w:hAnsi="宋体" w:cs="宋体"/>
          <w:b/>
          <w:bCs/>
          <w:color w:val="auto"/>
          <w:sz w:val="30"/>
          <w:szCs w:val="30"/>
          <w:highlight w:val="none"/>
        </w:rPr>
        <w:fldChar w:fldCharType="separate"/>
      </w:r>
      <w:r>
        <w:rPr>
          <w:rFonts w:hint="eastAsia" w:hAnsi="宋体" w:cs="宋体"/>
          <w:b/>
          <w:bCs/>
          <w:color w:val="auto"/>
          <w:sz w:val="30"/>
          <w:szCs w:val="30"/>
          <w:highlight w:val="none"/>
          <w:lang w:eastAsia="zh-CN"/>
        </w:rPr>
        <w:t>FCZC2025-C2-210122-GXZZ</w:t>
      </w:r>
      <w:r>
        <w:rPr>
          <w:rFonts w:hint="eastAsia" w:hAnsi="宋体" w:cs="宋体"/>
          <w:b/>
          <w:bCs/>
          <w:color w:val="auto"/>
          <w:sz w:val="30"/>
          <w:szCs w:val="30"/>
          <w:highlight w:val="none"/>
        </w:rPr>
        <w:fldChar w:fldCharType="end"/>
      </w:r>
    </w:p>
    <w:p w14:paraId="5439C2E3">
      <w:pPr>
        <w:pStyle w:val="15"/>
        <w:snapToGrid w:val="0"/>
        <w:spacing w:before="50" w:after="120" w:line="360" w:lineRule="auto"/>
        <w:ind w:firstLine="1783" w:firstLineChars="592"/>
        <w:outlineLvl w:val="0"/>
        <w:rPr>
          <w:rFonts w:hint="eastAsia" w:hAnsi="宋体" w:eastAsia="宋体" w:cs="宋体"/>
          <w:b/>
          <w:bCs/>
          <w:color w:val="auto"/>
          <w:sz w:val="30"/>
          <w:szCs w:val="30"/>
          <w:highlight w:val="none"/>
          <w:lang w:eastAsia="zh-CN"/>
        </w:rPr>
      </w:pPr>
      <w:bookmarkStart w:id="2" w:name="_Toc31224"/>
      <w:bookmarkStart w:id="3" w:name="_Toc23882"/>
      <w:r>
        <w:rPr>
          <w:rFonts w:hint="eastAsia" w:hAnsi="宋体" w:cs="宋体"/>
          <w:b/>
          <w:bCs/>
          <w:color w:val="auto"/>
          <w:sz w:val="30"/>
          <w:szCs w:val="30"/>
          <w:highlight w:val="none"/>
        </w:rPr>
        <w:t>采购文号：</w:t>
      </w:r>
      <w:bookmarkEnd w:id="2"/>
      <w:bookmarkEnd w:id="3"/>
      <w:r>
        <w:rPr>
          <w:rFonts w:hint="eastAsia" w:hAnsi="宋体" w:cs="宋体"/>
          <w:b/>
          <w:bCs/>
          <w:color w:val="auto"/>
          <w:sz w:val="30"/>
          <w:szCs w:val="30"/>
          <w:highlight w:val="none"/>
        </w:rPr>
        <w:t>SSZC2025-C2-01206</w:t>
      </w:r>
    </w:p>
    <w:p w14:paraId="689DF322">
      <w:pPr>
        <w:pStyle w:val="15"/>
        <w:snapToGrid w:val="0"/>
        <w:spacing w:before="50" w:after="120" w:line="360" w:lineRule="auto"/>
        <w:ind w:firstLine="1783" w:firstLineChars="592"/>
        <w:rPr>
          <w:rFonts w:hAnsi="宋体" w:cs="宋体"/>
          <w:b/>
          <w:bCs/>
          <w:color w:val="auto"/>
          <w:sz w:val="30"/>
          <w:szCs w:val="30"/>
          <w:highlight w:val="none"/>
        </w:rPr>
      </w:pPr>
      <w:r>
        <w:rPr>
          <w:rFonts w:hint="eastAsia" w:hAnsi="宋体" w:cs="宋体"/>
          <w:b/>
          <w:bCs/>
          <w:color w:val="auto"/>
          <w:sz w:val="30"/>
          <w:szCs w:val="30"/>
          <w:highlight w:val="none"/>
        </w:rPr>
        <w:t>项目所属区划：</w:t>
      </w:r>
      <w:r>
        <w:rPr>
          <w:rFonts w:hint="eastAsia" w:hAnsi="宋体" w:cs="宋体"/>
          <w:b/>
          <w:bCs/>
          <w:color w:val="auto"/>
          <w:sz w:val="30"/>
          <w:szCs w:val="30"/>
          <w:highlight w:val="none"/>
          <w:lang w:val="en-US" w:eastAsia="zh-CN"/>
        </w:rPr>
        <w:t>防城港市上思县</w:t>
      </w:r>
      <w:r>
        <w:rPr>
          <w:rFonts w:hint="eastAsia" w:hAnsi="宋体" w:cs="宋体"/>
          <w:b/>
          <w:bCs/>
          <w:color w:val="auto"/>
          <w:sz w:val="30"/>
          <w:szCs w:val="30"/>
          <w:highlight w:val="none"/>
        </w:rPr>
        <w:t xml:space="preserve">   </w:t>
      </w:r>
    </w:p>
    <w:p w14:paraId="509F531A">
      <w:pPr>
        <w:pStyle w:val="15"/>
        <w:snapToGrid w:val="0"/>
        <w:spacing w:before="50" w:after="120" w:line="360" w:lineRule="auto"/>
        <w:ind w:left="3310" w:leftChars="852" w:hanging="1521" w:hangingChars="505"/>
        <w:outlineLvl w:val="0"/>
        <w:rPr>
          <w:rFonts w:hint="eastAsia" w:hAnsi="宋体" w:eastAsia="宋体" w:cs="宋体"/>
          <w:b/>
          <w:bCs/>
          <w:color w:val="auto"/>
          <w:sz w:val="30"/>
          <w:szCs w:val="30"/>
          <w:highlight w:val="none"/>
          <w:lang w:eastAsia="zh-CN"/>
        </w:rPr>
      </w:pPr>
      <w:bookmarkStart w:id="4" w:name="_Toc19676"/>
      <w:bookmarkStart w:id="5" w:name="_Toc26813"/>
      <w:r>
        <w:rPr>
          <w:rFonts w:hint="eastAsia" w:hAnsi="宋体" w:cs="宋体"/>
          <w:b/>
          <w:bCs/>
          <w:color w:val="auto"/>
          <w:sz w:val="30"/>
          <w:szCs w:val="30"/>
          <w:highlight w:val="none"/>
        </w:rPr>
        <w:t>采 购 人：</w:t>
      </w:r>
      <w:bookmarkEnd w:id="4"/>
      <w:bookmarkEnd w:id="5"/>
      <w:bookmarkStart w:id="6" w:name="_Toc6082"/>
      <w:r>
        <w:rPr>
          <w:rFonts w:hint="eastAsia" w:hAnsi="宋体" w:cs="宋体"/>
          <w:b/>
          <w:bCs/>
          <w:color w:val="auto"/>
          <w:sz w:val="30"/>
          <w:szCs w:val="30"/>
          <w:highlight w:val="none"/>
          <w:lang w:eastAsia="zh-CN"/>
        </w:rPr>
        <w:t>上思县农业农村局</w:t>
      </w:r>
    </w:p>
    <w:p w14:paraId="2C3FB451">
      <w:pPr>
        <w:pStyle w:val="15"/>
        <w:snapToGrid w:val="0"/>
        <w:spacing w:before="50" w:after="120" w:line="360" w:lineRule="auto"/>
        <w:ind w:firstLine="1783" w:firstLineChars="592"/>
        <w:outlineLvl w:val="0"/>
        <w:rPr>
          <w:rFonts w:hint="eastAsia" w:hAnsi="宋体" w:eastAsia="宋体" w:cs="宋体"/>
          <w:b/>
          <w:bCs/>
          <w:color w:val="auto"/>
          <w:w w:val="95"/>
          <w:sz w:val="30"/>
          <w:szCs w:val="30"/>
          <w:highlight w:val="none"/>
          <w:lang w:eastAsia="zh-CN"/>
        </w:rPr>
      </w:pPr>
      <w:bookmarkStart w:id="7" w:name="_Toc5106"/>
      <w:r>
        <w:rPr>
          <w:rFonts w:hint="eastAsia" w:hAnsi="宋体" w:cs="宋体"/>
          <w:b/>
          <w:bCs/>
          <w:color w:val="auto"/>
          <w:sz w:val="30"/>
          <w:szCs w:val="30"/>
          <w:highlight w:val="none"/>
        </w:rPr>
        <w:t>采购代理机构：</w:t>
      </w:r>
      <w:bookmarkEnd w:id="6"/>
      <w:bookmarkEnd w:id="7"/>
      <w:r>
        <w:rPr>
          <w:rFonts w:hint="eastAsia" w:hAnsi="宋体" w:cs="宋体"/>
          <w:b/>
          <w:bCs/>
          <w:color w:val="auto"/>
          <w:sz w:val="30"/>
          <w:szCs w:val="30"/>
          <w:highlight w:val="none"/>
          <w:lang w:eastAsia="zh-CN"/>
        </w:rPr>
        <w:t>广西中泽诚信工程项目管理有限公司</w:t>
      </w:r>
    </w:p>
    <w:p w14:paraId="768277FC">
      <w:pPr>
        <w:pStyle w:val="15"/>
        <w:snapToGrid w:val="0"/>
        <w:spacing w:before="50" w:after="120" w:line="360" w:lineRule="auto"/>
        <w:jc w:val="center"/>
        <w:rPr>
          <w:rFonts w:hAnsi="宋体" w:cs="宋体"/>
          <w:b/>
          <w:bCs/>
          <w:color w:val="auto"/>
          <w:w w:val="95"/>
          <w:sz w:val="30"/>
          <w:szCs w:val="30"/>
          <w:highlight w:val="none"/>
        </w:rPr>
      </w:pPr>
      <w:r>
        <w:rPr>
          <w:rFonts w:hint="eastAsia" w:hAnsi="宋体" w:cs="宋体"/>
          <w:b/>
          <w:bCs/>
          <w:color w:val="auto"/>
          <w:w w:val="95"/>
          <w:sz w:val="30"/>
          <w:szCs w:val="30"/>
          <w:highlight w:val="none"/>
        </w:rPr>
        <w:t>202</w:t>
      </w:r>
      <w:r>
        <w:rPr>
          <w:rFonts w:hint="eastAsia" w:hAnsi="宋体" w:cs="宋体"/>
          <w:b/>
          <w:bCs/>
          <w:color w:val="auto"/>
          <w:w w:val="95"/>
          <w:sz w:val="30"/>
          <w:szCs w:val="30"/>
          <w:highlight w:val="none"/>
          <w:lang w:val="en-US" w:eastAsia="zh-CN"/>
        </w:rPr>
        <w:t>5</w:t>
      </w:r>
      <w:r>
        <w:rPr>
          <w:rFonts w:hint="eastAsia" w:hAnsi="宋体" w:cs="宋体"/>
          <w:b/>
          <w:bCs/>
          <w:color w:val="auto"/>
          <w:w w:val="95"/>
          <w:sz w:val="30"/>
          <w:szCs w:val="30"/>
          <w:highlight w:val="none"/>
        </w:rPr>
        <w:t>年</w:t>
      </w:r>
      <w:r>
        <w:rPr>
          <w:rFonts w:hint="eastAsia" w:hAnsi="宋体" w:cs="宋体"/>
          <w:b/>
          <w:bCs/>
          <w:color w:val="auto"/>
          <w:w w:val="95"/>
          <w:sz w:val="30"/>
          <w:szCs w:val="30"/>
          <w:highlight w:val="none"/>
          <w:lang w:val="en-US" w:eastAsia="zh-CN"/>
        </w:rPr>
        <w:t>11</w:t>
      </w:r>
      <w:r>
        <w:rPr>
          <w:rFonts w:hint="eastAsia" w:hAnsi="宋体" w:cs="宋体"/>
          <w:b/>
          <w:bCs/>
          <w:color w:val="auto"/>
          <w:w w:val="95"/>
          <w:sz w:val="30"/>
          <w:szCs w:val="30"/>
          <w:highlight w:val="none"/>
        </w:rPr>
        <w:t>月</w:t>
      </w:r>
      <w:r>
        <w:rPr>
          <w:rFonts w:hint="eastAsia" w:hAnsi="宋体" w:cs="宋体"/>
          <w:b/>
          <w:bCs/>
          <w:color w:val="auto"/>
          <w:w w:val="95"/>
          <w:sz w:val="30"/>
          <w:szCs w:val="30"/>
          <w:highlight w:val="none"/>
          <w:lang w:val="en-US" w:eastAsia="zh-CN"/>
        </w:rPr>
        <w:t>07</w:t>
      </w:r>
      <w:r>
        <w:rPr>
          <w:rFonts w:hint="eastAsia" w:hAnsi="宋体" w:cs="宋体"/>
          <w:b/>
          <w:bCs/>
          <w:color w:val="auto"/>
          <w:w w:val="95"/>
          <w:sz w:val="30"/>
          <w:szCs w:val="30"/>
          <w:highlight w:val="none"/>
        </w:rPr>
        <w:t>日</w:t>
      </w:r>
    </w:p>
    <w:p w14:paraId="6BB46A5A">
      <w:pPr>
        <w:widowControl/>
        <w:spacing w:line="360" w:lineRule="auto"/>
        <w:jc w:val="left"/>
        <w:rPr>
          <w:rFonts w:ascii="宋体" w:hAnsi="宋体" w:cs="宋体"/>
          <w:b/>
          <w:bCs/>
          <w:color w:val="auto"/>
          <w:w w:val="95"/>
          <w:kern w:val="0"/>
          <w:sz w:val="30"/>
          <w:szCs w:val="30"/>
          <w:highlight w:val="none"/>
        </w:rPr>
        <w:sectPr>
          <w:headerReference r:id="rId4" w:type="default"/>
          <w:pgSz w:w="11906" w:h="16838"/>
          <w:pgMar w:top="1134" w:right="1134" w:bottom="1134" w:left="1134" w:header="720" w:footer="720" w:gutter="0"/>
          <w:pgNumType w:start="1"/>
          <w:cols w:space="720" w:num="1"/>
          <w:docGrid w:type="lines" w:linePitch="331" w:charSpace="0"/>
        </w:sectPr>
      </w:pPr>
    </w:p>
    <w:p w14:paraId="4A4824DF">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目   录</w:t>
      </w:r>
    </w:p>
    <w:p w14:paraId="43BF2E23">
      <w:pPr>
        <w:spacing w:line="400" w:lineRule="exact"/>
        <w:jc w:val="center"/>
        <w:rPr>
          <w:rFonts w:ascii="宋体" w:hAnsi="宋体" w:cs="宋体"/>
          <w:b/>
          <w:color w:val="auto"/>
          <w:sz w:val="44"/>
          <w:szCs w:val="44"/>
          <w:highlight w:val="none"/>
        </w:rPr>
      </w:pPr>
    </w:p>
    <w:p w14:paraId="0B1E094E">
      <w:pPr>
        <w:pStyle w:val="20"/>
        <w:tabs>
          <w:tab w:val="right" w:leader="dot" w:pos="8879"/>
        </w:tabs>
        <w:rPr>
          <w:rFonts w:ascii="宋体" w:hAnsi="宋体" w:cs="宋体"/>
          <w:color w:val="auto"/>
          <w:highlight w:val="none"/>
        </w:rPr>
      </w:pPr>
      <w:r>
        <w:rPr>
          <w:rFonts w:hint="eastAsia" w:ascii="宋体" w:hAnsi="宋体" w:cs="宋体"/>
          <w:b/>
          <w:color w:val="auto"/>
          <w:sz w:val="30"/>
          <w:szCs w:val="30"/>
          <w:highlight w:val="none"/>
        </w:rPr>
        <w:fldChar w:fldCharType="begin"/>
      </w:r>
      <w:r>
        <w:rPr>
          <w:rFonts w:hint="eastAsia" w:ascii="宋体" w:hAnsi="宋体" w:cs="宋体"/>
          <w:b/>
          <w:color w:val="auto"/>
          <w:sz w:val="30"/>
          <w:szCs w:val="30"/>
          <w:highlight w:val="none"/>
        </w:rPr>
        <w:instrText xml:space="preserve"> TOC \o "1-3" \h \z \u </w:instrText>
      </w:r>
      <w:r>
        <w:rPr>
          <w:rFonts w:hint="eastAsia" w:ascii="宋体" w:hAnsi="宋体" w:cs="宋体"/>
          <w:b/>
          <w:color w:val="auto"/>
          <w:sz w:val="30"/>
          <w:szCs w:val="30"/>
          <w:highlight w:val="none"/>
        </w:rPr>
        <w:fldChar w:fldCharType="separate"/>
      </w:r>
    </w:p>
    <w:p w14:paraId="72DA96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"_Toc193" </w:instrText>
      </w:r>
      <w:r>
        <w:rPr>
          <w:color w:val="auto"/>
          <w:highlight w:val="none"/>
        </w:rPr>
        <w:fldChar w:fldCharType="separate"/>
      </w:r>
      <w:r>
        <w:rPr>
          <w:rFonts w:hint="eastAsia" w:ascii="宋体" w:hAnsi="宋体" w:cs="宋体"/>
          <w:color w:val="auto"/>
          <w:highlight w:val="none"/>
        </w:rPr>
        <w:t>第一章 竞争性磋商公告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 \h </w:instrText>
      </w:r>
      <w:r>
        <w:rPr>
          <w:rFonts w:hint="eastAsia" w:ascii="宋体" w:hAnsi="宋体" w:cs="宋体"/>
          <w:color w:val="auto"/>
          <w:highlight w:val="none"/>
        </w:rPr>
        <w:fldChar w:fldCharType="separate"/>
      </w:r>
      <w:r>
        <w:rPr>
          <w:rFonts w:hint="eastAsia" w:ascii="宋体" w:hAnsi="宋体" w:cs="宋体"/>
          <w:color w:val="auto"/>
          <w:highlight w:val="none"/>
        </w:rPr>
        <w:t>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5F5495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"_Toc10702" </w:instrText>
      </w:r>
      <w:r>
        <w:rPr>
          <w:color w:val="auto"/>
          <w:highlight w:val="none"/>
        </w:rPr>
        <w:fldChar w:fldCharType="separate"/>
      </w:r>
      <w:r>
        <w:rPr>
          <w:rFonts w:hint="eastAsia" w:ascii="宋体" w:hAnsi="宋体" w:cs="宋体"/>
          <w:color w:val="auto"/>
          <w:szCs w:val="32"/>
          <w:highlight w:val="none"/>
        </w:rPr>
        <w:t>第二章 采购需求</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_Toc10702 \h </w:instrText>
      </w:r>
      <w:r>
        <w:rPr>
          <w:rFonts w:hint="eastAsia" w:ascii="宋体" w:hAnsi="宋体" w:cs="宋体"/>
          <w:color w:val="auto"/>
          <w:highlight w:val="none"/>
        </w:rPr>
        <w:fldChar w:fldCharType="separate"/>
      </w:r>
      <w:r>
        <w:rPr>
          <w:rFonts w:hint="eastAsia" w:ascii="宋体" w:hAnsi="宋体" w:cs="宋体"/>
          <w:color w:val="auto"/>
          <w:highlight w:val="none"/>
        </w:rPr>
        <w:t>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9EC02DA">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"_Toc32550" </w:instrText>
      </w:r>
      <w:r>
        <w:rPr>
          <w:color w:val="auto"/>
          <w:highlight w:val="none"/>
        </w:rPr>
        <w:fldChar w:fldCharType="separate"/>
      </w:r>
      <w:r>
        <w:rPr>
          <w:rFonts w:hint="eastAsia" w:ascii="宋体" w:hAnsi="宋体" w:cs="宋体"/>
          <w:color w:val="auto"/>
          <w:szCs w:val="32"/>
          <w:highlight w:val="none"/>
        </w:rPr>
        <w:t>第三章 供应商须知</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_Toc32550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11EC1E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"_Toc28882" </w:instrText>
      </w:r>
      <w:r>
        <w:rPr>
          <w:color w:val="auto"/>
          <w:highlight w:val="none"/>
        </w:rPr>
        <w:fldChar w:fldCharType="separate"/>
      </w:r>
      <w:r>
        <w:rPr>
          <w:rFonts w:hint="eastAsia" w:ascii="宋体" w:hAnsi="宋体" w:cs="宋体"/>
          <w:color w:val="auto"/>
          <w:highlight w:val="none"/>
        </w:rPr>
        <w:t>第一节 供应商须知前附表</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_Toc28882 \h </w:instrText>
      </w:r>
      <w:r>
        <w:rPr>
          <w:rFonts w:hint="eastAsia" w:ascii="宋体" w:hAnsi="宋体" w:cs="宋体"/>
          <w:color w:val="auto"/>
          <w:highlight w:val="none"/>
        </w:rPr>
        <w:fldChar w:fldCharType="separate"/>
      </w:r>
      <w:r>
        <w:rPr>
          <w:rFonts w:hint="eastAsia" w:ascii="宋体" w:hAnsi="宋体" w:cs="宋体"/>
          <w:color w:val="auto"/>
          <w:highlight w:val="none"/>
        </w:rPr>
        <w:t>12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61C7133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"_Toc23846" </w:instrText>
      </w:r>
      <w:r>
        <w:rPr>
          <w:color w:val="auto"/>
          <w:highlight w:val="none"/>
        </w:rPr>
        <w:fldChar w:fldCharType="separate"/>
      </w:r>
      <w:r>
        <w:rPr>
          <w:rFonts w:hint="eastAsia" w:ascii="宋体" w:hAnsi="宋体" w:cs="宋体"/>
          <w:color w:val="auto"/>
          <w:highlight w:val="none"/>
        </w:rPr>
        <w:t>第二节 供应商须知正文</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_Toc23846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A092B7E">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"_Toc20691" </w:instrText>
      </w:r>
      <w:r>
        <w:rPr>
          <w:color w:val="auto"/>
          <w:highlight w:val="none"/>
        </w:rPr>
        <w:fldChar w:fldCharType="separate"/>
      </w:r>
      <w:r>
        <w:rPr>
          <w:rFonts w:hint="eastAsia" w:ascii="宋体" w:hAnsi="宋体" w:cs="宋体"/>
          <w:color w:val="auto"/>
          <w:highlight w:val="none"/>
        </w:rPr>
        <w:t>一、总则</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_Toc20691 \h </w:instrText>
      </w:r>
      <w:r>
        <w:rPr>
          <w:rFonts w:hint="eastAsia" w:ascii="宋体" w:hAnsi="宋体" w:cs="宋体"/>
          <w:color w:val="auto"/>
          <w:highlight w:val="none"/>
        </w:rPr>
        <w:fldChar w:fldCharType="separate"/>
      </w:r>
      <w:r>
        <w:rPr>
          <w:rFonts w:hint="eastAsia" w:ascii="宋体" w:hAnsi="宋体" w:cs="宋体"/>
          <w:color w:val="auto"/>
          <w:highlight w:val="none"/>
        </w:rPr>
        <w:t>17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A9B9B0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"_Toc5567" </w:instrText>
      </w:r>
      <w:r>
        <w:rPr>
          <w:color w:val="auto"/>
          <w:highlight w:val="none"/>
        </w:rPr>
        <w:fldChar w:fldCharType="separate"/>
      </w:r>
      <w:r>
        <w:rPr>
          <w:rFonts w:hint="eastAsia" w:ascii="宋体" w:hAnsi="宋体" w:cs="宋体"/>
          <w:color w:val="auto"/>
          <w:highlight w:val="none"/>
        </w:rPr>
        <w:t>二、磋商文件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_Toc5567 \h </w:instrText>
      </w:r>
      <w:r>
        <w:rPr>
          <w:rFonts w:hint="eastAsia" w:ascii="宋体" w:hAnsi="宋体" w:cs="宋体"/>
          <w:color w:val="auto"/>
          <w:highlight w:val="none"/>
        </w:rPr>
        <w:fldChar w:fldCharType="separate"/>
      </w:r>
      <w:r>
        <w:rPr>
          <w:rFonts w:hint="eastAsia" w:ascii="宋体" w:hAnsi="宋体" w:cs="宋体"/>
          <w:color w:val="auto"/>
          <w:highlight w:val="none"/>
        </w:rPr>
        <w:t>19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7BB95B0">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"_Toc18770" </w:instrText>
      </w:r>
      <w:r>
        <w:rPr>
          <w:color w:val="auto"/>
          <w:highlight w:val="none"/>
        </w:rPr>
        <w:fldChar w:fldCharType="separate"/>
      </w:r>
      <w:r>
        <w:rPr>
          <w:rFonts w:hint="eastAsia" w:ascii="宋体" w:hAnsi="宋体" w:cs="宋体"/>
          <w:color w:val="auto"/>
          <w:highlight w:val="none"/>
        </w:rPr>
        <w:t>三、响应文件的编制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_Toc18770 \h </w:instrText>
      </w:r>
      <w:r>
        <w:rPr>
          <w:rFonts w:hint="eastAsia" w:ascii="宋体" w:hAnsi="宋体" w:cs="宋体"/>
          <w:color w:val="auto"/>
          <w:highlight w:val="none"/>
        </w:rPr>
        <w:fldChar w:fldCharType="separate"/>
      </w:r>
      <w:r>
        <w:rPr>
          <w:rFonts w:hint="eastAsia" w:ascii="宋体" w:hAnsi="宋体" w:cs="宋体"/>
          <w:color w:val="auto"/>
          <w:highlight w:val="none"/>
        </w:rPr>
        <w:t>20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0DED84D">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"_Toc16642" </w:instrText>
      </w:r>
      <w:r>
        <w:rPr>
          <w:color w:val="auto"/>
          <w:highlight w:val="none"/>
        </w:rPr>
        <w:fldChar w:fldCharType="separate"/>
      </w:r>
      <w:r>
        <w:rPr>
          <w:rFonts w:hint="eastAsia" w:ascii="宋体" w:hAnsi="宋体" w:cs="宋体"/>
          <w:color w:val="auto"/>
          <w:highlight w:val="none"/>
        </w:rPr>
        <w:t>四、评审及磋商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_Toc16642 \h </w:instrText>
      </w:r>
      <w:r>
        <w:rPr>
          <w:rFonts w:hint="eastAsia" w:ascii="宋体" w:hAnsi="宋体" w:cs="宋体"/>
          <w:color w:val="auto"/>
          <w:highlight w:val="none"/>
        </w:rPr>
        <w:fldChar w:fldCharType="separate"/>
      </w:r>
      <w:r>
        <w:rPr>
          <w:rFonts w:hint="eastAsia" w:ascii="宋体" w:hAnsi="宋体" w:cs="宋体"/>
          <w:color w:val="auto"/>
          <w:highlight w:val="none"/>
        </w:rPr>
        <w:t>22</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FCA6433">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"_Toc5736" </w:instrText>
      </w:r>
      <w:r>
        <w:rPr>
          <w:color w:val="auto"/>
          <w:highlight w:val="none"/>
        </w:rPr>
        <w:fldChar w:fldCharType="separate"/>
      </w:r>
      <w:r>
        <w:rPr>
          <w:rFonts w:hint="eastAsia" w:ascii="宋体" w:hAnsi="宋体" w:cs="宋体"/>
          <w:color w:val="auto"/>
          <w:highlight w:val="none"/>
        </w:rPr>
        <w:t>五、成交及合同</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_Toc5736 \h </w:instrText>
      </w:r>
      <w:r>
        <w:rPr>
          <w:rFonts w:hint="eastAsia" w:ascii="宋体" w:hAnsi="宋体" w:cs="宋体"/>
          <w:color w:val="auto"/>
          <w:highlight w:val="none"/>
        </w:rPr>
        <w:fldChar w:fldCharType="separate"/>
      </w:r>
      <w:r>
        <w:rPr>
          <w:rFonts w:hint="eastAsia" w:ascii="宋体" w:hAnsi="宋体" w:cs="宋体"/>
          <w:color w:val="auto"/>
          <w:highlight w:val="none"/>
        </w:rPr>
        <w:t>23</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C2983CB">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"_Toc17863" </w:instrText>
      </w:r>
      <w:r>
        <w:rPr>
          <w:color w:val="auto"/>
          <w:highlight w:val="none"/>
        </w:rPr>
        <w:fldChar w:fldCharType="separate"/>
      </w:r>
      <w:r>
        <w:rPr>
          <w:rFonts w:hint="eastAsia" w:ascii="宋体" w:hAnsi="宋体" w:cs="宋体"/>
          <w:color w:val="auto"/>
          <w:highlight w:val="none"/>
        </w:rPr>
        <w:t>六、验收</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_Toc17863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E77D122">
      <w:pPr>
        <w:pStyle w:val="14"/>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"_Toc14884" </w:instrText>
      </w:r>
      <w:r>
        <w:rPr>
          <w:color w:val="auto"/>
          <w:highlight w:val="none"/>
        </w:rPr>
        <w:fldChar w:fldCharType="separate"/>
      </w:r>
      <w:r>
        <w:rPr>
          <w:rFonts w:hint="eastAsia" w:ascii="宋体" w:hAnsi="宋体" w:cs="宋体"/>
          <w:color w:val="auto"/>
          <w:highlight w:val="none"/>
        </w:rPr>
        <w:t>七、其他事项</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_Toc14884 \h </w:instrText>
      </w:r>
      <w:r>
        <w:rPr>
          <w:rFonts w:hint="eastAsia" w:ascii="宋体" w:hAnsi="宋体" w:cs="宋体"/>
          <w:color w:val="auto"/>
          <w:highlight w:val="none"/>
        </w:rPr>
        <w:fldChar w:fldCharType="separate"/>
      </w:r>
      <w:r>
        <w:rPr>
          <w:rFonts w:hint="eastAsia" w:ascii="宋体" w:hAnsi="宋体" w:cs="宋体"/>
          <w:color w:val="auto"/>
          <w:highlight w:val="none"/>
        </w:rPr>
        <w:t>26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238CD28">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"_Toc25106" </w:instrText>
      </w:r>
      <w:r>
        <w:rPr>
          <w:color w:val="auto"/>
          <w:highlight w:val="none"/>
        </w:rPr>
        <w:fldChar w:fldCharType="separate"/>
      </w:r>
      <w:r>
        <w:rPr>
          <w:rFonts w:hint="eastAsia" w:ascii="宋体" w:hAnsi="宋体" w:cs="宋体"/>
          <w:color w:val="auto"/>
          <w:highlight w:val="none"/>
        </w:rPr>
        <w:t>第四章  评审程序、评审方法和评审标准</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_Toc25106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A0F274E">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"_Toc30181" </w:instrText>
      </w:r>
      <w:r>
        <w:rPr>
          <w:color w:val="auto"/>
          <w:highlight w:val="none"/>
        </w:rPr>
        <w:fldChar w:fldCharType="separate"/>
      </w:r>
      <w:r>
        <w:rPr>
          <w:rFonts w:hint="eastAsia" w:ascii="宋体" w:hAnsi="宋体" w:cs="宋体"/>
          <w:color w:val="auto"/>
          <w:highlight w:val="none"/>
        </w:rPr>
        <w:t>第一节 评审程序和评审方法</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_Toc30181 \h </w:instrText>
      </w:r>
      <w:r>
        <w:rPr>
          <w:rFonts w:hint="eastAsia" w:ascii="宋体" w:hAnsi="宋体" w:cs="宋体"/>
          <w:color w:val="auto"/>
          <w:highlight w:val="none"/>
        </w:rPr>
        <w:fldChar w:fldCharType="separate"/>
      </w:r>
      <w:r>
        <w:rPr>
          <w:rFonts w:hint="eastAsia" w:ascii="宋体" w:hAnsi="宋体" w:cs="宋体"/>
          <w:color w:val="auto"/>
          <w:highlight w:val="none"/>
        </w:rPr>
        <w:t>28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56A7748">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"_Toc1930" </w:instrText>
      </w:r>
      <w:r>
        <w:rPr>
          <w:color w:val="auto"/>
          <w:highlight w:val="none"/>
        </w:rPr>
        <w:fldChar w:fldCharType="separate"/>
      </w:r>
      <w:r>
        <w:rPr>
          <w:rFonts w:hint="eastAsia" w:ascii="宋体" w:hAnsi="宋体" w:cs="宋体"/>
          <w:color w:val="auto"/>
          <w:highlight w:val="none"/>
        </w:rPr>
        <w:t>第二节 评标报告</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_Toc1930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075A2B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"_Toc23409" </w:instrText>
      </w:r>
      <w:r>
        <w:rPr>
          <w:color w:val="auto"/>
          <w:highlight w:val="none"/>
        </w:rPr>
        <w:fldChar w:fldCharType="separate"/>
      </w:r>
      <w:r>
        <w:rPr>
          <w:rFonts w:hint="eastAsia" w:ascii="宋体" w:hAnsi="宋体" w:cs="宋体"/>
          <w:color w:val="auto"/>
          <w:highlight w:val="none"/>
        </w:rPr>
        <w:t>第三节 评审过程的保密与录像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_Toc23409 \h </w:instrText>
      </w:r>
      <w:r>
        <w:rPr>
          <w:rFonts w:hint="eastAsia" w:ascii="宋体" w:hAnsi="宋体" w:cs="宋体"/>
          <w:color w:val="auto"/>
          <w:highlight w:val="none"/>
        </w:rPr>
        <w:fldChar w:fldCharType="separate"/>
      </w:r>
      <w:r>
        <w:rPr>
          <w:rFonts w:hint="eastAsia" w:ascii="宋体" w:hAnsi="宋体" w:cs="宋体"/>
          <w:color w:val="auto"/>
          <w:highlight w:val="none"/>
        </w:rPr>
        <w:t>36</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1F32222">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"_Toc13484" </w:instrText>
      </w:r>
      <w:r>
        <w:rPr>
          <w:color w:val="auto"/>
          <w:highlight w:val="none"/>
        </w:rPr>
        <w:fldChar w:fldCharType="separate"/>
      </w:r>
      <w:r>
        <w:rPr>
          <w:rFonts w:hint="eastAsia" w:ascii="宋体" w:hAnsi="宋体" w:cs="宋体"/>
          <w:color w:val="auto"/>
          <w:highlight w:val="none"/>
        </w:rPr>
        <w:t>第五章 响应文件格式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_Toc13484 \h </w:instrText>
      </w:r>
      <w:r>
        <w:rPr>
          <w:rFonts w:hint="eastAsia" w:ascii="宋体" w:hAnsi="宋体" w:cs="宋体"/>
          <w:color w:val="auto"/>
          <w:highlight w:val="none"/>
        </w:rPr>
        <w:fldChar w:fldCharType="separate"/>
      </w:r>
      <w:r>
        <w:rPr>
          <w:rFonts w:hint="eastAsia" w:ascii="宋体" w:hAnsi="宋体" w:cs="宋体"/>
          <w:color w:val="auto"/>
          <w:highlight w:val="none"/>
        </w:rPr>
        <w:t>37</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8098967">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"_Toc7129" </w:instrText>
      </w:r>
      <w:r>
        <w:rPr>
          <w:color w:val="auto"/>
          <w:highlight w:val="none"/>
        </w:rPr>
        <w:fldChar w:fldCharType="separate"/>
      </w:r>
      <w:r>
        <w:rPr>
          <w:rFonts w:hint="eastAsia" w:ascii="宋体" w:hAnsi="宋体" w:cs="宋体"/>
          <w:color w:val="auto"/>
          <w:highlight w:val="none"/>
        </w:rPr>
        <w:t>第一节 封面格式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_Toc7129 \h </w:instrText>
      </w:r>
      <w:r>
        <w:rPr>
          <w:rFonts w:hint="eastAsia" w:ascii="宋体" w:hAnsi="宋体" w:cs="宋体"/>
          <w:color w:val="auto"/>
          <w:highlight w:val="none"/>
        </w:rPr>
        <w:fldChar w:fldCharType="separate"/>
      </w:r>
      <w:r>
        <w:rPr>
          <w:rFonts w:hint="eastAsia" w:ascii="宋体" w:hAnsi="宋体" w:cs="宋体"/>
          <w:color w:val="auto"/>
          <w:highlight w:val="none"/>
        </w:rPr>
        <w:t>38</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409091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"_Toc30886" </w:instrText>
      </w:r>
      <w:r>
        <w:rPr>
          <w:color w:val="auto"/>
          <w:highlight w:val="none"/>
        </w:rPr>
        <w:fldChar w:fldCharType="separate"/>
      </w:r>
      <w:r>
        <w:rPr>
          <w:rFonts w:hint="eastAsia" w:ascii="宋体" w:hAnsi="宋体" w:cs="宋体"/>
          <w:color w:val="auto"/>
          <w:highlight w:val="none"/>
        </w:rPr>
        <w:t>第二节 资格证明文件格式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_Toc30886 \h </w:instrText>
      </w:r>
      <w:r>
        <w:rPr>
          <w:rFonts w:hint="eastAsia" w:ascii="宋体" w:hAnsi="宋体" w:cs="宋体"/>
          <w:color w:val="auto"/>
          <w:highlight w:val="none"/>
        </w:rPr>
        <w:fldChar w:fldCharType="separate"/>
      </w:r>
      <w:r>
        <w:rPr>
          <w:rFonts w:hint="eastAsia" w:ascii="宋体" w:hAnsi="宋体" w:cs="宋体"/>
          <w:color w:val="auto"/>
          <w:highlight w:val="none"/>
        </w:rPr>
        <w:t>39</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6C1B230">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"_Toc10861" </w:instrText>
      </w:r>
      <w:r>
        <w:rPr>
          <w:color w:val="auto"/>
          <w:highlight w:val="none"/>
        </w:rPr>
        <w:fldChar w:fldCharType="separate"/>
      </w:r>
      <w:r>
        <w:rPr>
          <w:rFonts w:hint="eastAsia" w:ascii="宋体" w:hAnsi="宋体" w:cs="宋体"/>
          <w:color w:val="auto"/>
          <w:highlight w:val="none"/>
        </w:rPr>
        <w:t>第三节 商务技术文件格式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_Toc10861 \h </w:instrText>
      </w:r>
      <w:r>
        <w:rPr>
          <w:rFonts w:hint="eastAsia" w:ascii="宋体" w:hAnsi="宋体" w:cs="宋体"/>
          <w:color w:val="auto"/>
          <w:highlight w:val="none"/>
        </w:rPr>
        <w:fldChar w:fldCharType="separate"/>
      </w:r>
      <w:r>
        <w:rPr>
          <w:rFonts w:hint="eastAsia" w:ascii="宋体" w:hAnsi="宋体" w:cs="宋体"/>
          <w:color w:val="auto"/>
          <w:highlight w:val="none"/>
        </w:rPr>
        <w:t>50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3030474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"_Toc32512" </w:instrText>
      </w:r>
      <w:r>
        <w:rPr>
          <w:color w:val="auto"/>
          <w:highlight w:val="none"/>
        </w:rPr>
        <w:fldChar w:fldCharType="separate"/>
      </w:r>
      <w:r>
        <w:rPr>
          <w:rFonts w:hint="eastAsia" w:ascii="宋体" w:hAnsi="宋体" w:cs="宋体"/>
          <w:color w:val="auto"/>
          <w:highlight w:val="none"/>
        </w:rPr>
        <w:t>第四节 报价文件格式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_Toc32512 \h </w:instrText>
      </w:r>
      <w:r>
        <w:rPr>
          <w:rFonts w:hint="eastAsia" w:ascii="宋体" w:hAnsi="宋体" w:cs="宋体"/>
          <w:color w:val="auto"/>
          <w:highlight w:val="none"/>
        </w:rPr>
        <w:fldChar w:fldCharType="separate"/>
      </w:r>
      <w:r>
        <w:rPr>
          <w:rFonts w:hint="eastAsia" w:ascii="宋体" w:hAnsi="宋体" w:cs="宋体"/>
          <w:color w:val="auto"/>
          <w:highlight w:val="none"/>
        </w:rPr>
        <w:t>60</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2A77B0CA">
      <w:pPr>
        <w:pStyle w:val="23"/>
        <w:tabs>
          <w:tab w:val="right" w:leader="dot" w:pos="8879"/>
          <w:tab w:val="clear" w:pos="8296"/>
        </w:tabs>
        <w:rPr>
          <w:rFonts w:ascii="宋体" w:hAnsi="宋体" w:cs="宋体"/>
          <w:color w:val="auto"/>
          <w:highlight w:val="none"/>
        </w:rPr>
      </w:pPr>
      <w:r>
        <w:rPr>
          <w:color w:val="auto"/>
          <w:highlight w:val="none"/>
        </w:rPr>
        <w:fldChar w:fldCharType="begin"/>
      </w:r>
      <w:r>
        <w:rPr>
          <w:color w:val="auto"/>
          <w:highlight w:val="none"/>
        </w:rPr>
        <w:instrText xml:space="preserve"> HYPERLINK \l "_Toc15428" </w:instrText>
      </w:r>
      <w:r>
        <w:rPr>
          <w:color w:val="auto"/>
          <w:highlight w:val="none"/>
        </w:rPr>
        <w:fldChar w:fldCharType="separate"/>
      </w:r>
      <w:r>
        <w:rPr>
          <w:rFonts w:hint="eastAsia" w:ascii="宋体" w:hAnsi="宋体" w:cs="宋体"/>
          <w:color w:val="auto"/>
          <w:highlight w:val="none"/>
        </w:rPr>
        <w:t>第五节 其他文书、文件格式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_Toc15428 \h </w:instrText>
      </w:r>
      <w:r>
        <w:rPr>
          <w:rFonts w:hint="eastAsia" w:ascii="宋体" w:hAnsi="宋体" w:cs="宋体"/>
          <w:color w:val="auto"/>
          <w:highlight w:val="none"/>
        </w:rPr>
        <w:fldChar w:fldCharType="separate"/>
      </w:r>
      <w:r>
        <w:rPr>
          <w:rFonts w:hint="eastAsia" w:ascii="宋体" w:hAnsi="宋体" w:cs="宋体"/>
          <w:color w:val="auto"/>
          <w:highlight w:val="none"/>
        </w:rPr>
        <w:t>64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4AB9B53C">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"_Toc10609" </w:instrText>
      </w:r>
      <w:r>
        <w:rPr>
          <w:color w:val="auto"/>
          <w:highlight w:val="none"/>
        </w:rPr>
        <w:fldChar w:fldCharType="separate"/>
      </w:r>
      <w:r>
        <w:rPr>
          <w:rFonts w:hint="eastAsia" w:ascii="宋体" w:hAnsi="宋体" w:cs="宋体"/>
          <w:color w:val="auto"/>
          <w:highlight w:val="none"/>
        </w:rPr>
        <w:t>第六章  合同文本</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_Toc10609 \h </w:instrText>
      </w:r>
      <w:r>
        <w:rPr>
          <w:rFonts w:hint="eastAsia" w:ascii="宋体" w:hAnsi="宋体" w:cs="宋体"/>
          <w:color w:val="auto"/>
          <w:highlight w:val="none"/>
        </w:rPr>
        <w:fldChar w:fldCharType="separate"/>
      </w:r>
      <w:r>
        <w:rPr>
          <w:rFonts w:hint="eastAsia" w:ascii="宋体" w:hAnsi="宋体" w:cs="宋体"/>
          <w:color w:val="auto"/>
          <w:highlight w:val="none"/>
        </w:rPr>
        <w:t>65</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7B6D49C5">
      <w:pPr>
        <w:pStyle w:val="23"/>
        <w:tabs>
          <w:tab w:val="right" w:leader="dot" w:pos="8879"/>
          <w:tab w:val="clear" w:pos="8296"/>
        </w:tabs>
        <w:rPr>
          <w:rFonts w:hint="default" w:eastAsia="宋体"/>
          <w:color w:val="auto"/>
          <w:highlight w:val="none"/>
          <w:lang w:val="en-US" w:eastAsia="zh-CN"/>
        </w:rPr>
      </w:pPr>
      <w:r>
        <w:rPr>
          <w:rFonts w:hint="eastAsia" w:ascii="宋体" w:hAnsi="宋体" w:cs="宋体"/>
          <w:color w:val="auto"/>
          <w:szCs w:val="28"/>
          <w:highlight w:val="none"/>
        </w:rPr>
        <w:t>合同</w:t>
      </w:r>
      <w:r>
        <w:rPr>
          <w:rFonts w:hint="eastAsia" w:ascii="宋体" w:hAnsi="宋体" w:cs="宋体"/>
          <w:color w:val="auto"/>
          <w:szCs w:val="28"/>
          <w:highlight w:val="none"/>
          <w:lang w:val="en-US" w:eastAsia="zh-CN"/>
        </w:rPr>
        <w:t>协议书</w:t>
      </w:r>
      <w:r>
        <w:rPr>
          <w:rFonts w:hint="eastAsia" w:ascii="宋体" w:hAnsi="宋体" w:cs="宋体"/>
          <w:color w:val="auto"/>
          <w:highlight w:val="none"/>
        </w:rPr>
        <w:tab/>
      </w:r>
      <w:r>
        <w:rPr>
          <w:rFonts w:hint="eastAsia" w:ascii="宋体" w:hAnsi="宋体" w:cs="宋体"/>
          <w:color w:val="auto"/>
          <w:highlight w:val="none"/>
          <w:lang w:val="en-US" w:eastAsia="zh-CN"/>
        </w:rPr>
        <w:t>...72</w:t>
      </w:r>
    </w:p>
    <w:p w14:paraId="5FEDE307">
      <w:pPr>
        <w:pStyle w:val="23"/>
        <w:tabs>
          <w:tab w:val="right" w:leader="dot" w:pos="8879"/>
          <w:tab w:val="clear" w:pos="8296"/>
        </w:tabs>
        <w:rPr>
          <w:rFonts w:hint="eastAsia"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"_Toc12590" </w:instrText>
      </w:r>
      <w:r>
        <w:rPr>
          <w:color w:val="auto"/>
          <w:highlight w:val="none"/>
        </w:rPr>
        <w:fldChar w:fldCharType="separate"/>
      </w:r>
      <w:r>
        <w:rPr>
          <w:rFonts w:hint="eastAsia" w:ascii="宋体" w:hAnsi="宋体" w:cs="宋体"/>
          <w:color w:val="auto"/>
          <w:szCs w:val="28"/>
          <w:highlight w:val="none"/>
        </w:rPr>
        <w:t xml:space="preserve">第一部分 </w:t>
      </w:r>
      <w:r>
        <w:rPr>
          <w:rFonts w:hint="eastAsia" w:ascii="宋体" w:hAnsi="宋体" w:cs="宋体"/>
          <w:color w:val="auto"/>
          <w:szCs w:val="28"/>
          <w:highlight w:val="none"/>
          <w:lang w:eastAsia="zh-CN"/>
        </w:rPr>
        <w:t>通用合同条款</w:t>
      </w:r>
      <w:r>
        <w:rPr>
          <w:rFonts w:hint="eastAsia" w:ascii="宋体" w:hAnsi="宋体" w:cs="宋体"/>
          <w:color w:val="auto"/>
          <w:highlight w:val="none"/>
        </w:rPr>
        <w:tab/>
      </w:r>
      <w:r>
        <w:rPr>
          <w:rFonts w:hint="eastAsia" w:ascii="宋体" w:hAnsi="宋体" w:cs="宋体"/>
          <w:color w:val="auto"/>
          <w:highlight w:val="none"/>
          <w:lang w:val="en-US" w:eastAsia="zh-CN"/>
        </w:rPr>
        <w:t>7</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w:t>
      </w:r>
    </w:p>
    <w:p w14:paraId="4534ADED">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"_Toc12702" </w:instrText>
      </w:r>
      <w:r>
        <w:rPr>
          <w:color w:val="auto"/>
          <w:highlight w:val="none"/>
        </w:rPr>
        <w:fldChar w:fldCharType="separate"/>
      </w:r>
      <w:r>
        <w:rPr>
          <w:rFonts w:hint="eastAsia" w:ascii="宋体" w:hAnsi="宋体" w:cs="宋体"/>
          <w:color w:val="auto"/>
          <w:szCs w:val="28"/>
          <w:highlight w:val="none"/>
        </w:rPr>
        <w:t>第二部分 专用合同条款</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09</w:t>
      </w:r>
    </w:p>
    <w:p w14:paraId="479C21F2">
      <w:pPr>
        <w:pStyle w:val="23"/>
        <w:tabs>
          <w:tab w:val="right" w:leader="dot" w:pos="8879"/>
          <w:tab w:val="clear" w:pos="8296"/>
        </w:tabs>
        <w:rPr>
          <w:rFonts w:hint="default" w:ascii="宋体" w:hAnsi="宋体" w:eastAsia="宋体" w:cs="宋体"/>
          <w:color w:val="auto"/>
          <w:highlight w:val="none"/>
          <w:lang w:val="en-US" w:eastAsia="zh-CN"/>
        </w:rPr>
      </w:pPr>
      <w:r>
        <w:rPr>
          <w:color w:val="auto"/>
          <w:highlight w:val="none"/>
        </w:rPr>
        <w:fldChar w:fldCharType="begin"/>
      </w:r>
      <w:r>
        <w:rPr>
          <w:color w:val="auto"/>
          <w:highlight w:val="none"/>
        </w:rPr>
        <w:instrText xml:space="preserve"> HYPERLINK \l "_Toc6407" </w:instrText>
      </w:r>
      <w:r>
        <w:rPr>
          <w:color w:val="auto"/>
          <w:highlight w:val="none"/>
        </w:rPr>
        <w:fldChar w:fldCharType="separate"/>
      </w:r>
      <w:r>
        <w:rPr>
          <w:rFonts w:hint="eastAsia" w:ascii="宋体" w:hAnsi="宋体" w:cs="宋体"/>
          <w:color w:val="auto"/>
          <w:szCs w:val="28"/>
          <w:highlight w:val="none"/>
        </w:rPr>
        <w:t xml:space="preserve">第三部分 </w:t>
      </w:r>
      <w:r>
        <w:rPr>
          <w:rFonts w:hint="eastAsia" w:ascii="宋体" w:hAnsi="宋体" w:cs="宋体"/>
          <w:color w:val="auto"/>
          <w:szCs w:val="28"/>
          <w:highlight w:val="none"/>
          <w:lang w:val="en-US" w:eastAsia="zh-CN"/>
        </w:rPr>
        <w:t>合同附件格式</w:t>
      </w:r>
      <w:r>
        <w:rPr>
          <w:rFonts w:hint="eastAsia" w:ascii="宋体" w:hAnsi="宋体" w:cs="宋体"/>
          <w:color w:val="auto"/>
          <w:highlight w:val="none"/>
        </w:rPr>
        <w:tab/>
      </w:r>
      <w:r>
        <w:rPr>
          <w:rFonts w:hint="eastAsia" w:ascii="宋体" w:hAnsi="宋体" w:cs="宋体"/>
          <w:color w:val="auto"/>
          <w:highlight w:val="none"/>
          <w:lang w:val="en-US" w:eastAsia="zh-CN"/>
        </w:rPr>
        <w:t>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48</w:t>
      </w:r>
    </w:p>
    <w:p w14:paraId="419D5869">
      <w:pPr>
        <w:rPr>
          <w:rFonts w:hint="default" w:eastAsia="宋体"/>
          <w:color w:val="auto"/>
          <w:highlight w:val="none"/>
          <w:lang w:val="en-US" w:eastAsia="zh-CN"/>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第七章</w:t>
      </w:r>
      <w:r>
        <w:rPr>
          <w:rFonts w:hint="eastAsia" w:ascii="宋体" w:hAnsi="宋体" w:cs="宋体"/>
          <w:color w:val="auto"/>
          <w:highlight w:val="none"/>
          <w:lang w:val="en-US" w:eastAsia="zh-CN"/>
        </w:rPr>
        <w:t xml:space="preserve"> 工程量清单、图纸..........................................................1</w:t>
      </w:r>
      <w:r>
        <w:rPr>
          <w:rFonts w:hint="eastAsia" w:ascii="宋体" w:hAnsi="宋体" w:cs="宋体"/>
          <w:color w:val="auto"/>
          <w:highlight w:val="none"/>
        </w:rPr>
        <w:fldChar w:fldCharType="end"/>
      </w:r>
      <w:r>
        <w:rPr>
          <w:rFonts w:hint="eastAsia" w:ascii="宋体" w:hAnsi="宋体" w:cs="宋体"/>
          <w:color w:val="auto"/>
          <w:highlight w:val="none"/>
          <w:lang w:val="en-US" w:eastAsia="zh-CN"/>
        </w:rPr>
        <w:t>51</w:t>
      </w:r>
    </w:p>
    <w:p w14:paraId="307C2BC4">
      <w:pPr>
        <w:pStyle w:val="20"/>
        <w:tabs>
          <w:tab w:val="right" w:leader="dot" w:pos="8879"/>
        </w:tabs>
        <w:rPr>
          <w:rFonts w:ascii="宋体" w:hAnsi="宋体" w:cs="宋体"/>
          <w:color w:val="auto"/>
          <w:highlight w:val="none"/>
        </w:rPr>
      </w:pPr>
      <w:r>
        <w:rPr>
          <w:color w:val="auto"/>
          <w:highlight w:val="none"/>
        </w:rPr>
        <w:fldChar w:fldCharType="begin"/>
      </w:r>
      <w:r>
        <w:rPr>
          <w:color w:val="auto"/>
          <w:highlight w:val="none"/>
        </w:rPr>
        <w:instrText xml:space="preserve"> HYPERLINK \l "_Toc22933" </w:instrText>
      </w:r>
      <w:r>
        <w:rPr>
          <w:color w:val="auto"/>
          <w:highlight w:val="none"/>
        </w:rPr>
        <w:fldChar w:fldCharType="separate"/>
      </w:r>
      <w:r>
        <w:rPr>
          <w:rFonts w:hint="eastAsia" w:ascii="宋体" w:hAnsi="宋体" w:cs="宋体"/>
          <w:color w:val="auto"/>
          <w:highlight w:val="none"/>
        </w:rPr>
        <w:t>第</w:t>
      </w:r>
      <w:r>
        <w:rPr>
          <w:rFonts w:hint="eastAsia" w:ascii="宋体" w:hAnsi="宋体" w:cs="宋体"/>
          <w:color w:val="auto"/>
          <w:highlight w:val="none"/>
          <w:lang w:val="en-US" w:eastAsia="zh-CN"/>
        </w:rPr>
        <w:t>八</w:t>
      </w:r>
      <w:r>
        <w:rPr>
          <w:rFonts w:hint="eastAsia" w:ascii="宋体" w:hAnsi="宋体" w:cs="宋体"/>
          <w:color w:val="auto"/>
          <w:highlight w:val="none"/>
        </w:rPr>
        <w:t>章 质疑、投诉材料格式</w:t>
      </w:r>
      <w:r>
        <w:rPr>
          <w:rFonts w:hint="eastAsia" w:ascii="宋体" w:hAnsi="宋体" w:cs="宋体"/>
          <w:color w:val="auto"/>
          <w:highlight w:val="none"/>
        </w:rPr>
        <w:tab/>
      </w:r>
      <w:r>
        <w:rPr>
          <w:rFonts w:hint="eastAsia" w:ascii="宋体" w:hAnsi="宋体" w:cs="宋体"/>
          <w:color w:val="auto"/>
          <w:highlight w:val="none"/>
        </w:rPr>
        <w:fldChar w:fldCharType="begin"/>
      </w:r>
      <w:r>
        <w:rPr>
          <w:rFonts w:hint="eastAsia" w:ascii="宋体" w:hAnsi="宋体" w:cs="宋体"/>
          <w:color w:val="auto"/>
          <w:highlight w:val="none"/>
        </w:rPr>
        <w:instrText xml:space="preserve"> PAGEREF _Toc22933 \h </w:instrText>
      </w:r>
      <w:r>
        <w:rPr>
          <w:rFonts w:hint="eastAsia" w:ascii="宋体" w:hAnsi="宋体" w:cs="宋体"/>
          <w:color w:val="auto"/>
          <w:highlight w:val="none"/>
        </w:rPr>
        <w:fldChar w:fldCharType="separate"/>
      </w:r>
      <w:r>
        <w:rPr>
          <w:rFonts w:hint="eastAsia" w:ascii="宋体" w:hAnsi="宋体" w:cs="宋体"/>
          <w:color w:val="auto"/>
          <w:highlight w:val="none"/>
        </w:rPr>
        <w:t>154</w:t>
      </w:r>
      <w:r>
        <w:rPr>
          <w:rFonts w:hint="eastAsia" w:ascii="宋体" w:hAnsi="宋体" w:cs="宋体"/>
          <w:color w:val="auto"/>
          <w:highlight w:val="none"/>
        </w:rPr>
        <w:fldChar w:fldCharType="end"/>
      </w:r>
      <w:r>
        <w:rPr>
          <w:rFonts w:hint="eastAsia" w:ascii="宋体" w:hAnsi="宋体" w:cs="宋体"/>
          <w:color w:val="auto"/>
          <w:highlight w:val="none"/>
        </w:rPr>
        <w:fldChar w:fldCharType="end"/>
      </w:r>
    </w:p>
    <w:p w14:paraId="16D36B3F">
      <w:pPr>
        <w:pStyle w:val="23"/>
        <w:rPr>
          <w:rFonts w:ascii="宋体" w:hAnsi="宋体" w:cs="宋体"/>
          <w:color w:val="auto"/>
          <w:sz w:val="28"/>
          <w:szCs w:val="28"/>
          <w:highlight w:val="none"/>
        </w:rPr>
      </w:pPr>
      <w:r>
        <w:rPr>
          <w:rFonts w:hint="eastAsia" w:ascii="宋体" w:hAnsi="宋体" w:cs="宋体"/>
          <w:color w:val="auto"/>
          <w:szCs w:val="30"/>
          <w:highlight w:val="none"/>
        </w:rPr>
        <w:fldChar w:fldCharType="end"/>
      </w:r>
    </w:p>
    <w:p w14:paraId="57602A00">
      <w:pPr>
        <w:tabs>
          <w:tab w:val="left" w:pos="7470"/>
        </w:tabs>
        <w:spacing w:line="400" w:lineRule="exact"/>
        <w:jc w:val="left"/>
        <w:rPr>
          <w:rFonts w:ascii="宋体" w:hAnsi="宋体" w:cs="宋体"/>
          <w:b/>
          <w:color w:val="auto"/>
          <w:sz w:val="32"/>
          <w:szCs w:val="32"/>
          <w:highlight w:val="none"/>
        </w:rPr>
      </w:pPr>
      <w:r>
        <w:rPr>
          <w:rFonts w:hint="eastAsia" w:ascii="宋体" w:hAnsi="宋体" w:cs="宋体"/>
          <w:b/>
          <w:color w:val="auto"/>
          <w:sz w:val="32"/>
          <w:szCs w:val="32"/>
          <w:highlight w:val="none"/>
        </w:rPr>
        <w:tab/>
      </w:r>
    </w:p>
    <w:p w14:paraId="3675440D">
      <w:pPr>
        <w:spacing w:line="400" w:lineRule="exact"/>
        <w:jc w:val="center"/>
        <w:rPr>
          <w:rFonts w:ascii="宋体" w:hAnsi="宋体" w:cs="宋体"/>
          <w:b/>
          <w:color w:val="auto"/>
          <w:sz w:val="32"/>
          <w:szCs w:val="32"/>
          <w:highlight w:val="none"/>
        </w:rPr>
      </w:pPr>
    </w:p>
    <w:p w14:paraId="1CDB3B29">
      <w:pPr>
        <w:spacing w:line="400" w:lineRule="exact"/>
        <w:jc w:val="center"/>
        <w:rPr>
          <w:rFonts w:ascii="宋体" w:hAnsi="宋体" w:cs="宋体"/>
          <w:b/>
          <w:color w:val="auto"/>
          <w:sz w:val="32"/>
          <w:szCs w:val="32"/>
          <w:highlight w:val="none"/>
        </w:rPr>
      </w:pPr>
    </w:p>
    <w:p w14:paraId="31C3490F">
      <w:pPr>
        <w:spacing w:line="400" w:lineRule="exact"/>
        <w:jc w:val="center"/>
        <w:rPr>
          <w:rFonts w:ascii="宋体" w:hAnsi="宋体" w:cs="宋体"/>
          <w:b/>
          <w:color w:val="auto"/>
          <w:sz w:val="32"/>
          <w:szCs w:val="32"/>
          <w:highlight w:val="none"/>
        </w:rPr>
      </w:pPr>
    </w:p>
    <w:p w14:paraId="24190E06">
      <w:pPr>
        <w:spacing w:line="400" w:lineRule="exact"/>
        <w:jc w:val="center"/>
        <w:rPr>
          <w:rFonts w:ascii="宋体" w:hAnsi="宋体" w:cs="宋体"/>
          <w:b/>
          <w:color w:val="auto"/>
          <w:sz w:val="32"/>
          <w:szCs w:val="32"/>
          <w:highlight w:val="none"/>
        </w:rPr>
      </w:pPr>
    </w:p>
    <w:p w14:paraId="5CAF0477">
      <w:pPr>
        <w:widowControl/>
        <w:jc w:val="left"/>
        <w:rPr>
          <w:rFonts w:ascii="宋体" w:hAnsi="宋体" w:cs="宋体"/>
          <w:b/>
          <w:color w:val="auto"/>
          <w:sz w:val="32"/>
          <w:szCs w:val="32"/>
          <w:highlight w:val="none"/>
        </w:rPr>
        <w:sectPr>
          <w:footerReference r:id="rId5" w:type="default"/>
          <w:pgSz w:w="11906" w:h="16838"/>
          <w:pgMar w:top="1440" w:right="1440" w:bottom="1440" w:left="1587" w:header="851" w:footer="992" w:gutter="0"/>
          <w:pgNumType w:start="1"/>
          <w:cols w:space="720" w:num="1"/>
          <w:docGrid w:type="lines" w:linePitch="312" w:charSpace="0"/>
        </w:sectPr>
      </w:pPr>
    </w:p>
    <w:p w14:paraId="5769DC2C">
      <w:pPr>
        <w:pStyle w:val="2"/>
        <w:spacing w:before="0" w:after="0" w:line="360" w:lineRule="auto"/>
        <w:jc w:val="center"/>
        <w:rPr>
          <w:rFonts w:ascii="宋体" w:hAnsi="宋体" w:cs="宋体"/>
          <w:color w:val="auto"/>
          <w:highlight w:val="none"/>
        </w:rPr>
      </w:pPr>
      <w:bookmarkStart w:id="8" w:name="_Toc193"/>
      <w:r>
        <w:rPr>
          <w:rFonts w:hint="eastAsia" w:ascii="宋体" w:hAnsi="宋体" w:cs="宋体"/>
          <w:color w:val="auto"/>
          <w:highlight w:val="none"/>
        </w:rPr>
        <w:t>第一章 竞争性磋商公告</w:t>
      </w:r>
      <w:bookmarkEnd w:id="8"/>
      <w:bookmarkStart w:id="9" w:name="_Toc28359089"/>
      <w:bookmarkStart w:id="10" w:name="_Toc35393798"/>
      <w:bookmarkStart w:id="11" w:name="_Toc35393629"/>
      <w:bookmarkStart w:id="12" w:name="_Toc44229878"/>
      <w:bookmarkStart w:id="13" w:name="_Toc28359012"/>
      <w:bookmarkStart w:id="14" w:name="_Toc35393623"/>
      <w:bookmarkStart w:id="15" w:name="_Toc28359081"/>
      <w:bookmarkStart w:id="16" w:name="_Toc28359004"/>
      <w:bookmarkStart w:id="17" w:name="_Toc35393792"/>
    </w:p>
    <w:p w14:paraId="5ED37E36">
      <w:pPr>
        <w:rPr>
          <w:rFonts w:ascii="宋体" w:hAnsi="宋体" w:cs="宋体"/>
          <w:color w:val="auto"/>
          <w:highlight w:val="none"/>
        </w:rPr>
      </w:pPr>
    </w:p>
    <w:tbl>
      <w:tblPr>
        <w:tblStyle w:val="27"/>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7"/>
      </w:tblGrid>
      <w:tr w14:paraId="068D5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7" w:type="dxa"/>
          </w:tcPr>
          <w:p w14:paraId="279C25BC">
            <w:pPr>
              <w:spacing w:line="400" w:lineRule="exact"/>
              <w:rPr>
                <w:rFonts w:ascii="宋体" w:hAnsi="宋体" w:cs="宋体"/>
                <w:color w:val="auto"/>
                <w:sz w:val="22"/>
                <w:szCs w:val="22"/>
                <w:highlight w:val="none"/>
              </w:rPr>
            </w:pPr>
            <w:r>
              <w:rPr>
                <w:rFonts w:hint="eastAsia" w:ascii="宋体" w:hAnsi="宋体" w:cs="宋体"/>
                <w:color w:val="auto"/>
                <w:sz w:val="22"/>
                <w:szCs w:val="22"/>
                <w:highlight w:val="none"/>
              </w:rPr>
              <w:t>项目概况</w:t>
            </w:r>
          </w:p>
          <w:p w14:paraId="36FE9589">
            <w:pPr>
              <w:spacing w:line="400" w:lineRule="exact"/>
              <w:ind w:firstLine="420" w:firstLineChars="200"/>
              <w:rPr>
                <w:rFonts w:ascii="宋体" w:hAnsi="宋体" w:cs="宋体"/>
                <w:b/>
                <w:bCs/>
                <w:color w:val="auto"/>
                <w:sz w:val="24"/>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2025年公正乡信良村道路硬化项目</w:t>
            </w:r>
            <w:r>
              <w:rPr>
                <w:rFonts w:hint="eastAsia" w:ascii="宋体" w:hAnsi="宋体" w:cs="宋体"/>
                <w:color w:val="auto"/>
                <w:szCs w:val="21"/>
                <w:highlight w:val="none"/>
              </w:rPr>
              <w:t>采购项目的潜在供应商应在广西政府采购云平台</w:t>
            </w:r>
            <w:r>
              <w:rPr>
                <w:rFonts w:hint="eastAsia" w:ascii="宋体" w:hAnsi="宋体" w:cs="宋体"/>
                <w:color w:val="auto"/>
                <w:szCs w:val="21"/>
                <w:highlight w:val="none"/>
                <w:lang w:eastAsia="zh-CN"/>
              </w:rPr>
              <w:t>（</w:t>
            </w:r>
            <w:r>
              <w:rPr>
                <w:rFonts w:hint="eastAsia" w:ascii="宋体" w:hAnsi="宋体" w:cs="宋体"/>
                <w:color w:val="auto"/>
                <w:szCs w:val="21"/>
                <w:highlight w:val="none"/>
              </w:rPr>
              <w:t>https://www.gcy.zfcg.gxzf.gov.cn）获取（下载）竞争性磋商文件，并于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r>
              <w:rPr>
                <w:rFonts w:hint="eastAsia" w:ascii="宋体" w:hAnsi="宋体" w:cs="宋体"/>
                <w:color w:val="auto"/>
                <w:szCs w:val="21"/>
                <w:highlight w:val="none"/>
              </w:rPr>
              <w:t>（北京时间）</w:t>
            </w:r>
            <w:r>
              <w:rPr>
                <w:rFonts w:hint="eastAsia" w:ascii="宋体" w:hAnsi="宋体" w:cs="宋体"/>
                <w:bCs/>
                <w:color w:val="auto"/>
                <w:szCs w:val="21"/>
                <w:highlight w:val="none"/>
              </w:rPr>
              <w:t>前提交响应文件</w:t>
            </w:r>
            <w:r>
              <w:rPr>
                <w:rFonts w:hint="eastAsia" w:ascii="宋体" w:hAnsi="宋体" w:cs="宋体"/>
                <w:color w:val="auto"/>
                <w:szCs w:val="21"/>
                <w:highlight w:val="none"/>
              </w:rPr>
              <w:t>。</w:t>
            </w:r>
          </w:p>
        </w:tc>
      </w:tr>
    </w:tbl>
    <w:p w14:paraId="02C5F46E">
      <w:pPr>
        <w:spacing w:line="360" w:lineRule="auto"/>
        <w:ind w:firstLine="482" w:firstLineChars="200"/>
        <w:rPr>
          <w:rFonts w:ascii="宋体" w:hAnsi="宋体" w:cs="宋体"/>
          <w:b/>
          <w:color w:val="auto"/>
          <w:highlight w:val="none"/>
        </w:rPr>
      </w:pPr>
      <w:r>
        <w:rPr>
          <w:rFonts w:hint="eastAsia" w:ascii="宋体" w:hAnsi="宋体" w:cs="宋体"/>
          <w:b/>
          <w:color w:val="auto"/>
          <w:sz w:val="24"/>
          <w:highlight w:val="none"/>
        </w:rPr>
        <w:t>一、项目基本情况</w:t>
      </w:r>
      <w:bookmarkEnd w:id="9"/>
      <w:bookmarkEnd w:id="10"/>
      <w:bookmarkEnd w:id="11"/>
      <w:bookmarkEnd w:id="12"/>
      <w:bookmarkEnd w:id="13"/>
    </w:p>
    <w:p w14:paraId="3797043B">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FCZC2025-C2-210122-GXZZ</w:t>
      </w:r>
    </w:p>
    <w:p w14:paraId="12635E3D">
      <w:pPr>
        <w:spacing w:line="360" w:lineRule="auto"/>
        <w:ind w:firstLine="420" w:firstLineChars="200"/>
        <w:rPr>
          <w:rFonts w:hint="eastAsia" w:ascii="宋体" w:hAnsi="宋体" w:eastAsia="宋体" w:cs="宋体"/>
          <w:color w:val="auto"/>
          <w:szCs w:val="21"/>
          <w:highlight w:val="none"/>
          <w:u w:val="single"/>
          <w:lang w:eastAsia="zh-CN"/>
        </w:rPr>
      </w:pPr>
      <w:r>
        <w:rPr>
          <w:rFonts w:hint="eastAsia" w:ascii="宋体" w:hAnsi="宋体" w:cs="宋体"/>
          <w:color w:val="auto"/>
          <w:szCs w:val="21"/>
          <w:highlight w:val="none"/>
        </w:rPr>
        <w:t>2.项目名称：</w:t>
      </w:r>
      <w:r>
        <w:rPr>
          <w:rFonts w:hint="eastAsia" w:ascii="宋体" w:hAnsi="宋体" w:cs="宋体"/>
          <w:color w:val="auto"/>
          <w:szCs w:val="21"/>
          <w:highlight w:val="none"/>
          <w:lang w:eastAsia="zh-CN"/>
        </w:rPr>
        <w:t>2025年公正乡信良村道路硬化项目</w:t>
      </w:r>
    </w:p>
    <w:p w14:paraId="75A385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3.采购方式：竞争性磋商</w:t>
      </w:r>
    </w:p>
    <w:p w14:paraId="10B66461">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699352.76</w:t>
      </w:r>
      <w:r>
        <w:rPr>
          <w:rFonts w:hint="eastAsia" w:ascii="宋体" w:hAnsi="宋体" w:cs="宋体"/>
          <w:color w:val="auto"/>
          <w:szCs w:val="21"/>
          <w:highlight w:val="none"/>
        </w:rPr>
        <w:t>元</w:t>
      </w:r>
    </w:p>
    <w:p w14:paraId="1289BB6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5.最高限价</w:t>
      </w:r>
      <w:bookmarkStart w:id="18" w:name="_Hlk66782034"/>
      <w:r>
        <w:rPr>
          <w:rFonts w:hint="eastAsia" w:ascii="宋体" w:hAnsi="宋体" w:cs="宋体"/>
          <w:color w:val="auto"/>
          <w:szCs w:val="21"/>
          <w:highlight w:val="none"/>
        </w:rPr>
        <w:t>（如有）</w:t>
      </w:r>
      <w:bookmarkEnd w:id="18"/>
      <w:r>
        <w:rPr>
          <w:rFonts w:hint="eastAsia" w:ascii="宋体" w:hAnsi="宋体" w:cs="宋体"/>
          <w:color w:val="auto"/>
          <w:szCs w:val="21"/>
          <w:highlight w:val="none"/>
        </w:rPr>
        <w:t>：同预算金额</w:t>
      </w:r>
    </w:p>
    <w:p w14:paraId="1F03F94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6.采购需求：</w:t>
      </w:r>
    </w:p>
    <w:tbl>
      <w:tblPr>
        <w:tblStyle w:val="26"/>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727"/>
        <w:gridCol w:w="819"/>
        <w:gridCol w:w="763"/>
        <w:gridCol w:w="5601"/>
      </w:tblGrid>
      <w:tr w14:paraId="4CA3B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70BEB85F">
            <w:pPr>
              <w:snapToGrid w:val="0"/>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序号</w:t>
            </w:r>
          </w:p>
        </w:tc>
        <w:tc>
          <w:tcPr>
            <w:tcW w:w="1727" w:type="dxa"/>
            <w:tcBorders>
              <w:top w:val="single" w:color="auto" w:sz="4" w:space="0"/>
              <w:left w:val="single" w:color="auto" w:sz="4" w:space="0"/>
              <w:bottom w:val="single" w:color="auto" w:sz="4" w:space="0"/>
              <w:right w:val="single" w:color="auto" w:sz="4" w:space="0"/>
            </w:tcBorders>
            <w:vAlign w:val="center"/>
          </w:tcPr>
          <w:p w14:paraId="7D3D994C">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标的的名称</w:t>
            </w:r>
          </w:p>
        </w:tc>
        <w:tc>
          <w:tcPr>
            <w:tcW w:w="819" w:type="dxa"/>
            <w:tcBorders>
              <w:top w:val="single" w:color="auto" w:sz="4" w:space="0"/>
              <w:left w:val="single" w:color="auto" w:sz="4" w:space="0"/>
              <w:bottom w:val="single" w:color="auto" w:sz="4" w:space="0"/>
              <w:right w:val="single" w:color="auto" w:sz="4" w:space="0"/>
            </w:tcBorders>
            <w:vAlign w:val="center"/>
          </w:tcPr>
          <w:p w14:paraId="6CE04EA5">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763" w:type="dxa"/>
            <w:tcBorders>
              <w:top w:val="single" w:color="auto" w:sz="4" w:space="0"/>
              <w:left w:val="single" w:color="auto" w:sz="4" w:space="0"/>
              <w:bottom w:val="single" w:color="auto" w:sz="4" w:space="0"/>
              <w:right w:val="single" w:color="auto" w:sz="4" w:space="0"/>
            </w:tcBorders>
            <w:vAlign w:val="center"/>
          </w:tcPr>
          <w:p w14:paraId="4B0AF788">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5601" w:type="dxa"/>
            <w:tcBorders>
              <w:top w:val="single" w:color="auto" w:sz="4" w:space="0"/>
              <w:left w:val="single" w:color="auto" w:sz="4" w:space="0"/>
              <w:bottom w:val="single" w:color="auto" w:sz="4" w:space="0"/>
              <w:right w:val="single" w:color="auto" w:sz="4" w:space="0"/>
            </w:tcBorders>
            <w:vAlign w:val="center"/>
          </w:tcPr>
          <w:p w14:paraId="04663989">
            <w:pPr>
              <w:snapToGrid w:val="0"/>
              <w:spacing w:line="360" w:lineRule="exact"/>
              <w:jc w:val="center"/>
              <w:rPr>
                <w:rFonts w:ascii="宋体" w:hAnsi="宋体" w:cs="宋体"/>
                <w:color w:val="auto"/>
                <w:szCs w:val="21"/>
                <w:highlight w:val="none"/>
              </w:rPr>
            </w:pPr>
            <w:r>
              <w:rPr>
                <w:rFonts w:hint="eastAsia" w:ascii="宋体" w:hAnsi="宋体" w:cs="宋体"/>
                <w:color w:val="auto"/>
                <w:szCs w:val="21"/>
                <w:highlight w:val="none"/>
              </w:rPr>
              <w:t>简要服务要求或者技术需求</w:t>
            </w:r>
          </w:p>
        </w:tc>
      </w:tr>
      <w:tr w14:paraId="4301F9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04074463">
            <w:pPr>
              <w:snapToGrid w:val="0"/>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727" w:type="dxa"/>
            <w:tcBorders>
              <w:top w:val="single" w:color="auto" w:sz="4" w:space="0"/>
              <w:left w:val="single" w:color="auto" w:sz="4" w:space="0"/>
              <w:bottom w:val="single" w:color="auto" w:sz="4" w:space="0"/>
              <w:right w:val="single" w:color="auto" w:sz="4" w:space="0"/>
            </w:tcBorders>
            <w:vAlign w:val="center"/>
          </w:tcPr>
          <w:p w14:paraId="568C81C1">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2025年公正乡信良村道路硬化项目</w:t>
            </w:r>
          </w:p>
        </w:tc>
        <w:tc>
          <w:tcPr>
            <w:tcW w:w="819" w:type="dxa"/>
            <w:tcBorders>
              <w:top w:val="single" w:color="auto" w:sz="4" w:space="0"/>
              <w:left w:val="single" w:color="auto" w:sz="4" w:space="0"/>
              <w:bottom w:val="single" w:color="auto" w:sz="4" w:space="0"/>
              <w:right w:val="single" w:color="auto" w:sz="4" w:space="0"/>
            </w:tcBorders>
            <w:vAlign w:val="center"/>
          </w:tcPr>
          <w:p w14:paraId="3E8BADAA">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763" w:type="dxa"/>
            <w:tcBorders>
              <w:top w:val="single" w:color="auto" w:sz="4" w:space="0"/>
              <w:left w:val="single" w:color="auto" w:sz="4" w:space="0"/>
              <w:bottom w:val="single" w:color="auto" w:sz="4" w:space="0"/>
              <w:right w:val="single" w:color="auto" w:sz="4" w:space="0"/>
            </w:tcBorders>
            <w:vAlign w:val="center"/>
          </w:tcPr>
          <w:p w14:paraId="5DD74153">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5601" w:type="dxa"/>
            <w:tcBorders>
              <w:top w:val="single" w:color="auto" w:sz="4" w:space="0"/>
              <w:left w:val="single" w:color="auto" w:sz="4" w:space="0"/>
              <w:bottom w:val="single" w:color="auto" w:sz="4" w:space="0"/>
              <w:right w:val="single" w:color="auto" w:sz="4" w:space="0"/>
            </w:tcBorders>
            <w:vAlign w:val="center"/>
          </w:tcPr>
          <w:p w14:paraId="4C0E5D0D">
            <w:pPr>
              <w:spacing w:line="34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在公正乡信良村枯争屯修建道路约1.5公里，并修建错车道、挡土墙、排水涵管等附属配套设施，</w:t>
            </w:r>
            <w:r>
              <w:rPr>
                <w:rFonts w:hint="eastAsia" w:ascii="宋体" w:hAnsi="宋体" w:cs="宋体"/>
                <w:color w:val="auto"/>
                <w:szCs w:val="21"/>
                <w:highlight w:val="none"/>
                <w:lang w:val="en-US" w:eastAsia="zh-CN"/>
              </w:rPr>
              <w:t>具体内容见工程量清单及图纸。</w:t>
            </w:r>
          </w:p>
        </w:tc>
      </w:tr>
    </w:tbl>
    <w:p w14:paraId="59FAC3C2">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7.合同履行期限：详见采购文件“第二章采购需求”商务条款。</w:t>
      </w:r>
    </w:p>
    <w:p w14:paraId="1A999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8.本项目是否接受联合体：□是，☑否</w:t>
      </w:r>
    </w:p>
    <w:p w14:paraId="0DE9AD2E">
      <w:pPr>
        <w:spacing w:line="360" w:lineRule="auto"/>
        <w:ind w:firstLine="482" w:firstLineChars="200"/>
        <w:rPr>
          <w:rFonts w:ascii="宋体" w:hAnsi="宋体" w:cs="宋体"/>
          <w:bCs/>
          <w:color w:val="auto"/>
          <w:sz w:val="24"/>
          <w:highlight w:val="none"/>
        </w:rPr>
      </w:pPr>
      <w:bookmarkStart w:id="19" w:name="_Toc44229879"/>
      <w:bookmarkStart w:id="20" w:name="_Toc28359090"/>
      <w:bookmarkStart w:id="21" w:name="_Toc35393630"/>
      <w:bookmarkStart w:id="22" w:name="_Toc28359013"/>
      <w:bookmarkStart w:id="23" w:name="_Toc35393799"/>
      <w:r>
        <w:rPr>
          <w:rFonts w:hint="eastAsia" w:ascii="宋体" w:hAnsi="宋体" w:cs="宋体"/>
          <w:b/>
          <w:color w:val="auto"/>
          <w:kern w:val="44"/>
          <w:sz w:val="24"/>
          <w:highlight w:val="none"/>
        </w:rPr>
        <w:t>二、供应商的资格条件</w:t>
      </w:r>
      <w:bookmarkEnd w:id="19"/>
      <w:bookmarkEnd w:id="20"/>
      <w:bookmarkEnd w:id="21"/>
      <w:bookmarkEnd w:id="22"/>
      <w:bookmarkEnd w:id="23"/>
    </w:p>
    <w:p w14:paraId="3D2E71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4AFB23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2.落实政府采购政策需满足的资格要求：专门面向中小企业采购的项目（供应商应为中小微企业或监狱企业或残疾人福利性单位)；</w:t>
      </w:r>
    </w:p>
    <w:p w14:paraId="24CC67B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3.本项目的特定资格要求：供应商须具备公路工程施工总承包叁级(含)以上资质，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p>
    <w:p w14:paraId="4C8689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4.本项目的特定条件：</w:t>
      </w:r>
      <w:r>
        <w:rPr>
          <w:rFonts w:hint="eastAsia" w:ascii="宋体" w:hAnsi="宋体" w:cs="宋体"/>
          <w:color w:val="auto"/>
          <w:szCs w:val="21"/>
          <w:highlight w:val="none"/>
          <w:lang w:val="en-US" w:eastAsia="zh-CN"/>
        </w:rPr>
        <w:t>供应商拟投入的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)注册建造师资格，并持有省级或以上交通运输行政主管部门颁发的安全生产考核合格证(“三类人员”B 类证书)</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拟投入的安全员应具有省级（或以上）交通主管部门颁发的《安全生产考核合格证书》C证。</w:t>
      </w:r>
    </w:p>
    <w:p w14:paraId="6ABF0CA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3D0BB2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、政府采购严重违法失信行为记录名单及其他不符合《中华人民共和国政府采购法》第二十二条规定条件的供应商，不得参与政府采购活动。</w:t>
      </w:r>
    </w:p>
    <w:p w14:paraId="090FB962">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三、获取竞争性磋商文件</w:t>
      </w:r>
      <w:bookmarkEnd w:id="14"/>
      <w:bookmarkEnd w:id="15"/>
      <w:bookmarkEnd w:id="16"/>
      <w:bookmarkEnd w:id="17"/>
    </w:p>
    <w:p w14:paraId="1B87806A">
      <w:pPr>
        <w:spacing w:line="360" w:lineRule="auto"/>
        <w:ind w:firstLine="420" w:firstLineChars="200"/>
        <w:rPr>
          <w:rFonts w:ascii="宋体" w:hAnsi="宋体" w:cs="宋体"/>
          <w:color w:val="auto"/>
          <w:szCs w:val="21"/>
          <w:highlight w:val="none"/>
        </w:rPr>
      </w:pPr>
      <w:bookmarkStart w:id="24" w:name="_Toc28359005"/>
      <w:bookmarkStart w:id="25" w:name="_Toc35393793"/>
      <w:bookmarkStart w:id="26" w:name="_Toc35393624"/>
      <w:bookmarkStart w:id="27" w:name="_Toc28359082"/>
      <w:r>
        <w:rPr>
          <w:rFonts w:hint="eastAsia" w:ascii="宋体" w:hAnsi="宋体" w:cs="宋体"/>
          <w:color w:val="auto"/>
          <w:szCs w:val="21"/>
          <w:highlight w:val="none"/>
        </w:rPr>
        <w:t>时间：</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rPr>
        <w:t>日</w:t>
      </w:r>
      <w:r>
        <w:rPr>
          <w:rFonts w:hint="eastAsia" w:ascii="宋体" w:hAnsi="宋体" w:cs="宋体"/>
          <w:color w:val="auto"/>
          <w:highlight w:val="none"/>
          <w:u w:val="none"/>
        </w:rPr>
        <w:t>至</w:t>
      </w:r>
      <w:r>
        <w:rPr>
          <w:rFonts w:hint="eastAsia" w:ascii="宋体" w:hAnsi="宋体" w:cs="宋体"/>
          <w:color w:val="auto"/>
          <w:szCs w:val="21"/>
          <w:highlight w:val="none"/>
          <w:u w:val="none"/>
        </w:rPr>
        <w:t>202</w:t>
      </w:r>
      <w:r>
        <w:rPr>
          <w:rFonts w:hint="eastAsia" w:ascii="宋体" w:hAnsi="宋体" w:cs="宋体"/>
          <w:color w:val="auto"/>
          <w:szCs w:val="21"/>
          <w:highlight w:val="none"/>
          <w:u w:val="none"/>
          <w:lang w:val="en-US" w:eastAsia="zh-CN"/>
        </w:rPr>
        <w:t>5</w:t>
      </w:r>
      <w:r>
        <w:rPr>
          <w:rFonts w:hint="eastAsia" w:ascii="宋体" w:hAnsi="宋体" w:cs="宋体"/>
          <w:color w:val="auto"/>
          <w:szCs w:val="21"/>
          <w:highlight w:val="none"/>
          <w:u w:val="none"/>
        </w:rPr>
        <w:t>年</w:t>
      </w:r>
      <w:r>
        <w:rPr>
          <w:rFonts w:hint="eastAsia" w:ascii="宋体" w:hAnsi="宋体" w:cs="宋体"/>
          <w:color w:val="auto"/>
          <w:szCs w:val="21"/>
          <w:highlight w:val="none"/>
          <w:u w:val="none"/>
          <w:lang w:val="en-US" w:eastAsia="zh-CN"/>
        </w:rPr>
        <w:t>11</w:t>
      </w:r>
      <w:r>
        <w:rPr>
          <w:rFonts w:hint="eastAsia" w:ascii="宋体" w:hAnsi="宋体" w:cs="宋体"/>
          <w:color w:val="auto"/>
          <w:szCs w:val="21"/>
          <w:highlight w:val="none"/>
          <w:u w:val="none"/>
        </w:rPr>
        <w:t>月</w:t>
      </w:r>
      <w:r>
        <w:rPr>
          <w:rFonts w:hint="eastAsia" w:ascii="宋体" w:hAnsi="宋体" w:cs="宋体"/>
          <w:color w:val="auto"/>
          <w:szCs w:val="21"/>
          <w:highlight w:val="none"/>
          <w:u w:val="none"/>
          <w:lang w:val="en-US" w:eastAsia="zh-CN"/>
        </w:rPr>
        <w:t>14</w:t>
      </w:r>
      <w:r>
        <w:rPr>
          <w:rFonts w:hint="eastAsia" w:ascii="宋体" w:hAnsi="宋体" w:cs="宋体"/>
          <w:color w:val="auto"/>
          <w:szCs w:val="21"/>
          <w:highlight w:val="none"/>
          <w:u w:val="none"/>
        </w:rPr>
        <w:t>日</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每天上午00:00至11:59，下午12:00至23:59（北京时间，法定节假日除外）</w:t>
      </w:r>
      <w:r>
        <w:rPr>
          <w:rFonts w:hint="eastAsia" w:ascii="宋体" w:hAnsi="宋体" w:cs="宋体"/>
          <w:color w:val="auto"/>
          <w:szCs w:val="21"/>
          <w:highlight w:val="none"/>
        </w:rPr>
        <w:t>。</w:t>
      </w:r>
    </w:p>
    <w:p w14:paraId="3D3DFBD4">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获取方式:网上下载。本项目不提供纸质文件，潜在供应商需在广西政府采购云平台（https://www.gcy.zfcg.gxzf.gov.cn/）-进入“项目采购”应用，在获取采购文件菜单中选择项目，获取竞争性磋商文件。电子响应文件制作需要基于广西政府采购云平台获取的竞争性磋商文件编制，通过其他方式获取竞争性磋商文件的，将有可能导致供应商无法在广西政府采购云平台编制及上传响应文件。</w:t>
      </w:r>
    </w:p>
    <w:p w14:paraId="0F3B0A92">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售价：0元。</w:t>
      </w:r>
    </w:p>
    <w:p w14:paraId="796C1FA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24"/>
      <w:bookmarkEnd w:id="25"/>
      <w:bookmarkEnd w:id="26"/>
      <w:bookmarkEnd w:id="27"/>
      <w:r>
        <w:rPr>
          <w:rFonts w:hint="eastAsia" w:ascii="宋体" w:hAnsi="宋体" w:cs="宋体"/>
          <w:b/>
          <w:bCs/>
          <w:color w:val="auto"/>
          <w:sz w:val="24"/>
          <w:highlight w:val="none"/>
        </w:rPr>
        <w:t>响应文件提交</w:t>
      </w:r>
    </w:p>
    <w:p w14:paraId="776F1A43">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1、截止时间</w:t>
      </w:r>
      <w:r>
        <w:rPr>
          <w:rFonts w:hint="eastAsia" w:ascii="宋体" w:hAnsi="宋体" w:cs="宋体"/>
          <w:bCs/>
          <w:color w:val="auto"/>
          <w:szCs w:val="21"/>
          <w:highlight w:val="none"/>
        </w:rPr>
        <w:t>（北京时间）：</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p>
    <w:p w14:paraId="434EC14F">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szCs w:val="21"/>
          <w:highlight w:val="none"/>
        </w:rPr>
        <w:t>2、地点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网址</w:t>
      </w:r>
      <w:r>
        <w:rPr>
          <w:rFonts w:hint="eastAsia" w:ascii="宋体" w:hAnsi="宋体" w:cs="宋体"/>
          <w:color w:val="auto"/>
          <w:szCs w:val="21"/>
          <w:highlight w:val="none"/>
          <w:lang w:eastAsia="zh-CN"/>
        </w:rPr>
        <w:t>）</w:t>
      </w:r>
      <w:r>
        <w:rPr>
          <w:rFonts w:hint="eastAsia" w:ascii="宋体" w:hAnsi="宋体" w:cs="宋体"/>
          <w:color w:val="auto"/>
          <w:szCs w:val="21"/>
          <w:highlight w:val="none"/>
        </w:rPr>
        <w:t>：通过</w:t>
      </w:r>
      <w:r>
        <w:rPr>
          <w:rFonts w:hint="eastAsia" w:ascii="宋体" w:hAnsi="宋体" w:cs="宋体"/>
          <w:color w:val="auto"/>
          <w:szCs w:val="21"/>
          <w:highlight w:val="none"/>
          <w:lang w:eastAsia="zh-CN"/>
        </w:rPr>
        <w:t>广西政府采购</w:t>
      </w:r>
      <w:r>
        <w:rPr>
          <w:rFonts w:hint="eastAsia" w:ascii="宋体" w:hAnsi="宋体" w:cs="宋体"/>
          <w:color w:val="auto"/>
          <w:szCs w:val="21"/>
          <w:highlight w:val="none"/>
        </w:rPr>
        <w:t>云平台实行在线投标响应</w:t>
      </w:r>
      <w:r>
        <w:rPr>
          <w:rFonts w:hint="eastAsia" w:ascii="宋体" w:hAnsi="宋体" w:cs="宋体"/>
          <w:color w:val="auto"/>
          <w:szCs w:val="21"/>
          <w:highlight w:val="none"/>
          <w:lang w:eastAsia="zh-CN"/>
        </w:rPr>
        <w:t>。</w:t>
      </w:r>
    </w:p>
    <w:p w14:paraId="6CABC45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621B5604">
      <w:pPr>
        <w:spacing w:line="360" w:lineRule="auto"/>
        <w:ind w:firstLine="420" w:firstLineChars="200"/>
        <w:rPr>
          <w:rFonts w:ascii="宋体" w:hAnsi="宋体" w:cs="宋体"/>
          <w:bCs/>
          <w:color w:val="auto"/>
          <w:szCs w:val="21"/>
          <w:highlight w:val="none"/>
          <w:u w:val="single"/>
        </w:rPr>
      </w:pPr>
      <w:bookmarkStart w:id="28" w:name="_Toc28359007"/>
      <w:bookmarkStart w:id="29" w:name="_Toc35393625"/>
      <w:bookmarkStart w:id="30" w:name="_Toc35393794"/>
      <w:bookmarkStart w:id="31" w:name="_Toc28359084"/>
      <w:r>
        <w:rPr>
          <w:rFonts w:hint="eastAsia" w:ascii="宋体" w:hAnsi="宋体" w:cs="宋体"/>
          <w:color w:val="auto"/>
          <w:szCs w:val="21"/>
          <w:highlight w:val="none"/>
        </w:rPr>
        <w:t>1.时间</w:t>
      </w:r>
      <w:r>
        <w:rPr>
          <w:rFonts w:hint="eastAsia" w:ascii="宋体" w:hAnsi="宋体" w:cs="宋体"/>
          <w:bCs/>
          <w:color w:val="auto"/>
          <w:szCs w:val="21"/>
          <w:highlight w:val="none"/>
        </w:rPr>
        <w:t>（北京时间）</w:t>
      </w:r>
      <w:r>
        <w:rPr>
          <w:rFonts w:hint="eastAsia" w:ascii="宋体" w:hAnsi="宋体" w:cs="宋体"/>
          <w:color w:val="auto"/>
          <w:szCs w:val="21"/>
          <w:highlight w:val="none"/>
        </w:rPr>
        <w:t>：</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年</w:t>
      </w:r>
      <w:r>
        <w:rPr>
          <w:rFonts w:hint="eastAsia" w:ascii="宋体" w:hAnsi="宋体" w:cs="宋体"/>
          <w:color w:val="auto"/>
          <w:szCs w:val="21"/>
          <w:highlight w:val="none"/>
          <w:u w:val="single"/>
          <w:lang w:val="en-US" w:eastAsia="zh-CN"/>
        </w:rPr>
        <w:t>11</w:t>
      </w:r>
      <w:r>
        <w:rPr>
          <w:rFonts w:hint="eastAsia" w:ascii="宋体" w:hAnsi="宋体" w:cs="宋体"/>
          <w:color w:val="auto"/>
          <w:szCs w:val="21"/>
          <w:highlight w:val="none"/>
          <w:u w:val="single"/>
        </w:rPr>
        <w:t>月</w:t>
      </w:r>
      <w:r>
        <w:rPr>
          <w:rFonts w:hint="eastAsia" w:ascii="宋体" w:hAnsi="宋体" w:cs="宋体"/>
          <w:color w:val="auto"/>
          <w:szCs w:val="21"/>
          <w:highlight w:val="none"/>
          <w:u w:val="single"/>
          <w:lang w:val="en-US" w:eastAsia="zh-CN"/>
        </w:rPr>
        <w:t>19</w:t>
      </w:r>
      <w:r>
        <w:rPr>
          <w:rFonts w:hint="eastAsia" w:ascii="宋体" w:hAnsi="宋体" w:cs="宋体"/>
          <w:color w:val="auto"/>
          <w:szCs w:val="21"/>
          <w:highlight w:val="none"/>
          <w:u w:val="single"/>
        </w:rPr>
        <w:t>日</w:t>
      </w:r>
      <w:r>
        <w:rPr>
          <w:rFonts w:hint="eastAsia" w:ascii="宋体" w:hAnsi="宋体" w:cs="宋体"/>
          <w:color w:val="auto"/>
          <w:szCs w:val="21"/>
          <w:highlight w:val="none"/>
          <w:u w:val="single"/>
          <w:lang w:val="en-US" w:eastAsia="zh-CN"/>
        </w:rPr>
        <w:t>13</w:t>
      </w:r>
      <w:r>
        <w:rPr>
          <w:rFonts w:hint="eastAsia" w:ascii="宋体" w:hAnsi="宋体" w:cs="宋体"/>
          <w:color w:val="auto"/>
          <w:szCs w:val="21"/>
          <w:highlight w:val="none"/>
          <w:u w:val="single"/>
        </w:rPr>
        <w:t>点30分</w:t>
      </w:r>
      <w:r>
        <w:rPr>
          <w:rFonts w:hint="eastAsia" w:ascii="宋体" w:hAnsi="宋体" w:cs="宋体"/>
          <w:color w:val="auto"/>
          <w:szCs w:val="21"/>
          <w:highlight w:val="none"/>
        </w:rPr>
        <w:t>后</w:t>
      </w:r>
    </w:p>
    <w:p w14:paraId="40CBBDEF">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2.地点：广西壮族自治区</w:t>
      </w:r>
      <w:r>
        <w:rPr>
          <w:rFonts w:hint="eastAsia" w:ascii="宋体" w:hAnsi="宋体" w:cs="宋体"/>
          <w:color w:val="auto"/>
          <w:szCs w:val="21"/>
          <w:highlight w:val="none"/>
        </w:rPr>
        <w:t>防城港市</w:t>
      </w:r>
      <w:r>
        <w:rPr>
          <w:rFonts w:hint="eastAsia" w:ascii="宋体" w:hAnsi="宋体" w:cs="宋体"/>
          <w:color w:val="auto"/>
          <w:szCs w:val="21"/>
          <w:highlight w:val="none"/>
          <w:lang w:val="en-US" w:eastAsia="zh-CN"/>
        </w:rPr>
        <w:t>公共资源交易中心</w:t>
      </w:r>
      <w:r>
        <w:rPr>
          <w:rFonts w:hint="eastAsia" w:ascii="宋体" w:hAnsi="宋体" w:cs="宋体"/>
          <w:color w:val="auto"/>
          <w:szCs w:val="21"/>
          <w:highlight w:val="none"/>
        </w:rPr>
        <w:t>开标室</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政府采购开标室</w:t>
      </w:r>
      <w:r>
        <w:rPr>
          <w:rFonts w:hint="eastAsia" w:ascii="宋体" w:hAnsi="宋体" w:cs="宋体"/>
          <w:color w:val="auto"/>
          <w:szCs w:val="21"/>
          <w:highlight w:val="none"/>
          <w:lang w:val="en-US" w:eastAsia="zh-CN"/>
        </w:rPr>
        <w:t xml:space="preserve">3 </w:t>
      </w:r>
    </w:p>
    <w:p w14:paraId="505A10DE">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六、公告期限</w:t>
      </w:r>
      <w:bookmarkEnd w:id="28"/>
      <w:bookmarkEnd w:id="29"/>
      <w:bookmarkEnd w:id="30"/>
      <w:bookmarkEnd w:id="31"/>
    </w:p>
    <w:p w14:paraId="23B3BA25">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自本公告发布之日起3个工作日。</w:t>
      </w:r>
    </w:p>
    <w:p w14:paraId="14F9362F">
      <w:pPr>
        <w:spacing w:line="360" w:lineRule="auto"/>
        <w:ind w:firstLine="482" w:firstLineChars="200"/>
        <w:rPr>
          <w:rFonts w:ascii="宋体" w:hAnsi="宋体" w:cs="宋体"/>
          <w:b/>
          <w:bCs/>
          <w:color w:val="auto"/>
          <w:sz w:val="24"/>
          <w:highlight w:val="none"/>
        </w:rPr>
      </w:pPr>
      <w:bookmarkStart w:id="32" w:name="_Toc35393795"/>
      <w:bookmarkStart w:id="33" w:name="_Toc35393626"/>
      <w:r>
        <w:rPr>
          <w:rFonts w:hint="eastAsia" w:ascii="宋体" w:hAnsi="宋体" w:cs="宋体"/>
          <w:b/>
          <w:bCs/>
          <w:color w:val="auto"/>
          <w:sz w:val="24"/>
          <w:highlight w:val="none"/>
        </w:rPr>
        <w:t>七、其他补充事宜</w:t>
      </w:r>
      <w:bookmarkEnd w:id="32"/>
      <w:bookmarkEnd w:id="33"/>
    </w:p>
    <w:p w14:paraId="15A765A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1.磋商保证金：本项目不收取磋商保证金</w:t>
      </w:r>
    </w:p>
    <w:p w14:paraId="1455AAB2">
      <w:pPr>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2.采购意向公开链接：</w:t>
      </w:r>
    </w:p>
    <w:p w14:paraId="11140F49">
      <w:pPr>
        <w:spacing w:line="360" w:lineRule="auto"/>
        <w:ind w:firstLine="420" w:firstLineChars="200"/>
        <w:rPr>
          <w:rFonts w:hint="eastAsia" w:ascii="宋体" w:hAnsi="宋体" w:cs="宋体"/>
          <w:color w:val="auto"/>
          <w:kern w:val="0"/>
          <w:szCs w:val="21"/>
          <w:highlight w:val="none"/>
          <w:lang w:val="en-US" w:eastAsia="zh-CN"/>
        </w:rPr>
      </w:pPr>
      <w:bookmarkStart w:id="34" w:name="_Hlk37429585"/>
      <w:r>
        <w:rPr>
          <w:rFonts w:hint="eastAsia" w:ascii="宋体" w:hAnsi="宋体" w:cs="宋体"/>
          <w:color w:val="auto"/>
          <w:kern w:val="0"/>
          <w:szCs w:val="21"/>
          <w:highlight w:val="none"/>
          <w:lang w:val="en-US" w:eastAsia="zh-CN"/>
        </w:rPr>
        <w:fldChar w:fldCharType="begin"/>
      </w:r>
      <w:r>
        <w:rPr>
          <w:rFonts w:hint="eastAsia" w:ascii="宋体" w:hAnsi="宋体" w:cs="宋体"/>
          <w:color w:val="auto"/>
          <w:kern w:val="0"/>
          <w:szCs w:val="21"/>
          <w:highlight w:val="none"/>
          <w:lang w:val="en-US" w:eastAsia="zh-CN"/>
        </w:rPr>
        <w:instrText xml:space="preserve"> HYPERLINK "http://www.ccgp-guangxi.gov.cn/site/detail?categoryCode=ZcyAnnouncement&amp;parentId=66485&amp;articleId=uZxyM4uYiBUVBHcJJUILwg==" </w:instrText>
      </w:r>
      <w:r>
        <w:rPr>
          <w:rFonts w:hint="eastAsia" w:ascii="宋体" w:hAnsi="宋体" w:cs="宋体"/>
          <w:color w:val="auto"/>
          <w:kern w:val="0"/>
          <w:szCs w:val="21"/>
          <w:highlight w:val="none"/>
          <w:lang w:val="en-US" w:eastAsia="zh-CN"/>
        </w:rPr>
        <w:fldChar w:fldCharType="separate"/>
      </w:r>
      <w:r>
        <w:rPr>
          <w:rStyle w:val="30"/>
          <w:rFonts w:hint="eastAsia" w:ascii="宋体" w:hAnsi="宋体" w:cs="宋体"/>
          <w:color w:val="auto"/>
          <w:kern w:val="0"/>
          <w:szCs w:val="21"/>
          <w:highlight w:val="none"/>
          <w:lang w:val="en-US" w:eastAsia="zh-CN"/>
        </w:rPr>
        <w:t>http://www.ccgp-guangxi.gov.cn/site/detail?categoryCode=ZcyAnnouncement&amp;parentId=66485&amp;articleId=uZxyM4uYiBUVBHcJJUILwg==</w:t>
      </w:r>
      <w:r>
        <w:rPr>
          <w:rFonts w:hint="eastAsia" w:ascii="宋体" w:hAnsi="宋体" w:cs="宋体"/>
          <w:color w:val="auto"/>
          <w:kern w:val="0"/>
          <w:szCs w:val="21"/>
          <w:highlight w:val="none"/>
          <w:lang w:val="en-US" w:eastAsia="zh-CN"/>
        </w:rPr>
        <w:fldChar w:fldCharType="end"/>
      </w:r>
    </w:p>
    <w:p w14:paraId="3538194D">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w:t>
      </w:r>
      <w:bookmarkStart w:id="35" w:name="_Hlk37429595"/>
      <w:r>
        <w:rPr>
          <w:rFonts w:hint="eastAsia" w:ascii="宋体" w:hAnsi="宋体" w:cs="宋体"/>
          <w:color w:val="auto"/>
          <w:kern w:val="0"/>
          <w:szCs w:val="21"/>
          <w:highlight w:val="none"/>
        </w:rPr>
        <w:t>网上查询地址</w:t>
      </w:r>
    </w:p>
    <w:bookmarkEnd w:id="34"/>
    <w:bookmarkEnd w:id="35"/>
    <w:p w14:paraId="1BCF1F1A">
      <w:pPr>
        <w:spacing w:line="360" w:lineRule="auto"/>
        <w:ind w:firstLine="420" w:firstLineChars="200"/>
        <w:rPr>
          <w:rFonts w:ascii="宋体" w:hAnsi="宋体" w:cs="宋体"/>
          <w:color w:val="auto"/>
          <w:kern w:val="0"/>
          <w:szCs w:val="21"/>
          <w:highlight w:val="none"/>
        </w:rPr>
      </w:pPr>
      <w:bookmarkStart w:id="36" w:name="_Hlk37429674"/>
      <w:r>
        <w:rPr>
          <w:rFonts w:hint="eastAsia" w:ascii="宋体" w:hAnsi="宋体" w:cs="宋体"/>
          <w:color w:val="auto"/>
          <w:kern w:val="0"/>
          <w:szCs w:val="21"/>
          <w:highlight w:val="none"/>
        </w:rPr>
        <w:t>中国政府采购网（www.ccgp.gov.cn）、广西壮族自治区政府采购网（http://zfcg.gxzf.gov.cn/）、全国公共资源交易平台(广西·防城港)（http://ggzy.jgswj.gxzf.gov.cn/fcgggzy/）</w:t>
      </w:r>
    </w:p>
    <w:p w14:paraId="3869C149">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本项目需要落实的政府采购政策</w:t>
      </w:r>
    </w:p>
    <w:bookmarkEnd w:id="36"/>
    <w:p w14:paraId="3F4A7600">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7EB5A861">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102592EE">
      <w:pPr>
        <w:spacing w:line="360" w:lineRule="auto"/>
        <w:ind w:firstLine="315" w:firstLineChars="150"/>
        <w:rPr>
          <w:rFonts w:ascii="宋体" w:hAnsi="宋体" w:cs="宋体"/>
          <w:color w:val="auto"/>
          <w:kern w:val="0"/>
          <w:szCs w:val="21"/>
          <w:highlight w:val="none"/>
        </w:rPr>
      </w:pPr>
      <w:r>
        <w:rPr>
          <w:rFonts w:hint="eastAsia" w:ascii="宋体" w:hAnsi="宋体" w:cs="宋体"/>
          <w:color w:val="auto"/>
          <w:kern w:val="0"/>
          <w:szCs w:val="21"/>
          <w:highlight w:val="none"/>
        </w:rPr>
        <w:t>（3）政府采购促进残疾人就业政策。</w:t>
      </w:r>
    </w:p>
    <w:p w14:paraId="7BDB4541">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（4）政府采购支持监狱企业发展。</w:t>
      </w:r>
    </w:p>
    <w:p w14:paraId="4EFB97CD">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.在线竞标响应（电子竞标）说明及注意事项</w:t>
      </w:r>
    </w:p>
    <w:p w14:paraId="1E147C6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（1）本项目通过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云平台实行在线电子响应，供应商应先安装“</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云平台电子交易客户端”（请自行前往</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云平台进行下载），并按照本项目采购文件和</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云平台的要求编制、加密后在响应文件递交截止时间前通过网络上传至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云平台，供应商在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云平台提交电子响应文件时，请填写参加远程开标活动经办人联系方式。供应商登录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云平台，依次进入“服务中心-项目采购-操作流程-电子招投标-政府采购项目电子交易管理操作指南-供应商”查看电子投标具体操作流程；在使用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云平台投标客户端时，建议使用WIN7及以上操作系统。</w:t>
      </w:r>
    </w:p>
    <w:p w14:paraId="6F590AD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（2）使用“</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交易客户端”需要提前申领CA数字证书，供应商应当在响应文件递交截止时间前，完成电子交易平台上的CA数字证书办理（完成CA数字证书办理预计要一周左右，供应商可登录“广西政府采购网”，依次进入“办事服务-下载专区”或者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云平台，依次进入“服务中心-入驻与配置”中查看CA数字证书办理操作流程。如在操作过程中遇到问题或者需要技术支持，请致电</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云平台客服热线：</w:t>
      </w:r>
      <w:r>
        <w:rPr>
          <w:rFonts w:hint="eastAsia" w:ascii="宋体" w:hAnsi="宋体" w:cs="宋体"/>
          <w:color w:val="auto"/>
          <w:kern w:val="0"/>
          <w:szCs w:val="21"/>
          <w:highlight w:val="none"/>
          <w:lang w:val="en-US" w:eastAsia="zh-CN"/>
        </w:rPr>
        <w:t>95763</w:t>
      </w:r>
      <w:r>
        <w:rPr>
          <w:rFonts w:hint="eastAsia" w:ascii="宋体" w:hAnsi="宋体" w:cs="宋体"/>
          <w:color w:val="auto"/>
          <w:kern w:val="0"/>
          <w:szCs w:val="21"/>
          <w:highlight w:val="none"/>
        </w:rPr>
        <w:t>）。</w:t>
      </w:r>
    </w:p>
    <w:p w14:paraId="7E217784">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（3）供应商应当在响应截止时间前，将生成的“电子响应文件”上传递交至</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响应文件递交截止时间前可以撤回电子响应文件。补充或者修改电子响应文件的，应当先行撤回原文件，补充、修改后重新上传递交，响应文件递交截止时间前未完成上传的，视为撤回响应文件；响应文件递交截止时间以后上传递交的响应文件，</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云平台将予以拒收。</w:t>
      </w:r>
    </w:p>
    <w:p w14:paraId="576177C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（4）CA证书在线解密：供应商竞标响应时，需用有效数字证书（CA认证）登录</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云平台电子开标大厅现场，在截标时间后30分钟内对加密的响应文件进行解密，否则后果自负。</w:t>
      </w:r>
    </w:p>
    <w:p w14:paraId="18DA0353">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）通过“政府采购云平台”上传递交的“电子加密响应文件”无法按时解密，供应商递交了电子备份响应文件的，以电子备份响应文件为依据，否则视为响应文件撤回。通过</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云平台上传递交的电子加密响应文件已按时解密的，电子备份响应文件自动失效。供应商仅递交电子备份响应文件的，竞标无效。</w:t>
      </w:r>
    </w:p>
    <w:p w14:paraId="6B24E95C">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）本项目需要供应商代表在截标后，按磋商小组要求及时登陆</w:t>
      </w:r>
      <w:r>
        <w:rPr>
          <w:rFonts w:hint="eastAsia" w:ascii="宋体" w:hAnsi="宋体" w:cs="宋体"/>
          <w:color w:val="auto"/>
          <w:kern w:val="0"/>
          <w:szCs w:val="21"/>
          <w:highlight w:val="none"/>
          <w:lang w:eastAsia="zh-CN"/>
        </w:rPr>
        <w:t>广西政府采购</w:t>
      </w:r>
      <w:r>
        <w:rPr>
          <w:rFonts w:hint="eastAsia" w:ascii="宋体" w:hAnsi="宋体" w:cs="宋体"/>
          <w:color w:val="auto"/>
          <w:kern w:val="0"/>
          <w:szCs w:val="21"/>
          <w:highlight w:val="none"/>
        </w:rPr>
        <w:t>云平台等候在线磋商及提交最后报价。</w:t>
      </w:r>
    </w:p>
    <w:p w14:paraId="48819FA9">
      <w:pPr>
        <w:spacing w:line="360" w:lineRule="auto"/>
        <w:ind w:firstLine="315" w:firstLineChars="150"/>
        <w:rPr>
          <w:rFonts w:hint="eastAsia" w:ascii="宋体" w:hAnsi="宋体" w:cs="宋体"/>
          <w:color w:val="auto"/>
          <w:kern w:val="0"/>
          <w:szCs w:val="21"/>
          <w:highlight w:val="none"/>
        </w:rPr>
      </w:pP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）为确保网上操作合法、有效和安全，请供应商确保在电子响应过程中能够对相关数据电文进行加密和使用电子签章，妥善保管CA数字证书并使用有效的CA数字证书参与整个竞标活动。</w:t>
      </w:r>
    </w:p>
    <w:p w14:paraId="70B27080">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2939DD8A">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 xml:space="preserve">.若对项目采购电子交易系统操作有疑问，可登录“广西政府采购云平台”https://www.gcy.zfcg.gxzf.gov.cn），点击右侧咨询小采，获取采小蜜智能服务管家帮助，或拨打广西政府采购云平台服务热线95763获取热线服务帮助。 </w:t>
      </w:r>
    </w:p>
    <w:p w14:paraId="1D7E78D3">
      <w:pPr>
        <w:spacing w:line="360" w:lineRule="auto"/>
        <w:ind w:firstLine="420" w:firstLineChars="200"/>
        <w:rPr>
          <w:rFonts w:hint="eastAsia" w:ascii="宋体" w:hAnsi="宋体" w:cs="宋体"/>
          <w:b/>
          <w:bCs/>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监督部门：上思县政府采购中心，电话：0770-8521708。</w:t>
      </w:r>
    </w:p>
    <w:p w14:paraId="0CE841C9">
      <w:pPr>
        <w:spacing w:line="360" w:lineRule="auto"/>
        <w:ind w:firstLine="482" w:firstLineChars="200"/>
        <w:rPr>
          <w:rFonts w:ascii="宋体" w:hAnsi="宋体" w:cs="宋体"/>
          <w:bCs/>
          <w:color w:val="auto"/>
          <w:sz w:val="24"/>
          <w:highlight w:val="none"/>
        </w:rPr>
      </w:pPr>
      <w:r>
        <w:rPr>
          <w:rFonts w:hint="eastAsia" w:ascii="宋体" w:hAnsi="宋体" w:cs="宋体"/>
          <w:b/>
          <w:color w:val="auto"/>
          <w:kern w:val="44"/>
          <w:sz w:val="24"/>
          <w:highlight w:val="none"/>
        </w:rPr>
        <w:t>八、凡对本次采购提出询问，请按以下方式联系</w:t>
      </w:r>
    </w:p>
    <w:p w14:paraId="0070EB82">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　　　</w:t>
      </w:r>
      <w:bookmarkStart w:id="37" w:name="_Toc10702"/>
      <w:r>
        <w:rPr>
          <w:rFonts w:hint="eastAsia" w:ascii="宋体" w:hAnsi="宋体" w:cs="宋体"/>
          <w:color w:val="auto"/>
          <w:szCs w:val="21"/>
          <w:highlight w:val="none"/>
        </w:rPr>
        <w:t>1.采购人信息</w:t>
      </w:r>
    </w:p>
    <w:p w14:paraId="59D8DF1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上思县农业农村局</w:t>
      </w:r>
    </w:p>
    <w:p w14:paraId="2D66BF68">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color w:val="auto"/>
          <w:szCs w:val="21"/>
          <w:highlight w:val="none"/>
          <w:lang w:eastAsia="zh-CN"/>
        </w:rPr>
        <w:t>上思县思阳镇仁甫西路农业农村局</w:t>
      </w:r>
    </w:p>
    <w:p w14:paraId="63213EF6">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color w:val="auto"/>
          <w:szCs w:val="21"/>
          <w:highlight w:val="none"/>
          <w:lang w:eastAsia="zh-CN"/>
        </w:rPr>
        <w:t>陆俊吉</w:t>
      </w:r>
    </w:p>
    <w:p w14:paraId="0E34F655">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lang w:eastAsia="zh-CN"/>
        </w:rPr>
        <w:t>0770-8509177</w:t>
      </w:r>
    </w:p>
    <w:p w14:paraId="78C8163E">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2.采购代理机构信息</w:t>
      </w:r>
    </w:p>
    <w:p w14:paraId="30554A24">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名称：</w:t>
      </w:r>
      <w:r>
        <w:rPr>
          <w:rFonts w:hint="eastAsia" w:ascii="宋体" w:hAnsi="宋体" w:cs="宋体"/>
          <w:color w:val="auto"/>
          <w:szCs w:val="21"/>
          <w:highlight w:val="none"/>
          <w:lang w:eastAsia="zh-CN"/>
        </w:rPr>
        <w:t>广西中泽诚信工程项目管理有限公司</w:t>
      </w:r>
    </w:p>
    <w:p w14:paraId="6A4932D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地址：</w:t>
      </w:r>
      <w:r>
        <w:rPr>
          <w:rFonts w:hint="eastAsia" w:ascii="宋体" w:hAnsi="宋体" w:cs="宋体"/>
          <w:bCs/>
          <w:color w:val="auto"/>
          <w:kern w:val="0"/>
          <w:szCs w:val="21"/>
          <w:highlight w:val="none"/>
        </w:rPr>
        <w:t>南宁市青秀区中柬路8号龙光世纪B座4223-4228</w:t>
      </w:r>
      <w:r>
        <w:rPr>
          <w:rFonts w:hint="eastAsia" w:ascii="宋体" w:hAnsi="宋体" w:cs="宋体"/>
          <w:bCs/>
          <w:color w:val="auto"/>
          <w:kern w:val="0"/>
          <w:szCs w:val="21"/>
          <w:highlight w:val="none"/>
          <w:lang w:val="en-US" w:eastAsia="zh-CN"/>
        </w:rPr>
        <w:t>号</w:t>
      </w:r>
    </w:p>
    <w:p w14:paraId="0CAC1FBB">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联系电话：</w:t>
      </w:r>
      <w:r>
        <w:rPr>
          <w:rFonts w:hint="eastAsia" w:ascii="宋体" w:hAnsi="宋体" w:cs="宋体"/>
          <w:bCs/>
          <w:color w:val="auto"/>
          <w:kern w:val="0"/>
          <w:szCs w:val="21"/>
          <w:highlight w:val="none"/>
          <w:lang w:val="en-US" w:eastAsia="zh-CN"/>
        </w:rPr>
        <w:t>0771-8096968</w:t>
      </w:r>
    </w:p>
    <w:p w14:paraId="6FAC8848">
      <w:pPr>
        <w:spacing w:line="360" w:lineRule="auto"/>
        <w:ind w:firstLine="630" w:firstLineChars="300"/>
        <w:jc w:val="left"/>
        <w:rPr>
          <w:rFonts w:ascii="宋体" w:hAnsi="宋体" w:cs="宋体"/>
          <w:color w:val="auto"/>
          <w:szCs w:val="21"/>
          <w:highlight w:val="none"/>
        </w:rPr>
      </w:pPr>
      <w:r>
        <w:rPr>
          <w:rFonts w:hint="eastAsia" w:ascii="宋体" w:hAnsi="宋体" w:cs="宋体"/>
          <w:color w:val="auto"/>
          <w:szCs w:val="21"/>
          <w:highlight w:val="none"/>
        </w:rPr>
        <w:t>3.项目联系方式</w:t>
      </w:r>
    </w:p>
    <w:p w14:paraId="14103BE6">
      <w:pPr>
        <w:spacing w:line="360" w:lineRule="auto"/>
        <w:ind w:firstLine="735" w:firstLineChars="350"/>
        <w:rPr>
          <w:rFonts w:ascii="宋体" w:hAnsi="宋体" w:cs="宋体"/>
          <w:color w:val="auto"/>
          <w:szCs w:val="21"/>
          <w:highlight w:val="none"/>
        </w:rPr>
      </w:pPr>
      <w:r>
        <w:rPr>
          <w:rFonts w:hint="eastAsia" w:ascii="宋体" w:hAnsi="宋体" w:cs="宋体"/>
          <w:color w:val="auto"/>
          <w:szCs w:val="21"/>
          <w:highlight w:val="none"/>
        </w:rPr>
        <w:t>项目联系人：</w:t>
      </w:r>
      <w:r>
        <w:rPr>
          <w:rFonts w:hint="eastAsia" w:ascii="宋体" w:hAnsi="宋体" w:cs="宋体"/>
          <w:bCs/>
          <w:color w:val="auto"/>
          <w:kern w:val="0"/>
          <w:szCs w:val="21"/>
          <w:highlight w:val="none"/>
          <w:lang w:val="en-US" w:eastAsia="zh-CN"/>
        </w:rPr>
        <w:t>雷芳莉、李泽云</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电话：</w:t>
      </w:r>
      <w:r>
        <w:rPr>
          <w:rFonts w:hint="eastAsia" w:ascii="宋体" w:hAnsi="宋体" w:cs="宋体"/>
          <w:bCs/>
          <w:color w:val="auto"/>
          <w:kern w:val="0"/>
          <w:szCs w:val="21"/>
          <w:highlight w:val="none"/>
          <w:lang w:val="en-US" w:eastAsia="zh-CN"/>
        </w:rPr>
        <w:t>0771-8096968</w:t>
      </w:r>
    </w:p>
    <w:p w14:paraId="13B11FD1">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广西中泽诚信工程项目管理有限公司</w:t>
      </w:r>
    </w:p>
    <w:p w14:paraId="5C56F9C2">
      <w:pPr>
        <w:spacing w:line="360" w:lineRule="auto"/>
        <w:ind w:firstLine="210" w:firstLineChars="100"/>
        <w:jc w:val="right"/>
        <w:rPr>
          <w:rFonts w:ascii="宋体" w:hAnsi="宋体" w:cs="宋体"/>
          <w:color w:val="auto"/>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07</w:t>
      </w:r>
      <w:r>
        <w:rPr>
          <w:rFonts w:hint="eastAsia" w:ascii="宋体" w:hAnsi="宋体" w:cs="宋体"/>
          <w:color w:val="auto"/>
          <w:szCs w:val="21"/>
          <w:highlight w:val="none"/>
        </w:rPr>
        <w:t>日</w:t>
      </w:r>
    </w:p>
    <w:p w14:paraId="14960183">
      <w:pPr>
        <w:spacing w:line="360" w:lineRule="auto"/>
        <w:ind w:firstLine="210" w:firstLineChars="100"/>
        <w:jc w:val="right"/>
        <w:rPr>
          <w:rFonts w:ascii="宋体" w:hAnsi="宋体" w:cs="宋体"/>
          <w:color w:val="auto"/>
          <w:highlight w:val="none"/>
        </w:rPr>
      </w:pPr>
    </w:p>
    <w:p w14:paraId="5FDC8921">
      <w:pPr>
        <w:widowControl/>
        <w:spacing w:line="360" w:lineRule="auto"/>
        <w:jc w:val="left"/>
        <w:rPr>
          <w:rFonts w:ascii="宋体" w:hAnsi="宋体" w:cs="宋体"/>
          <w:color w:val="auto"/>
          <w:sz w:val="24"/>
          <w:highlight w:val="none"/>
          <w:lang w:val="zh-CN"/>
        </w:rPr>
        <w:sectPr>
          <w:footerReference r:id="rId6" w:type="default"/>
          <w:pgSz w:w="11906" w:h="16838"/>
          <w:pgMar w:top="1134" w:right="1134" w:bottom="1134" w:left="1134" w:header="720" w:footer="720" w:gutter="0"/>
          <w:cols w:space="720" w:num="1"/>
          <w:docGrid w:type="lines" w:linePitch="331" w:charSpace="0"/>
        </w:sectPr>
      </w:pPr>
    </w:p>
    <w:p w14:paraId="5F3FC33F">
      <w:pPr>
        <w:pStyle w:val="2"/>
        <w:jc w:val="center"/>
        <w:rPr>
          <w:rFonts w:ascii="宋体" w:hAnsi="宋体" w:cs="宋体"/>
          <w:color w:val="auto"/>
          <w:highlight w:val="none"/>
        </w:rPr>
      </w:pPr>
      <w:r>
        <w:rPr>
          <w:rFonts w:hint="eastAsia" w:ascii="宋体" w:hAnsi="宋体" w:cs="宋体"/>
          <w:bCs w:val="0"/>
          <w:color w:val="auto"/>
          <w:sz w:val="32"/>
          <w:szCs w:val="32"/>
          <w:highlight w:val="none"/>
        </w:rPr>
        <w:t>第二章 采购需求</w:t>
      </w:r>
      <w:bookmarkEnd w:id="37"/>
    </w:p>
    <w:p w14:paraId="7F1980E2">
      <w:pPr>
        <w:pStyle w:val="9"/>
        <w:spacing w:line="420" w:lineRule="exact"/>
        <w:rPr>
          <w:rFonts w:hint="eastAsia" w:ascii="宋体" w:hAnsi="宋体" w:cs="宋体"/>
          <w:color w:val="auto"/>
          <w:szCs w:val="21"/>
          <w:highlight w:val="none"/>
        </w:rPr>
      </w:pPr>
      <w:r>
        <w:rPr>
          <w:rFonts w:hint="eastAsia" w:ascii="宋体" w:hAnsi="宋体" w:cs="宋体"/>
          <w:color w:val="auto"/>
          <w:szCs w:val="21"/>
          <w:highlight w:val="none"/>
        </w:rPr>
        <w:t>说明：</w:t>
      </w:r>
    </w:p>
    <w:p w14:paraId="791B24F5">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为落实政府采购政策需满足的要求（根据项目实际情况填写内容）</w:t>
      </w:r>
    </w:p>
    <w:p w14:paraId="22E07AB8">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（1）本竞争性磋商采购文件所称中小企业必须符合《政府采购促进中小企业发展管理办法》（财库〔2020〕46号）的规定。</w:t>
      </w:r>
    </w:p>
    <w:p w14:paraId="02688DFA">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3893622C">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2.“实质性要求”是指采购需求中带“▲”的条款或者不能负偏离的条款或者已经指明不满足按响应文件作无效处理的条款。</w:t>
      </w:r>
    </w:p>
    <w:p w14:paraId="3A135887">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不需要供应商对采购需求响应为具体数值的，此采购需求的数值后将以◆号标注。</w:t>
      </w:r>
    </w:p>
    <w:p w14:paraId="3F65E53F">
      <w:pPr>
        <w:pStyle w:val="9"/>
        <w:spacing w:line="42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 如竞标人竞标产品存在侵犯他人的知识产权或者专利成果行为的，应承担相应法律责任。</w:t>
      </w:r>
    </w:p>
    <w:p w14:paraId="6751923E">
      <w:pPr>
        <w:pStyle w:val="9"/>
        <w:spacing w:line="4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.本采购标的所属行业：</w:t>
      </w:r>
      <w:r>
        <w:rPr>
          <w:rFonts w:hint="eastAsia" w:ascii="宋体" w:hAnsi="宋体" w:cs="宋体"/>
          <w:color w:val="auto"/>
          <w:szCs w:val="21"/>
          <w:highlight w:val="none"/>
          <w:lang w:val="en-US" w:eastAsia="zh-CN"/>
        </w:rPr>
        <w:t>建筑业</w:t>
      </w:r>
      <w:r>
        <w:rPr>
          <w:rFonts w:hint="eastAsia" w:ascii="宋体" w:hAnsi="宋体" w:cs="宋体"/>
          <w:color w:val="auto"/>
          <w:szCs w:val="21"/>
          <w:highlight w:val="none"/>
        </w:rPr>
        <w:t>（详见附件 1 ）。</w:t>
      </w:r>
    </w:p>
    <w:tbl>
      <w:tblPr>
        <w:tblStyle w:val="26"/>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420"/>
        <w:gridCol w:w="1348"/>
        <w:gridCol w:w="464"/>
        <w:gridCol w:w="642"/>
        <w:gridCol w:w="4787"/>
        <w:gridCol w:w="727"/>
        <w:gridCol w:w="1188"/>
      </w:tblGrid>
      <w:tr w14:paraId="3EAF10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8"/>
            <w:tcBorders>
              <w:top w:val="single" w:color="auto" w:sz="4" w:space="0"/>
              <w:left w:val="single" w:color="auto" w:sz="4" w:space="0"/>
              <w:right w:val="single" w:color="auto" w:sz="4" w:space="0"/>
            </w:tcBorders>
            <w:vAlign w:val="center"/>
          </w:tcPr>
          <w:p w14:paraId="1A8DF974">
            <w:pPr>
              <w:spacing w:line="360" w:lineRule="exact"/>
              <w:jc w:val="center"/>
              <w:rPr>
                <w:rFonts w:ascii="宋体" w:hAnsi="宋体" w:cs="宋体"/>
                <w:b/>
                <w:color w:val="auto"/>
                <w:sz w:val="24"/>
                <w:highlight w:val="none"/>
              </w:rPr>
            </w:pPr>
            <w:r>
              <w:rPr>
                <w:rFonts w:hint="eastAsia" w:ascii="宋体" w:hAnsi="宋体" w:cs="宋体"/>
                <w:b/>
                <w:color w:val="auto"/>
                <w:sz w:val="32"/>
                <w:szCs w:val="32"/>
                <w:highlight w:val="none"/>
              </w:rPr>
              <w:t>服务需求一览表</w:t>
            </w:r>
          </w:p>
        </w:tc>
      </w:tr>
      <w:tr w14:paraId="112E94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tcBorders>
              <w:top w:val="single" w:color="auto" w:sz="4" w:space="0"/>
              <w:left w:val="single" w:color="auto" w:sz="4" w:space="0"/>
              <w:right w:val="single" w:color="auto" w:sz="4" w:space="0"/>
            </w:tcBorders>
          </w:tcPr>
          <w:p w14:paraId="394951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42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0BBB7A55">
            <w:pPr>
              <w:spacing w:line="36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标项</w:t>
            </w:r>
          </w:p>
        </w:tc>
        <w:tc>
          <w:tcPr>
            <w:tcW w:w="1348" w:type="dxa"/>
            <w:tcBorders>
              <w:top w:val="single" w:color="auto" w:sz="4" w:space="0"/>
              <w:left w:val="single" w:color="auto" w:sz="4" w:space="0"/>
              <w:bottom w:val="single" w:color="auto" w:sz="4" w:space="0"/>
              <w:right w:val="single" w:color="auto" w:sz="4" w:space="0"/>
            </w:tcBorders>
            <w:vAlign w:val="center"/>
          </w:tcPr>
          <w:p w14:paraId="1F8DA05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64" w:type="dxa"/>
            <w:tcBorders>
              <w:top w:val="single" w:color="auto" w:sz="4" w:space="0"/>
              <w:left w:val="single" w:color="auto" w:sz="4" w:space="0"/>
              <w:bottom w:val="single" w:color="auto" w:sz="4" w:space="0"/>
              <w:right w:val="single" w:color="auto" w:sz="4" w:space="0"/>
            </w:tcBorders>
            <w:vAlign w:val="center"/>
          </w:tcPr>
          <w:p w14:paraId="34B7ED8F">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642" w:type="dxa"/>
            <w:tcBorders>
              <w:top w:val="single" w:color="auto" w:sz="4" w:space="0"/>
              <w:left w:val="single" w:color="auto" w:sz="4" w:space="0"/>
              <w:bottom w:val="single" w:color="auto" w:sz="4" w:space="0"/>
              <w:right w:val="single" w:color="auto" w:sz="4" w:space="0"/>
            </w:tcBorders>
            <w:vAlign w:val="center"/>
          </w:tcPr>
          <w:p w14:paraId="313C054B">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4787" w:type="dxa"/>
            <w:tcBorders>
              <w:top w:val="single" w:color="auto" w:sz="4" w:space="0"/>
              <w:left w:val="single" w:color="auto" w:sz="4" w:space="0"/>
              <w:bottom w:val="single" w:color="auto" w:sz="4" w:space="0"/>
              <w:right w:val="single" w:color="auto" w:sz="4" w:space="0"/>
            </w:tcBorders>
            <w:vAlign w:val="center"/>
          </w:tcPr>
          <w:p w14:paraId="1807A89A">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c>
          <w:tcPr>
            <w:tcW w:w="727" w:type="dxa"/>
            <w:tcBorders>
              <w:top w:val="single" w:color="auto" w:sz="4" w:space="0"/>
              <w:left w:val="single" w:color="auto" w:sz="4" w:space="0"/>
              <w:bottom w:val="single" w:color="auto" w:sz="4" w:space="0"/>
              <w:right w:val="single" w:color="auto" w:sz="4" w:space="0"/>
            </w:tcBorders>
            <w:vAlign w:val="center"/>
          </w:tcPr>
          <w:p w14:paraId="2C257701">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分项预算合计（元）</w:t>
            </w:r>
          </w:p>
        </w:tc>
        <w:tc>
          <w:tcPr>
            <w:tcW w:w="1188" w:type="dxa"/>
            <w:tcBorders>
              <w:top w:val="single" w:color="auto" w:sz="4" w:space="0"/>
              <w:left w:val="single" w:color="auto" w:sz="4" w:space="0"/>
              <w:bottom w:val="single" w:color="auto" w:sz="4" w:space="0"/>
              <w:right w:val="single" w:color="auto" w:sz="4" w:space="0"/>
            </w:tcBorders>
            <w:vAlign w:val="center"/>
          </w:tcPr>
          <w:p w14:paraId="2938F64E">
            <w:pPr>
              <w:spacing w:line="360" w:lineRule="exact"/>
              <w:jc w:val="center"/>
              <w:rPr>
                <w:rFonts w:ascii="宋体" w:hAnsi="宋体" w:cs="宋体"/>
                <w:color w:val="auto"/>
                <w:szCs w:val="21"/>
                <w:highlight w:val="none"/>
              </w:rPr>
            </w:pPr>
            <w:r>
              <w:rPr>
                <w:rFonts w:hint="eastAsia" w:ascii="宋体" w:hAnsi="宋体" w:cs="宋体"/>
                <w:color w:val="auto"/>
                <w:szCs w:val="21"/>
                <w:highlight w:val="none"/>
              </w:rPr>
              <w:t>中小企业划分标准所属行业名称（行业名称及划分见本章附件1）</w:t>
            </w:r>
          </w:p>
        </w:tc>
      </w:tr>
      <w:tr w14:paraId="75289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6" w:hRule="atLeast"/>
          <w:jc w:val="center"/>
        </w:trPr>
        <w:tc>
          <w:tcPr>
            <w:tcW w:w="545" w:type="dxa"/>
            <w:tcBorders>
              <w:left w:val="single" w:color="auto" w:sz="4" w:space="0"/>
              <w:right w:val="single" w:color="auto" w:sz="4" w:space="0"/>
            </w:tcBorders>
          </w:tcPr>
          <w:p w14:paraId="7966CB7F">
            <w:pPr>
              <w:spacing w:line="360" w:lineRule="exact"/>
              <w:jc w:val="center"/>
              <w:rPr>
                <w:rFonts w:ascii="宋体" w:hAnsi="宋体" w:cs="宋体"/>
                <w:b/>
                <w:bCs/>
                <w:color w:val="auto"/>
                <w:highlight w:val="none"/>
              </w:rPr>
            </w:pPr>
          </w:p>
        </w:tc>
        <w:tc>
          <w:tcPr>
            <w:tcW w:w="420" w:type="dxa"/>
            <w:tcBorders>
              <w:top w:val="single" w:color="auto" w:sz="4" w:space="0"/>
              <w:left w:val="single" w:color="auto" w:sz="4" w:space="0"/>
              <w:right w:val="single" w:color="auto" w:sz="4" w:space="0"/>
            </w:tcBorders>
            <w:vAlign w:val="center"/>
          </w:tcPr>
          <w:p w14:paraId="13C962C8">
            <w:pPr>
              <w:spacing w:line="36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348" w:type="dxa"/>
            <w:tcBorders>
              <w:top w:val="single" w:color="auto" w:sz="4" w:space="0"/>
              <w:left w:val="single" w:color="auto" w:sz="4" w:space="0"/>
              <w:right w:val="single" w:color="auto" w:sz="4" w:space="0"/>
            </w:tcBorders>
            <w:vAlign w:val="center"/>
          </w:tcPr>
          <w:p w14:paraId="6E97B2BF">
            <w:pPr>
              <w:snapToGrid w:val="0"/>
              <w:spacing w:line="360" w:lineRule="exact"/>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2025年公正乡信良村道路硬化项目</w:t>
            </w:r>
          </w:p>
        </w:tc>
        <w:tc>
          <w:tcPr>
            <w:tcW w:w="464" w:type="dxa"/>
            <w:tcBorders>
              <w:top w:val="single" w:color="auto" w:sz="4" w:space="0"/>
              <w:left w:val="single" w:color="auto" w:sz="4" w:space="0"/>
              <w:right w:val="single" w:color="auto" w:sz="4" w:space="0"/>
            </w:tcBorders>
            <w:vAlign w:val="center"/>
          </w:tcPr>
          <w:p w14:paraId="5CB6FC67">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项</w:t>
            </w:r>
          </w:p>
        </w:tc>
        <w:tc>
          <w:tcPr>
            <w:tcW w:w="642" w:type="dxa"/>
            <w:tcBorders>
              <w:top w:val="single" w:color="auto" w:sz="4" w:space="0"/>
              <w:left w:val="single" w:color="auto" w:sz="4" w:space="0"/>
              <w:right w:val="single" w:color="auto" w:sz="4" w:space="0"/>
            </w:tcBorders>
            <w:vAlign w:val="center"/>
          </w:tcPr>
          <w:p w14:paraId="4BCF504C">
            <w:pPr>
              <w:snapToGrid w:val="0"/>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4787" w:type="dxa"/>
            <w:tcBorders>
              <w:top w:val="single" w:color="auto" w:sz="4" w:space="0"/>
              <w:left w:val="single" w:color="auto" w:sz="4" w:space="0"/>
              <w:right w:val="single" w:color="auto" w:sz="4" w:space="0"/>
            </w:tcBorders>
            <w:vAlign w:val="center"/>
          </w:tcPr>
          <w:p w14:paraId="418979C9">
            <w:pPr>
              <w:pStyle w:val="33"/>
              <w:jc w:val="left"/>
              <w:rPr>
                <w:rFonts w:hint="default" w:ascii="宋体" w:hAnsi="宋体" w:eastAsia="宋体" w:cs="宋体"/>
                <w:b w:val="0"/>
                <w:bCs/>
                <w:color w:val="auto"/>
                <w:highlight w:val="none"/>
                <w:lang w:val="en-US" w:eastAsia="zh-CN"/>
              </w:rPr>
            </w:pPr>
            <w:r>
              <w:rPr>
                <w:rFonts w:hint="eastAsia" w:ascii="宋体" w:hAnsi="宋体" w:eastAsia="宋体" w:cs="宋体"/>
                <w:b w:val="0"/>
                <w:bCs/>
                <w:color w:val="auto"/>
                <w:highlight w:val="none"/>
                <w:lang w:val="en-US" w:eastAsia="zh-CN"/>
              </w:rPr>
              <w:t>一、建设地点：公正乡信良村</w:t>
            </w:r>
          </w:p>
          <w:p w14:paraId="422C75D4">
            <w:pPr>
              <w:pStyle w:val="33"/>
              <w:jc w:val="left"/>
              <w:rPr>
                <w:rFonts w:hint="eastAsia" w:ascii="宋体" w:hAnsi="宋体" w:eastAsia="宋体" w:cs="宋体"/>
                <w:b w:val="0"/>
                <w:bCs/>
                <w:color w:val="auto"/>
                <w:highlight w:val="none"/>
                <w:lang w:val="en-US" w:eastAsia="zh-CN"/>
              </w:rPr>
            </w:pPr>
            <w:r>
              <w:rPr>
                <w:rFonts w:hint="eastAsia" w:ascii="宋体" w:hAnsi="宋体" w:eastAsia="宋体" w:cs="宋体"/>
                <w:color w:val="auto"/>
                <w:highlight w:val="none"/>
                <w:lang w:val="en-US" w:eastAsia="zh-CN"/>
              </w:rPr>
              <w:t>二、</w:t>
            </w:r>
            <w:r>
              <w:rPr>
                <w:rFonts w:hint="eastAsia" w:ascii="宋体" w:hAnsi="宋体" w:eastAsia="宋体" w:cs="宋体"/>
                <w:b w:val="0"/>
                <w:bCs/>
                <w:color w:val="auto"/>
                <w:highlight w:val="none"/>
                <w:lang w:val="en-US" w:eastAsia="zh-CN"/>
              </w:rPr>
              <w:t>项目采购范围（工程内容）：在公正乡信良村枯争屯修建道路约1.5公里，并修建错车道、挡土墙、排水涵管等附属配套设施，具体内容见工程量清单及图纸。具体内容见工程量清单及图纸。</w:t>
            </w:r>
          </w:p>
          <w:p w14:paraId="29CA4340">
            <w:pPr>
              <w:rPr>
                <w:rFonts w:hint="eastAsia" w:ascii="宋体" w:hAnsi="宋体" w:eastAsia="宋体" w:cs="宋体"/>
                <w:color w:val="auto"/>
                <w:highlight w:val="none"/>
              </w:rPr>
            </w:pPr>
            <w:r>
              <w:rPr>
                <w:rFonts w:hint="eastAsia" w:ascii="宋体" w:hAnsi="宋体" w:cs="宋体"/>
                <w:color w:val="auto"/>
                <w:highlight w:val="none"/>
                <w:lang w:val="en-US" w:eastAsia="zh-CN"/>
              </w:rPr>
              <w:t>三</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技术标准：</w:t>
            </w:r>
            <w:r>
              <w:rPr>
                <w:rFonts w:hint="eastAsia" w:ascii="宋体" w:hAnsi="宋体" w:eastAsia="宋体" w:cs="宋体"/>
                <w:color w:val="auto"/>
                <w:highlight w:val="none"/>
                <w:lang w:val="en-US" w:eastAsia="zh-CN"/>
              </w:rPr>
              <w:t>按交通部颁发的《公路工程技术标准》（JTG B01-2014）规定四级公路标准，并参照《小交通量农村公路工程技术标准》（JTG 2111—2019）</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符合现行国家相关标准、行业标准、地方标准或者其他标准、规范。</w:t>
            </w:r>
            <w:r>
              <w:rPr>
                <w:rFonts w:hint="eastAsia" w:ascii="宋体" w:hAnsi="宋体" w:eastAsia="宋体" w:cs="宋体"/>
                <w:color w:val="auto"/>
                <w:highlight w:val="none"/>
                <w:lang w:val="en-US" w:eastAsia="zh-CN"/>
              </w:rPr>
              <w:t>如</w:t>
            </w:r>
            <w:r>
              <w:rPr>
                <w:rFonts w:hint="eastAsia" w:ascii="宋体" w:hAnsi="宋体" w:eastAsia="宋体" w:cs="宋体"/>
                <w:color w:val="auto"/>
                <w:highlight w:val="none"/>
                <w:lang w:eastAsia="zh-CN"/>
              </w:rPr>
              <w:t>国家、行业和地方有新的规范、标准、规程出台的，应执行新的规范、标准、规程。</w:t>
            </w:r>
          </w:p>
        </w:tc>
        <w:tc>
          <w:tcPr>
            <w:tcW w:w="727" w:type="dxa"/>
            <w:tcBorders>
              <w:top w:val="single" w:color="auto" w:sz="4" w:space="0"/>
              <w:left w:val="single" w:color="auto" w:sz="4" w:space="0"/>
              <w:right w:val="single" w:color="auto" w:sz="4" w:space="0"/>
            </w:tcBorders>
            <w:vAlign w:val="center"/>
          </w:tcPr>
          <w:p w14:paraId="22B0358F">
            <w:pPr>
              <w:spacing w:line="360" w:lineRule="exact"/>
              <w:jc w:val="center"/>
              <w:rPr>
                <w:rFonts w:hint="default" w:ascii="宋体" w:hAnsi="宋体" w:cs="宋体"/>
                <w:color w:val="auto"/>
                <w:szCs w:val="21"/>
                <w:highlight w:val="none"/>
                <w:lang w:val="en-US"/>
              </w:rPr>
            </w:pPr>
            <w:r>
              <w:rPr>
                <w:rFonts w:hint="default" w:ascii="宋体" w:hAnsi="宋体" w:cs="宋体"/>
                <w:color w:val="auto"/>
                <w:szCs w:val="21"/>
                <w:highlight w:val="none"/>
                <w:lang w:val="en-US"/>
              </w:rPr>
              <w:t>699352.76</w:t>
            </w:r>
          </w:p>
        </w:tc>
        <w:tc>
          <w:tcPr>
            <w:tcW w:w="1188" w:type="dxa"/>
            <w:tcBorders>
              <w:top w:val="single" w:color="auto" w:sz="4" w:space="0"/>
              <w:left w:val="single" w:color="auto" w:sz="4" w:space="0"/>
              <w:right w:val="single" w:color="auto" w:sz="4" w:space="0"/>
            </w:tcBorders>
            <w:vAlign w:val="center"/>
          </w:tcPr>
          <w:p w14:paraId="145335C1">
            <w:pPr>
              <w:spacing w:line="360" w:lineRule="exact"/>
              <w:jc w:val="center"/>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建筑业</w:t>
            </w:r>
          </w:p>
        </w:tc>
      </w:tr>
      <w:tr w14:paraId="72DDAA8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2313" w:type="dxa"/>
            <w:gridSpan w:val="3"/>
            <w:tcBorders>
              <w:top w:val="single" w:color="auto" w:sz="4" w:space="0"/>
              <w:left w:val="single" w:color="auto" w:sz="4" w:space="0"/>
              <w:bottom w:val="single" w:color="auto" w:sz="4" w:space="0"/>
              <w:right w:val="single" w:color="auto" w:sz="4" w:space="0"/>
            </w:tcBorders>
          </w:tcPr>
          <w:p w14:paraId="4AC23C5D">
            <w:pPr>
              <w:spacing w:line="360" w:lineRule="exact"/>
              <w:jc w:val="center"/>
              <w:rPr>
                <w:rFonts w:ascii="宋体" w:hAnsi="宋体" w:cs="宋体"/>
                <w:color w:val="auto"/>
                <w:highlight w:val="none"/>
              </w:rPr>
            </w:pPr>
          </w:p>
          <w:p w14:paraId="521000FB">
            <w:pPr>
              <w:spacing w:line="360" w:lineRule="exact"/>
              <w:jc w:val="center"/>
              <w:rPr>
                <w:rFonts w:ascii="宋体" w:hAnsi="宋体" w:cs="宋体"/>
                <w:color w:val="auto"/>
                <w:highlight w:val="none"/>
              </w:rPr>
            </w:pPr>
          </w:p>
          <w:p w14:paraId="3F973325">
            <w:pPr>
              <w:spacing w:line="360" w:lineRule="exact"/>
              <w:jc w:val="center"/>
              <w:rPr>
                <w:rFonts w:hint="eastAsia" w:ascii="宋体" w:hAnsi="宋体" w:eastAsia="宋体" w:cs="宋体"/>
                <w:color w:val="auto"/>
                <w:highlight w:val="none"/>
                <w:lang w:eastAsia="zh-CN"/>
              </w:rPr>
            </w:pPr>
            <w:r>
              <w:rPr>
                <w:rFonts w:hint="eastAsia" w:ascii="宋体" w:hAnsi="宋体" w:cs="宋体"/>
                <w:color w:val="auto"/>
                <w:highlight w:val="none"/>
              </w:rPr>
              <w:t>商务条款</w:t>
            </w:r>
          </w:p>
        </w:tc>
        <w:tc>
          <w:tcPr>
            <w:tcW w:w="7808" w:type="dxa"/>
            <w:gridSpan w:val="5"/>
            <w:tcBorders>
              <w:top w:val="single" w:color="auto" w:sz="4" w:space="0"/>
              <w:left w:val="single" w:color="auto" w:sz="4" w:space="0"/>
              <w:bottom w:val="single" w:color="auto" w:sz="4" w:space="0"/>
              <w:right w:val="single" w:color="auto" w:sz="4" w:space="0"/>
            </w:tcBorders>
          </w:tcPr>
          <w:p w14:paraId="1B89892A">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rPr>
              <w:t>一、合同签订期：自</w:t>
            </w:r>
            <w:r>
              <w:rPr>
                <w:rFonts w:hint="eastAsia" w:ascii="宋体" w:hAnsi="宋体" w:cs="宋体"/>
                <w:bCs/>
                <w:color w:val="auto"/>
                <w:highlight w:val="none"/>
              </w:rPr>
              <w:t>成交</w:t>
            </w:r>
            <w:r>
              <w:rPr>
                <w:rFonts w:hint="eastAsia" w:ascii="宋体" w:hAnsi="宋体" w:cs="宋体"/>
                <w:color w:val="auto"/>
                <w:highlight w:val="none"/>
              </w:rPr>
              <w:t>通知书发出之日起 25 日内（注：</w:t>
            </w:r>
            <w:r>
              <w:rPr>
                <w:rFonts w:hint="eastAsia" w:ascii="宋体" w:hAnsi="宋体" w:cs="宋体"/>
                <w:bCs/>
                <w:color w:val="auto"/>
                <w:highlight w:val="none"/>
              </w:rPr>
              <w:t>成交</w:t>
            </w:r>
            <w:r>
              <w:rPr>
                <w:rFonts w:hint="eastAsia" w:ascii="宋体" w:hAnsi="宋体" w:cs="宋体"/>
                <w:color w:val="auto"/>
                <w:highlight w:val="none"/>
              </w:rPr>
              <w:t>通知书发出之日起25日内必须签订合同。）</w:t>
            </w:r>
          </w:p>
          <w:p w14:paraId="606C5AC7">
            <w:pPr>
              <w:widowControl/>
              <w:shd w:val="clear" w:color="auto" w:fill="FFFFFF"/>
              <w:spacing w:line="360" w:lineRule="exact"/>
              <w:rPr>
                <w:rFonts w:hint="eastAsia" w:ascii="宋体" w:hAnsi="宋体" w:cs="宋体"/>
                <w:color w:val="auto"/>
                <w:szCs w:val="21"/>
                <w:highlight w:val="none"/>
              </w:rPr>
            </w:pPr>
            <w:r>
              <w:rPr>
                <w:rFonts w:hint="eastAsia" w:ascii="宋体" w:hAnsi="宋体" w:cs="宋体"/>
                <w:color w:val="auto"/>
                <w:highlight w:val="none"/>
              </w:rPr>
              <w:t>▲</w:t>
            </w:r>
            <w:r>
              <w:rPr>
                <w:rFonts w:hint="eastAsia" w:ascii="宋体" w:hAnsi="宋体" w:cs="宋体"/>
                <w:color w:val="auto"/>
                <w:szCs w:val="21"/>
                <w:highlight w:val="none"/>
              </w:rPr>
              <w:t>二、</w:t>
            </w:r>
            <w:r>
              <w:rPr>
                <w:rFonts w:hint="eastAsia" w:ascii="宋体" w:hAnsi="宋体" w:cs="宋体"/>
                <w:color w:val="auto"/>
                <w:szCs w:val="21"/>
                <w:highlight w:val="none"/>
                <w:lang w:val="en-US" w:eastAsia="zh-CN"/>
              </w:rPr>
              <w:t>工期</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90日历天</w:t>
            </w:r>
            <w:r>
              <w:rPr>
                <w:rFonts w:hint="eastAsia" w:ascii="宋体" w:hAnsi="宋体" w:cs="宋体"/>
                <w:color w:val="auto"/>
                <w:szCs w:val="21"/>
                <w:highlight w:val="none"/>
              </w:rPr>
              <w:t>。</w:t>
            </w:r>
          </w:p>
          <w:p w14:paraId="7B04BB8A">
            <w:pPr>
              <w:widowControl/>
              <w:shd w:val="clear" w:color="auto" w:fill="FFFFFF"/>
              <w:spacing w:line="360" w:lineRule="exact"/>
              <w:ind w:firstLine="630" w:firstLineChars="300"/>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合同履行期限</w:t>
            </w:r>
            <w:r>
              <w:rPr>
                <w:rFonts w:hint="eastAsia" w:ascii="宋体" w:hAnsi="宋体" w:cs="宋体"/>
                <w:color w:val="auto"/>
                <w:szCs w:val="21"/>
                <w:highlight w:val="none"/>
                <w:lang w:eastAsia="zh-CN"/>
              </w:rPr>
              <w:t>：自合同签订之日起至项目验收完成。</w:t>
            </w:r>
          </w:p>
          <w:p w14:paraId="7FE44AD8">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三</w:t>
            </w:r>
            <w:r>
              <w:rPr>
                <w:rFonts w:hint="eastAsia" w:ascii="宋体" w:hAnsi="宋体" w:cs="宋体"/>
                <w:color w:val="auto"/>
                <w:highlight w:val="none"/>
              </w:rPr>
              <w:t>、提交服务成果地点：采购人指定地点。</w:t>
            </w:r>
          </w:p>
          <w:p w14:paraId="6307AC8F">
            <w:pPr>
              <w:widowControl/>
              <w:shd w:val="clear" w:color="auto" w:fill="FFFFFF"/>
              <w:spacing w:line="360" w:lineRule="exact"/>
              <w:rPr>
                <w:rFonts w:hint="eastAsia" w:ascii="宋体" w:hAnsi="宋体" w:cs="宋体"/>
                <w:color w:val="auto"/>
                <w:highlight w:val="none"/>
                <w:lang w:eastAsia="zh-CN"/>
              </w:rPr>
            </w:pPr>
            <w:r>
              <w:rPr>
                <w:rFonts w:hint="eastAsia" w:ascii="宋体" w:hAnsi="宋体" w:cs="宋体"/>
                <w:color w:val="auto"/>
                <w:highlight w:val="none"/>
              </w:rPr>
              <w:t>▲</w:t>
            </w:r>
            <w:r>
              <w:rPr>
                <w:rFonts w:hint="eastAsia" w:ascii="宋体" w:hAnsi="宋体" w:cs="宋体"/>
                <w:color w:val="auto"/>
                <w:highlight w:val="none"/>
                <w:lang w:val="en-US" w:eastAsia="zh-CN"/>
              </w:rPr>
              <w:t>四</w:t>
            </w:r>
            <w:r>
              <w:rPr>
                <w:rFonts w:hint="eastAsia" w:ascii="宋体" w:hAnsi="宋体" w:cs="宋体"/>
                <w:color w:val="auto"/>
                <w:highlight w:val="none"/>
              </w:rPr>
              <w:t>、</w:t>
            </w:r>
            <w:r>
              <w:rPr>
                <w:rFonts w:hint="eastAsia" w:ascii="宋体" w:hAnsi="宋体" w:cs="宋体"/>
                <w:color w:val="auto"/>
                <w:highlight w:val="none"/>
                <w:lang w:val="en-US" w:eastAsia="zh-CN"/>
              </w:rPr>
              <w:t>工程质量要求</w:t>
            </w:r>
            <w:r>
              <w:rPr>
                <w:rFonts w:hint="eastAsia" w:ascii="宋体" w:hAnsi="宋体" w:cs="宋体"/>
                <w:color w:val="auto"/>
                <w:highlight w:val="none"/>
              </w:rPr>
              <w:t>：达到</w:t>
            </w:r>
            <w:bookmarkStart w:id="38" w:name="EB4d4b13a461124532a79c71ae440db6f7"/>
            <w:r>
              <w:rPr>
                <w:rFonts w:hint="eastAsia" w:ascii="宋体" w:hAnsi="宋体" w:cs="宋体"/>
                <w:color w:val="auto"/>
                <w:highlight w:val="none"/>
              </w:rPr>
              <w:t>国家施工验收规范合格</w:t>
            </w:r>
            <w:bookmarkEnd w:id="38"/>
            <w:r>
              <w:rPr>
                <w:rFonts w:hint="eastAsia" w:ascii="宋体" w:hAnsi="宋体" w:cs="宋体"/>
                <w:color w:val="auto"/>
                <w:highlight w:val="none"/>
              </w:rPr>
              <w:t>标准</w:t>
            </w:r>
            <w:r>
              <w:rPr>
                <w:rFonts w:hint="eastAsia" w:ascii="宋体" w:hAnsi="宋体" w:cs="宋体"/>
                <w:color w:val="auto"/>
                <w:highlight w:val="none"/>
                <w:lang w:eastAsia="zh-CN"/>
              </w:rPr>
              <w:t>。</w:t>
            </w:r>
          </w:p>
          <w:p w14:paraId="42A2E793">
            <w:pPr>
              <w:widowControl/>
              <w:shd w:val="clear" w:color="auto" w:fill="FFFFFF"/>
              <w:spacing w:line="360" w:lineRule="exact"/>
              <w:ind w:firstLine="630" w:firstLineChars="300"/>
              <w:rPr>
                <w:rFonts w:hint="eastAsia" w:ascii="宋体" w:hAnsi="宋体" w:cs="宋体"/>
                <w:color w:val="auto"/>
                <w:highlight w:val="none"/>
                <w:lang w:eastAsia="zh-CN"/>
              </w:rPr>
            </w:pPr>
            <w:r>
              <w:rPr>
                <w:rStyle w:val="46"/>
                <w:rFonts w:hint="eastAsia" w:ascii="宋体" w:hAnsi="宋体" w:eastAsia="宋体" w:cs="宋体"/>
                <w:color w:val="auto"/>
                <w:sz w:val="21"/>
                <w:szCs w:val="21"/>
                <w:highlight w:val="none"/>
              </w:rPr>
              <w:t>工程安全目标</w:t>
            </w:r>
            <w:r>
              <w:rPr>
                <w:rStyle w:val="46"/>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eastAsia="zh-CN"/>
              </w:rPr>
              <w:t>不允许发生安全事故，即使发生，</w:t>
            </w:r>
            <w:r>
              <w:rPr>
                <w:rFonts w:hint="eastAsia" w:ascii="宋体" w:hAnsi="宋体" w:cs="宋体"/>
                <w:color w:val="auto"/>
                <w:sz w:val="21"/>
                <w:szCs w:val="21"/>
                <w:highlight w:val="none"/>
                <w:u w:val="none"/>
                <w:lang w:val="en-US" w:eastAsia="zh-CN"/>
              </w:rPr>
              <w:t>供应商</w:t>
            </w:r>
            <w:r>
              <w:rPr>
                <w:rFonts w:hint="eastAsia" w:ascii="宋体" w:hAnsi="宋体" w:eastAsia="宋体" w:cs="宋体"/>
                <w:color w:val="auto"/>
                <w:sz w:val="21"/>
                <w:szCs w:val="21"/>
                <w:highlight w:val="none"/>
                <w:u w:val="none"/>
                <w:lang w:eastAsia="zh-CN"/>
              </w:rPr>
              <w:t>须对事故负责。</w:t>
            </w:r>
          </w:p>
          <w:p w14:paraId="2F2081DB">
            <w:pPr>
              <w:widowControl/>
              <w:shd w:val="clear" w:color="auto" w:fill="FFFFFF"/>
              <w:spacing w:line="360" w:lineRule="exact"/>
              <w:rPr>
                <w:rFonts w:ascii="宋体" w:hAnsi="宋体" w:cs="宋体"/>
                <w:color w:val="auto"/>
                <w:highlight w:val="none"/>
              </w:rPr>
            </w:pPr>
            <w:r>
              <w:rPr>
                <w:rFonts w:hint="eastAsia" w:ascii="宋体" w:hAnsi="宋体" w:cs="宋体"/>
                <w:color w:val="auto"/>
                <w:highlight w:val="none"/>
                <w:lang w:val="en-US" w:eastAsia="zh-CN"/>
              </w:rPr>
              <w:t>五</w:t>
            </w:r>
            <w:r>
              <w:rPr>
                <w:rFonts w:hint="eastAsia" w:ascii="宋体" w:hAnsi="宋体" w:cs="宋体"/>
                <w:color w:val="auto"/>
                <w:highlight w:val="none"/>
              </w:rPr>
              <w:t>、其他要求：</w:t>
            </w:r>
          </w:p>
          <w:p w14:paraId="4EB83627">
            <w:pPr>
              <w:widowControl/>
              <w:shd w:val="clear" w:color="auto" w:fill="FFFFFF"/>
              <w:spacing w:line="360" w:lineRule="exact"/>
              <w:ind w:firstLine="210" w:firstLineChars="100"/>
              <w:rPr>
                <w:rFonts w:hint="eastAsia" w:ascii="宋体" w:hAnsi="宋体" w:cs="宋体"/>
                <w:color w:val="auto"/>
                <w:highlight w:val="none"/>
                <w:lang w:eastAsia="zh-CN"/>
              </w:rPr>
            </w:pPr>
            <w:r>
              <w:rPr>
                <w:rFonts w:hint="eastAsia" w:ascii="宋体" w:hAnsi="宋体" w:cs="宋体"/>
                <w:color w:val="auto"/>
                <w:highlight w:val="none"/>
              </w:rPr>
              <w:t>▲1、本项目采用工程量清单报价。供应商应结合自身因素进行工程量清单报价，但不得超出</w:t>
            </w:r>
            <w:r>
              <w:rPr>
                <w:rFonts w:hint="eastAsia" w:ascii="宋体" w:hAnsi="宋体" w:cs="宋体"/>
                <w:color w:val="auto"/>
                <w:highlight w:val="none"/>
                <w:lang w:val="en-US" w:eastAsia="zh-CN"/>
              </w:rPr>
              <w:t>采购预算价或最高限价</w:t>
            </w:r>
            <w:r>
              <w:rPr>
                <w:rFonts w:hint="eastAsia" w:ascii="宋体" w:hAnsi="宋体" w:cs="宋体"/>
                <w:color w:val="auto"/>
                <w:highlight w:val="none"/>
              </w:rPr>
              <w:t>，否则</w:t>
            </w:r>
            <w:r>
              <w:rPr>
                <w:rFonts w:hint="eastAsia" w:ascii="宋体" w:hAnsi="宋体" w:cs="宋体"/>
                <w:color w:val="auto"/>
                <w:highlight w:val="none"/>
                <w:lang w:val="en-US" w:eastAsia="zh-CN"/>
              </w:rPr>
              <w:t>磋商</w:t>
            </w:r>
            <w:r>
              <w:rPr>
                <w:rFonts w:hint="eastAsia" w:ascii="宋体" w:hAnsi="宋体" w:cs="宋体"/>
                <w:color w:val="auto"/>
                <w:highlight w:val="none"/>
              </w:rPr>
              <w:t>无效。供应商必须就所投工程的全部内容作完整唯一报价，有选择的或有条件的报价，其磋商无效</w:t>
            </w:r>
            <w:r>
              <w:rPr>
                <w:rFonts w:hint="eastAsia" w:ascii="宋体" w:hAnsi="宋体" w:cs="宋体"/>
                <w:color w:val="auto"/>
                <w:highlight w:val="none"/>
                <w:lang w:eastAsia="zh-CN"/>
              </w:rPr>
              <w:t>。</w:t>
            </w:r>
          </w:p>
          <w:p w14:paraId="4C0338F2">
            <w:pPr>
              <w:widowControl/>
              <w:shd w:val="clear" w:color="auto" w:fill="FFFFFF"/>
              <w:spacing w:line="360" w:lineRule="exact"/>
              <w:ind w:firstLine="422" w:firstLineChars="200"/>
              <w:rPr>
                <w:rFonts w:hint="eastAsia" w:ascii="宋体" w:hAnsi="宋体" w:cs="宋体"/>
                <w:color w:val="auto"/>
                <w:highlight w:val="none"/>
                <w:lang w:eastAsia="zh-CN"/>
              </w:rPr>
            </w:pPr>
            <w:r>
              <w:rPr>
                <w:rFonts w:hint="eastAsia" w:ascii="宋体" w:hAnsi="宋体" w:cs="宋体"/>
                <w:b/>
                <w:bCs/>
                <w:color w:val="auto"/>
                <w:highlight w:val="none"/>
                <w:lang w:eastAsia="zh-CN"/>
              </w:rPr>
              <w:t>首次报价与最后报价一致的，最后报价不需上传工程量清单；首次报价与最后报价不一致的，最后报价必须上传工程量清单。</w:t>
            </w:r>
          </w:p>
          <w:p w14:paraId="29C882DD">
            <w:pPr>
              <w:widowControl/>
              <w:shd w:val="clear" w:color="auto" w:fill="FFFFFF"/>
              <w:spacing w:line="360" w:lineRule="exact"/>
              <w:ind w:firstLine="210" w:firstLineChars="100"/>
              <w:rPr>
                <w:rFonts w:ascii="宋体" w:hAnsi="宋体" w:cs="宋体"/>
                <w:color w:val="auto"/>
                <w:highlight w:val="none"/>
              </w:rPr>
            </w:pPr>
            <w:r>
              <w:rPr>
                <w:rFonts w:hint="eastAsia" w:ascii="宋体" w:hAnsi="宋体" w:cs="宋体"/>
                <w:color w:val="auto"/>
                <w:highlight w:val="none"/>
              </w:rPr>
              <w:t>▲2、报价必须含以下部分，包括：</w:t>
            </w:r>
          </w:p>
          <w:p w14:paraId="380C6BC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2.1工程量清单中的每一子目须填入单价或价格，且只允许有一个报价。</w:t>
            </w:r>
          </w:p>
          <w:p w14:paraId="0D4821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2.2 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459D4C3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2.3工程量清单中供应商没有填入单价或价格的子目，其费用视为己分摊在工程量清单中其他相关子目的单价或价格之中。承包人必须按监理人指令完成工程量清单中未填入单价或价格的子目，但不能得到结算与支付。</w:t>
            </w:r>
          </w:p>
          <w:p w14:paraId="08678B15">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4A805F5E">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2.5承包人用于本合同工程的各类装备的提供、运输、维护、拆卸、拼装等支付的费用，已包括在工程量清单的单价与总额价之中。</w:t>
            </w:r>
          </w:p>
          <w:p w14:paraId="2C45B602">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2.6工程量清单中各项金额均以人民币（元）结算。</w:t>
            </w:r>
          </w:p>
          <w:p w14:paraId="766B86BC">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7</w:t>
            </w:r>
            <w:r>
              <w:rPr>
                <w:rFonts w:hint="eastAsia" w:ascii="宋体" w:hAnsi="宋体" w:cs="宋体"/>
                <w:color w:val="auto"/>
                <w:highlight w:val="none"/>
              </w:rPr>
              <w:t xml:space="preserve"> 暂列金额（不含计日工总额）的数量及拟用子目的说明：详见工程量清单。</w:t>
            </w:r>
          </w:p>
          <w:p w14:paraId="3400882B">
            <w:pPr>
              <w:widowControl/>
              <w:shd w:val="clear" w:color="auto" w:fill="FFFFFF"/>
              <w:spacing w:line="360" w:lineRule="exact"/>
              <w:ind w:firstLine="420" w:firstLineChars="200"/>
              <w:rPr>
                <w:rFonts w:hint="eastAsia" w:ascii="宋体" w:hAnsi="宋体" w:cs="宋体"/>
                <w:color w:val="auto"/>
                <w:highlight w:val="none"/>
              </w:rPr>
            </w:pPr>
            <w:r>
              <w:rPr>
                <w:rFonts w:hint="eastAsia" w:ascii="宋体" w:hAnsi="宋体" w:cs="宋体"/>
                <w:color w:val="auto"/>
                <w:highlight w:val="none"/>
              </w:rPr>
              <w:t>2.</w:t>
            </w:r>
            <w:r>
              <w:rPr>
                <w:rFonts w:hint="eastAsia" w:ascii="宋体" w:hAnsi="宋体" w:cs="宋体"/>
                <w:color w:val="auto"/>
                <w:highlight w:val="none"/>
                <w:lang w:val="en-US" w:eastAsia="zh-CN"/>
              </w:rPr>
              <w:t>8</w:t>
            </w:r>
            <w:r>
              <w:rPr>
                <w:rFonts w:hint="eastAsia" w:ascii="宋体" w:hAnsi="宋体" w:cs="宋体"/>
                <w:color w:val="auto"/>
                <w:highlight w:val="none"/>
              </w:rPr>
              <w:t xml:space="preserve"> 暂估价的数量及拟用子目的说明：详见工程量清单。</w:t>
            </w:r>
          </w:p>
          <w:p w14:paraId="605CF95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2.9供应商必须按照采购人提供的工程量清单格式填写，不可擅自修改工程量清单，磋商报价清单（已标价工程量清单）与采购人提供的工程量清单有任何不一致的，将做无效磋商处理。如供应商对采购人提供的工程量清单有疑问或异议，应在磋商文件规定的时间前发出询疑，要求采购人（或采购代理机构）对采购文件予以澄清，当采购文件、采购文件的修改、补充在同一内容表述不一致时，以最后经的更正、补遗、澄清为准。</w:t>
            </w:r>
          </w:p>
          <w:p w14:paraId="00397FC8">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2.10编制依据：</w:t>
            </w:r>
          </w:p>
          <w:p w14:paraId="77DB6BA7">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2.10.1交通部发布的《公路工程基本建设工程概算预算编制办法》(JTG 3830 -2018)。</w:t>
            </w:r>
          </w:p>
          <w:p w14:paraId="5D121302">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2.10.2交通部文发布的《公路工程预算定额》(JTG/T 3832- 2018)；</w:t>
            </w:r>
          </w:p>
          <w:p w14:paraId="2CA7471F">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2.10.3交通部发布的《公路工程机械台班费用定额》(JTG/T 3833 -2018)。</w:t>
            </w:r>
          </w:p>
          <w:p w14:paraId="62EEDBB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2.10.4广西壮族自治区交通运输厅《关于印发公路工程建设项目估算概算预算编》。</w:t>
            </w:r>
          </w:p>
          <w:p w14:paraId="7D3A04F2">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2.10.5广西壮族自治区交通造价管理站桂交监造价函[2019]16号文《于发布广西公路工程机械台班车船使用税标准的函》。</w:t>
            </w:r>
          </w:p>
          <w:p w14:paraId="1F1C9172">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2.10.6中华人民共和国交通运输部公告第26号，交通运输部关于调整《公路工程建设项目投资估算编制办法》(JTG 3820-2018)和《公路工程建设项目概算预算编制办法》(JTG 3830 -2018)中“税金”有关规定的公告。</w:t>
            </w:r>
          </w:p>
          <w:p w14:paraId="0E933DFA">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2.10.7 2020年1月20日的《广西普通国省干线公路养路面大中修工程施工图设计及预算编制指导意见》。</w:t>
            </w:r>
          </w:p>
          <w:p w14:paraId="7ECBDF82">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2.10.8本项目施工图设计。</w:t>
            </w:r>
          </w:p>
          <w:p w14:paraId="378B254F">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2.10.9人工费:本工程地处广西壮族自治区，根据《“编制办法”及“广西补充规定”》，人工(含机械工)工资为: 101. 25元/工日。</w:t>
            </w:r>
          </w:p>
          <w:p w14:paraId="383EE140">
            <w:pPr>
              <w:widowControl/>
              <w:shd w:val="clear" w:color="auto" w:fill="FFFFFF"/>
              <w:spacing w:line="360" w:lineRule="exact"/>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2.10.11材料费:2025年8月公路工程材料指导价格（防城港市上思县）以及《防城港上思县建设工程造价信息》2025年第9期发布的材料价计取，上思县没有的采用防城港2025年9月的信息价，以上没有的参照南宁同期信息价，信息价没有的按市场价计取。</w:t>
            </w:r>
          </w:p>
          <w:p w14:paraId="06F4E75D">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2.11</w:t>
            </w:r>
            <w:r>
              <w:rPr>
                <w:rFonts w:hint="default" w:ascii="宋体" w:hAnsi="宋体" w:cs="宋体"/>
                <w:color w:val="auto"/>
                <w:highlight w:val="none"/>
                <w:lang w:val="en-US" w:eastAsia="zh-CN"/>
              </w:rPr>
              <w:t>工程取费有关说明</w:t>
            </w:r>
            <w:r>
              <w:rPr>
                <w:rFonts w:hint="eastAsia" w:ascii="宋体" w:hAnsi="宋体" w:cs="宋体"/>
                <w:color w:val="auto"/>
                <w:highlight w:val="none"/>
                <w:lang w:val="en-US" w:eastAsia="zh-CN"/>
              </w:rPr>
              <w:t>：</w:t>
            </w:r>
          </w:p>
          <w:p w14:paraId="5BD55DBC">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(1)按编制办法划分，我区无冬季和准冬季气温区，因此不列冬季施工增加费和职工取暖补贴费。</w:t>
            </w:r>
          </w:p>
          <w:p w14:paraId="24AB2F3E">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(2)本工程地处II雨量区，雨季期为6个月，按编制办法规定计列雨季施工增加费。</w:t>
            </w:r>
          </w:p>
          <w:p w14:paraId="7007FDD9">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(3)夜间施工增加费按编制办法计算。</w:t>
            </w:r>
          </w:p>
          <w:p w14:paraId="75FA677E">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(4)特殊地区施工增加费:本项目不计列。</w:t>
            </w:r>
          </w:p>
          <w:p w14:paraId="032BDA9F">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(5)行车干扰工程施工增加费：本项目为新建项目不计列。</w:t>
            </w:r>
          </w:p>
          <w:p w14:paraId="1F2998D7">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default" w:ascii="宋体" w:hAnsi="宋体" w:cs="宋体"/>
                <w:color w:val="auto"/>
                <w:highlight w:val="none"/>
                <w:lang w:val="en-US" w:eastAsia="zh-CN"/>
              </w:rPr>
              <w:t>(6)施工辅助费:按“编制办法”计列。</w:t>
            </w:r>
          </w:p>
          <w:p w14:paraId="6EDD1CBA">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2.12</w:t>
            </w:r>
            <w:r>
              <w:rPr>
                <w:rFonts w:hint="default" w:ascii="宋体" w:hAnsi="宋体" w:cs="宋体"/>
                <w:color w:val="auto"/>
                <w:highlight w:val="none"/>
                <w:lang w:val="en-US" w:eastAsia="zh-CN"/>
              </w:rPr>
              <w:t>规费:按“广西补充规定”标准计列，其中养老保险费率为16%、失业保险费率为0.5%、医疗保险费率为7.5%、工伤保险费率为1%、住房公积金为8.5%，合计规费费率为33.5%。</w:t>
            </w:r>
          </w:p>
          <w:p w14:paraId="07746525">
            <w:pPr>
              <w:widowControl/>
              <w:shd w:val="clear" w:color="auto" w:fill="FFFFFF"/>
              <w:spacing w:line="360" w:lineRule="exact"/>
              <w:ind w:firstLine="420" w:firstLineChars="200"/>
              <w:rPr>
                <w:rFonts w:hint="default" w:ascii="宋体" w:hAnsi="宋体" w:cs="宋体"/>
                <w:color w:val="auto"/>
                <w:highlight w:val="none"/>
                <w:lang w:val="en-US" w:eastAsia="zh-CN"/>
              </w:rPr>
            </w:pPr>
            <w:r>
              <w:rPr>
                <w:rFonts w:hint="eastAsia" w:ascii="宋体" w:hAnsi="宋体" w:cs="宋体"/>
                <w:color w:val="auto"/>
                <w:highlight w:val="none"/>
                <w:lang w:val="en-US" w:eastAsia="zh-CN"/>
              </w:rPr>
              <w:t>2.13</w:t>
            </w:r>
            <w:r>
              <w:rPr>
                <w:rFonts w:hint="default" w:ascii="宋体" w:hAnsi="宋体" w:cs="宋体"/>
                <w:color w:val="auto"/>
                <w:highlight w:val="none"/>
                <w:lang w:val="en-US" w:eastAsia="zh-CN"/>
              </w:rPr>
              <w:t>计税方式采用简易计税法，费率为3%，工程转运运距为2公里。</w:t>
            </w:r>
          </w:p>
          <w:p w14:paraId="190EB5EB">
            <w:pPr>
              <w:widowControl/>
              <w:numPr>
                <w:ilvl w:val="0"/>
                <w:numId w:val="0"/>
              </w:numPr>
              <w:shd w:val="clear" w:color="auto" w:fill="FFFFFF"/>
              <w:spacing w:line="360" w:lineRule="exact"/>
              <w:ind w:firstLine="420" w:firstLineChars="200"/>
              <w:rPr>
                <w:rFonts w:hint="eastAsia" w:ascii="宋体" w:hAnsi="宋体" w:cs="宋体"/>
                <w:color w:val="auto"/>
                <w:highlight w:val="none"/>
              </w:rPr>
            </w:pPr>
            <w:r>
              <w:rPr>
                <w:rFonts w:hint="eastAsia" w:ascii="宋体" w:hAnsi="宋体" w:eastAsia="宋体" w:cs="宋体"/>
                <w:color w:val="auto"/>
                <w:kern w:val="2"/>
                <w:sz w:val="21"/>
                <w:szCs w:val="24"/>
                <w:highlight w:val="none"/>
                <w:lang w:val="en-US" w:eastAsia="zh-CN" w:bidi="ar-SA"/>
              </w:rPr>
              <w:t>3</w:t>
            </w:r>
            <w:r>
              <w:rPr>
                <w:rFonts w:hint="eastAsia" w:ascii="宋体" w:hAnsi="宋体" w:cs="宋体"/>
                <w:color w:val="auto"/>
                <w:kern w:val="2"/>
                <w:sz w:val="21"/>
                <w:szCs w:val="24"/>
                <w:highlight w:val="none"/>
                <w:lang w:val="en-US" w:eastAsia="zh-CN" w:bidi="ar-SA"/>
              </w:rPr>
              <w:t>、</w:t>
            </w:r>
            <w:r>
              <w:rPr>
                <w:rFonts w:hint="eastAsia" w:ascii="宋体" w:hAnsi="宋体" w:cs="宋体"/>
                <w:color w:val="auto"/>
                <w:highlight w:val="none"/>
              </w:rPr>
              <w:t>付款方式：</w:t>
            </w:r>
            <w:r>
              <w:rPr>
                <w:rFonts w:hint="eastAsia" w:ascii="宋体" w:hAnsi="宋体" w:cs="宋体"/>
                <w:color w:val="auto"/>
                <w:highlight w:val="none"/>
                <w:lang w:val="en-US" w:eastAsia="zh-CN"/>
              </w:rPr>
              <w:t>详见专用合同</w:t>
            </w:r>
            <w:r>
              <w:rPr>
                <w:rFonts w:hint="eastAsia" w:ascii="宋体" w:hAnsi="宋体" w:cs="宋体"/>
                <w:color w:val="auto"/>
                <w:highlight w:val="none"/>
              </w:rPr>
              <w:t>。</w:t>
            </w:r>
          </w:p>
        </w:tc>
      </w:tr>
    </w:tbl>
    <w:p w14:paraId="43753FDA">
      <w:pPr>
        <w:pStyle w:val="15"/>
        <w:jc w:val="left"/>
        <w:rPr>
          <w:rFonts w:hint="eastAsia" w:hAnsi="宋体" w:cs="宋体"/>
          <w:color w:val="auto"/>
          <w:sz w:val="32"/>
          <w:szCs w:val="32"/>
          <w:highlight w:val="none"/>
        </w:rPr>
      </w:pPr>
    </w:p>
    <w:p w14:paraId="72399CE7">
      <w:pPr>
        <w:pStyle w:val="15"/>
        <w:jc w:val="left"/>
        <w:rPr>
          <w:rFonts w:hint="eastAsia" w:hAnsi="宋体" w:cs="宋体"/>
          <w:color w:val="auto"/>
          <w:sz w:val="32"/>
          <w:szCs w:val="32"/>
          <w:highlight w:val="none"/>
        </w:rPr>
      </w:pPr>
    </w:p>
    <w:p w14:paraId="24971E0C">
      <w:pPr>
        <w:pStyle w:val="15"/>
        <w:jc w:val="left"/>
        <w:rPr>
          <w:rFonts w:hint="eastAsia" w:hAnsi="宋体" w:cs="宋体"/>
          <w:color w:val="auto"/>
          <w:sz w:val="32"/>
          <w:szCs w:val="32"/>
          <w:highlight w:val="none"/>
        </w:rPr>
      </w:pPr>
    </w:p>
    <w:p w14:paraId="2DA29C08">
      <w:pPr>
        <w:pStyle w:val="15"/>
        <w:jc w:val="left"/>
        <w:rPr>
          <w:rFonts w:hint="eastAsia" w:hAnsi="宋体" w:cs="宋体"/>
          <w:color w:val="auto"/>
          <w:sz w:val="32"/>
          <w:szCs w:val="32"/>
          <w:highlight w:val="none"/>
        </w:rPr>
      </w:pPr>
    </w:p>
    <w:p w14:paraId="1490E324">
      <w:pPr>
        <w:pStyle w:val="15"/>
        <w:jc w:val="left"/>
        <w:rPr>
          <w:rFonts w:hint="eastAsia" w:hAnsi="宋体" w:cs="宋体"/>
          <w:color w:val="auto"/>
          <w:sz w:val="32"/>
          <w:szCs w:val="32"/>
          <w:highlight w:val="none"/>
        </w:rPr>
      </w:pPr>
    </w:p>
    <w:p w14:paraId="24905768">
      <w:pPr>
        <w:pStyle w:val="15"/>
        <w:jc w:val="left"/>
        <w:rPr>
          <w:rFonts w:hint="eastAsia" w:hAnsi="宋体" w:cs="宋体"/>
          <w:color w:val="auto"/>
          <w:sz w:val="32"/>
          <w:szCs w:val="32"/>
          <w:highlight w:val="none"/>
        </w:rPr>
      </w:pPr>
    </w:p>
    <w:p w14:paraId="5DDA53EE">
      <w:pPr>
        <w:pStyle w:val="15"/>
        <w:jc w:val="left"/>
        <w:rPr>
          <w:rFonts w:hAnsi="宋体" w:cs="宋体"/>
          <w:color w:val="auto"/>
          <w:sz w:val="32"/>
          <w:szCs w:val="32"/>
          <w:highlight w:val="none"/>
        </w:rPr>
      </w:pPr>
      <w:r>
        <w:rPr>
          <w:rFonts w:hint="eastAsia" w:hAnsi="宋体" w:cs="宋体"/>
          <w:color w:val="auto"/>
          <w:sz w:val="32"/>
          <w:szCs w:val="32"/>
          <w:highlight w:val="none"/>
        </w:rPr>
        <w:t>附件1：</w:t>
      </w:r>
    </w:p>
    <w:p w14:paraId="5A8603A7">
      <w:pPr>
        <w:spacing w:line="528" w:lineRule="exact"/>
        <w:jc w:val="center"/>
        <w:rPr>
          <w:rFonts w:ascii="宋体" w:hAnsi="宋体" w:cs="宋体"/>
          <w:color w:val="auto"/>
          <w:sz w:val="40"/>
          <w:szCs w:val="40"/>
          <w:highlight w:val="none"/>
        </w:rPr>
      </w:pPr>
      <w:r>
        <w:rPr>
          <w:rFonts w:hint="eastAsia" w:ascii="宋体" w:hAnsi="宋体" w:cs="宋体"/>
          <w:color w:val="auto"/>
          <w:sz w:val="40"/>
          <w:szCs w:val="40"/>
          <w:highlight w:val="none"/>
        </w:rPr>
        <w:t>中小微企业划型标准</w:t>
      </w:r>
    </w:p>
    <w:tbl>
      <w:tblPr>
        <w:tblStyle w:val="26"/>
        <w:tblW w:w="9500" w:type="dxa"/>
        <w:tblInd w:w="250" w:type="dxa"/>
        <w:tblLayout w:type="fixed"/>
        <w:tblCellMar>
          <w:top w:w="0" w:type="dxa"/>
          <w:left w:w="108" w:type="dxa"/>
          <w:bottom w:w="0" w:type="dxa"/>
          <w:right w:w="108" w:type="dxa"/>
        </w:tblCellMar>
      </w:tblPr>
      <w:tblGrid>
        <w:gridCol w:w="1985"/>
        <w:gridCol w:w="1985"/>
        <w:gridCol w:w="851"/>
        <w:gridCol w:w="1843"/>
        <w:gridCol w:w="1702"/>
        <w:gridCol w:w="1134"/>
      </w:tblGrid>
      <w:tr w14:paraId="08E0ACFD">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vAlign w:val="center"/>
          </w:tcPr>
          <w:p w14:paraId="0E5D2F4D">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行业名称</w:t>
            </w:r>
          </w:p>
        </w:tc>
        <w:tc>
          <w:tcPr>
            <w:tcW w:w="1985" w:type="dxa"/>
            <w:tcBorders>
              <w:top w:val="single" w:color="auto" w:sz="4" w:space="0"/>
              <w:left w:val="nil"/>
              <w:bottom w:val="single" w:color="auto" w:sz="4" w:space="0"/>
              <w:right w:val="single" w:color="auto" w:sz="4" w:space="0"/>
            </w:tcBorders>
            <w:vAlign w:val="center"/>
          </w:tcPr>
          <w:p w14:paraId="10489C04">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vAlign w:val="center"/>
          </w:tcPr>
          <w:p w14:paraId="105F00EF">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计量单位</w:t>
            </w:r>
          </w:p>
        </w:tc>
        <w:tc>
          <w:tcPr>
            <w:tcW w:w="1843" w:type="dxa"/>
            <w:tcBorders>
              <w:top w:val="single" w:color="auto" w:sz="4" w:space="0"/>
              <w:left w:val="nil"/>
              <w:bottom w:val="single" w:color="auto" w:sz="4" w:space="0"/>
              <w:right w:val="single" w:color="auto" w:sz="4" w:space="0"/>
            </w:tcBorders>
            <w:vAlign w:val="center"/>
          </w:tcPr>
          <w:p w14:paraId="44E64F35">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中型</w:t>
            </w:r>
          </w:p>
        </w:tc>
        <w:tc>
          <w:tcPr>
            <w:tcW w:w="1702" w:type="dxa"/>
            <w:tcBorders>
              <w:top w:val="single" w:color="auto" w:sz="4" w:space="0"/>
              <w:left w:val="nil"/>
              <w:bottom w:val="single" w:color="auto" w:sz="4" w:space="0"/>
              <w:right w:val="single" w:color="auto" w:sz="4" w:space="0"/>
            </w:tcBorders>
            <w:vAlign w:val="center"/>
          </w:tcPr>
          <w:p w14:paraId="258CF61A">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vAlign w:val="center"/>
          </w:tcPr>
          <w:p w14:paraId="4625F917">
            <w:pPr>
              <w:widowControl/>
              <w:jc w:val="left"/>
              <w:rPr>
                <w:rFonts w:ascii="宋体" w:hAnsi="宋体" w:cs="宋体"/>
                <w:b/>
                <w:color w:val="auto"/>
                <w:kern w:val="0"/>
                <w:sz w:val="24"/>
                <w:highlight w:val="none"/>
              </w:rPr>
            </w:pPr>
            <w:r>
              <w:rPr>
                <w:rFonts w:hint="eastAsia" w:ascii="宋体" w:hAnsi="宋体" w:cs="宋体"/>
                <w:b/>
                <w:color w:val="auto"/>
                <w:kern w:val="0"/>
                <w:sz w:val="24"/>
                <w:highlight w:val="none"/>
              </w:rPr>
              <w:t>微型</w:t>
            </w:r>
          </w:p>
        </w:tc>
      </w:tr>
      <w:tr w14:paraId="38B5C5A8">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30ED765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农、林、牧、渔</w:t>
            </w:r>
          </w:p>
        </w:tc>
        <w:tc>
          <w:tcPr>
            <w:tcW w:w="1985" w:type="dxa"/>
            <w:tcBorders>
              <w:top w:val="nil"/>
              <w:left w:val="nil"/>
              <w:bottom w:val="single" w:color="auto" w:sz="4" w:space="0"/>
              <w:right w:val="single" w:color="auto" w:sz="4" w:space="0"/>
            </w:tcBorders>
            <w:vAlign w:val="center"/>
          </w:tcPr>
          <w:p w14:paraId="00428F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AF27C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EF4DA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EA1E3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vAlign w:val="center"/>
          </w:tcPr>
          <w:p w14:paraId="2CCF04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6904030">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B66C34B">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工业</w:t>
            </w:r>
          </w:p>
        </w:tc>
        <w:tc>
          <w:tcPr>
            <w:tcW w:w="1985" w:type="dxa"/>
            <w:tcBorders>
              <w:top w:val="nil"/>
              <w:left w:val="nil"/>
              <w:bottom w:val="single" w:color="auto" w:sz="4" w:space="0"/>
              <w:right w:val="single" w:color="auto" w:sz="4" w:space="0"/>
            </w:tcBorders>
            <w:vAlign w:val="center"/>
          </w:tcPr>
          <w:p w14:paraId="73720A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05A6FC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DE63AC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1F8773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7311EF1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732259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9E996DF">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2F94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0ACFCF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552E2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702" w:type="dxa"/>
            <w:tcBorders>
              <w:top w:val="nil"/>
              <w:left w:val="nil"/>
              <w:bottom w:val="single" w:color="auto" w:sz="4" w:space="0"/>
              <w:right w:val="single" w:color="auto" w:sz="4" w:space="0"/>
            </w:tcBorders>
            <w:vAlign w:val="center"/>
          </w:tcPr>
          <w:p w14:paraId="01ACC8B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vAlign w:val="center"/>
          </w:tcPr>
          <w:p w14:paraId="79DF947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78F7F071">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675BAE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建筑业</w:t>
            </w:r>
          </w:p>
        </w:tc>
        <w:tc>
          <w:tcPr>
            <w:tcW w:w="1985" w:type="dxa"/>
            <w:tcBorders>
              <w:top w:val="nil"/>
              <w:left w:val="nil"/>
              <w:bottom w:val="single" w:color="auto" w:sz="4" w:space="0"/>
              <w:right w:val="single" w:color="auto" w:sz="4" w:space="0"/>
            </w:tcBorders>
            <w:vAlign w:val="center"/>
          </w:tcPr>
          <w:p w14:paraId="0F22031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11F38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42FAE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702" w:type="dxa"/>
            <w:tcBorders>
              <w:top w:val="nil"/>
              <w:left w:val="nil"/>
              <w:bottom w:val="single" w:color="auto" w:sz="4" w:space="0"/>
              <w:right w:val="single" w:color="auto" w:sz="4" w:space="0"/>
            </w:tcBorders>
            <w:vAlign w:val="center"/>
          </w:tcPr>
          <w:p w14:paraId="5DCC0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vAlign w:val="center"/>
          </w:tcPr>
          <w:p w14:paraId="00D35D8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51F2D12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167D20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32444B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6EC3168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5157A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702" w:type="dxa"/>
            <w:tcBorders>
              <w:top w:val="nil"/>
              <w:left w:val="nil"/>
              <w:bottom w:val="single" w:color="auto" w:sz="4" w:space="0"/>
              <w:right w:val="single" w:color="auto" w:sz="4" w:space="0"/>
            </w:tcBorders>
            <w:vAlign w:val="center"/>
          </w:tcPr>
          <w:p w14:paraId="48A8534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vAlign w:val="center"/>
          </w:tcPr>
          <w:p w14:paraId="17E0A16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3E62CD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8D1D52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批发业</w:t>
            </w:r>
          </w:p>
        </w:tc>
        <w:tc>
          <w:tcPr>
            <w:tcW w:w="1985" w:type="dxa"/>
            <w:tcBorders>
              <w:top w:val="nil"/>
              <w:left w:val="nil"/>
              <w:bottom w:val="single" w:color="auto" w:sz="4" w:space="0"/>
              <w:right w:val="single" w:color="auto" w:sz="4" w:space="0"/>
            </w:tcBorders>
            <w:vAlign w:val="center"/>
          </w:tcPr>
          <w:p w14:paraId="0ADF15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B72160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674923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702" w:type="dxa"/>
            <w:tcBorders>
              <w:top w:val="nil"/>
              <w:left w:val="nil"/>
              <w:bottom w:val="single" w:color="auto" w:sz="4" w:space="0"/>
              <w:right w:val="single" w:color="auto" w:sz="4" w:space="0"/>
            </w:tcBorders>
            <w:vAlign w:val="center"/>
          </w:tcPr>
          <w:p w14:paraId="28EDAE5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1134" w:type="dxa"/>
            <w:tcBorders>
              <w:top w:val="nil"/>
              <w:left w:val="nil"/>
              <w:bottom w:val="single" w:color="auto" w:sz="4" w:space="0"/>
              <w:right w:val="single" w:color="auto" w:sz="4" w:space="0"/>
            </w:tcBorders>
            <w:vAlign w:val="center"/>
          </w:tcPr>
          <w:p w14:paraId="73F1F3B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582AFEC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905D0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AF8FF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B8942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B1ED29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702" w:type="dxa"/>
            <w:tcBorders>
              <w:top w:val="nil"/>
              <w:left w:val="nil"/>
              <w:bottom w:val="single" w:color="auto" w:sz="4" w:space="0"/>
              <w:right w:val="single" w:color="auto" w:sz="4" w:space="0"/>
            </w:tcBorders>
            <w:vAlign w:val="center"/>
          </w:tcPr>
          <w:p w14:paraId="447287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vAlign w:val="center"/>
          </w:tcPr>
          <w:p w14:paraId="001C1A5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3EE10C0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41A7A50">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零售业</w:t>
            </w:r>
          </w:p>
        </w:tc>
        <w:tc>
          <w:tcPr>
            <w:tcW w:w="1985" w:type="dxa"/>
            <w:tcBorders>
              <w:top w:val="nil"/>
              <w:left w:val="nil"/>
              <w:bottom w:val="single" w:color="auto" w:sz="4" w:space="0"/>
              <w:right w:val="single" w:color="auto" w:sz="4" w:space="0"/>
            </w:tcBorders>
            <w:vAlign w:val="center"/>
          </w:tcPr>
          <w:p w14:paraId="448A3C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1CDA37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786A26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702" w:type="dxa"/>
            <w:tcBorders>
              <w:top w:val="nil"/>
              <w:left w:val="nil"/>
              <w:bottom w:val="single" w:color="auto" w:sz="4" w:space="0"/>
              <w:right w:val="single" w:color="auto" w:sz="4" w:space="0"/>
            </w:tcBorders>
            <w:vAlign w:val="center"/>
          </w:tcPr>
          <w:p w14:paraId="118D472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vAlign w:val="center"/>
          </w:tcPr>
          <w:p w14:paraId="01A6B9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B4F9D8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55C8E196">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B4915F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9D2D0E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53DDBB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702" w:type="dxa"/>
            <w:tcBorders>
              <w:top w:val="nil"/>
              <w:left w:val="nil"/>
              <w:bottom w:val="single" w:color="auto" w:sz="4" w:space="0"/>
              <w:right w:val="single" w:color="auto" w:sz="4" w:space="0"/>
            </w:tcBorders>
            <w:vAlign w:val="center"/>
          </w:tcPr>
          <w:p w14:paraId="283209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vAlign w:val="center"/>
          </w:tcPr>
          <w:p w14:paraId="4C1A15B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676A99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B8A4B4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交通运输业</w:t>
            </w:r>
          </w:p>
        </w:tc>
        <w:tc>
          <w:tcPr>
            <w:tcW w:w="1985" w:type="dxa"/>
            <w:tcBorders>
              <w:top w:val="nil"/>
              <w:left w:val="nil"/>
              <w:bottom w:val="single" w:color="auto" w:sz="4" w:space="0"/>
              <w:right w:val="single" w:color="auto" w:sz="4" w:space="0"/>
            </w:tcBorders>
            <w:vAlign w:val="center"/>
          </w:tcPr>
          <w:p w14:paraId="288963C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2BD6D9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20DAF8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2F4EDD1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0C3707D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F4A42A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29E308C2">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F9A56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3E784A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3AD6E50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702" w:type="dxa"/>
            <w:tcBorders>
              <w:top w:val="nil"/>
              <w:left w:val="nil"/>
              <w:bottom w:val="single" w:color="auto" w:sz="4" w:space="0"/>
              <w:right w:val="single" w:color="auto" w:sz="4" w:space="0"/>
            </w:tcBorders>
            <w:vAlign w:val="center"/>
          </w:tcPr>
          <w:p w14:paraId="45C37D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vAlign w:val="center"/>
          </w:tcPr>
          <w:p w14:paraId="507FD0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6622FC4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6DB623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仓储业</w:t>
            </w:r>
          </w:p>
        </w:tc>
        <w:tc>
          <w:tcPr>
            <w:tcW w:w="1985" w:type="dxa"/>
            <w:tcBorders>
              <w:top w:val="nil"/>
              <w:left w:val="nil"/>
              <w:bottom w:val="single" w:color="auto" w:sz="4" w:space="0"/>
              <w:right w:val="single" w:color="auto" w:sz="4" w:space="0"/>
            </w:tcBorders>
            <w:vAlign w:val="center"/>
          </w:tcPr>
          <w:p w14:paraId="4BDB83F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C57F73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CD4ABA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702" w:type="dxa"/>
            <w:tcBorders>
              <w:top w:val="nil"/>
              <w:left w:val="nil"/>
              <w:bottom w:val="single" w:color="auto" w:sz="4" w:space="0"/>
              <w:right w:val="single" w:color="auto" w:sz="4" w:space="0"/>
            </w:tcBorders>
            <w:vAlign w:val="center"/>
          </w:tcPr>
          <w:p w14:paraId="3CF6214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vAlign w:val="center"/>
          </w:tcPr>
          <w:p w14:paraId="6B83706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0805404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7920551">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76B8972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EE3B3D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C194CD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702" w:type="dxa"/>
            <w:tcBorders>
              <w:top w:val="nil"/>
              <w:left w:val="nil"/>
              <w:bottom w:val="single" w:color="auto" w:sz="4" w:space="0"/>
              <w:right w:val="single" w:color="auto" w:sz="4" w:space="0"/>
            </w:tcBorders>
            <w:vAlign w:val="center"/>
          </w:tcPr>
          <w:p w14:paraId="0A59D7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50836EE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05822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58D7D07C">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邮政业</w:t>
            </w:r>
          </w:p>
        </w:tc>
        <w:tc>
          <w:tcPr>
            <w:tcW w:w="1985" w:type="dxa"/>
            <w:tcBorders>
              <w:top w:val="nil"/>
              <w:left w:val="nil"/>
              <w:bottom w:val="single" w:color="auto" w:sz="4" w:space="0"/>
              <w:right w:val="single" w:color="auto" w:sz="4" w:space="0"/>
            </w:tcBorders>
            <w:vAlign w:val="center"/>
          </w:tcPr>
          <w:p w14:paraId="10C9613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1C4762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882E0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536784B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vAlign w:val="center"/>
          </w:tcPr>
          <w:p w14:paraId="18F8539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136882A9">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8DADE13">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8AF1E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8A195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7A05113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702" w:type="dxa"/>
            <w:tcBorders>
              <w:top w:val="nil"/>
              <w:left w:val="nil"/>
              <w:bottom w:val="single" w:color="auto" w:sz="4" w:space="0"/>
              <w:right w:val="single" w:color="auto" w:sz="4" w:space="0"/>
            </w:tcBorders>
            <w:vAlign w:val="center"/>
          </w:tcPr>
          <w:p w14:paraId="1958A68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1292F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7B41857">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AED056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住宿业</w:t>
            </w:r>
          </w:p>
        </w:tc>
        <w:tc>
          <w:tcPr>
            <w:tcW w:w="1985" w:type="dxa"/>
            <w:tcBorders>
              <w:top w:val="nil"/>
              <w:left w:val="nil"/>
              <w:bottom w:val="single" w:color="auto" w:sz="4" w:space="0"/>
              <w:right w:val="single" w:color="auto" w:sz="4" w:space="0"/>
            </w:tcBorders>
            <w:vAlign w:val="center"/>
          </w:tcPr>
          <w:p w14:paraId="55399D6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02C97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79DE66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6353406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1C9AA45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149D30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E632844">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FABE2D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7E5AF68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AE707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18F46A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4CEFDD1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F47D328">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264EA97A">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餐饮业</w:t>
            </w:r>
          </w:p>
        </w:tc>
        <w:tc>
          <w:tcPr>
            <w:tcW w:w="1985" w:type="dxa"/>
            <w:tcBorders>
              <w:top w:val="nil"/>
              <w:left w:val="nil"/>
              <w:bottom w:val="single" w:color="auto" w:sz="4" w:space="0"/>
              <w:right w:val="single" w:color="auto" w:sz="4" w:space="0"/>
            </w:tcBorders>
            <w:vAlign w:val="center"/>
          </w:tcPr>
          <w:p w14:paraId="39EEBAB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41999996">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56A06C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2239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4BDD4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4B83F7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7B70430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3105408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1212C2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F1D834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702" w:type="dxa"/>
            <w:tcBorders>
              <w:top w:val="nil"/>
              <w:left w:val="nil"/>
              <w:bottom w:val="single" w:color="auto" w:sz="4" w:space="0"/>
              <w:right w:val="single" w:color="auto" w:sz="4" w:space="0"/>
            </w:tcBorders>
            <w:vAlign w:val="center"/>
          </w:tcPr>
          <w:p w14:paraId="04B60C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vAlign w:val="center"/>
          </w:tcPr>
          <w:p w14:paraId="39C6F3C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0703F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0C3B860F">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信息传输业</w:t>
            </w:r>
          </w:p>
        </w:tc>
        <w:tc>
          <w:tcPr>
            <w:tcW w:w="1985" w:type="dxa"/>
            <w:tcBorders>
              <w:top w:val="nil"/>
              <w:left w:val="nil"/>
              <w:bottom w:val="single" w:color="auto" w:sz="4" w:space="0"/>
              <w:right w:val="single" w:color="auto" w:sz="4" w:space="0"/>
            </w:tcBorders>
            <w:vAlign w:val="center"/>
          </w:tcPr>
          <w:p w14:paraId="22C6016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29DB228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5B9FDCD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702" w:type="dxa"/>
            <w:tcBorders>
              <w:top w:val="nil"/>
              <w:left w:val="nil"/>
              <w:bottom w:val="single" w:color="auto" w:sz="4" w:space="0"/>
              <w:right w:val="single" w:color="auto" w:sz="4" w:space="0"/>
            </w:tcBorders>
            <w:vAlign w:val="center"/>
          </w:tcPr>
          <w:p w14:paraId="46B973B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54F638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6184EA">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BEA9D9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79139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3D283D7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F7DF3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702" w:type="dxa"/>
            <w:tcBorders>
              <w:top w:val="nil"/>
              <w:left w:val="nil"/>
              <w:bottom w:val="single" w:color="auto" w:sz="4" w:space="0"/>
              <w:right w:val="single" w:color="auto" w:sz="4" w:space="0"/>
            </w:tcBorders>
            <w:vAlign w:val="center"/>
          </w:tcPr>
          <w:p w14:paraId="36ECDBE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vAlign w:val="center"/>
          </w:tcPr>
          <w:p w14:paraId="6E8647B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4DCE445A">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4194F01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软件和信息技术服务业</w:t>
            </w:r>
          </w:p>
        </w:tc>
        <w:tc>
          <w:tcPr>
            <w:tcW w:w="1985" w:type="dxa"/>
            <w:tcBorders>
              <w:top w:val="nil"/>
              <w:left w:val="nil"/>
              <w:bottom w:val="single" w:color="auto" w:sz="4" w:space="0"/>
              <w:right w:val="single" w:color="auto" w:sz="4" w:space="0"/>
            </w:tcBorders>
            <w:vAlign w:val="center"/>
          </w:tcPr>
          <w:p w14:paraId="759D75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EF60DF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4090A5B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2466252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2AB4B5E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FC5F160">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AC6B9B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09682E5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00AA6FE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40CCA1A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702" w:type="dxa"/>
            <w:tcBorders>
              <w:top w:val="nil"/>
              <w:left w:val="nil"/>
              <w:bottom w:val="single" w:color="auto" w:sz="4" w:space="0"/>
              <w:right w:val="single" w:color="auto" w:sz="4" w:space="0"/>
            </w:tcBorders>
            <w:vAlign w:val="center"/>
          </w:tcPr>
          <w:p w14:paraId="17C4FEB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vAlign w:val="center"/>
          </w:tcPr>
          <w:p w14:paraId="08698BE4">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4F6812D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6D5A8C91">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房地产开发经营</w:t>
            </w:r>
          </w:p>
        </w:tc>
        <w:tc>
          <w:tcPr>
            <w:tcW w:w="1985" w:type="dxa"/>
            <w:tcBorders>
              <w:top w:val="nil"/>
              <w:left w:val="nil"/>
              <w:bottom w:val="single" w:color="auto" w:sz="4" w:space="0"/>
              <w:right w:val="single" w:color="auto" w:sz="4" w:space="0"/>
            </w:tcBorders>
            <w:vAlign w:val="center"/>
          </w:tcPr>
          <w:p w14:paraId="2DDEF69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52B7A93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6748942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702" w:type="dxa"/>
            <w:tcBorders>
              <w:top w:val="nil"/>
              <w:left w:val="nil"/>
              <w:bottom w:val="single" w:color="auto" w:sz="4" w:space="0"/>
              <w:right w:val="single" w:color="auto" w:sz="4" w:space="0"/>
            </w:tcBorders>
            <w:vAlign w:val="center"/>
          </w:tcPr>
          <w:p w14:paraId="3E173E4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vAlign w:val="center"/>
          </w:tcPr>
          <w:p w14:paraId="07EADA6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2E3D70E7">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4D0763B8">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58DDA9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3861251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07EBAD6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702" w:type="dxa"/>
            <w:tcBorders>
              <w:top w:val="nil"/>
              <w:left w:val="nil"/>
              <w:bottom w:val="single" w:color="auto" w:sz="4" w:space="0"/>
              <w:right w:val="single" w:color="auto" w:sz="4" w:space="0"/>
            </w:tcBorders>
            <w:vAlign w:val="center"/>
          </w:tcPr>
          <w:p w14:paraId="006A860F">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vAlign w:val="center"/>
          </w:tcPr>
          <w:p w14:paraId="15D0CE2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w:t>
            </w:r>
          </w:p>
        </w:tc>
      </w:tr>
      <w:tr w14:paraId="1CE2182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3D83A1A8">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物业管理</w:t>
            </w:r>
          </w:p>
        </w:tc>
        <w:tc>
          <w:tcPr>
            <w:tcW w:w="1985" w:type="dxa"/>
            <w:tcBorders>
              <w:top w:val="nil"/>
              <w:left w:val="nil"/>
              <w:bottom w:val="single" w:color="auto" w:sz="4" w:space="0"/>
              <w:right w:val="single" w:color="auto" w:sz="4" w:space="0"/>
            </w:tcBorders>
            <w:vAlign w:val="center"/>
          </w:tcPr>
          <w:p w14:paraId="6EDA2AF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6E2BC4D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1ABA9A63">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702" w:type="dxa"/>
            <w:tcBorders>
              <w:top w:val="nil"/>
              <w:left w:val="nil"/>
              <w:bottom w:val="single" w:color="auto" w:sz="4" w:space="0"/>
              <w:right w:val="single" w:color="auto" w:sz="4" w:space="0"/>
            </w:tcBorders>
            <w:vAlign w:val="center"/>
          </w:tcPr>
          <w:p w14:paraId="74A9956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vAlign w:val="center"/>
          </w:tcPr>
          <w:p w14:paraId="1BED294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3068E4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35F5F460">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21E9ECA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vAlign w:val="center"/>
          </w:tcPr>
          <w:p w14:paraId="4CE6509E">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2D86804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702" w:type="dxa"/>
            <w:tcBorders>
              <w:top w:val="nil"/>
              <w:left w:val="nil"/>
              <w:bottom w:val="single" w:color="auto" w:sz="4" w:space="0"/>
              <w:right w:val="single" w:color="auto" w:sz="4" w:space="0"/>
            </w:tcBorders>
            <w:vAlign w:val="center"/>
          </w:tcPr>
          <w:p w14:paraId="145D012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vAlign w:val="center"/>
          </w:tcPr>
          <w:p w14:paraId="31C6F61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301043FD">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vAlign w:val="bottom"/>
          </w:tcPr>
          <w:p w14:paraId="136567ED">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租赁和商务服务业</w:t>
            </w:r>
          </w:p>
        </w:tc>
        <w:tc>
          <w:tcPr>
            <w:tcW w:w="1985" w:type="dxa"/>
            <w:tcBorders>
              <w:top w:val="nil"/>
              <w:left w:val="nil"/>
              <w:bottom w:val="single" w:color="auto" w:sz="4" w:space="0"/>
              <w:right w:val="single" w:color="auto" w:sz="4" w:space="0"/>
            </w:tcBorders>
            <w:vAlign w:val="center"/>
          </w:tcPr>
          <w:p w14:paraId="289FC56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3F1A2281">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36FD6A0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857660D">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0F12D0FB">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271EE4">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vAlign w:val="center"/>
          </w:tcPr>
          <w:p w14:paraId="674871EE">
            <w:pPr>
              <w:widowControl/>
              <w:jc w:val="left"/>
              <w:rPr>
                <w:rFonts w:ascii="宋体" w:hAnsi="宋体" w:cs="宋体"/>
                <w:b/>
                <w:bCs/>
                <w:color w:val="auto"/>
                <w:kern w:val="0"/>
                <w:sz w:val="18"/>
                <w:szCs w:val="18"/>
                <w:highlight w:val="none"/>
              </w:rPr>
            </w:pPr>
          </w:p>
        </w:tc>
        <w:tc>
          <w:tcPr>
            <w:tcW w:w="1985" w:type="dxa"/>
            <w:tcBorders>
              <w:top w:val="nil"/>
              <w:left w:val="nil"/>
              <w:bottom w:val="single" w:color="auto" w:sz="4" w:space="0"/>
              <w:right w:val="single" w:color="auto" w:sz="4" w:space="0"/>
            </w:tcBorders>
            <w:vAlign w:val="center"/>
          </w:tcPr>
          <w:p w14:paraId="1798099A">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vAlign w:val="center"/>
          </w:tcPr>
          <w:p w14:paraId="5914AC9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843" w:type="dxa"/>
            <w:tcBorders>
              <w:top w:val="nil"/>
              <w:left w:val="nil"/>
              <w:bottom w:val="single" w:color="auto" w:sz="4" w:space="0"/>
              <w:right w:val="single" w:color="auto" w:sz="4" w:space="0"/>
            </w:tcBorders>
            <w:vAlign w:val="center"/>
          </w:tcPr>
          <w:p w14:paraId="152D99A2">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702" w:type="dxa"/>
            <w:tcBorders>
              <w:top w:val="nil"/>
              <w:left w:val="nil"/>
              <w:bottom w:val="single" w:color="auto" w:sz="4" w:space="0"/>
              <w:right w:val="single" w:color="auto" w:sz="4" w:space="0"/>
            </w:tcBorders>
            <w:vAlign w:val="center"/>
          </w:tcPr>
          <w:p w14:paraId="6E1E942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vAlign w:val="center"/>
          </w:tcPr>
          <w:p w14:paraId="75E1DBF9">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097E91A">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vAlign w:val="bottom"/>
          </w:tcPr>
          <w:p w14:paraId="594E93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其他未列明行业</w:t>
            </w:r>
          </w:p>
        </w:tc>
        <w:tc>
          <w:tcPr>
            <w:tcW w:w="1985" w:type="dxa"/>
            <w:tcBorders>
              <w:top w:val="nil"/>
              <w:left w:val="nil"/>
              <w:bottom w:val="single" w:color="auto" w:sz="4" w:space="0"/>
              <w:right w:val="single" w:color="auto" w:sz="4" w:space="0"/>
            </w:tcBorders>
            <w:vAlign w:val="center"/>
          </w:tcPr>
          <w:p w14:paraId="3E3CC485">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vAlign w:val="center"/>
          </w:tcPr>
          <w:p w14:paraId="75F65B88">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843" w:type="dxa"/>
            <w:tcBorders>
              <w:top w:val="nil"/>
              <w:left w:val="nil"/>
              <w:bottom w:val="single" w:color="auto" w:sz="4" w:space="0"/>
              <w:right w:val="single" w:color="auto" w:sz="4" w:space="0"/>
            </w:tcBorders>
            <w:vAlign w:val="center"/>
          </w:tcPr>
          <w:p w14:paraId="07BB7717">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702" w:type="dxa"/>
            <w:tcBorders>
              <w:top w:val="nil"/>
              <w:left w:val="nil"/>
              <w:bottom w:val="single" w:color="auto" w:sz="4" w:space="0"/>
              <w:right w:val="single" w:color="auto" w:sz="4" w:space="0"/>
            </w:tcBorders>
            <w:vAlign w:val="center"/>
          </w:tcPr>
          <w:p w14:paraId="4D8CCF00">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vAlign w:val="center"/>
          </w:tcPr>
          <w:p w14:paraId="49C2BCDC">
            <w:pPr>
              <w:widowControl/>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87B2DEC">
      <w:pPr>
        <w:spacing w:line="560" w:lineRule="exact"/>
        <w:ind w:firstLine="525" w:firstLineChars="250"/>
        <w:rPr>
          <w:rFonts w:ascii="宋体" w:hAnsi="宋体" w:cs="宋体"/>
          <w:color w:val="auto"/>
          <w:kern w:val="0"/>
          <w:sz w:val="20"/>
          <w:szCs w:val="21"/>
          <w:highlight w:val="none"/>
        </w:rPr>
        <w:sectPr>
          <w:pgSz w:w="11906" w:h="16838"/>
          <w:pgMar w:top="1134" w:right="1134" w:bottom="1134" w:left="1134" w:header="720" w:footer="720" w:gutter="0"/>
          <w:cols w:space="720" w:num="1"/>
          <w:docGrid w:type="lines" w:linePitch="331" w:charSpace="0"/>
        </w:sectPr>
      </w:pPr>
      <w:r>
        <w:rPr>
          <w:rFonts w:hint="eastAsia" w:ascii="宋体" w:hAnsi="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11CC99">
      <w:pPr>
        <w:pStyle w:val="2"/>
        <w:jc w:val="center"/>
        <w:rPr>
          <w:rFonts w:ascii="宋体" w:hAnsi="宋体" w:cs="宋体"/>
          <w:color w:val="auto"/>
          <w:highlight w:val="none"/>
        </w:rPr>
      </w:pPr>
      <w:bookmarkStart w:id="39" w:name="_Toc32550"/>
      <w:r>
        <w:rPr>
          <w:rFonts w:hint="eastAsia" w:ascii="宋体" w:hAnsi="宋体" w:cs="宋体"/>
          <w:bCs w:val="0"/>
          <w:color w:val="auto"/>
          <w:sz w:val="32"/>
          <w:szCs w:val="32"/>
          <w:highlight w:val="none"/>
        </w:rPr>
        <w:t>第三章 供应商须知</w:t>
      </w:r>
      <w:bookmarkEnd w:id="39"/>
    </w:p>
    <w:p w14:paraId="25D8E1E7">
      <w:pPr>
        <w:pStyle w:val="3"/>
        <w:jc w:val="center"/>
        <w:rPr>
          <w:rFonts w:ascii="宋体" w:hAnsi="宋体" w:cs="宋体"/>
          <w:b w:val="0"/>
          <w:color w:val="auto"/>
          <w:highlight w:val="none"/>
        </w:rPr>
      </w:pPr>
      <w:bookmarkStart w:id="40" w:name="_Toc28882"/>
      <w:r>
        <w:rPr>
          <w:rFonts w:hint="eastAsia" w:ascii="宋体" w:hAnsi="宋体" w:cs="宋体"/>
          <w:b w:val="0"/>
          <w:color w:val="auto"/>
          <w:highlight w:val="none"/>
        </w:rPr>
        <w:t>第一节 供应商须知前附表</w:t>
      </w:r>
      <w:bookmarkEnd w:id="40"/>
    </w:p>
    <w:p w14:paraId="20C46A9E">
      <w:pPr>
        <w:spacing w:line="400" w:lineRule="exact"/>
        <w:jc w:val="center"/>
        <w:rPr>
          <w:rFonts w:ascii="宋体" w:hAnsi="宋体" w:cs="宋体"/>
          <w:b/>
          <w:color w:val="auto"/>
          <w:sz w:val="32"/>
          <w:szCs w:val="32"/>
          <w:highlight w:val="none"/>
        </w:rPr>
      </w:pPr>
    </w:p>
    <w:tbl>
      <w:tblPr>
        <w:tblStyle w:val="26"/>
        <w:tblW w:w="103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2721"/>
        <w:gridCol w:w="6793"/>
      </w:tblGrid>
      <w:tr w14:paraId="5F779C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846" w:type="dxa"/>
            <w:tcBorders>
              <w:top w:val="single" w:color="000000" w:sz="4" w:space="0"/>
              <w:left w:val="single" w:color="000000" w:sz="4" w:space="0"/>
              <w:bottom w:val="single" w:color="000000" w:sz="4" w:space="0"/>
              <w:right w:val="single" w:color="000000" w:sz="4" w:space="0"/>
            </w:tcBorders>
          </w:tcPr>
          <w:p w14:paraId="387D34C3">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721" w:type="dxa"/>
            <w:tcBorders>
              <w:top w:val="single" w:color="000000" w:sz="4" w:space="0"/>
              <w:left w:val="single" w:color="000000" w:sz="4" w:space="0"/>
              <w:bottom w:val="single" w:color="000000" w:sz="4" w:space="0"/>
              <w:right w:val="single" w:color="000000" w:sz="4" w:space="0"/>
            </w:tcBorders>
            <w:vAlign w:val="center"/>
          </w:tcPr>
          <w:p w14:paraId="1732693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793" w:type="dxa"/>
            <w:tcBorders>
              <w:top w:val="single" w:color="000000" w:sz="4" w:space="0"/>
              <w:left w:val="single" w:color="000000" w:sz="4" w:space="0"/>
              <w:bottom w:val="single" w:color="000000" w:sz="4" w:space="0"/>
              <w:right w:val="single" w:color="000000" w:sz="4" w:space="0"/>
            </w:tcBorders>
          </w:tcPr>
          <w:p w14:paraId="4940AFC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52821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129BE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721" w:type="dxa"/>
            <w:tcBorders>
              <w:top w:val="single" w:color="000000" w:sz="4" w:space="0"/>
              <w:left w:val="single" w:color="000000" w:sz="4" w:space="0"/>
              <w:bottom w:val="single" w:color="000000" w:sz="4" w:space="0"/>
              <w:right w:val="single" w:color="000000" w:sz="4" w:space="0"/>
            </w:tcBorders>
            <w:vAlign w:val="center"/>
          </w:tcPr>
          <w:p w14:paraId="163CA4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793" w:type="dxa"/>
            <w:tcBorders>
              <w:top w:val="single" w:color="000000" w:sz="4" w:space="0"/>
              <w:left w:val="single" w:color="000000" w:sz="4" w:space="0"/>
              <w:bottom w:val="single" w:color="000000" w:sz="4" w:space="0"/>
              <w:right w:val="single" w:color="000000" w:sz="4" w:space="0"/>
            </w:tcBorders>
          </w:tcPr>
          <w:p w14:paraId="2A989D0F">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15319C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1216A8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721" w:type="dxa"/>
            <w:tcBorders>
              <w:top w:val="single" w:color="000000" w:sz="4" w:space="0"/>
              <w:left w:val="single" w:color="000000" w:sz="4" w:space="0"/>
              <w:bottom w:val="single" w:color="000000" w:sz="4" w:space="0"/>
              <w:right w:val="single" w:color="000000" w:sz="4" w:space="0"/>
            </w:tcBorders>
            <w:vAlign w:val="center"/>
          </w:tcPr>
          <w:p w14:paraId="0905646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793" w:type="dxa"/>
            <w:tcBorders>
              <w:top w:val="single" w:color="000000" w:sz="4" w:space="0"/>
              <w:left w:val="single" w:color="000000" w:sz="4" w:space="0"/>
              <w:bottom w:val="single" w:color="000000" w:sz="4" w:space="0"/>
              <w:right w:val="single" w:color="000000" w:sz="4" w:space="0"/>
            </w:tcBorders>
            <w:vAlign w:val="center"/>
          </w:tcPr>
          <w:p w14:paraId="4B36B408">
            <w:pPr>
              <w:spacing w:line="360" w:lineRule="auto"/>
              <w:rPr>
                <w:rFonts w:ascii="宋体" w:hAnsi="宋体" w:cs="宋体"/>
                <w:color w:val="auto"/>
                <w:szCs w:val="21"/>
                <w:highlight w:val="none"/>
              </w:rPr>
            </w:pPr>
            <w:r>
              <w:rPr>
                <w:rFonts w:hint="eastAsia" w:ascii="宋体" w:hAnsi="宋体" w:cs="宋体"/>
                <w:color w:val="auto"/>
                <w:szCs w:val="21"/>
                <w:highlight w:val="none"/>
              </w:rPr>
              <w:t>详见公告。</w:t>
            </w:r>
          </w:p>
        </w:tc>
      </w:tr>
      <w:tr w14:paraId="5583D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6AC843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721" w:type="dxa"/>
            <w:tcBorders>
              <w:top w:val="single" w:color="000000" w:sz="4" w:space="0"/>
              <w:left w:val="single" w:color="000000" w:sz="4" w:space="0"/>
              <w:bottom w:val="single" w:color="000000" w:sz="4" w:space="0"/>
              <w:right w:val="single" w:color="000000" w:sz="4" w:space="0"/>
            </w:tcBorders>
            <w:vAlign w:val="center"/>
          </w:tcPr>
          <w:p w14:paraId="20164B1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341BC17C">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3ACE8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8080CF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721" w:type="dxa"/>
            <w:tcBorders>
              <w:top w:val="single" w:color="000000" w:sz="4" w:space="0"/>
              <w:left w:val="single" w:color="000000" w:sz="4" w:space="0"/>
              <w:bottom w:val="single" w:color="000000" w:sz="4" w:space="0"/>
              <w:right w:val="single" w:color="000000" w:sz="4" w:space="0"/>
            </w:tcBorders>
            <w:vAlign w:val="center"/>
          </w:tcPr>
          <w:p w14:paraId="0E81D10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793" w:type="dxa"/>
            <w:tcBorders>
              <w:top w:val="single" w:color="000000" w:sz="4" w:space="0"/>
              <w:left w:val="single" w:color="000000" w:sz="4" w:space="0"/>
              <w:bottom w:val="single" w:color="000000" w:sz="4" w:space="0"/>
              <w:right w:val="single" w:color="000000" w:sz="4" w:space="0"/>
            </w:tcBorders>
            <w:vAlign w:val="center"/>
          </w:tcPr>
          <w:p w14:paraId="1C20FED8">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☑不允许转包/分包</w:t>
            </w:r>
          </w:p>
          <w:p w14:paraId="75D45972">
            <w:pPr>
              <w:pStyle w:val="9"/>
              <w:spacing w:line="360" w:lineRule="exact"/>
              <w:rPr>
                <w:rFonts w:ascii="宋体" w:hAnsi="宋体" w:cs="宋体"/>
                <w:color w:val="auto"/>
                <w:szCs w:val="21"/>
                <w:highlight w:val="none"/>
              </w:rPr>
            </w:pPr>
            <w:r>
              <w:rPr>
                <w:rFonts w:hint="eastAsia" w:ascii="宋体" w:hAnsi="宋体" w:cs="宋体"/>
                <w:color w:val="auto"/>
                <w:szCs w:val="21"/>
                <w:highlight w:val="none"/>
              </w:rPr>
              <w:t>□允许转包/分包</w:t>
            </w:r>
          </w:p>
          <w:p w14:paraId="691B2431">
            <w:pPr>
              <w:pStyle w:val="9"/>
              <w:spacing w:line="360" w:lineRule="auto"/>
              <w:rPr>
                <w:rFonts w:ascii="宋体" w:hAnsi="宋体" w:cs="宋体"/>
                <w:color w:val="auto"/>
                <w:szCs w:val="21"/>
                <w:highlight w:val="none"/>
                <w:u w:val="single"/>
              </w:rPr>
            </w:pPr>
            <w:r>
              <w:rPr>
                <w:rFonts w:hint="eastAsia" w:ascii="宋体" w:hAnsi="宋体" w:cs="宋体"/>
                <w:color w:val="auto"/>
                <w:szCs w:val="21"/>
                <w:highlight w:val="none"/>
              </w:rPr>
              <w:t>分包内容：</w:t>
            </w:r>
            <w:r>
              <w:rPr>
                <w:rFonts w:hint="eastAsia" w:ascii="宋体" w:hAnsi="宋体" w:cs="宋体"/>
                <w:color w:val="auto"/>
                <w:szCs w:val="21"/>
                <w:highlight w:val="none"/>
                <w:u w:val="single"/>
              </w:rPr>
              <w:t xml:space="preserve">                                     。</w:t>
            </w:r>
          </w:p>
          <w:p w14:paraId="7C0D929B">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分包金额或者比例：</w:t>
            </w:r>
            <w:r>
              <w:rPr>
                <w:rFonts w:hint="eastAsia" w:ascii="宋体" w:hAnsi="宋体" w:cs="宋体"/>
                <w:color w:val="auto"/>
                <w:szCs w:val="21"/>
                <w:highlight w:val="none"/>
                <w:u w:val="single"/>
              </w:rPr>
              <w:t xml:space="preserve">                                     。</w:t>
            </w:r>
          </w:p>
        </w:tc>
      </w:tr>
      <w:tr w14:paraId="4BE0C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8"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4D809E8">
            <w:pPr>
              <w:spacing w:line="380" w:lineRule="exact"/>
              <w:rPr>
                <w:rFonts w:ascii="宋体" w:hAnsi="宋体" w:cs="宋体"/>
                <w:color w:val="auto"/>
                <w:szCs w:val="21"/>
                <w:highlight w:val="none"/>
              </w:rPr>
            </w:pPr>
            <w:r>
              <w:rPr>
                <w:rFonts w:hint="eastAsia" w:ascii="宋体" w:hAnsi="宋体" w:cs="宋体"/>
                <w:color w:val="auto"/>
                <w:szCs w:val="21"/>
                <w:highlight w:val="none"/>
              </w:rPr>
              <w:t>11.4</w:t>
            </w:r>
          </w:p>
        </w:tc>
        <w:tc>
          <w:tcPr>
            <w:tcW w:w="2721" w:type="dxa"/>
            <w:tcBorders>
              <w:top w:val="single" w:color="000000" w:sz="4" w:space="0"/>
              <w:left w:val="single" w:color="000000" w:sz="4" w:space="0"/>
              <w:bottom w:val="single" w:color="000000" w:sz="4" w:space="0"/>
              <w:right w:val="single" w:color="000000" w:sz="4" w:space="0"/>
            </w:tcBorders>
            <w:vAlign w:val="center"/>
          </w:tcPr>
          <w:p w14:paraId="49447BB8">
            <w:pPr>
              <w:spacing w:line="380" w:lineRule="exact"/>
              <w:rPr>
                <w:rFonts w:ascii="宋体" w:hAnsi="宋体" w:cs="宋体"/>
                <w:color w:val="auto"/>
                <w:szCs w:val="21"/>
                <w:highlight w:val="none"/>
              </w:rPr>
            </w:pPr>
            <w:r>
              <w:rPr>
                <w:rFonts w:hint="eastAsia" w:ascii="宋体" w:hAnsi="宋体" w:cs="宋体"/>
                <w:color w:val="auto"/>
                <w:szCs w:val="21"/>
                <w:highlight w:val="none"/>
              </w:rPr>
              <w:t>媒体发布渠道</w:t>
            </w:r>
          </w:p>
        </w:tc>
        <w:tc>
          <w:tcPr>
            <w:tcW w:w="6793" w:type="dxa"/>
            <w:tcBorders>
              <w:top w:val="single" w:color="000000" w:sz="4" w:space="0"/>
              <w:left w:val="single" w:color="000000" w:sz="4" w:space="0"/>
              <w:bottom w:val="single" w:color="000000" w:sz="4" w:space="0"/>
              <w:right w:val="single" w:color="000000" w:sz="4" w:space="0"/>
            </w:tcBorders>
            <w:vAlign w:val="center"/>
          </w:tcPr>
          <w:p w14:paraId="1308BAB9">
            <w:pPr>
              <w:rPr>
                <w:rFonts w:ascii="宋体" w:hAnsi="宋体" w:cs="宋体"/>
                <w:color w:val="auto"/>
                <w:szCs w:val="21"/>
                <w:highlight w:val="none"/>
              </w:rPr>
            </w:pPr>
            <w:r>
              <w:rPr>
                <w:rFonts w:hint="eastAsia" w:ascii="宋体" w:hAnsi="宋体" w:cs="宋体"/>
                <w:color w:val="auto"/>
                <w:szCs w:val="21"/>
                <w:highlight w:val="none"/>
              </w:rPr>
              <w:t>与本项目相关的政府采购业务澄清、更正及与之相关的事项将在采购公告中“六、其他补充事宜”中网上查询地址上发布</w:t>
            </w:r>
            <w:r>
              <w:rPr>
                <w:rFonts w:hint="eastAsia" w:ascii="宋体" w:hAnsi="宋体" w:cs="宋体"/>
                <w:color w:val="auto"/>
                <w:kern w:val="0"/>
                <w:szCs w:val="21"/>
                <w:highlight w:val="none"/>
              </w:rPr>
              <w:t>。</w:t>
            </w:r>
          </w:p>
        </w:tc>
      </w:tr>
      <w:tr w14:paraId="1C2F4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50EA3FF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721" w:type="dxa"/>
            <w:tcBorders>
              <w:top w:val="single" w:color="000000" w:sz="4" w:space="0"/>
              <w:left w:val="single" w:color="000000" w:sz="4" w:space="0"/>
              <w:bottom w:val="single" w:color="000000" w:sz="4" w:space="0"/>
              <w:right w:val="single" w:color="000000" w:sz="4" w:space="0"/>
            </w:tcBorders>
            <w:vAlign w:val="center"/>
          </w:tcPr>
          <w:p w14:paraId="15196EC7">
            <w:pPr>
              <w:snapToGrid w:val="0"/>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资格证明文件组成</w:t>
            </w:r>
          </w:p>
          <w:p w14:paraId="5BF362C0">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38468DF2">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DB90A3C">
            <w:pPr>
              <w:snapToGrid w:val="0"/>
              <w:spacing w:line="380" w:lineRule="exact"/>
              <w:jc w:val="left"/>
              <w:rPr>
                <w:rFonts w:ascii="宋体" w:hAnsi="宋体" w:cs="宋体"/>
                <w:color w:val="auto"/>
                <w:szCs w:val="21"/>
                <w:highlight w:val="none"/>
              </w:rPr>
            </w:pPr>
            <w:r>
              <w:rPr>
                <w:rFonts w:hint="eastAsia" w:ascii="宋体" w:hAnsi="宋体" w:cs="宋体"/>
                <w:color w:val="auto"/>
                <w:szCs w:val="21"/>
                <w:highlight w:val="none"/>
              </w:rPr>
              <w:t>2.竞标人根据防财监〔2023〕58 号文要求提供的《防城港市政府采购供应商信用承诺函》（格式附后）</w:t>
            </w:r>
            <w:r>
              <w:rPr>
                <w:rFonts w:hint="eastAsia" w:ascii="宋体" w:hAnsi="宋体" w:cs="宋体"/>
                <w:b/>
                <w:bCs/>
                <w:color w:val="auto"/>
                <w:szCs w:val="21"/>
                <w:highlight w:val="none"/>
              </w:rPr>
              <w:t>（必须提供，否则响应文件按无效响应处理）</w:t>
            </w:r>
          </w:p>
          <w:p w14:paraId="55A1171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.供应商直接控股、管理关系信息表；（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5A8AAE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.竞标声明（格式后附）；（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228C2E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.中小企业声明函或残疾人福利性单位声明函或属于监狱企业的证明文件；（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416DC39">
            <w:pPr>
              <w:spacing w:line="360" w:lineRule="auto"/>
              <w:rPr>
                <w:rFonts w:hint="eastAsia" w:ascii="微软雅黑" w:hAnsi="微软雅黑" w:eastAsia="微软雅黑" w:cs="微软雅黑"/>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资格要求</w:t>
            </w:r>
            <w:r>
              <w:rPr>
                <w:rFonts w:hint="eastAsia" w:ascii="宋体" w:hAnsi="宋体" w:cs="宋体"/>
                <w:color w:val="auto"/>
                <w:szCs w:val="21"/>
                <w:highlight w:val="none"/>
                <w:lang w:eastAsia="zh-CN"/>
              </w:rPr>
              <w:t>：</w:t>
            </w:r>
            <w:r>
              <w:rPr>
                <w:rFonts w:hint="default" w:ascii="Calibri" w:hAnsi="Calibri" w:cs="Calibri"/>
                <w:color w:val="auto"/>
                <w:szCs w:val="21"/>
                <w:highlight w:val="none"/>
                <w:lang w:eastAsia="zh-CN"/>
              </w:rPr>
              <w:t>①</w:t>
            </w:r>
            <w:r>
              <w:rPr>
                <w:rFonts w:hint="eastAsia" w:ascii="宋体" w:hAnsi="宋体" w:cs="宋体"/>
                <w:color w:val="auto"/>
                <w:szCs w:val="21"/>
                <w:highlight w:val="none"/>
              </w:rPr>
              <w:t>供应商须具备公路工程施工总承包叁级(含)以上资质，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w:t>
            </w:r>
            <w:r>
              <w:rPr>
                <w:rFonts w:hint="default" w:ascii="Calibri" w:hAnsi="Calibri" w:cs="Calibri"/>
                <w:color w:val="auto"/>
                <w:szCs w:val="21"/>
                <w:highlight w:val="none"/>
              </w:rPr>
              <w:t>②</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公路工程专业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rPr>
              <w:t>)注册建造师资格，并持有省级或以上交通</w:t>
            </w:r>
            <w:r>
              <w:rPr>
                <w:rFonts w:hint="eastAsia" w:ascii="宋体" w:hAnsi="宋体" w:eastAsia="宋体" w:cs="宋体"/>
                <w:color w:val="auto"/>
                <w:szCs w:val="21"/>
                <w:highlight w:val="none"/>
              </w:rPr>
              <w:t>运输行政主管部门颁发的安全生产考核合格证(“三类人员”B 类证书)</w:t>
            </w:r>
            <w:r>
              <w:rPr>
                <w:rFonts w:hint="eastAsia" w:ascii="宋体" w:hAnsi="宋体" w:eastAsia="宋体" w:cs="宋体"/>
                <w:color w:val="auto"/>
                <w:szCs w:val="21"/>
                <w:highlight w:val="none"/>
                <w:lang w:eastAsia="zh-CN"/>
              </w:rPr>
              <w:t>，</w:t>
            </w:r>
            <w:r>
              <w:rPr>
                <w:rFonts w:hint="default" w:ascii="Calibri" w:hAnsi="Calibri" w:eastAsia="宋体" w:cs="Calibri"/>
                <w:color w:val="auto"/>
                <w:szCs w:val="21"/>
                <w:highlight w:val="none"/>
                <w:lang w:eastAsia="zh-CN"/>
              </w:rPr>
              <w:t>③</w:t>
            </w:r>
            <w:r>
              <w:rPr>
                <w:rFonts w:hint="eastAsia" w:ascii="宋体" w:hAnsi="宋体" w:eastAsia="宋体" w:cs="宋体"/>
                <w:color w:val="auto"/>
                <w:szCs w:val="21"/>
                <w:highlight w:val="none"/>
                <w:lang w:val="en-US" w:eastAsia="zh-CN"/>
              </w:rPr>
              <w:t>拟投入本项目的安全员应具有省级（或以上）交通主管部门颁发的《安全生产考核合格证书》 C证。</w:t>
            </w:r>
          </w:p>
          <w:p w14:paraId="58F19CF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D051427">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7.承诺函</w:t>
            </w:r>
            <w:r>
              <w:rPr>
                <w:rFonts w:hint="eastAsia" w:ascii="宋体" w:hAnsi="宋体" w:cs="宋体"/>
                <w:color w:val="auto"/>
                <w:szCs w:val="21"/>
                <w:highlight w:val="none"/>
              </w:rPr>
              <w:t>（格式后附）</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29C391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除磋商文件规定必须提供以外，供应商认为需要提供的其他证明材料；</w:t>
            </w:r>
          </w:p>
          <w:p w14:paraId="7960CEDE">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w:t>
            </w:r>
          </w:p>
          <w:p w14:paraId="26F6A049">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1.以上标明“必须提供”的材料属于复印件的扫描件的，必须加盖供应商电子公章，否则响应文件按无效响应处理。</w:t>
            </w:r>
          </w:p>
          <w:p w14:paraId="2B235752">
            <w:pPr>
              <w:pStyle w:val="9"/>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2.分公司参加竞标的，应当取得总公司授权，无授权的则作无效竞标处理；</w:t>
            </w:r>
          </w:p>
        </w:tc>
      </w:tr>
      <w:tr w14:paraId="76E9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F06D90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721" w:type="dxa"/>
            <w:tcBorders>
              <w:top w:val="single" w:color="000000" w:sz="4" w:space="0"/>
              <w:left w:val="single" w:color="000000" w:sz="4" w:space="0"/>
              <w:bottom w:val="single" w:color="000000" w:sz="4" w:space="0"/>
              <w:right w:val="single" w:color="000000" w:sz="4" w:space="0"/>
            </w:tcBorders>
            <w:vAlign w:val="center"/>
          </w:tcPr>
          <w:p w14:paraId="61C73F04">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w:t>
            </w:r>
            <w:r>
              <w:rPr>
                <w:rFonts w:hint="eastAsia" w:ascii="宋体" w:hAnsi="宋体" w:cs="宋体"/>
                <w:b/>
                <w:bCs/>
                <w:color w:val="auto"/>
                <w:szCs w:val="21"/>
                <w:highlight w:val="none"/>
                <w:lang w:val="en-US" w:eastAsia="zh-CN"/>
              </w:rPr>
              <w:t>技术</w:t>
            </w:r>
            <w:r>
              <w:rPr>
                <w:rFonts w:hint="eastAsia" w:ascii="宋体" w:hAnsi="宋体" w:cs="宋体"/>
                <w:b/>
                <w:bCs/>
                <w:color w:val="auto"/>
                <w:szCs w:val="21"/>
                <w:highlight w:val="none"/>
              </w:rPr>
              <w:t>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22E0F7AE">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224FDD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2.法定代表人身份证明书及法定代表人有效身份证正反面复印件；（</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694C47C">
            <w:pPr>
              <w:spacing w:line="360" w:lineRule="auto"/>
              <w:rPr>
                <w:rFonts w:ascii="宋体" w:hAnsi="宋体" w:cs="宋体"/>
                <w:b/>
                <w:color w:val="auto"/>
                <w:szCs w:val="21"/>
                <w:highlight w:val="none"/>
              </w:rPr>
            </w:pPr>
            <w:r>
              <w:rPr>
                <w:rFonts w:hint="eastAsia" w:ascii="宋体" w:hAnsi="宋体" w:cs="宋体"/>
                <w:color w:val="auto"/>
                <w:szCs w:val="21"/>
                <w:highlight w:val="none"/>
              </w:rPr>
              <w:t>3.法定代表人授权委托书及委托代理人有效身份证正反面复印件；（</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7C1E3F7A">
            <w:pPr>
              <w:spacing w:line="360" w:lineRule="auto"/>
              <w:rPr>
                <w:rFonts w:ascii="宋体" w:hAnsi="宋体" w:cs="宋体"/>
                <w:color w:val="auto"/>
                <w:szCs w:val="21"/>
                <w:highlight w:val="none"/>
              </w:rPr>
            </w:pPr>
            <w:r>
              <w:rPr>
                <w:rFonts w:hint="eastAsia" w:ascii="宋体" w:hAnsi="宋体" w:cs="宋体"/>
                <w:color w:val="auto"/>
                <w:szCs w:val="21"/>
                <w:highlight w:val="none"/>
              </w:rPr>
              <w:t>4.商务条款偏离表；（</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791A2CF">
            <w:pPr>
              <w:spacing w:line="360" w:lineRule="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5.施工组织设计；</w:t>
            </w:r>
            <w:r>
              <w:rPr>
                <w:rFonts w:hint="eastAsia" w:ascii="宋体" w:hAnsi="宋体" w:cs="宋体"/>
                <w:b/>
                <w:bCs/>
                <w:color w:val="auto"/>
                <w:szCs w:val="21"/>
                <w:highlight w:val="none"/>
              </w:rPr>
              <w:t>（必须提供，否则响应文件按无效响应处理）</w:t>
            </w:r>
          </w:p>
          <w:p w14:paraId="6340961C">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项目实施人员一览表</w:t>
            </w:r>
            <w:r>
              <w:rPr>
                <w:rFonts w:hint="eastAsia" w:ascii="宋体" w:hAnsi="宋体" w:cs="宋体"/>
                <w:color w:val="auto"/>
                <w:szCs w:val="21"/>
                <w:highlight w:val="none"/>
                <w:lang w:eastAsia="zh-CN"/>
              </w:rPr>
              <w:t>；</w:t>
            </w:r>
            <w:r>
              <w:rPr>
                <w:rFonts w:hint="eastAsia" w:ascii="宋体" w:hAnsi="宋体" w:cs="宋体"/>
                <w:b/>
                <w:bCs/>
                <w:color w:val="auto"/>
                <w:szCs w:val="21"/>
                <w:highlight w:val="none"/>
              </w:rPr>
              <w:t>（必须提供，否则响应文件按无效响应处理）</w:t>
            </w:r>
          </w:p>
          <w:p w14:paraId="58912178">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7</w:t>
            </w:r>
            <w:r>
              <w:rPr>
                <w:rFonts w:hint="default" w:ascii="宋体" w:hAnsi="宋体" w:cs="宋体"/>
                <w:color w:val="auto"/>
                <w:szCs w:val="21"/>
                <w:highlight w:val="none"/>
                <w:lang w:val="en-US" w:eastAsia="zh-CN"/>
              </w:rPr>
              <w:t>.代理服务费承诺书（格式后附）；</w:t>
            </w:r>
          </w:p>
          <w:p w14:paraId="7A418BBD">
            <w:pPr>
              <w:spacing w:line="360" w:lineRule="auto"/>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8</w:t>
            </w:r>
            <w:r>
              <w:rPr>
                <w:rFonts w:hint="default" w:ascii="宋体" w:hAnsi="宋体" w:cs="宋体"/>
                <w:color w:val="auto"/>
                <w:szCs w:val="21"/>
                <w:highlight w:val="none"/>
                <w:lang w:val="en-US" w:eastAsia="zh-CN"/>
              </w:rPr>
              <w:t>.对应采购需求的服务需求、商务条款提供的其他文件资料；</w:t>
            </w:r>
          </w:p>
          <w:p w14:paraId="3CDBF3B3">
            <w:pPr>
              <w:spacing w:line="360" w:lineRule="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.供应商认为需要提供的其他有关资料。</w:t>
            </w:r>
          </w:p>
          <w:p w14:paraId="62B2BBC2">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73382812">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1.法定代表人授权委托书必须由法定代表人及委托代理人签字</w:t>
            </w:r>
            <w:r>
              <w:rPr>
                <w:rFonts w:hint="eastAsia" w:ascii="宋体" w:hAnsi="宋体" w:cs="宋体"/>
                <w:b/>
                <w:color w:val="auto"/>
                <w:szCs w:val="21"/>
                <w:highlight w:val="none"/>
                <w:lang w:val="en-US" w:eastAsia="zh-CN"/>
              </w:rPr>
              <w:t>或签章</w:t>
            </w:r>
            <w:r>
              <w:rPr>
                <w:rFonts w:hint="eastAsia" w:ascii="宋体" w:hAnsi="宋体" w:cs="宋体"/>
                <w:b/>
                <w:color w:val="auto"/>
                <w:szCs w:val="21"/>
                <w:highlight w:val="none"/>
              </w:rPr>
              <w:t>，并加盖供应商公章，否则响应文件按无效响应处理。</w:t>
            </w:r>
          </w:p>
          <w:p w14:paraId="679D0E8A">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2.以上标明“必须提供”的材料属于复印件的扫描件的，必须加盖供应商电子公章，否则响应文件按无效响应处理。</w:t>
            </w:r>
          </w:p>
        </w:tc>
      </w:tr>
      <w:tr w14:paraId="3DE11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9CEBA1B">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12.1.</w:t>
            </w:r>
            <w:r>
              <w:rPr>
                <w:rFonts w:hint="eastAsia" w:ascii="宋体" w:hAnsi="宋体" w:cs="宋体"/>
                <w:color w:val="auto"/>
                <w:szCs w:val="21"/>
                <w:highlight w:val="none"/>
                <w:lang w:val="en-US" w:eastAsia="zh-CN"/>
              </w:rPr>
              <w:t>3</w:t>
            </w:r>
          </w:p>
        </w:tc>
        <w:tc>
          <w:tcPr>
            <w:tcW w:w="2721" w:type="dxa"/>
            <w:tcBorders>
              <w:top w:val="single" w:color="000000" w:sz="4" w:space="0"/>
              <w:left w:val="single" w:color="000000" w:sz="4" w:space="0"/>
              <w:bottom w:val="single" w:color="000000" w:sz="4" w:space="0"/>
              <w:right w:val="single" w:color="000000" w:sz="4" w:space="0"/>
            </w:tcBorders>
            <w:vAlign w:val="center"/>
          </w:tcPr>
          <w:p w14:paraId="3B861F6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793" w:type="dxa"/>
            <w:tcBorders>
              <w:top w:val="single" w:color="000000" w:sz="4" w:space="0"/>
              <w:left w:val="single" w:color="000000" w:sz="4" w:space="0"/>
              <w:bottom w:val="single" w:color="000000" w:sz="4" w:space="0"/>
              <w:right w:val="single" w:color="000000" w:sz="4" w:space="0"/>
            </w:tcBorders>
            <w:vAlign w:val="center"/>
          </w:tcPr>
          <w:p w14:paraId="5EABBBE4">
            <w:pPr>
              <w:spacing w:line="360" w:lineRule="auto"/>
              <w:rPr>
                <w:rFonts w:ascii="宋体" w:hAnsi="宋体" w:cs="宋体"/>
                <w:color w:val="auto"/>
                <w:szCs w:val="21"/>
                <w:highlight w:val="none"/>
              </w:rPr>
            </w:pPr>
            <w:r>
              <w:rPr>
                <w:rFonts w:hint="eastAsia" w:ascii="宋体" w:hAnsi="宋体" w:cs="宋体"/>
                <w:color w:val="auto"/>
                <w:szCs w:val="21"/>
                <w:highlight w:val="none"/>
              </w:rPr>
              <w:t>1.响应函；</w:t>
            </w:r>
            <w:r>
              <w:rPr>
                <w:rFonts w:hint="eastAsia" w:ascii="宋体" w:hAnsi="宋体" w:cs="宋体"/>
                <w:b/>
                <w:bCs/>
                <w:color w:val="auto"/>
                <w:szCs w:val="21"/>
                <w:highlight w:val="none"/>
              </w:rPr>
              <w:t>（必须提供，否则作无效响应处理）</w:t>
            </w:r>
          </w:p>
          <w:p w14:paraId="2C2EF8F0">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2.响应报价表；</w:t>
            </w:r>
            <w:r>
              <w:rPr>
                <w:rFonts w:hint="eastAsia" w:ascii="宋体" w:hAnsi="宋体" w:cs="宋体"/>
                <w:b/>
                <w:bCs/>
                <w:color w:val="auto"/>
                <w:szCs w:val="21"/>
                <w:highlight w:val="none"/>
              </w:rPr>
              <w:t>（必须提供，否则响应文件按无效响应处理）</w:t>
            </w:r>
          </w:p>
          <w:p w14:paraId="070A8C36">
            <w:pPr>
              <w:spacing w:line="360" w:lineRule="auto"/>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3.已标价工程量清单</w:t>
            </w:r>
            <w:r>
              <w:rPr>
                <w:rFonts w:hint="eastAsia" w:ascii="宋体" w:hAnsi="宋体" w:cs="宋体"/>
                <w:b w:val="0"/>
                <w:bCs w:val="0"/>
                <w:color w:val="auto"/>
                <w:szCs w:val="21"/>
                <w:highlight w:val="none"/>
              </w:rPr>
              <w:t>；</w:t>
            </w:r>
            <w:r>
              <w:rPr>
                <w:rFonts w:hint="eastAsia" w:ascii="宋体" w:hAnsi="宋体" w:cs="宋体"/>
                <w:b/>
                <w:bCs/>
                <w:color w:val="auto"/>
                <w:szCs w:val="21"/>
                <w:highlight w:val="none"/>
              </w:rPr>
              <w:t>（必须提供，否则响应文件按无效响应处理）</w:t>
            </w:r>
          </w:p>
        </w:tc>
      </w:tr>
      <w:tr w14:paraId="13E5A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C8BE8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721" w:type="dxa"/>
            <w:tcBorders>
              <w:top w:val="single" w:color="000000" w:sz="4" w:space="0"/>
              <w:left w:val="single" w:color="000000" w:sz="4" w:space="0"/>
              <w:bottom w:val="single" w:color="000000" w:sz="4" w:space="0"/>
              <w:right w:val="single" w:color="000000" w:sz="4" w:space="0"/>
            </w:tcBorders>
            <w:vAlign w:val="center"/>
          </w:tcPr>
          <w:p w14:paraId="7A532FB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7E1949C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1.响应文件电子版要求：按照本采购文件“第五章 响应文件格式”编写（第五章未附格式的，由供应商自行拟定），不可涂改并在规定加盖公章处加盖电子公章，</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1F73F46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2.响应文件电子版密封方式：电子响应文件通过平台有效CA加密后在“广西政府采购云平台”投送。（操作方式见公告附件“电子响应文件制作与投送教程” ）</w:t>
            </w:r>
          </w:p>
        </w:tc>
      </w:tr>
      <w:tr w14:paraId="70F756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096E3C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721" w:type="dxa"/>
            <w:tcBorders>
              <w:top w:val="single" w:color="000000" w:sz="4" w:space="0"/>
              <w:left w:val="single" w:color="000000" w:sz="4" w:space="0"/>
              <w:bottom w:val="single" w:color="000000" w:sz="4" w:space="0"/>
              <w:right w:val="single" w:color="000000" w:sz="4" w:space="0"/>
            </w:tcBorders>
            <w:vAlign w:val="center"/>
          </w:tcPr>
          <w:p w14:paraId="00B59C6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0BAF44C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响应报价必须包含满足本次竞标全部采购需求所应提供的服务，以及伴随的货物和工程（如有）的价格；包含竞标服务、货物、工程的成本、运输（含保险）、安装（如有）、调试、检验、技术服务、培训、税费等所有费用。</w:t>
            </w:r>
            <w:r>
              <w:rPr>
                <w:rFonts w:hint="eastAsia" w:ascii="宋体" w:hAnsi="宋体" w:cs="宋体"/>
                <w:b/>
                <w:color w:val="auto"/>
                <w:szCs w:val="21"/>
                <w:highlight w:val="none"/>
              </w:rPr>
              <w:t>（采购需求另有约定的，从其约定。）</w:t>
            </w:r>
          </w:p>
        </w:tc>
      </w:tr>
      <w:tr w14:paraId="23B29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D0DB8E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721" w:type="dxa"/>
            <w:tcBorders>
              <w:top w:val="single" w:color="000000" w:sz="4" w:space="0"/>
              <w:left w:val="single" w:color="000000" w:sz="4" w:space="0"/>
              <w:bottom w:val="single" w:color="000000" w:sz="4" w:space="0"/>
              <w:right w:val="single" w:color="000000" w:sz="4" w:space="0"/>
            </w:tcBorders>
            <w:vAlign w:val="center"/>
          </w:tcPr>
          <w:p w14:paraId="0F82C3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029C5">
            <w:pPr>
              <w:pStyle w:val="7"/>
              <w:numPr>
                <w:ilvl w:val="0"/>
                <w:numId w:val="0"/>
              </w:numPr>
              <w:tabs>
                <w:tab w:val="left" w:pos="720"/>
                <w:tab w:val="left" w:pos="840"/>
              </w:tabs>
              <w:snapToGrid w:val="0"/>
              <w:spacing w:after="120" w:line="360" w:lineRule="auto"/>
              <w:ind w:left="283" w:hanging="283" w:hangingChars="135"/>
              <w:rPr>
                <w:rFonts w:ascii="宋体" w:hAnsi="宋体" w:cs="宋体"/>
                <w:color w:val="auto"/>
                <w:szCs w:val="21"/>
                <w:highlight w:val="none"/>
              </w:rPr>
            </w:pPr>
            <w:r>
              <w:rPr>
                <w:rFonts w:hint="eastAsia" w:ascii="宋体" w:hAnsi="宋体" w:cs="宋体"/>
                <w:color w:val="auto"/>
                <w:szCs w:val="21"/>
                <w:highlight w:val="none"/>
              </w:rPr>
              <w:t>自首次响应文件提交截止之日起</w:t>
            </w:r>
            <w:r>
              <w:rPr>
                <w:rFonts w:hint="eastAsia" w:ascii="宋体" w:hAnsi="宋体" w:cs="宋体"/>
                <w:color w:val="auto"/>
                <w:szCs w:val="21"/>
                <w:highlight w:val="none"/>
                <w:u w:val="single"/>
              </w:rPr>
              <w:t>90</w:t>
            </w:r>
            <w:r>
              <w:rPr>
                <w:rFonts w:hint="eastAsia" w:ascii="宋体" w:hAnsi="宋体" w:cs="宋体"/>
                <w:color w:val="auto"/>
                <w:szCs w:val="21"/>
                <w:highlight w:val="none"/>
              </w:rPr>
              <w:t>日。</w:t>
            </w:r>
          </w:p>
        </w:tc>
      </w:tr>
      <w:tr w14:paraId="1E18A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7B0F547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721" w:type="dxa"/>
            <w:tcBorders>
              <w:top w:val="single" w:color="000000" w:sz="4" w:space="0"/>
              <w:left w:val="single" w:color="000000" w:sz="4" w:space="0"/>
              <w:bottom w:val="single" w:color="000000" w:sz="4" w:space="0"/>
              <w:right w:val="single" w:color="000000" w:sz="4" w:space="0"/>
            </w:tcBorders>
            <w:vAlign w:val="center"/>
          </w:tcPr>
          <w:p w14:paraId="2E910E7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B31FB11">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本项目不收取磋商保证金。</w:t>
            </w:r>
          </w:p>
        </w:tc>
      </w:tr>
      <w:tr w14:paraId="59E9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7207895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721" w:type="dxa"/>
            <w:tcBorders>
              <w:top w:val="single" w:color="000000" w:sz="4" w:space="0"/>
              <w:left w:val="single" w:color="000000" w:sz="4" w:space="0"/>
              <w:bottom w:val="single" w:color="000000" w:sz="4" w:space="0"/>
              <w:right w:val="single" w:color="000000" w:sz="4" w:space="0"/>
            </w:tcBorders>
            <w:vAlign w:val="center"/>
          </w:tcPr>
          <w:p w14:paraId="7B0A24A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首次响应文件提交起止时间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6CA5A315">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653A3D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512D0B">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AED0BD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793" w:type="dxa"/>
            <w:tcBorders>
              <w:top w:val="single" w:color="000000" w:sz="4" w:space="0"/>
              <w:left w:val="single" w:color="000000" w:sz="4" w:space="0"/>
              <w:bottom w:val="single" w:color="000000" w:sz="4" w:space="0"/>
              <w:right w:val="single" w:color="000000" w:sz="4" w:space="0"/>
            </w:tcBorders>
            <w:vAlign w:val="center"/>
          </w:tcPr>
          <w:p w14:paraId="4EC18674">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2D184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D981A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721" w:type="dxa"/>
            <w:tcBorders>
              <w:top w:val="single" w:color="000000" w:sz="4" w:space="0"/>
              <w:left w:val="single" w:color="000000" w:sz="4" w:space="0"/>
              <w:bottom w:val="single" w:color="000000" w:sz="4" w:space="0"/>
              <w:right w:val="single" w:color="000000" w:sz="4" w:space="0"/>
            </w:tcBorders>
            <w:vAlign w:val="center"/>
          </w:tcPr>
          <w:p w14:paraId="097FB4B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793" w:type="dxa"/>
            <w:tcBorders>
              <w:top w:val="single" w:color="000000" w:sz="4" w:space="0"/>
              <w:left w:val="single" w:color="000000" w:sz="4" w:space="0"/>
              <w:bottom w:val="single" w:color="000000" w:sz="4" w:space="0"/>
              <w:right w:val="single" w:color="000000" w:sz="4" w:space="0"/>
            </w:tcBorders>
            <w:vAlign w:val="center"/>
          </w:tcPr>
          <w:p w14:paraId="42FC59CD">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393EC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4CF2195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21</w:t>
            </w:r>
          </w:p>
        </w:tc>
        <w:tc>
          <w:tcPr>
            <w:tcW w:w="2721" w:type="dxa"/>
            <w:tcBorders>
              <w:top w:val="single" w:color="000000" w:sz="4" w:space="0"/>
              <w:left w:val="single" w:color="000000" w:sz="4" w:space="0"/>
              <w:bottom w:val="single" w:color="000000" w:sz="4" w:space="0"/>
              <w:right w:val="single" w:color="000000" w:sz="4" w:space="0"/>
            </w:tcBorders>
            <w:vAlign w:val="center"/>
          </w:tcPr>
          <w:p w14:paraId="02FB67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首次响应文件的退回</w:t>
            </w:r>
          </w:p>
        </w:tc>
        <w:tc>
          <w:tcPr>
            <w:tcW w:w="6793" w:type="dxa"/>
            <w:tcBorders>
              <w:top w:val="single" w:color="000000" w:sz="4" w:space="0"/>
              <w:left w:val="single" w:color="000000" w:sz="4" w:space="0"/>
              <w:bottom w:val="single" w:color="000000" w:sz="4" w:space="0"/>
              <w:right w:val="single" w:color="000000" w:sz="4" w:space="0"/>
            </w:tcBorders>
            <w:vAlign w:val="center"/>
          </w:tcPr>
          <w:p w14:paraId="6E53BB6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5E4EC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6C7952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26.2</w:t>
            </w:r>
          </w:p>
        </w:tc>
        <w:tc>
          <w:tcPr>
            <w:tcW w:w="2721" w:type="dxa"/>
            <w:tcBorders>
              <w:top w:val="single" w:color="000000" w:sz="4" w:space="0"/>
              <w:left w:val="single" w:color="000000" w:sz="4" w:space="0"/>
              <w:bottom w:val="single" w:color="000000" w:sz="4" w:space="0"/>
              <w:right w:val="single" w:color="000000" w:sz="4" w:space="0"/>
            </w:tcBorders>
            <w:vAlign w:val="center"/>
          </w:tcPr>
          <w:p w14:paraId="686C98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793" w:type="dxa"/>
            <w:tcBorders>
              <w:top w:val="single" w:color="000000" w:sz="4" w:space="0"/>
              <w:left w:val="single" w:color="000000" w:sz="4" w:space="0"/>
              <w:bottom w:val="single" w:color="000000" w:sz="4" w:space="0"/>
              <w:right w:val="single" w:color="000000" w:sz="4" w:space="0"/>
            </w:tcBorders>
            <w:vAlign w:val="center"/>
          </w:tcPr>
          <w:p w14:paraId="125E495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p w14:paraId="3559CBEC">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服务需求评审中允许负偏离的条款数为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w:t>
            </w:r>
          </w:p>
        </w:tc>
      </w:tr>
      <w:tr w14:paraId="5530E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E6E857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0B31640C">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p w14:paraId="7416689F">
            <w:pPr>
              <w:spacing w:line="360" w:lineRule="auto"/>
              <w:jc w:val="center"/>
              <w:rPr>
                <w:rFonts w:ascii="宋体" w:hAnsi="宋体" w:cs="宋体"/>
                <w:color w:val="auto"/>
                <w:szCs w:val="21"/>
                <w:highlight w:val="none"/>
              </w:rPr>
            </w:pPr>
          </w:p>
        </w:tc>
        <w:tc>
          <w:tcPr>
            <w:tcW w:w="6793" w:type="dxa"/>
            <w:tcBorders>
              <w:top w:val="single" w:color="000000" w:sz="4" w:space="0"/>
              <w:left w:val="single" w:color="000000" w:sz="4" w:space="0"/>
              <w:bottom w:val="single" w:color="000000" w:sz="4" w:space="0"/>
              <w:right w:val="single" w:color="000000" w:sz="4" w:space="0"/>
            </w:tcBorders>
            <w:vAlign w:val="center"/>
          </w:tcPr>
          <w:p w14:paraId="565C8094">
            <w:pPr>
              <w:pStyle w:val="9"/>
              <w:spacing w:line="360" w:lineRule="auto"/>
              <w:rPr>
                <w:rFonts w:ascii="宋体" w:hAnsi="宋体" w:cs="宋体"/>
                <w:color w:val="auto"/>
                <w:szCs w:val="21"/>
                <w:highlight w:val="none"/>
              </w:rPr>
            </w:pPr>
            <w:r>
              <w:rPr>
                <w:rFonts w:hint="eastAsia" w:ascii="宋体" w:hAnsi="宋体" w:cs="宋体"/>
                <w:color w:val="auto"/>
                <w:szCs w:val="21"/>
                <w:highlight w:val="none"/>
              </w:rPr>
              <w:t>☑按照提交首次响应文件的顺序，通知磋商时，若某供应商不在通知现场时，该供应商排序到最后磋商，按照签到的顺序由其下一位供应商先参与磋商。</w:t>
            </w:r>
          </w:p>
          <w:p w14:paraId="5D720206">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□随机排序。</w:t>
            </w:r>
          </w:p>
        </w:tc>
      </w:tr>
      <w:tr w14:paraId="73AF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3A6EDB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721" w:type="dxa"/>
            <w:tcBorders>
              <w:top w:val="single" w:color="000000" w:sz="4" w:space="0"/>
              <w:left w:val="single" w:color="000000" w:sz="4" w:space="0"/>
              <w:bottom w:val="single" w:color="000000" w:sz="4" w:space="0"/>
              <w:right w:val="single" w:color="000000" w:sz="4" w:space="0"/>
            </w:tcBorders>
            <w:vAlign w:val="center"/>
          </w:tcPr>
          <w:p w14:paraId="36CA79B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793" w:type="dxa"/>
            <w:tcBorders>
              <w:top w:val="single" w:color="000000" w:sz="4" w:space="0"/>
              <w:left w:val="single" w:color="000000" w:sz="4" w:space="0"/>
              <w:bottom w:val="single" w:color="000000" w:sz="4" w:space="0"/>
              <w:right w:val="single" w:color="000000" w:sz="4" w:space="0"/>
            </w:tcBorders>
            <w:vAlign w:val="center"/>
          </w:tcPr>
          <w:p w14:paraId="6FDF09F7">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本项目不收取履约保证金 </w:t>
            </w:r>
          </w:p>
        </w:tc>
      </w:tr>
      <w:tr w14:paraId="1F39C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FFC63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721" w:type="dxa"/>
            <w:tcBorders>
              <w:top w:val="single" w:color="000000" w:sz="4" w:space="0"/>
              <w:left w:val="single" w:color="000000" w:sz="4" w:space="0"/>
              <w:bottom w:val="single" w:color="000000" w:sz="4" w:space="0"/>
              <w:right w:val="single" w:color="000000" w:sz="4" w:space="0"/>
            </w:tcBorders>
            <w:vAlign w:val="center"/>
          </w:tcPr>
          <w:p w14:paraId="5F19CF3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793" w:type="dxa"/>
            <w:tcBorders>
              <w:top w:val="single" w:color="000000" w:sz="4" w:space="0"/>
              <w:left w:val="single" w:color="000000" w:sz="4" w:space="0"/>
              <w:bottom w:val="single" w:color="000000" w:sz="4" w:space="0"/>
              <w:right w:val="single" w:color="000000" w:sz="4" w:space="0"/>
            </w:tcBorders>
            <w:vAlign w:val="center"/>
          </w:tcPr>
          <w:p w14:paraId="128307F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使用的有效CA证书加盖单位电子公章</w:t>
            </w:r>
          </w:p>
        </w:tc>
      </w:tr>
      <w:tr w14:paraId="29BF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restart"/>
            <w:tcBorders>
              <w:top w:val="single" w:color="000000" w:sz="4" w:space="0"/>
              <w:left w:val="single" w:color="000000" w:sz="4" w:space="0"/>
              <w:bottom w:val="single" w:color="000000" w:sz="4" w:space="0"/>
              <w:right w:val="single" w:color="000000" w:sz="4" w:space="0"/>
            </w:tcBorders>
            <w:vAlign w:val="center"/>
          </w:tcPr>
          <w:p w14:paraId="2062858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721" w:type="dxa"/>
            <w:tcBorders>
              <w:top w:val="single" w:color="000000" w:sz="4" w:space="0"/>
              <w:left w:val="single" w:color="000000" w:sz="4" w:space="0"/>
              <w:bottom w:val="single" w:color="000000" w:sz="4" w:space="0"/>
              <w:right w:val="single" w:color="000000" w:sz="4" w:space="0"/>
            </w:tcBorders>
            <w:vAlign w:val="center"/>
          </w:tcPr>
          <w:p w14:paraId="215E3ABB">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5BB3698">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以书面形式</w:t>
            </w:r>
          </w:p>
        </w:tc>
      </w:tr>
      <w:tr w14:paraId="31F90D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7F214460">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78B259A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质疑联系部门及联系方式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94B8BB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u w:val="single"/>
                <w:lang w:eastAsia="zh-CN"/>
              </w:rPr>
              <w:t>广西中泽诚信工程项目管理有限公司</w:t>
            </w:r>
            <w:r>
              <w:rPr>
                <w:rFonts w:hint="eastAsia" w:ascii="宋体" w:hAnsi="宋体" w:cs="宋体"/>
                <w:color w:val="auto"/>
                <w:szCs w:val="21"/>
                <w:highlight w:val="none"/>
              </w:rPr>
              <w:t>部门；</w:t>
            </w:r>
          </w:p>
          <w:p w14:paraId="4A2B273E">
            <w:pPr>
              <w:snapToGrid w:val="0"/>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val="en-US" w:eastAsia="zh-CN"/>
              </w:rPr>
              <w:t>0771-8096968</w:t>
            </w:r>
          </w:p>
          <w:p w14:paraId="6BA88E09">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bCs/>
                <w:color w:val="auto"/>
                <w:kern w:val="0"/>
                <w:szCs w:val="21"/>
                <w:highlight w:val="none"/>
                <w:u w:val="single"/>
              </w:rPr>
              <w:t>南宁市青秀区中柬路8号龙光世纪B座4223-4228</w:t>
            </w:r>
            <w:r>
              <w:rPr>
                <w:rFonts w:hint="eastAsia" w:ascii="宋体" w:hAnsi="宋体" w:cs="宋体"/>
                <w:bCs/>
                <w:color w:val="auto"/>
                <w:kern w:val="0"/>
                <w:szCs w:val="21"/>
                <w:highlight w:val="none"/>
                <w:u w:val="single"/>
                <w:lang w:val="en-US" w:eastAsia="zh-CN"/>
              </w:rPr>
              <w:t>号</w:t>
            </w:r>
            <w:r>
              <w:rPr>
                <w:rFonts w:hint="eastAsia" w:ascii="宋体" w:hAnsi="宋体" w:cs="宋体"/>
                <w:color w:val="auto"/>
                <w:szCs w:val="21"/>
                <w:highlight w:val="none"/>
              </w:rPr>
              <w:t xml:space="preserve">  </w:t>
            </w:r>
          </w:p>
          <w:p w14:paraId="7C9B2DF3">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u w:val="single"/>
                <w:lang w:eastAsia="zh-CN"/>
              </w:rPr>
              <w:t>上思县农业农村局</w:t>
            </w:r>
            <w:r>
              <w:rPr>
                <w:rFonts w:hint="eastAsia" w:ascii="宋体" w:hAnsi="宋体" w:cs="宋体"/>
                <w:color w:val="auto"/>
                <w:szCs w:val="21"/>
                <w:highlight w:val="none"/>
              </w:rPr>
              <w:t>部门；</w:t>
            </w:r>
          </w:p>
          <w:p w14:paraId="4F026B9D">
            <w:pPr>
              <w:snapToGrid w:val="0"/>
              <w:spacing w:line="380" w:lineRule="exact"/>
              <w:rPr>
                <w:rFonts w:ascii="宋体" w:hAnsi="宋体" w:cs="宋体"/>
                <w:color w:val="auto"/>
                <w:szCs w:val="21"/>
                <w:highlight w:val="none"/>
                <w:u w:val="single"/>
              </w:rPr>
            </w:pPr>
            <w:r>
              <w:rPr>
                <w:rFonts w:hint="eastAsia" w:ascii="宋体" w:hAnsi="宋体" w:cs="宋体"/>
                <w:color w:val="auto"/>
                <w:szCs w:val="21"/>
                <w:highlight w:val="none"/>
              </w:rPr>
              <w:t>联系电话：</w:t>
            </w:r>
            <w:r>
              <w:rPr>
                <w:rFonts w:hint="eastAsia" w:ascii="宋体" w:hAnsi="宋体" w:cs="宋体"/>
                <w:color w:val="auto"/>
                <w:szCs w:val="21"/>
                <w:highlight w:val="none"/>
                <w:u w:val="single"/>
                <w:lang w:eastAsia="zh-CN"/>
              </w:rPr>
              <w:t>0770-8509177</w:t>
            </w:r>
          </w:p>
          <w:p w14:paraId="033D2AAB">
            <w:pPr>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通讯地址：</w:t>
            </w:r>
            <w:r>
              <w:rPr>
                <w:rFonts w:hint="eastAsia" w:ascii="宋体" w:hAnsi="宋体" w:cs="宋体"/>
                <w:color w:val="auto"/>
                <w:szCs w:val="21"/>
                <w:highlight w:val="none"/>
                <w:u w:val="single"/>
                <w:lang w:eastAsia="zh-CN"/>
              </w:rPr>
              <w:t>上思县思阳镇仁甫西路农业农村局</w:t>
            </w:r>
            <w:r>
              <w:rPr>
                <w:rFonts w:hint="eastAsia" w:ascii="宋体" w:hAnsi="宋体" w:cs="宋体"/>
                <w:color w:val="auto"/>
                <w:szCs w:val="21"/>
                <w:highlight w:val="none"/>
              </w:rPr>
              <w:t xml:space="preserve"> </w:t>
            </w:r>
          </w:p>
        </w:tc>
      </w:tr>
      <w:tr w14:paraId="58B89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vMerge w:val="continue"/>
            <w:tcBorders>
              <w:top w:val="single" w:color="000000" w:sz="4" w:space="0"/>
              <w:left w:val="single" w:color="000000" w:sz="4" w:space="0"/>
              <w:bottom w:val="single" w:color="000000" w:sz="4" w:space="0"/>
              <w:right w:val="single" w:color="000000" w:sz="4" w:space="0"/>
            </w:tcBorders>
            <w:vAlign w:val="center"/>
          </w:tcPr>
          <w:p w14:paraId="5DB54382">
            <w:pPr>
              <w:widowControl/>
              <w:jc w:val="left"/>
              <w:rPr>
                <w:rFonts w:ascii="宋体" w:hAnsi="宋体" w:cs="宋体"/>
                <w:color w:val="auto"/>
                <w:szCs w:val="21"/>
                <w:highlight w:val="none"/>
              </w:rPr>
            </w:pPr>
          </w:p>
        </w:tc>
        <w:tc>
          <w:tcPr>
            <w:tcW w:w="2721" w:type="dxa"/>
            <w:tcBorders>
              <w:top w:val="single" w:color="000000" w:sz="4" w:space="0"/>
              <w:left w:val="single" w:color="000000" w:sz="4" w:space="0"/>
              <w:bottom w:val="single" w:color="000000" w:sz="4" w:space="0"/>
              <w:right w:val="single" w:color="000000" w:sz="4" w:space="0"/>
            </w:tcBorders>
            <w:vAlign w:val="center"/>
          </w:tcPr>
          <w:p w14:paraId="265DE0CE">
            <w:pPr>
              <w:spacing w:line="380" w:lineRule="exact"/>
              <w:jc w:val="center"/>
              <w:rPr>
                <w:rFonts w:ascii="宋体" w:hAnsi="宋体" w:cs="宋体"/>
                <w:color w:val="auto"/>
                <w:szCs w:val="21"/>
                <w:highlight w:val="none"/>
              </w:rPr>
            </w:pPr>
            <w:r>
              <w:rPr>
                <w:rFonts w:hint="eastAsia" w:ascii="宋体" w:hAnsi="宋体" w:cs="宋体"/>
                <w:color w:val="auto"/>
                <w:highlight w:val="none"/>
              </w:rPr>
              <w:t>现场提交质疑办理业务时间</w:t>
            </w:r>
          </w:p>
        </w:tc>
        <w:tc>
          <w:tcPr>
            <w:tcW w:w="6793" w:type="dxa"/>
            <w:tcBorders>
              <w:top w:val="single" w:color="000000" w:sz="4" w:space="0"/>
              <w:left w:val="single" w:color="000000" w:sz="4" w:space="0"/>
              <w:bottom w:val="single" w:color="000000" w:sz="4" w:space="0"/>
              <w:right w:val="single" w:color="000000" w:sz="4" w:space="0"/>
            </w:tcBorders>
            <w:vAlign w:val="center"/>
          </w:tcPr>
          <w:p w14:paraId="7775ECC6">
            <w:pPr>
              <w:snapToGrid w:val="0"/>
              <w:spacing w:line="380" w:lineRule="exact"/>
              <w:rPr>
                <w:rFonts w:ascii="宋体" w:hAnsi="宋体" w:cs="宋体"/>
                <w:color w:val="auto"/>
                <w:szCs w:val="21"/>
                <w:highlight w:val="none"/>
              </w:rPr>
            </w:pPr>
            <w:r>
              <w:rPr>
                <w:rFonts w:hint="eastAsia" w:ascii="宋体" w:hAnsi="宋体" w:cs="宋体"/>
                <w:color w:val="auto"/>
                <w:highlight w:val="none"/>
              </w:rPr>
              <w:t>质疑期内每个工作日</w:t>
            </w:r>
            <w:r>
              <w:rPr>
                <w:rFonts w:hint="eastAsia" w:ascii="宋体" w:hAnsi="宋体" w:cs="宋体"/>
                <w:color w:val="auto"/>
                <w:highlight w:val="none"/>
                <w:u w:val="single"/>
              </w:rPr>
              <w:t xml:space="preserve"> 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12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r>
              <w:rPr>
                <w:rFonts w:hint="eastAsia" w:ascii="宋体" w:hAnsi="宋体" w:cs="宋体"/>
                <w:color w:val="auto"/>
                <w:highlight w:val="none"/>
                <w:u w:val="single"/>
              </w:rPr>
              <w:t xml:space="preserve"> 15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分到</w:t>
            </w:r>
            <w:r>
              <w:rPr>
                <w:rFonts w:hint="eastAsia" w:ascii="宋体" w:hAnsi="宋体" w:cs="宋体"/>
                <w:color w:val="auto"/>
                <w:highlight w:val="none"/>
                <w:u w:val="single"/>
              </w:rPr>
              <w:t xml:space="preserve"> 18 </w:t>
            </w:r>
            <w:r>
              <w:rPr>
                <w:rFonts w:hint="eastAsia" w:ascii="宋体" w:hAnsi="宋体" w:cs="宋体"/>
                <w:color w:val="auto"/>
                <w:highlight w:val="none"/>
              </w:rPr>
              <w:t>时</w:t>
            </w:r>
            <w:r>
              <w:rPr>
                <w:rFonts w:hint="eastAsia" w:ascii="宋体" w:hAnsi="宋体" w:cs="宋体"/>
                <w:color w:val="auto"/>
                <w:highlight w:val="none"/>
                <w:u w:val="single"/>
              </w:rPr>
              <w:t xml:space="preserve"> 0 </w:t>
            </w:r>
            <w:r>
              <w:rPr>
                <w:rFonts w:hint="eastAsia" w:ascii="宋体" w:hAnsi="宋体" w:cs="宋体"/>
                <w:color w:val="auto"/>
                <w:highlight w:val="none"/>
              </w:rPr>
              <w:t>分</w:t>
            </w:r>
          </w:p>
        </w:tc>
      </w:tr>
      <w:tr w14:paraId="10BC0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362B03F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721" w:type="dxa"/>
            <w:tcBorders>
              <w:top w:val="single" w:color="000000" w:sz="4" w:space="0"/>
              <w:left w:val="single" w:color="000000" w:sz="4" w:space="0"/>
              <w:bottom w:val="single" w:color="000000" w:sz="4" w:space="0"/>
              <w:right w:val="single" w:color="000000" w:sz="4" w:space="0"/>
            </w:tcBorders>
            <w:vAlign w:val="center"/>
          </w:tcPr>
          <w:p w14:paraId="0FF7A9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793" w:type="dxa"/>
            <w:tcBorders>
              <w:top w:val="single" w:color="000000" w:sz="4" w:space="0"/>
              <w:left w:val="single" w:color="000000" w:sz="4" w:space="0"/>
              <w:bottom w:val="single" w:color="000000" w:sz="4" w:space="0"/>
              <w:right w:val="single" w:color="000000" w:sz="4" w:space="0"/>
            </w:tcBorders>
            <w:vAlign w:val="center"/>
          </w:tcPr>
          <w:p w14:paraId="0A63EBBE">
            <w:pPr>
              <w:snapToGrid w:val="0"/>
              <w:spacing w:line="380" w:lineRule="exact"/>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21EB6EA0">
            <w:pPr>
              <w:snapToGrid w:val="0"/>
              <w:spacing w:line="380" w:lineRule="exact"/>
              <w:rPr>
                <w:rFonts w:ascii="宋体" w:hAnsi="宋体" w:cs="宋体"/>
                <w:color w:val="auto"/>
                <w:highlight w:val="none"/>
              </w:rPr>
            </w:pPr>
            <w:r>
              <w:rPr>
                <w:rFonts w:hint="eastAsia" w:ascii="宋体" w:hAnsi="宋体" w:cs="宋体"/>
                <w:color w:val="auto"/>
                <w:highlight w:val="none"/>
              </w:rPr>
              <w:t>2、邮寄地址：</w:t>
            </w:r>
          </w:p>
          <w:p w14:paraId="6DC8AD2B">
            <w:pPr>
              <w:snapToGrid w:val="0"/>
              <w:spacing w:line="380" w:lineRule="exact"/>
              <w:rPr>
                <w:rFonts w:ascii="宋体" w:hAnsi="宋体" w:cs="宋体"/>
                <w:color w:val="auto"/>
                <w:highlight w:val="none"/>
              </w:rPr>
            </w:pPr>
            <w:r>
              <w:rPr>
                <w:rFonts w:hint="eastAsia" w:ascii="宋体" w:hAnsi="宋体" w:cs="宋体"/>
                <w:color w:val="auto"/>
                <w:highlight w:val="none"/>
              </w:rPr>
              <w:t>名称：上思县政府采购中心</w:t>
            </w:r>
          </w:p>
          <w:p w14:paraId="249962BF">
            <w:pPr>
              <w:snapToGrid w:val="0"/>
              <w:spacing w:line="380" w:lineRule="exact"/>
              <w:rPr>
                <w:rFonts w:ascii="宋体" w:hAnsi="宋体" w:cs="宋体"/>
                <w:color w:val="auto"/>
                <w:highlight w:val="none"/>
              </w:rPr>
            </w:pPr>
            <w:r>
              <w:rPr>
                <w:rFonts w:hint="eastAsia" w:ascii="宋体" w:hAnsi="宋体" w:cs="宋体"/>
                <w:color w:val="auto"/>
                <w:highlight w:val="none"/>
              </w:rPr>
              <w:t>地址：上思县思阳镇更生路财政大厦</w:t>
            </w:r>
          </w:p>
          <w:p w14:paraId="6032D124">
            <w:pPr>
              <w:snapToGrid w:val="0"/>
              <w:spacing w:line="380" w:lineRule="exact"/>
              <w:rPr>
                <w:rFonts w:ascii="宋体" w:hAnsi="宋体" w:cs="宋体"/>
                <w:color w:val="auto"/>
                <w:highlight w:val="none"/>
              </w:rPr>
            </w:pPr>
            <w:r>
              <w:rPr>
                <w:rFonts w:hint="eastAsia" w:ascii="宋体" w:hAnsi="宋体" w:cs="宋体"/>
                <w:color w:val="auto"/>
                <w:highlight w:val="none"/>
              </w:rPr>
              <w:t>联系电话：0770-8521708</w:t>
            </w:r>
          </w:p>
        </w:tc>
      </w:tr>
      <w:tr w14:paraId="1E04D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AB7F07">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721" w:type="dxa"/>
            <w:tcBorders>
              <w:top w:val="single" w:color="000000" w:sz="4" w:space="0"/>
              <w:left w:val="single" w:color="000000" w:sz="4" w:space="0"/>
              <w:bottom w:val="single" w:color="000000" w:sz="4" w:space="0"/>
              <w:right w:val="single" w:color="000000" w:sz="4" w:space="0"/>
            </w:tcBorders>
            <w:vAlign w:val="center"/>
          </w:tcPr>
          <w:p w14:paraId="7BB0CE8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采购代理费</w:t>
            </w:r>
          </w:p>
        </w:tc>
        <w:tc>
          <w:tcPr>
            <w:tcW w:w="6793" w:type="dxa"/>
            <w:tcBorders>
              <w:top w:val="single" w:color="000000" w:sz="4" w:space="0"/>
              <w:left w:val="single" w:color="000000" w:sz="4" w:space="0"/>
              <w:bottom w:val="single" w:color="000000" w:sz="4" w:space="0"/>
              <w:right w:val="single" w:color="000000" w:sz="4" w:space="0"/>
            </w:tcBorders>
            <w:vAlign w:val="center"/>
          </w:tcPr>
          <w:p w14:paraId="6E3F2185">
            <w:pPr>
              <w:pStyle w:val="15"/>
              <w:snapToGrid w:val="0"/>
              <w:spacing w:line="360" w:lineRule="auto"/>
              <w:rPr>
                <w:rFonts w:hAnsi="宋体" w:cs="宋体"/>
                <w:color w:val="auto"/>
                <w:sz w:val="21"/>
                <w:highlight w:val="none"/>
              </w:rPr>
            </w:pPr>
            <w:r>
              <w:rPr>
                <w:rFonts w:hint="eastAsia" w:hAnsi="宋体" w:cs="宋体"/>
                <w:color w:val="auto"/>
                <w:sz w:val="21"/>
                <w:highlight w:val="none"/>
              </w:rPr>
              <w:t>1. 是否收取采购代理费：</w:t>
            </w:r>
          </w:p>
          <w:p w14:paraId="378F9D44">
            <w:pPr>
              <w:pStyle w:val="15"/>
              <w:snapToGrid w:val="0"/>
              <w:spacing w:line="360" w:lineRule="auto"/>
              <w:rPr>
                <w:rFonts w:hAnsi="宋体" w:cs="宋体"/>
                <w:color w:val="auto"/>
                <w:sz w:val="21"/>
                <w:highlight w:val="none"/>
              </w:rPr>
            </w:pPr>
            <w:r>
              <w:rPr>
                <w:rFonts w:hint="eastAsia" w:hAnsi="宋体" w:cs="宋体"/>
                <w:color w:val="auto"/>
                <w:sz w:val="21"/>
                <w:highlight w:val="none"/>
              </w:rPr>
              <w:t>☑是    □ 否</w:t>
            </w:r>
          </w:p>
          <w:p w14:paraId="7941A5B1">
            <w:pPr>
              <w:pStyle w:val="15"/>
              <w:snapToGrid w:val="0"/>
              <w:spacing w:line="360" w:lineRule="auto"/>
              <w:rPr>
                <w:rFonts w:hAnsi="宋体" w:cs="宋体"/>
                <w:color w:val="auto"/>
                <w:sz w:val="21"/>
                <w:highlight w:val="none"/>
              </w:rPr>
            </w:pPr>
            <w:r>
              <w:rPr>
                <w:rFonts w:hint="eastAsia" w:hAnsi="宋体" w:cs="宋体"/>
                <w:color w:val="auto"/>
                <w:sz w:val="21"/>
                <w:highlight w:val="none"/>
              </w:rPr>
              <w:t>2.采购代理费支付方式：</w:t>
            </w:r>
          </w:p>
          <w:p w14:paraId="4387835E">
            <w:pPr>
              <w:pStyle w:val="15"/>
              <w:snapToGrid w:val="0"/>
              <w:spacing w:line="360" w:lineRule="auto"/>
              <w:rPr>
                <w:rFonts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领取成交通知书前，一次性向采购代理机构支付。</w:t>
            </w:r>
          </w:p>
          <w:p w14:paraId="56759587">
            <w:pPr>
              <w:pStyle w:val="15"/>
              <w:snapToGrid w:val="0"/>
              <w:spacing w:line="360" w:lineRule="auto"/>
              <w:rPr>
                <w:rFonts w:hAnsi="宋体" w:cs="宋体"/>
                <w:color w:val="auto"/>
                <w:sz w:val="21"/>
                <w:highlight w:val="none"/>
              </w:rPr>
            </w:pPr>
            <w:r>
              <w:rPr>
                <w:rFonts w:hint="eastAsia" w:hAnsi="宋体" w:cs="宋体"/>
                <w:color w:val="auto"/>
                <w:sz w:val="21"/>
                <w:highlight w:val="none"/>
              </w:rPr>
              <w:t>□采购人支付。</w:t>
            </w:r>
          </w:p>
          <w:p w14:paraId="7616EDE8">
            <w:pPr>
              <w:pStyle w:val="15"/>
              <w:snapToGrid w:val="0"/>
              <w:spacing w:line="380" w:lineRule="exact"/>
              <w:rPr>
                <w:rFonts w:hAnsi="宋体" w:cs="宋体"/>
                <w:color w:val="auto"/>
                <w:sz w:val="21"/>
                <w:highlight w:val="none"/>
              </w:rPr>
            </w:pPr>
            <w:r>
              <w:rPr>
                <w:rFonts w:hint="eastAsia" w:hAnsi="宋体" w:cs="宋体"/>
                <w:color w:val="auto"/>
                <w:sz w:val="21"/>
                <w:highlight w:val="none"/>
              </w:rPr>
              <w:t>3.采购代理费收取标准：</w:t>
            </w:r>
          </w:p>
          <w:p w14:paraId="230BF54B">
            <w:pPr>
              <w:pStyle w:val="15"/>
              <w:snapToGrid w:val="0"/>
              <w:spacing w:line="380" w:lineRule="exact"/>
              <w:rPr>
                <w:rFonts w:hint="eastAsia" w:hAnsi="宋体" w:cs="宋体"/>
                <w:color w:val="auto"/>
                <w:sz w:val="21"/>
                <w:highlight w:val="none"/>
              </w:rPr>
            </w:pPr>
            <w:r>
              <w:rPr>
                <w:rFonts w:hint="eastAsia" w:hAnsi="宋体" w:cs="宋体"/>
                <w:color w:val="auto"/>
                <w:sz w:val="21"/>
                <w:highlight w:val="none"/>
              </w:rPr>
              <w:t>本项目采购代理费按以下费率采用累进法计算，并以成交金额为基价计取采购代理费。采购代理费由采购代理机构向成交供应商收取。成交供应商在领取成交通知书前一次性向采购代理机构付清采购代理费。</w:t>
            </w:r>
          </w:p>
          <w:tbl>
            <w:tblPr>
              <w:tblStyle w:val="26"/>
              <w:tblW w:w="4999" w:type="pct"/>
              <w:jc w:val="center"/>
              <w:tblLayout w:type="autofit"/>
              <w:tblCellMar>
                <w:top w:w="0" w:type="dxa"/>
                <w:left w:w="108" w:type="dxa"/>
                <w:bottom w:w="0" w:type="dxa"/>
                <w:right w:w="108" w:type="dxa"/>
              </w:tblCellMar>
            </w:tblPr>
            <w:tblGrid>
              <w:gridCol w:w="3821"/>
              <w:gridCol w:w="2755"/>
            </w:tblGrid>
            <w:tr w14:paraId="51C43D58">
              <w:tblPrEx>
                <w:tblCellMar>
                  <w:top w:w="0" w:type="dxa"/>
                  <w:left w:w="108" w:type="dxa"/>
                  <w:bottom w:w="0" w:type="dxa"/>
                  <w:right w:w="108" w:type="dxa"/>
                </w:tblCellMar>
              </w:tblPrEx>
              <w:trPr>
                <w:trHeight w:val="602" w:hRule="atLeast"/>
                <w:jc w:val="center"/>
              </w:trPr>
              <w:tc>
                <w:tcPr>
                  <w:tcW w:w="2905" w:type="pct"/>
                  <w:tcBorders>
                    <w:top w:val="single" w:color="auto" w:sz="4" w:space="0"/>
                    <w:left w:val="single" w:color="auto" w:sz="4" w:space="0"/>
                    <w:bottom w:val="single" w:color="auto" w:sz="4" w:space="0"/>
                    <w:right w:val="single" w:color="auto" w:sz="4" w:space="0"/>
                  </w:tcBorders>
                  <w:noWrap w:val="0"/>
                  <w:vAlign w:val="center"/>
                </w:tcPr>
                <w:p w14:paraId="04AC8138">
                  <w:pPr>
                    <w:spacing w:line="360" w:lineRule="auto"/>
                    <w:ind w:firstLine="573"/>
                    <w:jc w:val="center"/>
                    <w:rPr>
                      <w:rFonts w:ascii="宋体" w:hAnsi="宋体" w:cs="宋体"/>
                      <w:color w:val="auto"/>
                      <w:sz w:val="21"/>
                      <w:szCs w:val="21"/>
                      <w:highlight w:val="none"/>
                    </w:rPr>
                  </w:pPr>
                  <w:r>
                    <w:rPr>
                      <w:rFonts w:hint="eastAsia" w:ascii="宋体" w:hAnsi="宋体" w:cs="宋体"/>
                      <w:color w:val="auto"/>
                      <w:sz w:val="21"/>
                      <w:szCs w:val="21"/>
                      <w:highlight w:val="none"/>
                    </w:rPr>
                    <w:t>中标（成交）金额（万元）范围</w:t>
                  </w:r>
                </w:p>
              </w:tc>
              <w:tc>
                <w:tcPr>
                  <w:tcW w:w="2094" w:type="pct"/>
                  <w:tcBorders>
                    <w:top w:val="single" w:color="auto" w:sz="4" w:space="0"/>
                    <w:left w:val="nil"/>
                    <w:bottom w:val="single" w:color="auto" w:sz="4" w:space="0"/>
                    <w:right w:val="single" w:color="auto" w:sz="4" w:space="0"/>
                  </w:tcBorders>
                  <w:noWrap w:val="0"/>
                  <w:vAlign w:val="center"/>
                </w:tcPr>
                <w:p w14:paraId="7024187D">
                  <w:pPr>
                    <w:spacing w:line="360" w:lineRule="auto"/>
                    <w:ind w:firstLine="573"/>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费率</w:t>
                  </w:r>
                </w:p>
              </w:tc>
            </w:tr>
            <w:tr w14:paraId="2959AD3B">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66DA7C31">
                  <w:pPr>
                    <w:spacing w:line="360" w:lineRule="auto"/>
                    <w:ind w:firstLine="573"/>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100及以下</w:t>
                  </w:r>
                </w:p>
              </w:tc>
              <w:tc>
                <w:tcPr>
                  <w:tcW w:w="2094" w:type="pct"/>
                  <w:tcBorders>
                    <w:top w:val="nil"/>
                    <w:left w:val="nil"/>
                    <w:bottom w:val="single" w:color="auto" w:sz="4" w:space="0"/>
                    <w:right w:val="single" w:color="auto" w:sz="4" w:space="0"/>
                  </w:tcBorders>
                  <w:noWrap/>
                  <w:vAlign w:val="center"/>
                </w:tcPr>
                <w:p w14:paraId="14BE8AE5">
                  <w:pPr>
                    <w:spacing w:line="360" w:lineRule="auto"/>
                    <w:ind w:firstLine="573" w:firstLineChars="0"/>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val="en-US" w:eastAsia="zh-CN"/>
                    </w:rPr>
                    <w:t>1.0</w:t>
                  </w:r>
                  <w:r>
                    <w:rPr>
                      <w:rFonts w:hint="eastAsia" w:ascii="宋体" w:hAnsi="宋体" w:cs="宋体"/>
                      <w:color w:val="auto"/>
                      <w:sz w:val="21"/>
                      <w:szCs w:val="21"/>
                      <w:highlight w:val="none"/>
                    </w:rPr>
                    <w:t>0%</w:t>
                  </w:r>
                </w:p>
              </w:tc>
            </w:tr>
            <w:tr w14:paraId="4FA55859">
              <w:tblPrEx>
                <w:tblCellMar>
                  <w:top w:w="0" w:type="dxa"/>
                  <w:left w:w="108" w:type="dxa"/>
                  <w:bottom w:w="0" w:type="dxa"/>
                  <w:right w:w="108" w:type="dxa"/>
                </w:tblCellMar>
              </w:tblPrEx>
              <w:trPr>
                <w:trHeight w:val="375" w:hRule="atLeast"/>
                <w:jc w:val="center"/>
              </w:trPr>
              <w:tc>
                <w:tcPr>
                  <w:tcW w:w="2905" w:type="pct"/>
                  <w:tcBorders>
                    <w:top w:val="nil"/>
                    <w:left w:val="single" w:color="auto" w:sz="4" w:space="0"/>
                    <w:bottom w:val="single" w:color="auto" w:sz="4" w:space="0"/>
                    <w:right w:val="single" w:color="auto" w:sz="4" w:space="0"/>
                  </w:tcBorders>
                  <w:noWrap/>
                  <w:vAlign w:val="center"/>
                </w:tcPr>
                <w:p w14:paraId="2E62D56F">
                  <w:pPr>
                    <w:spacing w:line="360" w:lineRule="auto"/>
                    <w:ind w:firstLine="573"/>
                    <w:jc w:val="center"/>
                    <w:rPr>
                      <w:rFonts w:hint="eastAsia" w:ascii="宋体" w:hAnsi="宋体" w:cs="宋体"/>
                      <w:color w:val="auto"/>
                      <w:sz w:val="21"/>
                      <w:szCs w:val="21"/>
                      <w:highlight w:val="none"/>
                    </w:rPr>
                  </w:pPr>
                  <w:r>
                    <w:rPr>
                      <w:rFonts w:ascii="宋体" w:hAnsi="宋体" w:cs="宋体"/>
                      <w:color w:val="auto"/>
                      <w:sz w:val="21"/>
                      <w:szCs w:val="21"/>
                      <w:highlight w:val="none"/>
                    </w:rPr>
                    <w:t>100-500</w:t>
                  </w:r>
                </w:p>
              </w:tc>
              <w:tc>
                <w:tcPr>
                  <w:tcW w:w="2094" w:type="pct"/>
                  <w:tcBorders>
                    <w:top w:val="nil"/>
                    <w:left w:val="nil"/>
                    <w:bottom w:val="single" w:color="auto" w:sz="4" w:space="0"/>
                    <w:right w:val="single" w:color="auto" w:sz="4" w:space="0"/>
                  </w:tcBorders>
                  <w:noWrap/>
                  <w:vAlign w:val="center"/>
                </w:tcPr>
                <w:p w14:paraId="3C06EE95">
                  <w:pPr>
                    <w:spacing w:line="360" w:lineRule="auto"/>
                    <w:ind w:firstLine="573" w:firstLineChars="0"/>
                    <w:jc w:val="center"/>
                    <w:rPr>
                      <w:rFonts w:ascii="宋体" w:hAnsi="宋体" w:cs="宋体"/>
                      <w:color w:val="auto"/>
                      <w:sz w:val="21"/>
                      <w:szCs w:val="21"/>
                      <w:highlight w:val="none"/>
                    </w:rPr>
                  </w:pPr>
                  <w:r>
                    <w:rPr>
                      <w:rFonts w:hint="eastAsia" w:ascii="宋体" w:hAnsi="宋体" w:cs="宋体"/>
                      <w:color w:val="auto"/>
                      <w:sz w:val="21"/>
                      <w:szCs w:val="21"/>
                      <w:highlight w:val="none"/>
                    </w:rPr>
                    <w:t>0.</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0%</w:t>
                  </w:r>
                </w:p>
              </w:tc>
            </w:tr>
          </w:tbl>
          <w:p w14:paraId="18E3B210">
            <w:pPr>
              <w:pStyle w:val="15"/>
              <w:snapToGrid w:val="0"/>
              <w:spacing w:line="380" w:lineRule="exact"/>
              <w:rPr>
                <w:rFonts w:hAnsi="宋体" w:cs="宋体"/>
                <w:color w:val="auto"/>
                <w:sz w:val="21"/>
                <w:highlight w:val="none"/>
              </w:rPr>
            </w:pPr>
          </w:p>
        </w:tc>
      </w:tr>
      <w:tr w14:paraId="6AE74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1266261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721" w:type="dxa"/>
            <w:tcBorders>
              <w:top w:val="single" w:color="000000" w:sz="4" w:space="0"/>
              <w:left w:val="single" w:color="000000" w:sz="4" w:space="0"/>
              <w:bottom w:val="single" w:color="000000" w:sz="4" w:space="0"/>
              <w:right w:val="single" w:color="000000" w:sz="4" w:space="0"/>
            </w:tcBorders>
            <w:vAlign w:val="center"/>
          </w:tcPr>
          <w:p w14:paraId="5AE804A3">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793" w:type="dxa"/>
            <w:tcBorders>
              <w:top w:val="single" w:color="000000" w:sz="4" w:space="0"/>
              <w:left w:val="single" w:color="000000" w:sz="4" w:space="0"/>
              <w:bottom w:val="single" w:color="000000" w:sz="4" w:space="0"/>
              <w:right w:val="single" w:color="000000" w:sz="4" w:space="0"/>
            </w:tcBorders>
            <w:vAlign w:val="center"/>
          </w:tcPr>
          <w:p w14:paraId="573F5A50">
            <w:pPr>
              <w:pStyle w:val="15"/>
              <w:snapToGrid w:val="0"/>
              <w:spacing w:line="360" w:lineRule="auto"/>
              <w:rPr>
                <w:rFonts w:hAnsi="宋体" w:cs="宋体"/>
                <w:b/>
                <w:color w:val="auto"/>
                <w:sz w:val="21"/>
                <w:highlight w:val="none"/>
              </w:rPr>
            </w:pPr>
            <w:r>
              <w:rPr>
                <w:rFonts w:hint="eastAsia" w:hAnsi="宋体" w:cs="宋体"/>
                <w:b/>
                <w:color w:val="auto"/>
                <w:sz w:val="21"/>
                <w:highlight w:val="none"/>
              </w:rPr>
              <w:t>解释权：</w:t>
            </w:r>
            <w:r>
              <w:rPr>
                <w:rFonts w:hint="eastAsia" w:hAnsi="宋体" w:cs="宋体"/>
                <w:color w:val="auto"/>
                <w:sz w:val="21"/>
                <w:highlight w:val="none"/>
              </w:rPr>
              <w:t>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hAnsi="宋体" w:cs="宋体"/>
                <w:b/>
                <w:color w:val="auto"/>
                <w:sz w:val="21"/>
                <w:highlight w:val="none"/>
              </w:rPr>
              <w:t>由采购人或者采购代理机构负责解释。</w:t>
            </w:r>
          </w:p>
          <w:p w14:paraId="01589218">
            <w:pPr>
              <w:pStyle w:val="15"/>
              <w:snapToGrid w:val="0"/>
              <w:spacing w:line="360" w:lineRule="auto"/>
              <w:rPr>
                <w:rFonts w:hAnsi="宋体" w:cs="宋体"/>
                <w:b/>
                <w:color w:val="auto"/>
                <w:sz w:val="21"/>
                <w:highlight w:val="none"/>
              </w:rPr>
            </w:pPr>
            <w:r>
              <w:rPr>
                <w:rFonts w:hint="eastAsia" w:hAnsi="宋体" w:cs="宋体"/>
                <w:b/>
                <w:color w:val="auto"/>
                <w:sz w:val="21"/>
                <w:highlight w:val="none"/>
              </w:rPr>
              <w:t>法律责任：</w:t>
            </w:r>
          </w:p>
          <w:p w14:paraId="21E1ACB3">
            <w:pPr>
              <w:pStyle w:val="15"/>
              <w:snapToGrid w:val="0"/>
              <w:spacing w:line="360" w:lineRule="auto"/>
              <w:rPr>
                <w:rFonts w:hAnsi="宋体" w:cs="宋体"/>
                <w:color w:val="auto"/>
                <w:sz w:val="21"/>
                <w:highlight w:val="none"/>
              </w:rPr>
            </w:pPr>
            <w:r>
              <w:rPr>
                <w:rFonts w:hint="eastAsia" w:hAnsi="宋体" w:cs="宋体"/>
                <w:b/>
                <w:color w:val="auto"/>
                <w:sz w:val="21"/>
                <w:highlight w:val="none"/>
              </w:rPr>
              <w:t>1.</w:t>
            </w:r>
            <w:r>
              <w:rPr>
                <w:rFonts w:hint="eastAsia" w:hAnsi="宋体" w:cs="宋体"/>
                <w:color w:val="auto"/>
                <w:sz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p w14:paraId="3E6A1BDD">
            <w:pPr>
              <w:spacing w:line="360" w:lineRule="auto"/>
              <w:rPr>
                <w:rFonts w:ascii="宋体" w:hAnsi="宋体" w:cs="宋体"/>
                <w:color w:val="auto"/>
                <w:highlight w:val="none"/>
              </w:rPr>
            </w:pPr>
            <w:r>
              <w:rPr>
                <w:rFonts w:hint="eastAsia" w:ascii="宋体" w:hAnsi="宋体" w:cs="宋体"/>
                <w:b/>
                <w:color w:val="auto"/>
                <w:highlight w:val="none"/>
              </w:rPr>
              <w:t>2.</w:t>
            </w:r>
            <w:r>
              <w:rPr>
                <w:rFonts w:hint="eastAsia" w:ascii="宋体" w:hAnsi="宋体" w:cs="宋体"/>
                <w:b/>
                <w:color w:val="auto"/>
                <w:szCs w:val="21"/>
                <w:highlight w:val="none"/>
              </w:rPr>
              <w:t xml:space="preserve"> 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14:paraId="7688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46" w:type="dxa"/>
            <w:tcBorders>
              <w:top w:val="single" w:color="000000" w:sz="4" w:space="0"/>
              <w:left w:val="single" w:color="000000" w:sz="4" w:space="0"/>
              <w:bottom w:val="single" w:color="000000" w:sz="4" w:space="0"/>
              <w:right w:val="single" w:color="000000" w:sz="4" w:space="0"/>
            </w:tcBorders>
            <w:vAlign w:val="center"/>
          </w:tcPr>
          <w:p w14:paraId="264A056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721" w:type="dxa"/>
            <w:tcBorders>
              <w:top w:val="single" w:color="000000" w:sz="4" w:space="0"/>
              <w:left w:val="single" w:color="000000" w:sz="4" w:space="0"/>
              <w:bottom w:val="single" w:color="000000" w:sz="4" w:space="0"/>
              <w:right w:val="single" w:color="000000" w:sz="4" w:space="0"/>
            </w:tcBorders>
            <w:vAlign w:val="center"/>
          </w:tcPr>
          <w:p w14:paraId="0C60E4C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793" w:type="dxa"/>
            <w:tcBorders>
              <w:top w:val="single" w:color="000000" w:sz="4" w:space="0"/>
              <w:left w:val="single" w:color="000000" w:sz="4" w:space="0"/>
              <w:bottom w:val="single" w:color="000000" w:sz="4" w:space="0"/>
              <w:right w:val="single" w:color="000000" w:sz="4" w:space="0"/>
            </w:tcBorders>
            <w:vAlign w:val="center"/>
          </w:tcPr>
          <w:p w14:paraId="6EBBC811">
            <w:pPr>
              <w:pStyle w:val="15"/>
              <w:snapToGrid w:val="0"/>
              <w:spacing w:line="360" w:lineRule="auto"/>
              <w:rPr>
                <w:rFonts w:hAnsi="宋体" w:cs="宋体"/>
                <w:color w:val="auto"/>
                <w:sz w:val="21"/>
                <w:highlight w:val="none"/>
              </w:rPr>
            </w:pPr>
            <w:r>
              <w:rPr>
                <w:rFonts w:hint="eastAsia" w:hAnsi="宋体" w:cs="宋体"/>
                <w:color w:val="auto"/>
                <w:sz w:val="21"/>
                <w:highlight w:val="none"/>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3F76FBF9">
            <w:pPr>
              <w:pStyle w:val="15"/>
              <w:snapToGrid w:val="0"/>
              <w:spacing w:line="360" w:lineRule="auto"/>
              <w:rPr>
                <w:rFonts w:hAnsi="宋体" w:cs="宋体"/>
                <w:color w:val="auto"/>
                <w:sz w:val="21"/>
                <w:highlight w:val="none"/>
              </w:rPr>
            </w:pPr>
            <w:r>
              <w:rPr>
                <w:rFonts w:hint="eastAsia" w:hAnsi="宋体" w:cs="宋体"/>
                <w:color w:val="auto"/>
                <w:sz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177A1C95">
            <w:pPr>
              <w:pStyle w:val="15"/>
              <w:snapToGrid w:val="0"/>
              <w:spacing w:line="360" w:lineRule="auto"/>
              <w:rPr>
                <w:rFonts w:hAnsi="宋体" w:cs="宋体"/>
                <w:color w:val="auto"/>
                <w:sz w:val="21"/>
                <w:highlight w:val="none"/>
              </w:rPr>
            </w:pPr>
            <w:r>
              <w:rPr>
                <w:rFonts w:hint="eastAsia" w:hAnsi="宋体" w:cs="宋体"/>
                <w:color w:val="auto"/>
                <w:sz w:val="21"/>
                <w:highlight w:val="none"/>
              </w:rPr>
              <w:t>3.本磋商文件中描述供应商的“签字”是指供应商的法定代表人或者委托代理人亲自在文件规定签署处亲笔写上个人的名字的行为，私章、签字章、印鉴、影印等其他形式均不能代替亲笔签字。</w:t>
            </w:r>
          </w:p>
          <w:p w14:paraId="27B05D12">
            <w:pPr>
              <w:pStyle w:val="15"/>
              <w:snapToGrid w:val="0"/>
              <w:spacing w:line="360" w:lineRule="auto"/>
              <w:rPr>
                <w:rFonts w:hAnsi="宋体" w:cs="宋体"/>
                <w:color w:val="auto"/>
                <w:sz w:val="21"/>
                <w:highlight w:val="none"/>
              </w:rPr>
            </w:pPr>
            <w:r>
              <w:rPr>
                <w:rFonts w:hint="eastAsia" w:hAnsi="宋体" w:cs="宋体"/>
                <w:color w:val="auto"/>
                <w:sz w:val="21"/>
                <w:highlight w:val="none"/>
              </w:rPr>
              <w:t>4.自然人竞标的，磋商文件规定盖公章处由自然人摁手指指印。</w:t>
            </w:r>
          </w:p>
          <w:p w14:paraId="225D33DA">
            <w:pPr>
              <w:pStyle w:val="15"/>
              <w:snapToGrid w:val="0"/>
              <w:spacing w:line="360" w:lineRule="auto"/>
              <w:rPr>
                <w:rFonts w:hint="eastAsia" w:hAnsi="宋体" w:cs="宋体"/>
                <w:color w:val="auto"/>
                <w:sz w:val="21"/>
                <w:highlight w:val="none"/>
              </w:rPr>
            </w:pPr>
            <w:r>
              <w:rPr>
                <w:rFonts w:hint="eastAsia" w:hAnsi="宋体" w:cs="宋体"/>
                <w:color w:val="auto"/>
                <w:sz w:val="21"/>
                <w:highlight w:val="none"/>
              </w:rPr>
              <w:t>5.本磋商文件所称的“以上”“以下”“以内”“届满”，包括本数；所称的“不满”“超过”“以外”，不包括本数。</w:t>
            </w:r>
          </w:p>
          <w:p w14:paraId="6EC46F26">
            <w:pPr>
              <w:rPr>
                <w:rFonts w:hint="default" w:eastAsia="宋体"/>
                <w:color w:val="auto"/>
                <w:highlight w:val="none"/>
                <w:lang w:val="en-US" w:eastAsia="zh-CN"/>
              </w:rPr>
            </w:pPr>
          </w:p>
        </w:tc>
      </w:tr>
    </w:tbl>
    <w:p w14:paraId="4FA52B1E">
      <w:pPr>
        <w:pStyle w:val="3"/>
        <w:spacing w:line="420" w:lineRule="exact"/>
        <w:jc w:val="center"/>
        <w:rPr>
          <w:rFonts w:ascii="宋体" w:hAnsi="宋体" w:cs="宋体"/>
          <w:b w:val="0"/>
          <w:color w:val="auto"/>
          <w:highlight w:val="none"/>
        </w:rPr>
      </w:pPr>
      <w:r>
        <w:rPr>
          <w:rFonts w:hint="eastAsia" w:ascii="宋体" w:hAnsi="宋体" w:cs="宋体"/>
          <w:bCs w:val="0"/>
          <w:color w:val="auto"/>
          <w:highlight w:val="none"/>
        </w:rPr>
        <w:br w:type="page"/>
      </w:r>
      <w:bookmarkStart w:id="41" w:name="_Toc23846"/>
      <w:r>
        <w:rPr>
          <w:rFonts w:hint="eastAsia" w:ascii="宋体" w:hAnsi="宋体" w:cs="宋体"/>
          <w:b w:val="0"/>
          <w:color w:val="auto"/>
          <w:highlight w:val="none"/>
        </w:rPr>
        <w:t>第二节 供应商须知正文</w:t>
      </w:r>
      <w:bookmarkEnd w:id="41"/>
    </w:p>
    <w:p w14:paraId="73FD994D">
      <w:pPr>
        <w:pStyle w:val="4"/>
        <w:spacing w:before="0" w:after="0" w:line="360" w:lineRule="auto"/>
        <w:ind w:firstLine="640" w:firstLineChars="200"/>
        <w:rPr>
          <w:rFonts w:ascii="宋体" w:hAnsi="宋体" w:cs="宋体"/>
          <w:b w:val="0"/>
          <w:color w:val="auto"/>
          <w:highlight w:val="none"/>
        </w:rPr>
      </w:pPr>
      <w:bookmarkStart w:id="42" w:name="_Toc20691"/>
      <w:r>
        <w:rPr>
          <w:rFonts w:hint="eastAsia" w:ascii="宋体" w:hAnsi="宋体" w:cs="宋体"/>
          <w:b w:val="0"/>
          <w:color w:val="auto"/>
          <w:highlight w:val="none"/>
        </w:rPr>
        <w:t>一、总则</w:t>
      </w:r>
      <w:bookmarkEnd w:id="42"/>
    </w:p>
    <w:p w14:paraId="22C5B49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1.适用范围</w:t>
      </w:r>
    </w:p>
    <w:p w14:paraId="41868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356D5B1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3A8C8B2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2.定义</w:t>
      </w:r>
    </w:p>
    <w:p w14:paraId="2DCCA5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0A818AD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173ECB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02DAEF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1E3B0F0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2.5“竞标”是指供应商按照本项目竞争性磋商公告或者邀请函规定的方式获取磋商文件、提交响应文件并希望获得标的的行为。</w:t>
      </w:r>
    </w:p>
    <w:p w14:paraId="5F0C2A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是指：供应商根据本磋商文件要求，编制包含资格证明、报价商务技术等所有内容的文件。</w:t>
      </w:r>
    </w:p>
    <w:p w14:paraId="278D23B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2.7“实质性要求”是指磋商文件中已经指明不满足则响应文件按无效响应处理的条款，或者不能负偏离的条款，或者采购需求中带“▲”的条款。</w:t>
      </w:r>
    </w:p>
    <w:p w14:paraId="1486593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4181BF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27C55A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3815F2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77D0501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0ED252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2.13“评审报价”是指供应商提交的最后报价并经修正（如有）和政策功能价格扣除（如有）后的价格。</w:t>
      </w:r>
    </w:p>
    <w:p w14:paraId="17BB929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3.供应商的资格条件</w:t>
      </w:r>
    </w:p>
    <w:p w14:paraId="6FEF524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供应商的资格条件详见“供应商须知前附表”。</w:t>
      </w:r>
    </w:p>
    <w:p w14:paraId="4DB6236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4.磋商费用</w:t>
      </w:r>
    </w:p>
    <w:p w14:paraId="262BE0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6710591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5.联合体竞标</w:t>
      </w:r>
    </w:p>
    <w:p w14:paraId="061364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168F8EC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6E04DDC9">
      <w:pPr>
        <w:spacing w:line="360" w:lineRule="auto"/>
        <w:ind w:firstLine="420" w:firstLineChars="200"/>
        <w:rPr>
          <w:rFonts w:ascii="宋体" w:hAnsi="宋体" w:cs="宋体"/>
          <w:bCs/>
          <w:color w:val="auto"/>
          <w:szCs w:val="21"/>
          <w:highlight w:val="none"/>
        </w:rPr>
      </w:pPr>
      <w:r>
        <w:rPr>
          <w:rFonts w:hint="eastAsia" w:ascii="宋体" w:hAnsi="宋体" w:cs="宋体"/>
          <w:color w:val="auto"/>
          <w:szCs w:val="21"/>
          <w:highlight w:val="none"/>
        </w:rPr>
        <w:t>5.3根据《政府采购促进中小企业发展管理办法》（财库[2020]46号）第九条及《广西壮族自治区财政厅关于进一步发挥政府采购政策功能促进企业发展的通知》（桂财采〔2022〕30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C225B4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 xml:space="preserve">6.转包与分包             </w:t>
      </w:r>
    </w:p>
    <w:p w14:paraId="120E302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6.1本项目是否允许分包详见“供应商须知前附表”，本项目不允许违法分包。</w:t>
      </w:r>
    </w:p>
    <w:p w14:paraId="7B569D5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根据《政府采购促进中小企业发展管理办法》（财库[2020]46号）第九条及《广西壮族自治区财政厅关于进一步发挥政府采购政策功能促进企业发展的通知》（桂财采〔2022〕30号）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599FABC8">
      <w:pPr>
        <w:spacing w:line="360" w:lineRule="auto"/>
        <w:ind w:firstLine="482" w:firstLineChars="200"/>
        <w:rPr>
          <w:rFonts w:ascii="宋体" w:hAnsi="宋体" w:cs="宋体"/>
          <w:b/>
          <w:bCs/>
          <w:color w:val="auto"/>
          <w:sz w:val="24"/>
          <w:highlight w:val="none"/>
        </w:rPr>
      </w:pPr>
      <w:bookmarkStart w:id="43" w:name="_Toc254970532"/>
      <w:bookmarkStart w:id="44" w:name="_Toc254970673"/>
      <w:r>
        <w:rPr>
          <w:rFonts w:hint="eastAsia" w:ascii="宋体" w:hAnsi="宋体" w:cs="宋体"/>
          <w:b/>
          <w:bCs/>
          <w:color w:val="auto"/>
          <w:sz w:val="24"/>
          <w:highlight w:val="none"/>
        </w:rPr>
        <w:t>7.特别说明</w:t>
      </w:r>
      <w:bookmarkEnd w:id="43"/>
      <w:bookmarkEnd w:id="44"/>
    </w:p>
    <w:p w14:paraId="2C89F6E8">
      <w:pPr>
        <w:spacing w:line="360" w:lineRule="auto"/>
        <w:ind w:firstLine="420" w:firstLineChars="200"/>
        <w:rPr>
          <w:rFonts w:ascii="宋体" w:hAnsi="宋体" w:cs="宋体"/>
          <w:color w:val="auto"/>
          <w:szCs w:val="21"/>
          <w:highlight w:val="none"/>
        </w:rPr>
      </w:pPr>
      <w:bookmarkStart w:id="45" w:name="_8.1提供相同品牌产品且通过资格审查、符合性审查的不同投标人参加同一合"/>
      <w:bookmarkEnd w:id="45"/>
      <w:r>
        <w:rPr>
          <w:rFonts w:hint="eastAsia" w:ascii="宋体" w:hAnsi="宋体" w:cs="宋体"/>
          <w:color w:val="auto"/>
          <w:szCs w:val="21"/>
          <w:highlight w:val="none"/>
        </w:rPr>
        <w:t>7.1</w:t>
      </w:r>
      <w:bookmarkStart w:id="4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46"/>
    <w:p w14:paraId="19D0D0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30C17F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4A29E4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7.4在政府采购活动中，采购人员及相关人员与供应商有下列利害关系之一的，应当回避：</w:t>
      </w:r>
    </w:p>
    <w:p w14:paraId="2199D7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（1）参加采购活动前3年内与供应商存在劳动关系；</w:t>
      </w:r>
    </w:p>
    <w:p w14:paraId="1EC247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（2）参加采购活动前3年内担任供应商的董事、监事；</w:t>
      </w:r>
    </w:p>
    <w:p w14:paraId="5B10740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（3）参加采购活动前3年内是供应商的控股股东或者实际控制人；</w:t>
      </w:r>
    </w:p>
    <w:p w14:paraId="6CF522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（4）与供应商的法定代表人或者负责人有夫妻、直系血亲、三代以内旁系血亲或者近姻亲关系；</w:t>
      </w:r>
    </w:p>
    <w:p w14:paraId="50BA742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（5）与供应商有其他可能影响政府采购活动公平、公正进行的关系。</w:t>
      </w:r>
    </w:p>
    <w:p w14:paraId="22C4BD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02567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7.5有下列情形之一的视为供应商相互串通竞标，响应文件将被视为无效：</w:t>
      </w:r>
    </w:p>
    <w:p w14:paraId="7778558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（1）不同供应商的响应文件由同一单位或者个人编制；或者不同供应商报名的IP地址一致的；或者编制响应文件硬件设备CPU编号、硬盘编号、网卡地址一致的情况。 </w:t>
      </w:r>
    </w:p>
    <w:p w14:paraId="38E52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（2）不同供应商委托同一单位或者个人办理竞标事宜；</w:t>
      </w:r>
    </w:p>
    <w:p w14:paraId="055EE82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（3）不同的供应商的响应文件载明的项目管理员为同一个人；</w:t>
      </w:r>
    </w:p>
    <w:p w14:paraId="35F3F72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（4）不同供应商的响应文件异常一致或者报价呈规律性差异；</w:t>
      </w:r>
    </w:p>
    <w:p w14:paraId="021D17B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（5）不同供应商的响应文件相互混装；</w:t>
      </w:r>
    </w:p>
    <w:p w14:paraId="41E22EEC">
      <w:pPr>
        <w:tabs>
          <w:tab w:val="left" w:pos="6931"/>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（6）不同供应商的磋商保证金从同一单位或者个人账户转出。</w:t>
      </w:r>
      <w:r>
        <w:rPr>
          <w:rFonts w:hint="eastAsia" w:ascii="宋体" w:hAnsi="宋体" w:cs="宋体"/>
          <w:color w:val="auto"/>
          <w:szCs w:val="21"/>
          <w:highlight w:val="none"/>
        </w:rPr>
        <w:tab/>
      </w:r>
    </w:p>
    <w:p w14:paraId="3F58A0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7.6供应商有下列情形之一的，属于恶意串通行为，将报同级监督管理部门：</w:t>
      </w:r>
    </w:p>
    <w:p w14:paraId="4BC08B9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（1）供应商直接或者间接从采购人或者采购代理机构处获得其他供应商的相关信息并修改其响应文件；</w:t>
      </w:r>
    </w:p>
    <w:p w14:paraId="1DEB92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（2）供应商按照采购人或者采购代理机构的授意撤换、修改响应文件；</w:t>
      </w:r>
    </w:p>
    <w:p w14:paraId="5C716BF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（3）供应商之间协商报价、技术方案等响应文件或者响应文件的实质性内容；</w:t>
      </w:r>
    </w:p>
    <w:p w14:paraId="5D14F0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（4）属于同一集团、协会、商会等组织成员的供应商按照该组织要求协同参加政府采购活动；</w:t>
      </w:r>
    </w:p>
    <w:p w14:paraId="65A51E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57A4A1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（6）供应商之间商定部分供应商放弃参加政府采购活动或者放弃成交；</w:t>
      </w:r>
    </w:p>
    <w:p w14:paraId="2D7D55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（7）供应商与采购人或者采购代理机构之间、供应商相互之间，为谋求特定供应商成交或者排斥其他供应商的其他串通行为。</w:t>
      </w:r>
    </w:p>
    <w:p w14:paraId="47A71507">
      <w:pPr>
        <w:pStyle w:val="4"/>
        <w:spacing w:before="0" w:after="0" w:line="360" w:lineRule="auto"/>
        <w:ind w:firstLine="640" w:firstLineChars="200"/>
        <w:rPr>
          <w:rFonts w:ascii="宋体" w:hAnsi="宋体" w:cs="宋体"/>
          <w:b w:val="0"/>
          <w:bCs w:val="0"/>
          <w:color w:val="auto"/>
          <w:highlight w:val="none"/>
        </w:rPr>
      </w:pPr>
      <w:bookmarkStart w:id="47" w:name="_Toc254970675"/>
      <w:bookmarkStart w:id="48" w:name="_Toc5567"/>
      <w:bookmarkStart w:id="49" w:name="_Toc254970534"/>
      <w:r>
        <w:rPr>
          <w:rFonts w:hint="eastAsia" w:ascii="宋体" w:hAnsi="宋体" w:cs="宋体"/>
          <w:b w:val="0"/>
          <w:bCs w:val="0"/>
          <w:color w:val="auto"/>
          <w:highlight w:val="none"/>
        </w:rPr>
        <w:t>二、磋商文件</w:t>
      </w:r>
      <w:bookmarkEnd w:id="47"/>
      <w:bookmarkEnd w:id="48"/>
      <w:bookmarkEnd w:id="49"/>
    </w:p>
    <w:p w14:paraId="4D477C0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8.磋商文件的构成</w:t>
      </w:r>
    </w:p>
    <w:p w14:paraId="26DC1973">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第一章 竞争性磋商公告；</w:t>
      </w:r>
    </w:p>
    <w:p w14:paraId="333BE63C">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第二章 采购需求；</w:t>
      </w:r>
    </w:p>
    <w:p w14:paraId="3FCB819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第三章 供应商须知； </w:t>
      </w:r>
    </w:p>
    <w:p w14:paraId="073E130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第四章 评审程序、评审方法和评审标准；</w:t>
      </w:r>
    </w:p>
    <w:p w14:paraId="16EA417A">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第五章 响应文件格式；</w:t>
      </w:r>
    </w:p>
    <w:p w14:paraId="0601F512">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第六章 合同文本；</w:t>
      </w:r>
    </w:p>
    <w:p w14:paraId="68C531F4">
      <w:pPr>
        <w:spacing w:line="36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 xml:space="preserve">第七章 </w:t>
      </w:r>
      <w:r>
        <w:rPr>
          <w:rFonts w:hint="eastAsia" w:ascii="宋体" w:hAnsi="宋体" w:eastAsia="宋体" w:cs="宋体"/>
          <w:b w:val="0"/>
          <w:bCs w:val="0"/>
          <w:color w:val="auto"/>
          <w:highlight w:val="none"/>
        </w:rPr>
        <w:t>工程量清单、图纸</w:t>
      </w:r>
    </w:p>
    <w:p w14:paraId="40069CA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第</w:t>
      </w:r>
      <w:r>
        <w:rPr>
          <w:rFonts w:hint="eastAsia" w:ascii="宋体" w:hAnsi="宋体" w:cs="宋体"/>
          <w:color w:val="auto"/>
          <w:szCs w:val="21"/>
          <w:highlight w:val="none"/>
          <w:lang w:val="en-US" w:eastAsia="zh-CN"/>
        </w:rPr>
        <w:t>八</w:t>
      </w:r>
      <w:r>
        <w:rPr>
          <w:rFonts w:hint="eastAsia" w:ascii="宋体" w:hAnsi="宋体" w:cs="宋体"/>
          <w:color w:val="auto"/>
          <w:szCs w:val="21"/>
          <w:highlight w:val="none"/>
        </w:rPr>
        <w:t>章 质疑、投诉材料格式。</w:t>
      </w:r>
    </w:p>
    <w:p w14:paraId="4FC4217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9.供应商的询问</w:t>
      </w:r>
    </w:p>
    <w:p w14:paraId="6122E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供应商应认真阅读磋商文件的采购需求，如供应商对磋商文件有疑问的，如要求采购人作出澄清或者修改的，供应商尽应在提交首次响应文件截止之日前，以书面形式向采购人、采购代理机构提出。</w:t>
      </w:r>
    </w:p>
    <w:p w14:paraId="17954B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10.磋商文件的澄清和修改</w:t>
      </w:r>
    </w:p>
    <w:p w14:paraId="3C5FB2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4EBBC330">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1EA69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之日。</w:t>
      </w:r>
    </w:p>
    <w:p w14:paraId="642482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50CE5D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采购文件公告”中“七、其他补充事宜3.网上查询地址”规定的政府采购信息发布媒体上发布更正公告。</w:t>
      </w:r>
    </w:p>
    <w:p w14:paraId="75449D41">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响应文件未按磋商文件的澄清、修改的内容编制，又不符合实质性要求的，其响应文件作无效处理。</w:t>
      </w:r>
    </w:p>
    <w:p w14:paraId="77A3A5A9">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0" w:name="_Toc18770"/>
      <w:r>
        <w:rPr>
          <w:rFonts w:hint="eastAsia" w:ascii="宋体" w:hAnsi="宋体" w:cs="宋体"/>
          <w:b w:val="0"/>
          <w:bCs w:val="0"/>
          <w:color w:val="auto"/>
          <w:highlight w:val="none"/>
        </w:rPr>
        <w:t>三、响应文件的编制</w:t>
      </w:r>
      <w:bookmarkEnd w:id="50"/>
    </w:p>
    <w:p w14:paraId="06ACEB5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11.响应文件的编制原则</w:t>
      </w:r>
    </w:p>
    <w:p w14:paraId="315D12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供应商必须按照磋商文件的要求编制响应文件，并对其提交的响应文件的真实性、合法性承担法律责任。响应文件必须对磋商文件作出实质性响应。</w:t>
      </w:r>
    </w:p>
    <w:p w14:paraId="01BD782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12.响应文件的组成</w:t>
      </w:r>
    </w:p>
    <w:p w14:paraId="26CA24F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12.1响应文件由资格证明文件、报价文件、商务和技术文件三部分组成。</w:t>
      </w:r>
    </w:p>
    <w:p w14:paraId="73BBB645">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12.1.1资格证明文件：详见须知前附表</w:t>
      </w:r>
    </w:p>
    <w:p w14:paraId="399E448A">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12.1.2商务技术文件：详见须知前附表</w:t>
      </w:r>
    </w:p>
    <w:p w14:paraId="7A3E52BE">
      <w:pPr>
        <w:spacing w:line="360" w:lineRule="auto"/>
        <w:ind w:left="420" w:leftChars="200" w:firstLine="420" w:firstLineChars="200"/>
        <w:rPr>
          <w:rFonts w:ascii="宋体" w:hAnsi="宋体" w:cs="宋体"/>
          <w:color w:val="auto"/>
          <w:szCs w:val="21"/>
          <w:highlight w:val="none"/>
        </w:rPr>
      </w:pPr>
      <w:r>
        <w:rPr>
          <w:rFonts w:hint="eastAsia" w:ascii="宋体" w:hAnsi="宋体" w:cs="宋体"/>
          <w:color w:val="auto"/>
          <w:szCs w:val="21"/>
          <w:highlight w:val="none"/>
        </w:rPr>
        <w:t>12.1.3报价文件：详见须知前附表</w:t>
      </w:r>
    </w:p>
    <w:p w14:paraId="285D22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12.2响应文件电子版：详见须知前附表</w:t>
      </w:r>
    </w:p>
    <w:p w14:paraId="2F72E72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13.计量单位</w:t>
      </w:r>
    </w:p>
    <w:p w14:paraId="5A5AA84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934021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14.竞标的风险</w:t>
      </w:r>
    </w:p>
    <w:p w14:paraId="0372EF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7195FE4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15.响应报价要求和构成</w:t>
      </w:r>
    </w:p>
    <w:p w14:paraId="2EF7E0A8">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7A43510">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313B51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7D3C1E8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25C328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（1）供应商必须就“采购需求”中所竞标的每个分标的全部内容分别作完整唯一总价报价，不得存在漏项报价；</w:t>
      </w:r>
    </w:p>
    <w:p w14:paraId="3155CA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（2）供应商必须就所竞标的分标的单项内容作唯一报价。</w:t>
      </w:r>
    </w:p>
    <w:p w14:paraId="0565EFA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15.3.2响应报价（包含首次报价、最后报价）超过所竞标分标规定的采购预算金额或者最高限价的，其响应文件将作无效处理。</w:t>
      </w:r>
    </w:p>
    <w:p w14:paraId="47957BB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51" w:name="_Hlk42592874"/>
      <w:r>
        <w:rPr>
          <w:rFonts w:hint="eastAsia" w:ascii="宋体" w:hAnsi="宋体" w:cs="宋体"/>
          <w:color w:val="auto"/>
          <w:szCs w:val="21"/>
          <w:highlight w:val="none"/>
        </w:rPr>
        <w:t>响应报价（包含首次报价、最后报价）超过分项采购预算金额或者最高限价的，其响应文件将作无效处理。</w:t>
      </w:r>
    </w:p>
    <w:bookmarkEnd w:id="51"/>
    <w:p w14:paraId="72313CF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16.竞标有效期</w:t>
      </w:r>
    </w:p>
    <w:p w14:paraId="4F1EB0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4682F1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6DDF514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144A6AE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17.磋商保证金</w:t>
      </w:r>
    </w:p>
    <w:p w14:paraId="655753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115DC96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18.响应文件编制的要求</w:t>
      </w:r>
    </w:p>
    <w:p w14:paraId="1841CCA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09B762B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18.2响应文件应按资格证明、报价分别编制，商务技术文件合并编制，本磋商只接受电子版响应文件，要求见本章“12.2响应文件电子版要求”。</w:t>
      </w:r>
    </w:p>
    <w:p w14:paraId="538681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52" w:name="_Hlk65832699"/>
      <w:r>
        <w:rPr>
          <w:rFonts w:hint="eastAsia" w:ascii="宋体" w:hAnsi="宋体" w:cs="宋体"/>
          <w:color w:val="auto"/>
          <w:szCs w:val="21"/>
          <w:highlight w:val="none"/>
        </w:rPr>
        <w:t>3响应文件须由供应商在</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规定位置进行签署、盖章</w:t>
      </w:r>
      <w:bookmarkEnd w:id="52"/>
      <w:r>
        <w:rPr>
          <w:rFonts w:hint="eastAsia" w:ascii="宋体" w:hAnsi="宋体" w:cs="宋体"/>
          <w:color w:val="auto"/>
          <w:szCs w:val="21"/>
          <w:highlight w:val="none"/>
        </w:rPr>
        <w:t>，否则其响应文件按无效响应处理。骑缝盖公章不视为在规定位置盖章。</w:t>
      </w:r>
    </w:p>
    <w:p w14:paraId="0573AF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18.4响应文件中标注的供应商名称应与营业执照（事业单位法人证书、执业许可证、自然人身份证）及电子公章一致，否则其响应文件按无效响应处理。</w:t>
      </w:r>
    </w:p>
    <w:p w14:paraId="555A1C6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18.5响应文件应避免涂改、行间插字或者删除，否则其响应文件按无效响应处理。</w:t>
      </w:r>
    </w:p>
    <w:p w14:paraId="5E822333">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19.响应文件的密封和标记</w:t>
      </w:r>
    </w:p>
    <w:p w14:paraId="62297F0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广西政府采购云平台电子交易客户端”，并按照磋商文件和电子交易平台的要求编制并加密响应文件。供应商未按规定加密的响应文件，电子交易平台将拒收并提示。</w:t>
      </w:r>
    </w:p>
    <w:p w14:paraId="0FF5C19D">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19.2使用“广西政府采购云平台电子交易客户端”需要提前申领CA数字证书，申领流程见该项目采购公告附件。</w:t>
      </w:r>
    </w:p>
    <w:p w14:paraId="0B02057C">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19.3为确保网上操作合法、有效和安全，供应商应当在响应文件提交截止时间前完成在“政府采购云平台”的身份认证，确保在电子交易过程中能够对相关数据电文进行加密和使用电子签名。</w:t>
      </w:r>
    </w:p>
    <w:p w14:paraId="42E92C74">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20.响应文件的提交</w:t>
      </w:r>
    </w:p>
    <w:p w14:paraId="5F19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A9B97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705370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在提交“最后报价”后，供应商不能退出谈判。</w:t>
      </w:r>
    </w:p>
    <w:p w14:paraId="70B70FA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09F3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75914D7F">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详见在“供应商须知前附表”。</w:t>
      </w:r>
    </w:p>
    <w:p w14:paraId="5CFAA3F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21.首次响应文件的补充、修改与撤回</w:t>
      </w:r>
    </w:p>
    <w:p w14:paraId="2E0C7D1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详见“供应商须知前附表”。</w:t>
      </w:r>
    </w:p>
    <w:p w14:paraId="074AC31F">
      <w:pPr>
        <w:spacing w:line="360" w:lineRule="auto"/>
        <w:ind w:firstLine="482" w:firstLineChars="200"/>
        <w:rPr>
          <w:rFonts w:ascii="宋体" w:hAnsi="宋体" w:cs="宋体"/>
          <w:b/>
          <w:bCs/>
          <w:color w:val="auto"/>
          <w:sz w:val="24"/>
          <w:highlight w:val="none"/>
        </w:rPr>
      </w:pPr>
      <w:bookmarkStart w:id="53" w:name="_Hlk45702405"/>
      <w:r>
        <w:rPr>
          <w:rFonts w:hint="eastAsia" w:ascii="宋体" w:hAnsi="宋体" w:cs="宋体"/>
          <w:b/>
          <w:bCs/>
          <w:color w:val="auto"/>
          <w:sz w:val="24"/>
          <w:highlight w:val="none"/>
        </w:rPr>
        <w:t>22. 首次响应文件的退回</w:t>
      </w:r>
    </w:p>
    <w:p w14:paraId="00572DE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在首次响应文件提交截止时间止提交响应文件的供应商不足3家时电子响应文件由代理机构在“广西政府采购云平台”操作退回，除此之外采购人和采购代理机构对已提交的电子响应文件概不退回。</w:t>
      </w:r>
    </w:p>
    <w:p w14:paraId="6E8352BD">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23. 截止时间后的撤回</w:t>
      </w:r>
    </w:p>
    <w:p w14:paraId="1575C14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本项目不收取磋商保证金，供应商在首次响应文件提交截止时间后可向采购人、采购代理机构书面申请撤回电子响应文件。</w:t>
      </w:r>
      <w:bookmarkEnd w:id="53"/>
    </w:p>
    <w:p w14:paraId="35845131">
      <w:pPr>
        <w:pStyle w:val="4"/>
        <w:spacing w:before="0" w:after="0" w:line="360" w:lineRule="auto"/>
        <w:ind w:firstLine="640" w:firstLineChars="200"/>
        <w:rPr>
          <w:rFonts w:ascii="宋体" w:hAnsi="宋体" w:cs="宋体"/>
          <w:b w:val="0"/>
          <w:bCs w:val="0"/>
          <w:color w:val="auto"/>
          <w:highlight w:val="none"/>
        </w:rPr>
      </w:pPr>
      <w:r>
        <w:rPr>
          <w:rFonts w:hint="eastAsia" w:ascii="宋体" w:hAnsi="宋体" w:cs="宋体"/>
          <w:b w:val="0"/>
          <w:bCs w:val="0"/>
          <w:color w:val="auto"/>
          <w:highlight w:val="none"/>
        </w:rPr>
        <w:t xml:space="preserve">  </w:t>
      </w:r>
      <w:bookmarkStart w:id="54" w:name="_Toc16642"/>
      <w:r>
        <w:rPr>
          <w:rFonts w:hint="eastAsia" w:ascii="宋体" w:hAnsi="宋体" w:cs="宋体"/>
          <w:b w:val="0"/>
          <w:bCs w:val="0"/>
          <w:color w:val="auto"/>
          <w:highlight w:val="none"/>
        </w:rPr>
        <w:t>四、评审及磋商</w:t>
      </w:r>
      <w:bookmarkEnd w:id="54"/>
    </w:p>
    <w:p w14:paraId="5349E5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24.磋商小组成立</w:t>
      </w:r>
    </w:p>
    <w:p w14:paraId="2424B2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214601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6C095EE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25.首次响应文件的开启</w:t>
      </w:r>
    </w:p>
    <w:p w14:paraId="46910B3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539AD62E">
      <w:pPr>
        <w:pStyle w:val="15"/>
        <w:spacing w:line="360" w:lineRule="auto"/>
        <w:ind w:firstLine="420" w:firstLineChars="200"/>
        <w:rPr>
          <w:rFonts w:hAnsi="宋体" w:cs="宋体"/>
          <w:bCs/>
          <w:color w:val="auto"/>
          <w:sz w:val="21"/>
          <w:highlight w:val="none"/>
        </w:rPr>
      </w:pPr>
      <w:r>
        <w:rPr>
          <w:rFonts w:hint="eastAsia" w:hAnsi="宋体" w:cs="宋体"/>
          <w:color w:val="auto"/>
          <w:sz w:val="21"/>
          <w:highlight w:val="none"/>
        </w:rPr>
        <w:t xml:space="preserve">25.2 </w:t>
      </w:r>
      <w:r>
        <w:rPr>
          <w:rFonts w:hint="eastAsia" w:hAnsi="宋体" w:cs="宋体"/>
          <w:bCs/>
          <w:color w:val="auto"/>
          <w:sz w:val="21"/>
          <w:highlight w:val="none"/>
        </w:rPr>
        <w:t>响应文件解密</w:t>
      </w:r>
    </w:p>
    <w:p w14:paraId="11A1739D">
      <w:pPr>
        <w:pStyle w:val="15"/>
        <w:snapToGrid w:val="0"/>
        <w:spacing w:line="360" w:lineRule="auto"/>
        <w:ind w:firstLine="420" w:firstLineChars="200"/>
        <w:rPr>
          <w:rFonts w:hAnsi="宋体" w:cs="宋体"/>
          <w:color w:val="auto"/>
          <w:sz w:val="21"/>
          <w:highlight w:val="none"/>
        </w:rPr>
      </w:pPr>
      <w:r>
        <w:rPr>
          <w:rFonts w:hint="eastAsia" w:hAnsi="宋体" w:cs="宋体"/>
          <w:bCs/>
          <w:color w:val="auto"/>
          <w:sz w:val="21"/>
          <w:highlight w:val="none"/>
        </w:rPr>
        <w:t>采购代理机构将在“供应商须知前附表”规定的时</w:t>
      </w:r>
      <w:r>
        <w:rPr>
          <w:rFonts w:hint="eastAsia" w:hAnsi="宋体" w:cs="宋体"/>
          <w:color w:val="auto"/>
          <w:sz w:val="21"/>
          <w:highlight w:val="none"/>
        </w:rPr>
        <w:t>间通过电子交易平台组织响应文件开启，采购机构依托电子交易平台发起开始解密指令，供应商的法定代表人或其委托代理人</w:t>
      </w:r>
      <w:r>
        <w:rPr>
          <w:rFonts w:hint="eastAsia" w:hAnsi="宋体" w:cs="宋体"/>
          <w:b/>
          <w:color w:val="auto"/>
          <w:sz w:val="21"/>
          <w:highlight w:val="none"/>
        </w:rPr>
        <w:t>须携带加密时所用的CA锁按平台提示和采购文件的规定登录到“广西政府采购云平台”电子开标大厅签到并在发起解密指令之时起30分钟内完成对电子响应文件在线解密</w:t>
      </w:r>
      <w:r>
        <w:rPr>
          <w:rFonts w:hint="eastAsia" w:hAnsi="宋体" w:cs="宋体"/>
          <w:color w:val="auto"/>
          <w:sz w:val="21"/>
          <w:highlight w:val="none"/>
        </w:rPr>
        <w:t>。发起解密指令之时起5分钟内供应商还未进行解密的，代理机构要通知供应商，供应商没预留联系方式或预留联系方式无效，导致代理机构无法联系到供应商进行解密的，</w:t>
      </w:r>
      <w:r>
        <w:rPr>
          <w:rFonts w:hint="eastAsia" w:hAnsi="宋体" w:cs="宋体"/>
          <w:b/>
          <w:color w:val="auto"/>
          <w:sz w:val="21"/>
          <w:highlight w:val="none"/>
        </w:rPr>
        <w:t>视为响应文件无效。</w:t>
      </w:r>
      <w:r>
        <w:rPr>
          <w:rFonts w:hint="eastAsia" w:hAnsi="宋体" w:cs="宋体"/>
          <w:color w:val="auto"/>
          <w:sz w:val="21"/>
          <w:highlight w:val="none"/>
        </w:rPr>
        <w:t>（解密</w:t>
      </w:r>
      <w:r>
        <w:rPr>
          <w:rFonts w:hint="eastAsia" w:hAnsi="宋体" w:cs="宋体"/>
          <w:bCs/>
          <w:color w:val="auto"/>
          <w:sz w:val="21"/>
          <w:highlight w:val="none"/>
        </w:rPr>
        <w:t>异常情况处理：详见本章</w:t>
      </w:r>
      <w:r>
        <w:rPr>
          <w:rFonts w:hint="eastAsia" w:hAnsi="宋体" w:cs="宋体"/>
          <w:color w:val="auto"/>
          <w:sz w:val="21"/>
          <w:highlight w:val="none"/>
        </w:rPr>
        <w:t>26.3 电子交易活动的中止。）</w:t>
      </w:r>
    </w:p>
    <w:p w14:paraId="33C13DE2">
      <w:pPr>
        <w:pStyle w:val="15"/>
        <w:spacing w:line="360" w:lineRule="auto"/>
        <w:ind w:firstLine="420" w:firstLineChars="200"/>
        <w:rPr>
          <w:rFonts w:hAnsi="宋体" w:cs="宋体"/>
          <w:color w:val="auto"/>
          <w:sz w:val="21"/>
          <w:highlight w:val="none"/>
        </w:rPr>
      </w:pPr>
      <w:r>
        <w:rPr>
          <w:rFonts w:hint="eastAsia" w:hAnsi="宋体" w:cs="宋体"/>
          <w:color w:val="auto"/>
          <w:sz w:val="21"/>
          <w:highlight w:val="none"/>
        </w:rPr>
        <w:t>如</w:t>
      </w:r>
      <w:r>
        <w:rPr>
          <w:rFonts w:hint="eastAsia" w:hAnsi="宋体" w:cs="宋体"/>
          <w:bCs/>
          <w:color w:val="auto"/>
          <w:sz w:val="21"/>
          <w:highlight w:val="none"/>
        </w:rPr>
        <w:t>供应商成功解密响应文件，但未在“广西政府采购云平台”电子开标大厅参加谈判的，视同认可谈判过程和结果，</w:t>
      </w:r>
      <w:r>
        <w:rPr>
          <w:rFonts w:hint="eastAsia" w:hAnsi="宋体" w:cs="宋体"/>
          <w:color w:val="auto"/>
          <w:sz w:val="21"/>
          <w:highlight w:val="none"/>
        </w:rPr>
        <w:t>由此产生的后果由供应商自行负责。 参与谈判的供应商不足3家的，不得谈判。</w:t>
      </w:r>
    </w:p>
    <w:p w14:paraId="19EE41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26.评审程序、评审方法和评审标准</w:t>
      </w:r>
    </w:p>
    <w:p w14:paraId="3D685D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26.1磋商小组按照“第四章 评审程序、评审方法和评审标准”规定的方法、评审因素、标准和程序对响应文件进行评审。</w:t>
      </w:r>
    </w:p>
    <w:p w14:paraId="3F671F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26.2 磋商文件内容违反国家有关强制性规定的，磋商小组应当停止评审并向采购人或者采购代理机构说明情况，并在评审报告中书面体现。</w:t>
      </w:r>
    </w:p>
    <w:p w14:paraId="6C1003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26.3 采购需求负偏离要求及磋商顺序详见 “ 供应商须知前附表”。</w:t>
      </w:r>
    </w:p>
    <w:p w14:paraId="10E36C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178F669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730FAE7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4C5369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F474B7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4344FE4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547FB81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3F7B01A5">
      <w:pPr>
        <w:pStyle w:val="4"/>
        <w:spacing w:before="0" w:after="0" w:line="360" w:lineRule="auto"/>
        <w:ind w:firstLine="480" w:firstLineChars="150"/>
        <w:rPr>
          <w:rFonts w:ascii="宋体" w:hAnsi="宋体" w:cs="宋体"/>
          <w:b w:val="0"/>
          <w:bCs w:val="0"/>
          <w:color w:val="auto"/>
          <w:highlight w:val="none"/>
        </w:rPr>
      </w:pPr>
      <w:bookmarkStart w:id="55" w:name="_Toc5736"/>
      <w:r>
        <w:rPr>
          <w:rFonts w:hint="eastAsia" w:ascii="宋体" w:hAnsi="宋体" w:cs="宋体"/>
          <w:b w:val="0"/>
          <w:bCs w:val="0"/>
          <w:color w:val="auto"/>
          <w:highlight w:val="none"/>
        </w:rPr>
        <w:t>五、成交及合同</w:t>
      </w:r>
      <w:bookmarkEnd w:id="55"/>
    </w:p>
    <w:p w14:paraId="0FF55B7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27.确定成交供应商及结果公告</w:t>
      </w:r>
    </w:p>
    <w:p w14:paraId="1177E89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w:t>
      </w:r>
      <w:r>
        <w:rPr>
          <w:rFonts w:hint="eastAsia" w:ascii="宋体" w:hAnsi="宋体" w:cs="宋体"/>
          <w:color w:val="auto"/>
          <w:kern w:val="0"/>
          <w:szCs w:val="21"/>
          <w:highlight w:val="none"/>
          <w:u w:val="single"/>
        </w:rPr>
        <w:t xml:space="preserve"> 由采购人直接委托评审专家确定</w:t>
      </w:r>
      <w:r>
        <w:rPr>
          <w:rFonts w:hint="eastAsia" w:ascii="宋体" w:hAnsi="宋体" w:cs="宋体"/>
          <w:color w:val="auto"/>
          <w:szCs w:val="21"/>
          <w:highlight w:val="none"/>
          <w:u w:val="single"/>
        </w:rPr>
        <w:t>，评审报告提出的排序第一的供应商为成交供应商。</w:t>
      </w:r>
    </w:p>
    <w:p w14:paraId="0E998A6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w:t>
      </w:r>
      <w:r>
        <w:rPr>
          <w:rFonts w:hint="eastAsia" w:ascii="宋体" w:hAnsi="宋体" w:cs="宋体"/>
          <w:color w:val="auto"/>
          <w:kern w:val="0"/>
          <w:szCs w:val="21"/>
          <w:highlight w:val="none"/>
        </w:rPr>
        <w:t>告成交结果（公告内容除包含《政府采购公告和公示信息格式规范（2020年版）》要求内容外，还应包含采购人专门面向中小企业预留份额情况及成交供应商评审价格、优惠率等内容），</w:t>
      </w:r>
      <w:r>
        <w:rPr>
          <w:rFonts w:hint="eastAsia" w:ascii="宋体" w:hAnsi="宋体" w:cs="宋体"/>
          <w:color w:val="auto"/>
          <w:szCs w:val="21"/>
          <w:highlight w:val="none"/>
        </w:rPr>
        <w:t>同时向成交供应商发出成交通知书，成交通知书规定签订合同的时间不得超过25日。</w:t>
      </w:r>
    </w:p>
    <w:p w14:paraId="3FB001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竞磋文件一并保存。成交供应商享受《政府采购促进中小企业发展管理办法》（财库〔2020〕46号）规定的中小企业扶持政策的，采购人、采购代理机构应当随成交结果公开成交供应商的《中小企业声明函》。</w:t>
      </w:r>
    </w:p>
    <w:p w14:paraId="3EA6E5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3CDDE8B5">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w:t>
      </w:r>
      <w:r>
        <w:rPr>
          <w:rFonts w:hint="eastAsia" w:ascii="宋体" w:hAnsi="宋体" w:cs="宋体"/>
          <w:color w:val="auto"/>
          <w:szCs w:val="21"/>
          <w:highlight w:val="none"/>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w:t>
      </w:r>
    </w:p>
    <w:p w14:paraId="6C86004F">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28.履约保证金</w:t>
      </w:r>
    </w:p>
    <w:p w14:paraId="22E8AF5F">
      <w:pPr>
        <w:spacing w:line="360" w:lineRule="auto"/>
        <w:ind w:firstLine="420" w:firstLineChars="200"/>
        <w:rPr>
          <w:rFonts w:ascii="宋体" w:hAnsi="宋体" w:cs="宋体"/>
          <w:b/>
          <w:bCs/>
          <w:color w:val="auto"/>
          <w:sz w:val="24"/>
          <w:highlight w:val="none"/>
        </w:rPr>
      </w:pPr>
      <w:r>
        <w:rPr>
          <w:rFonts w:hint="eastAsia" w:ascii="宋体" w:hAnsi="宋体" w:cs="宋体"/>
          <w:color w:val="auto"/>
          <w:szCs w:val="21"/>
          <w:highlight w:val="none"/>
        </w:rPr>
        <w:t>详见 “供应商须知前附表”</w:t>
      </w:r>
    </w:p>
    <w:p w14:paraId="65038278">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29.签订合同</w:t>
      </w:r>
    </w:p>
    <w:p w14:paraId="3E98E34A">
      <w:pPr>
        <w:pStyle w:val="3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29.1采购人与成交供应商应当在成交通知书规定的时间内，按照磋商文件确定的合同文本以及采购标的、服务技术、采购金额、采购数量、技术和服务要求等事项签订政府采购合同。</w:t>
      </w:r>
      <w:r>
        <w:rPr>
          <w:rFonts w:hint="eastAsia" w:ascii="宋体" w:hAnsi="宋体" w:cs="宋体"/>
          <w:color w:val="auto"/>
          <w:sz w:val="21"/>
          <w:szCs w:val="21"/>
          <w:highlight w:val="none"/>
          <w:lang w:val="zh-CN"/>
        </w:rPr>
        <w:t>如成交供应商为联合体的，由联合体成员各方法定代表人或其授权代表与采购人代表签订合同。</w:t>
      </w:r>
    </w:p>
    <w:p w14:paraId="13810C2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D18E7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6C7D465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39B9A2B3">
      <w:pPr>
        <w:pStyle w:val="37"/>
        <w:spacing w:before="0"/>
        <w:ind w:firstLine="420"/>
        <w:rPr>
          <w:rFonts w:ascii="宋体" w:hAnsi="宋体" w:cs="宋体"/>
          <w:color w:val="auto"/>
          <w:szCs w:val="21"/>
          <w:highlight w:val="none"/>
        </w:rPr>
      </w:pPr>
      <w:r>
        <w:rPr>
          <w:rFonts w:hint="eastAsia" w:ascii="宋体" w:hAnsi="宋体" w:cs="宋体"/>
          <w:color w:val="auto"/>
          <w:sz w:val="21"/>
          <w:szCs w:val="21"/>
          <w:highlight w:val="none"/>
        </w:rPr>
        <w:t>29.5采购合同由采购人与成交供应商根据磋商文件、响应文件等内容通过政府采购电子交易平台在线签订，自动备案，在线签订须携带的材料见“</w:t>
      </w:r>
      <w:r>
        <w:rPr>
          <w:rFonts w:hint="eastAsia" w:ascii="宋体" w:hAnsi="宋体" w:cs="宋体"/>
          <w:color w:val="auto"/>
          <w:highlight w:val="none"/>
        </w:rPr>
        <w:t xml:space="preserve"> </w:t>
      </w:r>
      <w:r>
        <w:rPr>
          <w:rFonts w:hint="eastAsia" w:ascii="宋体" w:hAnsi="宋体" w:cs="宋体"/>
          <w:color w:val="auto"/>
          <w:sz w:val="21"/>
          <w:szCs w:val="21"/>
          <w:highlight w:val="none"/>
        </w:rPr>
        <w:t>供应商须知前附表”。</w:t>
      </w:r>
    </w:p>
    <w:p w14:paraId="0219203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30.政府采购合同公告</w:t>
      </w:r>
    </w:p>
    <w:p w14:paraId="49887E4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采购人或者受托采购代理机构应当自政府采购合同签订之日起2个工作日内，将政府采购合同</w:t>
      </w:r>
      <w:r>
        <w:rPr>
          <w:rFonts w:hint="eastAsia" w:ascii="宋体" w:hAnsi="宋体" w:cs="宋体"/>
          <w:bCs/>
          <w:color w:val="auto"/>
          <w:highlight w:val="none"/>
        </w:rPr>
        <w:t>在以下媒体上发布</w:t>
      </w:r>
      <w:r>
        <w:rPr>
          <w:rFonts w:hint="eastAsia" w:ascii="宋体" w:hAnsi="宋体" w:cs="宋体"/>
          <w:color w:val="auto"/>
          <w:kern w:val="0"/>
          <w:szCs w:val="21"/>
          <w:highlight w:val="none"/>
        </w:rPr>
        <w:t xml:space="preserve"> “广西政府采购网”（http://zfcg.gxzf.gov.cn）</w:t>
      </w:r>
      <w:r>
        <w:rPr>
          <w:rFonts w:hint="eastAsia" w:ascii="宋体" w:hAnsi="宋体" w:cs="宋体"/>
          <w:color w:val="auto"/>
          <w:highlight w:val="none"/>
        </w:rPr>
        <w:t>上公告，但政府采购合同中涉及国家秘密、商业秘密的内容除外。</w:t>
      </w:r>
    </w:p>
    <w:p w14:paraId="64DB3A7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31. 询问、质疑和投诉</w:t>
      </w:r>
    </w:p>
    <w:p w14:paraId="467BF72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31.1供应商对政府采购活动事项有疑问的，可以向采购人、采购代理机构提出询问，采购人或者采购代理机构应当在3个工作日内对供应商依法提出的询问作出答复。</w:t>
      </w:r>
    </w:p>
    <w:p w14:paraId="7CA990CD">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color w:val="auto"/>
          <w:highlight w:val="none"/>
          <w:shd w:val="clear" w:color="auto" w:fill="FFFFFF"/>
        </w:rPr>
        <w:t>接收质疑函的方式、联系部门、联系电话和通讯地址等信息详见</w:t>
      </w:r>
      <w:r>
        <w:rPr>
          <w:rFonts w:hint="eastAsia" w:ascii="宋体" w:hAnsi="宋体" w:cs="宋体"/>
          <w:color w:val="auto"/>
          <w:szCs w:val="21"/>
          <w:highlight w:val="none"/>
        </w:rPr>
        <w:t>“供应商须知前附表”</w:t>
      </w:r>
      <w:r>
        <w:rPr>
          <w:rFonts w:hint="eastAsia" w:ascii="宋体" w:hAnsi="宋体" w:cs="宋体"/>
          <w:color w:val="auto"/>
          <w:highlight w:val="none"/>
        </w:rPr>
        <w:t>。</w:t>
      </w:r>
      <w:r>
        <w:rPr>
          <w:rFonts w:hint="eastAsia" w:ascii="宋体" w:hAnsi="宋体" w:cs="宋体"/>
          <w:b/>
          <w:color w:val="auto"/>
          <w:szCs w:val="21"/>
          <w:highlight w:val="none"/>
        </w:rPr>
        <w:t xml:space="preserve">具体质疑起算时间及处理方式如下： </w:t>
      </w:r>
    </w:p>
    <w:p w14:paraId="209CFCF0">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（1）潜在供应商依法获取采购文件后，认为采购文件使自己的权益受到损害的，应当在竞争性磋商采购文件公告期限届满之日起7个工作日内提出质疑。</w:t>
      </w:r>
      <w:r>
        <w:rPr>
          <w:rFonts w:hint="eastAsia" w:ascii="宋体" w:hAnsi="宋体" w:cs="宋体"/>
          <w:color w:val="auto"/>
          <w:highlight w:val="none"/>
        </w:rPr>
        <w:t>委托代理协议无特殊约定的，</w:t>
      </w:r>
      <w:r>
        <w:rPr>
          <w:rFonts w:hint="eastAsia" w:ascii="宋体" w:hAnsi="宋体" w:cs="宋体"/>
          <w:bCs/>
          <w:color w:val="auto"/>
          <w:highlight w:val="none"/>
        </w:rPr>
        <w:t>对竞争性磋商文件中采购需求（含资格要求、采购预算和评分办法）的质疑由采购人受理并负责答复；对竞争性磋商文件中的采购执行程序的质疑由采购代理机构受理并负责答复。</w:t>
      </w:r>
    </w:p>
    <w:p w14:paraId="0E9FE70F">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4CFE1424">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07549ED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522ED87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31.4 供应商提出质疑应当提交质疑函和必要的证明材料，针对同一采购程序环节的质疑必须在法定质疑期内一次性提出。质疑函应当包括下列内容</w:t>
      </w:r>
      <w:r>
        <w:rPr>
          <w:rFonts w:hint="eastAsia" w:ascii="宋体" w:hAnsi="宋体" w:cs="宋体"/>
          <w:bCs/>
          <w:color w:val="auto"/>
          <w:highlight w:val="none"/>
        </w:rPr>
        <w:t>（质疑函格式后附）</w:t>
      </w:r>
      <w:r>
        <w:rPr>
          <w:rFonts w:hint="eastAsia" w:ascii="宋体" w:hAnsi="宋体" w:cs="宋体"/>
          <w:color w:val="auto"/>
          <w:highlight w:val="none"/>
        </w:rPr>
        <w:t>：</w:t>
      </w:r>
    </w:p>
    <w:p w14:paraId="393605D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331215A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0E0CB1B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608470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253ECE49">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64D425C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3605722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532D57D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6620D7A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11DC88C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6563D2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444D5CF8">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受理投诉方式见“供应商须知前附表”。</w:t>
      </w:r>
      <w:bookmarkStart w:id="56" w:name="_Toc80205930"/>
    </w:p>
    <w:p w14:paraId="5AF1CD76">
      <w:pPr>
        <w:pStyle w:val="4"/>
        <w:spacing w:before="0" w:after="0" w:line="360" w:lineRule="auto"/>
        <w:ind w:firstLine="315" w:firstLineChars="98"/>
        <w:rPr>
          <w:rFonts w:ascii="宋体" w:hAnsi="宋体" w:cs="宋体"/>
          <w:b w:val="0"/>
          <w:color w:val="auto"/>
          <w:highlight w:val="none"/>
        </w:rPr>
      </w:pPr>
      <w:bookmarkStart w:id="57" w:name="_Toc17863"/>
      <w:r>
        <w:rPr>
          <w:rFonts w:hint="eastAsia" w:ascii="宋体" w:hAnsi="宋体" w:cs="宋体"/>
          <w:color w:val="auto"/>
          <w:highlight w:val="none"/>
        </w:rPr>
        <w:t>六</w:t>
      </w:r>
      <w:r>
        <w:rPr>
          <w:rFonts w:hint="eastAsia" w:ascii="宋体" w:hAnsi="宋体" w:cs="宋体"/>
          <w:b w:val="0"/>
          <w:color w:val="auto"/>
          <w:highlight w:val="none"/>
        </w:rPr>
        <w:t>、验收</w:t>
      </w:r>
      <w:bookmarkEnd w:id="56"/>
      <w:bookmarkEnd w:id="57"/>
    </w:p>
    <w:p w14:paraId="6732F6CE">
      <w:pPr>
        <w:tabs>
          <w:tab w:val="left" w:pos="0"/>
        </w:tabs>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32.验收</w:t>
      </w:r>
    </w:p>
    <w:p w14:paraId="0BB8072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630644C6">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6D437C4A">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209CF28">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AF19990">
      <w:pPr>
        <w:pStyle w:val="4"/>
        <w:spacing w:before="0" w:after="0" w:line="360" w:lineRule="auto"/>
        <w:ind w:firstLine="320" w:firstLineChars="100"/>
        <w:rPr>
          <w:rFonts w:ascii="宋体" w:hAnsi="宋体" w:cs="宋体"/>
          <w:b w:val="0"/>
          <w:bCs w:val="0"/>
          <w:color w:val="auto"/>
          <w:highlight w:val="none"/>
        </w:rPr>
      </w:pPr>
      <w:bookmarkStart w:id="58" w:name="_Toc14884"/>
      <w:r>
        <w:rPr>
          <w:rFonts w:hint="eastAsia" w:ascii="宋体" w:hAnsi="宋体" w:cs="宋体"/>
          <w:b w:val="0"/>
          <w:bCs w:val="0"/>
          <w:color w:val="auto"/>
          <w:highlight w:val="none"/>
        </w:rPr>
        <w:t>七、其他事项</w:t>
      </w:r>
      <w:bookmarkEnd w:id="58"/>
    </w:p>
    <w:p w14:paraId="4B844F71">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33.代理服务费</w:t>
      </w:r>
    </w:p>
    <w:p w14:paraId="387E11B5">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代理服务收费标准及缴费账户详见“供应商须知前附表”，供应商为联合体的，可以由联合体中的一方或者多方共同交纳代理服务费。</w:t>
      </w:r>
    </w:p>
    <w:p w14:paraId="674BAFA9">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34.需要补充的其他内容</w:t>
      </w:r>
    </w:p>
    <w:p w14:paraId="461AA552">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34.1本磋商文件解释规则详见“供应商须知前附表”。</w:t>
      </w:r>
    </w:p>
    <w:p w14:paraId="483FE58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34.2 其他事项详见“供应商须知前附表”。</w:t>
      </w:r>
    </w:p>
    <w:p w14:paraId="06810240">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hAnsi="宋体" w:cs="宋体"/>
          <w:color w:val="auto"/>
          <w:sz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hAnsi="宋体" w:cs="宋体"/>
          <w:color w:val="auto"/>
          <w:kern w:val="2"/>
          <w:sz w:val="21"/>
          <w:highlight w:val="none"/>
        </w:rPr>
        <w:t>，享受本文件规定的中小企业扶持政策。</w:t>
      </w:r>
    </w:p>
    <w:p w14:paraId="5B2BFB76">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以联合体形式参加政府采购活动，联合体各方均为中小企业的，联合体视同中小企业。其中，联合体各方均为小微企业的，联合体视同小微企业。</w:t>
      </w:r>
    </w:p>
    <w:p w14:paraId="698DBBAB">
      <w:pPr>
        <w:pStyle w:val="15"/>
        <w:spacing w:line="360" w:lineRule="auto"/>
        <w:ind w:firstLine="420" w:firstLineChars="200"/>
        <w:textAlignment w:val="center"/>
        <w:rPr>
          <w:rFonts w:hAnsi="宋体" w:cs="宋体"/>
          <w:color w:val="auto"/>
          <w:kern w:val="2"/>
          <w:sz w:val="21"/>
          <w:highlight w:val="none"/>
        </w:rPr>
      </w:pPr>
      <w:r>
        <w:rPr>
          <w:rFonts w:hint="eastAsia" w:hAnsi="宋体" w:cs="宋体"/>
          <w:color w:val="auto"/>
          <w:kern w:val="2"/>
          <w:sz w:val="21"/>
          <w:highlight w:val="none"/>
        </w:rPr>
        <w:t>依据本文件规定享受扶持政策获得政府采购合同的，小微企业不得将合同分包给大中型企业，中型企业不得将合同分包给大型企业。</w:t>
      </w:r>
    </w:p>
    <w:p w14:paraId="27A120D4">
      <w:pPr>
        <w:pStyle w:val="15"/>
        <w:numPr>
          <w:ilvl w:val="0"/>
          <w:numId w:val="2"/>
        </w:numPr>
        <w:spacing w:line="360" w:lineRule="auto"/>
        <w:ind w:firstLine="402" w:firstLineChars="200"/>
        <w:textAlignment w:val="center"/>
        <w:rPr>
          <w:rFonts w:hAnsi="宋体" w:cs="宋体"/>
          <w:color w:val="auto"/>
          <w:highlight w:val="none"/>
        </w:rPr>
      </w:pPr>
      <w:r>
        <w:rPr>
          <w:rFonts w:hint="eastAsia" w:hAnsi="宋体" w:cs="宋体"/>
          <w:b/>
          <w:color w:val="auto"/>
          <w:highlight w:val="none"/>
        </w:rPr>
        <w:br w:type="page"/>
      </w:r>
    </w:p>
    <w:p w14:paraId="6D9A18A4">
      <w:pPr>
        <w:pStyle w:val="2"/>
        <w:jc w:val="center"/>
        <w:rPr>
          <w:rFonts w:ascii="宋体" w:hAnsi="宋体" w:cs="宋体"/>
          <w:color w:val="auto"/>
          <w:highlight w:val="none"/>
        </w:rPr>
      </w:pPr>
      <w:bookmarkStart w:id="59" w:name="_Toc25106"/>
      <w:r>
        <w:rPr>
          <w:rFonts w:hint="eastAsia" w:ascii="宋体" w:hAnsi="宋体" w:cs="宋体"/>
          <w:color w:val="auto"/>
          <w:highlight w:val="none"/>
        </w:rPr>
        <w:t>第四章  评审程序、评审方法和评审标准</w:t>
      </w:r>
      <w:bookmarkEnd w:id="59"/>
    </w:p>
    <w:p w14:paraId="4E7FB631">
      <w:pPr>
        <w:pStyle w:val="3"/>
        <w:jc w:val="center"/>
        <w:rPr>
          <w:rFonts w:ascii="宋体" w:hAnsi="宋体" w:cs="宋体"/>
          <w:b w:val="0"/>
          <w:color w:val="auto"/>
          <w:highlight w:val="none"/>
        </w:rPr>
      </w:pPr>
      <w:bookmarkStart w:id="60" w:name="_Toc30181"/>
      <w:r>
        <w:rPr>
          <w:rFonts w:hint="eastAsia" w:ascii="宋体" w:hAnsi="宋体" w:cs="宋体"/>
          <w:b w:val="0"/>
          <w:color w:val="auto"/>
          <w:highlight w:val="none"/>
        </w:rPr>
        <w:t>第一节 评审程序和评审方法</w:t>
      </w:r>
      <w:bookmarkEnd w:id="60"/>
    </w:p>
    <w:p w14:paraId="1F531B86">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1.确认磋商文件</w:t>
      </w:r>
    </w:p>
    <w:p w14:paraId="49E8B6E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由磋商小组确认磋商文件。</w:t>
      </w:r>
    </w:p>
    <w:p w14:paraId="3F5976C5">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2.资格审查</w:t>
      </w:r>
    </w:p>
    <w:p w14:paraId="152CB9E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2.1响应文件开启后，磋商小组依法对供应商的资格证明文件进行审查。</w:t>
      </w:r>
    </w:p>
    <w:p w14:paraId="1EB14B4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1997B056">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0"/>
          <w:rFonts w:hint="eastAsia" w:ascii="宋体" w:hAnsi="宋体" w:cs="宋体"/>
          <w:color w:val="auto"/>
          <w:highlight w:val="none"/>
        </w:rPr>
        <w:t>www.creditchina.gov.cn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0"/>
          <w:rFonts w:hint="eastAsia" w:ascii="宋体" w:hAnsi="宋体" w:cs="宋体"/>
          <w:color w:val="auto"/>
          <w:highlight w:val="none"/>
        </w:rPr>
        <w:t>www.ccgp.gov.cn</w:t>
      </w:r>
      <w:r>
        <w:rPr>
          <w:rStyle w:val="30"/>
          <w:rFonts w:hint="eastAsia" w:ascii="宋体" w:hAnsi="宋体" w:cs="宋体"/>
          <w:color w:val="auto"/>
          <w:highlight w:val="none"/>
        </w:rPr>
        <w:fldChar w:fldCharType="end"/>
      </w:r>
      <w:r>
        <w:rPr>
          <w:rFonts w:hint="eastAsia" w:ascii="宋体" w:hAnsi="宋体" w:cs="宋体"/>
          <w:color w:val="auto"/>
          <w:szCs w:val="21"/>
          <w:highlight w:val="none"/>
        </w:rPr>
        <w:t>)链接入口。</w:t>
      </w:r>
    </w:p>
    <w:p w14:paraId="766E169E">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503F5D0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493CF2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w:t>
      </w:r>
      <w:r>
        <w:rPr>
          <w:rFonts w:hint="eastAsia" w:ascii="宋体" w:hAnsi="宋体" w:cs="宋体"/>
          <w:color w:val="auto"/>
          <w:szCs w:val="21"/>
          <w:highlight w:val="none"/>
          <w:lang w:eastAsia="zh-CN"/>
        </w:rPr>
        <w:t>重大税收违法失信主体</w:t>
      </w:r>
      <w:r>
        <w:rPr>
          <w:rFonts w:hint="eastAsia" w:ascii="宋体" w:hAnsi="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A8A9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1D2AF41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2.3供应商有下列情形之一的，资格审查不通过，其响应文件按无效响应处理：</w:t>
      </w:r>
    </w:p>
    <w:p w14:paraId="6FE90AC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1E6BC6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（2）响应文件未提供任一项“供应商须知前附表”资格证明文件规定的“必须提供”的文件资料的；</w:t>
      </w:r>
    </w:p>
    <w:p w14:paraId="61C007D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（3）响应文件提供的资格证明文件出现任一项不符合“供应商须知前附表”资格证明文件规定的“必须提供”的文件资料要求或者无效的。</w:t>
      </w:r>
    </w:p>
    <w:p w14:paraId="158C7793">
      <w:pPr>
        <w:spacing w:line="360" w:lineRule="auto"/>
        <w:ind w:firstLine="420" w:firstLineChars="200"/>
        <w:rPr>
          <w:rFonts w:ascii="宋体" w:hAnsi="宋体" w:cs="宋体"/>
          <w:color w:val="auto"/>
          <w:szCs w:val="21"/>
          <w:highlight w:val="none"/>
        </w:rPr>
      </w:pPr>
      <w:bookmarkStart w:id="61"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61"/>
    </w:p>
    <w:p w14:paraId="00E21F9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6DBD554B">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3.符合性审查</w:t>
      </w:r>
    </w:p>
    <w:p w14:paraId="37A670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5A4CC7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9020CD">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w:t>
      </w:r>
      <w:r>
        <w:rPr>
          <w:rFonts w:hint="eastAsia" w:ascii="宋体" w:hAnsi="宋体" w:cs="宋体"/>
          <w:color w:val="auto"/>
          <w:spacing w:val="-6"/>
          <w:szCs w:val="21"/>
          <w:highlight w:val="none"/>
        </w:rPr>
        <w:t>。供应商为自然人的，必须由本人签字并附身份证明。</w:t>
      </w:r>
    </w:p>
    <w:p w14:paraId="2027207D">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9C10A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（1）响应文件中报价表内容与响应文件中相应内容不一致的，以报价表为准；</w:t>
      </w:r>
    </w:p>
    <w:p w14:paraId="78BD39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BAEEA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（3）单价金额小数点或者百分比有明显错位的，以报价表的总价为准，并修改单价；</w:t>
      </w:r>
    </w:p>
    <w:p w14:paraId="31461D7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575DED4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49B6632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37086A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在评审时，如发现下列情形之一的，将被视为响应文件无效处理：</w:t>
      </w:r>
    </w:p>
    <w:p w14:paraId="227BB76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1B106D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576AB7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5AF79A8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0CFA4B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180D0E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378899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478002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4034F9A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686112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77A4E60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44DB47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342B480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2004965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4D87478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036678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15）法律、法规和磋商文件规定的其他无效情形。</w:t>
      </w:r>
    </w:p>
    <w:p w14:paraId="775B38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76B8A56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0B009FD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572F35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02AC50C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分标规定的采购预算金额或者最高限价的（如本项目公布了最高限价）；响应报价（包含首次报价、最后报价）超过磋商文件分项采购预算金额或者最高限价的（如本项目公布了最高限价）；</w:t>
      </w:r>
    </w:p>
    <w:p w14:paraId="5EFF246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分标规定的采购预算金额或者最高限价（如本项目公布了最高限价）；或者经供应商确认修正后响应报价（包含首次报价、最后报价）超过磋商文件分项采购预算金额或者最高限价的（如本项目公布了最高限价）。</w:t>
      </w:r>
    </w:p>
    <w:p w14:paraId="5D3515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6）响应文件响应的标的数量及单位与竞争性磋商采购文件要求实质性不一致的。</w:t>
      </w:r>
    </w:p>
    <w:p w14:paraId="1B98872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07C9F09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01C97440">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A5942E8">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20B4CE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3929A6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4DE142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电子公章。供应商为自然人的，必须由本人签字并附身份证明。参加磋商的供应商未在规定时间内重新提交响应文件的，视同退出磋商。</w:t>
      </w:r>
    </w:p>
    <w:p w14:paraId="7943DA9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56AE8BC6">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4.6磋商小组应对磋商过程和重要磋商内容进行记录，作为评标报告一部分，磋商小组在记录上签字确认。</w:t>
      </w:r>
      <w:r>
        <w:rPr>
          <w:rFonts w:hint="eastAsia" w:ascii="宋体" w:hAnsi="宋体" w:cs="宋体"/>
          <w:b/>
          <w:color w:val="auto"/>
          <w:highlight w:val="none"/>
        </w:rPr>
        <w:t>主要内容包括：</w:t>
      </w:r>
    </w:p>
    <w:p w14:paraId="425392B5">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（1）按照相关规定进行公示的，公示情况说明；</w:t>
      </w:r>
    </w:p>
    <w:p w14:paraId="44D258DB">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（2）磋商日期和地点，磋商人员名单；</w:t>
      </w:r>
    </w:p>
    <w:p w14:paraId="4DC5A050">
      <w:pPr>
        <w:pStyle w:val="37"/>
        <w:spacing w:before="0"/>
        <w:ind w:firstLine="396"/>
        <w:rPr>
          <w:rFonts w:ascii="宋体" w:hAnsi="宋体" w:cs="宋体"/>
          <w:color w:val="auto"/>
          <w:spacing w:val="-6"/>
          <w:kern w:val="2"/>
          <w:sz w:val="21"/>
          <w:szCs w:val="21"/>
          <w:highlight w:val="none"/>
        </w:rPr>
      </w:pPr>
      <w:r>
        <w:rPr>
          <w:rFonts w:hint="eastAsia" w:ascii="宋体" w:hAnsi="宋体" w:cs="宋体"/>
          <w:color w:val="auto"/>
          <w:spacing w:val="-6"/>
          <w:kern w:val="2"/>
          <w:sz w:val="21"/>
          <w:szCs w:val="21"/>
          <w:highlight w:val="none"/>
        </w:rPr>
        <w:t>（3）合同主要条款及价格商定情况。</w:t>
      </w:r>
    </w:p>
    <w:p w14:paraId="7CA99CD9">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47590D3F">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52BA928">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585C8D5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密封提交最后报价，除本章第3.7、5.3条外，提交最后报价的供应商不得少于3家，否则必须重新采购。</w:t>
      </w:r>
    </w:p>
    <w:p w14:paraId="4ECBC9E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5BCA863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242E3C4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A5B704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w:t>
      </w:r>
    </w:p>
    <w:p w14:paraId="49763F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5.6磋商小组收齐某一分标最后报价后统一开启，磋商小组对最后报价进行有效性、完整性和响应程度的审查。</w:t>
      </w:r>
    </w:p>
    <w:p w14:paraId="2B5DAC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5243EE7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5.8修正后的最终报价出现下列情形的，按无效响应处理：</w:t>
      </w:r>
    </w:p>
    <w:p w14:paraId="636A46A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55F9DC9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（2）经供应商确认修正后的响应报价（包含首次报价、最后报价）超过所竞标分标规定的采购预算金额或者最高限价的（如本项目公布了最高限价）；</w:t>
      </w:r>
    </w:p>
    <w:p w14:paraId="0A5699D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6A1B183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1CCCAF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32C84EF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652DA845">
      <w:pPr>
        <w:ind w:firstLine="200"/>
        <w:rPr>
          <w:rFonts w:ascii="宋体" w:hAnsi="宋体" w:cs="宋体"/>
          <w:b/>
          <w:bCs/>
          <w:color w:val="auto"/>
          <w:sz w:val="24"/>
          <w:highlight w:val="none"/>
        </w:rPr>
      </w:pPr>
      <w:r>
        <w:rPr>
          <w:rFonts w:hint="eastAsia" w:ascii="宋体" w:hAnsi="宋体" w:cs="宋体"/>
          <w:b/>
          <w:bCs/>
          <w:color w:val="auto"/>
          <w:sz w:val="24"/>
          <w:highlight w:val="none"/>
        </w:rPr>
        <w:t>6.比较与评价</w:t>
      </w:r>
    </w:p>
    <w:p w14:paraId="6C614B7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77E5A55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59D558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19B6B4D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5BCD10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2F3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（3）各供应商的得分为磋商小组所有成员的有效评分的算术平均数。</w:t>
      </w:r>
    </w:p>
    <w:p w14:paraId="46DF31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6.4评审价为供应商的最后报价进行政策性扣除后的价格，评审价只是作为评审时使用。最终成交供应商的成交金额等于最后报价（如有修正，以确认修正后的最后报价为准）。</w:t>
      </w:r>
    </w:p>
    <w:p w14:paraId="3D1CAB62">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6.5由磋商小组根据综合评分情况，按照评审得分由高到低顺序推荐3名以上成交候选供应商，并编写评</w:t>
      </w:r>
      <w:r>
        <w:rPr>
          <w:rFonts w:hint="eastAsia" w:ascii="宋体" w:hAnsi="宋体" w:cs="宋体"/>
          <w:color w:val="auto"/>
          <w:kern w:val="0"/>
          <w:szCs w:val="21"/>
          <w:highlight w:val="none"/>
        </w:rPr>
        <w:t>审报告。符合本章第4.3条情形的，可以推荐2家成交候选供应商。评审得分相同的，按照最后报价由低到高的顺序推荐。评审得分且最后报价相同的，按照技术指标优劣顺序推荐。</w:t>
      </w:r>
    </w:p>
    <w:p w14:paraId="51B95416">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9A68D40">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7.评审复核</w:t>
      </w:r>
    </w:p>
    <w:p w14:paraId="1E0611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7.1评审报告签署前，评审委员会要对评审结果进行复核，复核意见要体现在评审报告中。</w:t>
      </w:r>
    </w:p>
    <w:p w14:paraId="511E9620">
      <w:pPr>
        <w:widowControl/>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7.2评审结果汇总完成后，采购人、采购代理机构和评审委员会均不得修改评审结果或者要求重新评审，但资格性检查认定错误、分值汇总计算错误、分项评分超出评分标准范围、客观分评分不一致、经评审委员会一致认定评分畸高、畸低的情形除外。出现上述除外情形的，评审委员会应当现场修改评审结果，并在评审报告中明确记载。</w:t>
      </w:r>
    </w:p>
    <w:p w14:paraId="485E8F27">
      <w:pPr>
        <w:spacing w:line="360" w:lineRule="auto"/>
        <w:ind w:firstLine="200"/>
        <w:rPr>
          <w:rFonts w:ascii="宋体" w:hAnsi="宋体" w:cs="宋体"/>
          <w:b/>
          <w:bCs/>
          <w:color w:val="auto"/>
          <w:sz w:val="24"/>
          <w:highlight w:val="none"/>
        </w:rPr>
      </w:pPr>
      <w:r>
        <w:rPr>
          <w:rFonts w:hint="eastAsia" w:ascii="宋体" w:hAnsi="宋体" w:cs="宋体"/>
          <w:b/>
          <w:bCs/>
          <w:color w:val="auto"/>
          <w:sz w:val="24"/>
          <w:highlight w:val="none"/>
        </w:rPr>
        <w:t>8.评审标准</w:t>
      </w:r>
    </w:p>
    <w:p w14:paraId="3FB629D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8.1评审依据：磋商小组将以磋商响应文件为评审依据，对供应商的报价、技术、商务等方面内容按百分制打分。（计分方法按四舍五入取至百分位）</w:t>
      </w:r>
    </w:p>
    <w:p w14:paraId="3026D53C">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总得分=1+2+3</w:t>
      </w:r>
    </w:p>
    <w:tbl>
      <w:tblPr>
        <w:tblStyle w:val="26"/>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64C5A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22A4C9D9">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1086" w:type="dxa"/>
            <w:vAlign w:val="center"/>
          </w:tcPr>
          <w:p w14:paraId="6D5E0BCE">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110" w:type="dxa"/>
            <w:vAlign w:val="center"/>
          </w:tcPr>
          <w:p w14:paraId="0AD7156D">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评分因素</w:t>
            </w:r>
          </w:p>
        </w:tc>
        <w:tc>
          <w:tcPr>
            <w:tcW w:w="772" w:type="dxa"/>
            <w:vAlign w:val="center"/>
          </w:tcPr>
          <w:p w14:paraId="3590C17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分值</w:t>
            </w:r>
          </w:p>
        </w:tc>
      </w:tr>
      <w:tr w14:paraId="7DADD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0" w:hRule="atLeast"/>
          <w:jc w:val="center"/>
        </w:trPr>
        <w:tc>
          <w:tcPr>
            <w:tcW w:w="652" w:type="dxa"/>
            <w:vAlign w:val="center"/>
          </w:tcPr>
          <w:p w14:paraId="575FFAFA">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086" w:type="dxa"/>
            <w:vAlign w:val="center"/>
          </w:tcPr>
          <w:p w14:paraId="32BFAFB3">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价格分（服务项目的价格分值占总分值的比重(即权值)为10%至30%。政务信息系统采购服务的，价格分值占总分值比重应当为10%）</w:t>
            </w:r>
          </w:p>
        </w:tc>
        <w:tc>
          <w:tcPr>
            <w:tcW w:w="7110" w:type="dxa"/>
          </w:tcPr>
          <w:p w14:paraId="61A4C2D2">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（1）本项目为专门面向中小企业采购项目，不执行价格扣除优惠政策，评审报价＝最后报价；</w:t>
            </w:r>
          </w:p>
          <w:p w14:paraId="0F06B566">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2）竞标服务/产品提供企业按《关于政府采购支持监狱企业发展有关问题的通知》（财库[2014]68号）认定为监狱企业的，在政府采购活动中，监狱企业视同小型、微型企业，享受预留份额。监狱企业参加政府采购活动时，应当提供由省级以上监狱管理局、戒毒管理局（含新疆生产建设兵团）出具的属于监狱企业的证明文件；</w:t>
            </w:r>
          </w:p>
          <w:p w14:paraId="0773C5D1">
            <w:pPr>
              <w:snapToGrid w:val="0"/>
              <w:spacing w:line="360" w:lineRule="exact"/>
              <w:ind w:firstLine="420" w:firstLineChars="200"/>
              <w:jc w:val="left"/>
              <w:rPr>
                <w:rFonts w:ascii="宋体" w:hAnsi="宋体" w:cs="宋体"/>
                <w:bCs/>
                <w:color w:val="auto"/>
                <w:szCs w:val="21"/>
                <w:highlight w:val="none"/>
              </w:rPr>
            </w:pPr>
            <w:r>
              <w:rPr>
                <w:rFonts w:hint="eastAsia" w:ascii="宋体" w:hAnsi="宋体" w:cs="宋体"/>
                <w:bCs/>
                <w:color w:val="auto"/>
                <w:szCs w:val="21"/>
                <w:highlight w:val="none"/>
              </w:rPr>
              <w:t>（3）竞标服务/产品提供企业按《关于促进残疾人就业政府采购政策的通知》（财库〔2017〕141号）认定为残疾人福利性单位的，在政府采购活动中，残疾人福利性单位视同小型、微型企业，享受预留份额。残疾人福利性单位参加政府采购活动时，应当提供该《残疾人福利性单位声明函》为证明文件（格式见第五章“响应文件格式”）。</w:t>
            </w:r>
          </w:p>
          <w:p w14:paraId="17E3B5EC">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（4）以进入比较与评价环节的评审报价</w:t>
            </w:r>
            <w:r>
              <w:rPr>
                <w:rFonts w:hint="eastAsia" w:hAnsi="宋体" w:cs="宋体"/>
                <w:bCs/>
                <w:color w:val="auto"/>
                <w:kern w:val="2"/>
                <w:sz w:val="21"/>
                <w:highlight w:val="none"/>
                <w:lang w:val="en-US" w:eastAsia="zh-CN"/>
              </w:rPr>
              <w:t>最低的</w:t>
            </w:r>
            <w:r>
              <w:rPr>
                <w:rFonts w:hint="eastAsia" w:hAnsi="宋体" w:cs="宋体"/>
                <w:bCs/>
                <w:color w:val="auto"/>
                <w:kern w:val="2"/>
                <w:sz w:val="21"/>
                <w:highlight w:val="none"/>
              </w:rPr>
              <w:t>为基准价，基准价得分为</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p w14:paraId="374F3415">
            <w:pPr>
              <w:pStyle w:val="15"/>
              <w:spacing w:line="360" w:lineRule="exact"/>
              <w:ind w:firstLine="420" w:firstLineChars="200"/>
              <w:rPr>
                <w:rFonts w:hAnsi="宋体" w:cs="宋体"/>
                <w:bCs/>
                <w:color w:val="auto"/>
                <w:kern w:val="2"/>
                <w:sz w:val="21"/>
                <w:highlight w:val="none"/>
              </w:rPr>
            </w:pPr>
            <w:r>
              <w:rPr>
                <w:rFonts w:hint="eastAsia" w:hAnsi="宋体" w:cs="宋体"/>
                <w:bCs/>
                <w:color w:val="auto"/>
                <w:kern w:val="2"/>
                <w:sz w:val="21"/>
                <w:highlight w:val="none"/>
              </w:rPr>
              <w:t>（5）价格分计算公式：</w:t>
            </w:r>
          </w:p>
          <w:p w14:paraId="3370E224">
            <w:pPr>
              <w:pStyle w:val="15"/>
              <w:spacing w:line="360" w:lineRule="exact"/>
              <w:ind w:firstLine="420" w:firstLineChars="200"/>
              <w:rPr>
                <w:rFonts w:hAnsi="宋体" w:cs="宋体"/>
                <w:bCs/>
                <w:color w:val="auto"/>
                <w:sz w:val="21"/>
                <w:highlight w:val="none"/>
              </w:rPr>
            </w:pPr>
            <w:r>
              <w:rPr>
                <w:rFonts w:hint="eastAsia" w:hAnsi="宋体" w:cs="宋体"/>
                <w:bCs/>
                <w:color w:val="auto"/>
                <w:kern w:val="2"/>
                <w:sz w:val="21"/>
                <w:highlight w:val="none"/>
              </w:rPr>
              <w:t>报价得分=基准价/</w:t>
            </w:r>
            <w:r>
              <w:rPr>
                <w:rFonts w:hint="eastAsia" w:hAnsi="宋体" w:cs="宋体"/>
                <w:bCs/>
                <w:color w:val="auto"/>
                <w:kern w:val="2"/>
                <w:sz w:val="21"/>
                <w:highlight w:val="none"/>
                <w:lang w:val="en-US" w:eastAsia="zh-CN"/>
              </w:rPr>
              <w:t>评审报价</w:t>
            </w:r>
            <w:r>
              <w:rPr>
                <w:rFonts w:hint="eastAsia" w:hAnsi="宋体" w:cs="宋体"/>
                <w:bCs/>
                <w:color w:val="auto"/>
                <w:kern w:val="2"/>
                <w:sz w:val="21"/>
                <w:highlight w:val="none"/>
              </w:rPr>
              <w:t>×</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u w:val="single"/>
                <w:lang w:val="en-US" w:eastAsia="zh-CN"/>
              </w:rPr>
              <w:t>15</w:t>
            </w:r>
            <w:r>
              <w:rPr>
                <w:rFonts w:hint="eastAsia" w:hAnsi="宋体" w:cs="宋体"/>
                <w:bCs/>
                <w:color w:val="auto"/>
                <w:kern w:val="2"/>
                <w:sz w:val="21"/>
                <w:highlight w:val="none"/>
                <w:u w:val="single"/>
              </w:rPr>
              <w:t xml:space="preserve"> </w:t>
            </w:r>
            <w:r>
              <w:rPr>
                <w:rFonts w:hint="eastAsia" w:hAnsi="宋体" w:cs="宋体"/>
                <w:bCs/>
                <w:color w:val="auto"/>
                <w:kern w:val="2"/>
                <w:sz w:val="21"/>
                <w:highlight w:val="none"/>
              </w:rPr>
              <w:t>分</w:t>
            </w:r>
          </w:p>
        </w:tc>
        <w:tc>
          <w:tcPr>
            <w:tcW w:w="772" w:type="dxa"/>
            <w:vAlign w:val="center"/>
          </w:tcPr>
          <w:p w14:paraId="3E6B5D7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7DB87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652" w:type="dxa"/>
            <w:vAlign w:val="center"/>
          </w:tcPr>
          <w:p w14:paraId="5A0AA32F">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2</w:t>
            </w:r>
          </w:p>
        </w:tc>
        <w:tc>
          <w:tcPr>
            <w:tcW w:w="1086" w:type="dxa"/>
            <w:vAlign w:val="center"/>
          </w:tcPr>
          <w:p w14:paraId="3EA8AF42">
            <w:pPr>
              <w:widowControl/>
              <w:spacing w:line="360" w:lineRule="exact"/>
              <w:jc w:val="center"/>
              <w:rPr>
                <w:rFonts w:hint="default" w:ascii="宋体" w:hAnsi="宋体" w:eastAsia="宋体" w:cs="宋体"/>
                <w:b/>
                <w:color w:val="auto"/>
                <w:kern w:val="0"/>
                <w:szCs w:val="21"/>
                <w:highlight w:val="none"/>
                <w:lang w:val="en-US" w:eastAsia="zh-CN"/>
              </w:rPr>
            </w:pPr>
            <w:r>
              <w:rPr>
                <w:rFonts w:ascii="宋体" w:hAnsi="宋体" w:cs="宋体"/>
                <w:b/>
                <w:color w:val="auto"/>
                <w:kern w:val="0"/>
                <w:szCs w:val="21"/>
                <w:highlight w:val="none"/>
              </w:rPr>
              <w:t>施工组织设计评分标准</w:t>
            </w:r>
          </w:p>
        </w:tc>
        <w:tc>
          <w:tcPr>
            <w:tcW w:w="7110" w:type="dxa"/>
            <w:vAlign w:val="center"/>
          </w:tcPr>
          <w:p w14:paraId="67556DFC">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rPr>
              <w:t>评审因素</w:t>
            </w:r>
          </w:p>
        </w:tc>
        <w:tc>
          <w:tcPr>
            <w:tcW w:w="772" w:type="dxa"/>
            <w:vAlign w:val="center"/>
          </w:tcPr>
          <w:p w14:paraId="55B33448">
            <w:pPr>
              <w:widowControl/>
              <w:spacing w:line="360" w:lineRule="exact"/>
              <w:jc w:val="center"/>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70</w:t>
            </w:r>
            <w:r>
              <w:rPr>
                <w:rFonts w:hint="eastAsia" w:ascii="宋体" w:hAnsi="宋体" w:cs="宋体"/>
                <w:b/>
                <w:color w:val="auto"/>
                <w:kern w:val="0"/>
                <w:szCs w:val="21"/>
                <w:highlight w:val="none"/>
              </w:rPr>
              <w:t>分</w:t>
            </w:r>
          </w:p>
        </w:tc>
      </w:tr>
      <w:tr w14:paraId="7EC9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652" w:type="dxa"/>
            <w:vAlign w:val="center"/>
          </w:tcPr>
          <w:p w14:paraId="05E4F57C">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2.1</w:t>
            </w:r>
          </w:p>
        </w:tc>
        <w:tc>
          <w:tcPr>
            <w:tcW w:w="1086" w:type="dxa"/>
            <w:vAlign w:val="center"/>
          </w:tcPr>
          <w:p w14:paraId="099A86BD">
            <w:pPr>
              <w:adjustRightInd w:val="0"/>
              <w:spacing w:line="36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lang w:val="zh-CN"/>
              </w:rPr>
              <w:t>总体施工组织布置及规划</w:t>
            </w:r>
          </w:p>
        </w:tc>
        <w:tc>
          <w:tcPr>
            <w:tcW w:w="7110" w:type="dxa"/>
            <w:vAlign w:val="center"/>
          </w:tcPr>
          <w:p w14:paraId="18E44691">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一档（0分）：未提供施工总平面布置图，或提供的施工总平面布置图与本项目无关的。</w:t>
            </w:r>
          </w:p>
          <w:p w14:paraId="6F58B83C">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二档（1分）：有施工总平面布置图，但安排不合理，不符合本项目施工实际要求或不符合安全、文明生产要求。</w:t>
            </w:r>
          </w:p>
          <w:p w14:paraId="6C27C3A6">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三档（3分）：有施工总平面布置图，安排基本科学合理，基本符合本项目施工实际要求。</w:t>
            </w:r>
          </w:p>
          <w:p w14:paraId="07338A4D">
            <w:pPr>
              <w:pStyle w:val="15"/>
              <w:spacing w:line="36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四档（5分）：有施工总平面布置图，安排科学合理，符合本项目施工实际要求。</w:t>
            </w:r>
          </w:p>
        </w:tc>
        <w:tc>
          <w:tcPr>
            <w:tcW w:w="772" w:type="dxa"/>
            <w:vAlign w:val="center"/>
          </w:tcPr>
          <w:p w14:paraId="13328BBC">
            <w:pPr>
              <w:spacing w:line="360" w:lineRule="exact"/>
              <w:jc w:val="center"/>
              <w:rPr>
                <w:rFonts w:ascii="宋体" w:hAnsi="宋体" w:cs="宋体"/>
                <w:color w:val="auto"/>
                <w:kern w:val="0"/>
                <w:szCs w:val="21"/>
                <w:highlight w:val="none"/>
              </w:rPr>
            </w:pP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分</w:t>
            </w:r>
          </w:p>
        </w:tc>
      </w:tr>
      <w:tr w14:paraId="51906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12BFB07">
            <w:pPr>
              <w:adjustRightInd w:val="0"/>
              <w:spacing w:line="360" w:lineRule="exact"/>
              <w:ind w:left="-105" w:leftChars="-50" w:right="-105" w:rightChars="-50"/>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2.2</w:t>
            </w:r>
          </w:p>
        </w:tc>
        <w:tc>
          <w:tcPr>
            <w:tcW w:w="1086" w:type="dxa"/>
            <w:vAlign w:val="center"/>
          </w:tcPr>
          <w:p w14:paraId="5748136D">
            <w:pPr>
              <w:adjustRightInd w:val="0"/>
              <w:spacing w:line="32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施工方案、方法与技术措施</w:t>
            </w:r>
          </w:p>
        </w:tc>
        <w:tc>
          <w:tcPr>
            <w:tcW w:w="7110" w:type="dxa"/>
            <w:vAlign w:val="center"/>
          </w:tcPr>
          <w:p w14:paraId="5434298F">
            <w:pPr>
              <w:spacing w:line="400" w:lineRule="exact"/>
              <w:ind w:firstLine="420"/>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一档（0分）：未提供主要工程项目的施工方案、方法与技术措施，或提供的方案与本项目无关的。</w:t>
            </w:r>
          </w:p>
          <w:p w14:paraId="00A8EC0F">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二</w:t>
            </w:r>
            <w:r>
              <w:rPr>
                <w:rFonts w:hint="eastAsia" w:ascii="宋体" w:hAnsi="宋体" w:cs="宋体"/>
                <w:bCs/>
                <w:color w:val="auto"/>
                <w:kern w:val="0"/>
                <w:szCs w:val="21"/>
                <w:highlight w:val="none"/>
              </w:rPr>
              <w:t>档（5分）：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方法与技术措施不完整</w:t>
            </w:r>
            <w:r>
              <w:rPr>
                <w:rFonts w:hint="eastAsia" w:ascii="宋体" w:hAnsi="宋体" w:cs="宋体"/>
                <w:bCs/>
                <w:color w:val="auto"/>
                <w:kern w:val="0"/>
                <w:szCs w:val="21"/>
                <w:highlight w:val="none"/>
                <w:lang w:val="zh-CN"/>
              </w:rPr>
              <w:t>，</w:t>
            </w:r>
            <w:r>
              <w:rPr>
                <w:rFonts w:hint="eastAsia" w:ascii="宋体" w:hAnsi="宋体" w:cs="宋体"/>
                <w:bCs/>
                <w:color w:val="auto"/>
                <w:kern w:val="0"/>
                <w:szCs w:val="21"/>
                <w:highlight w:val="none"/>
                <w:lang w:val="en-US" w:eastAsia="zh-CN"/>
              </w:rPr>
              <w:t>基本满足项目实施需求，但不能确保施工安全</w:t>
            </w:r>
            <w:r>
              <w:rPr>
                <w:rFonts w:hint="eastAsia" w:ascii="宋体" w:hAnsi="宋体" w:cs="宋体"/>
                <w:bCs/>
                <w:color w:val="auto"/>
                <w:kern w:val="0"/>
                <w:szCs w:val="21"/>
                <w:highlight w:val="none"/>
              </w:rPr>
              <w:t xml:space="preserve">。 </w:t>
            </w:r>
          </w:p>
          <w:p w14:paraId="4D786C5D">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三</w:t>
            </w:r>
            <w:r>
              <w:rPr>
                <w:rFonts w:hint="eastAsia" w:ascii="宋体" w:hAnsi="宋体" w:cs="宋体"/>
                <w:bCs/>
                <w:color w:val="auto"/>
                <w:kern w:val="0"/>
                <w:szCs w:val="21"/>
                <w:highlight w:val="none"/>
              </w:rPr>
              <w:t>档（10分）：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方法与技术措施完整，</w:t>
            </w:r>
            <w:r>
              <w:rPr>
                <w:rFonts w:hint="eastAsia" w:ascii="宋体" w:hAnsi="宋体" w:cs="宋体"/>
                <w:bCs/>
                <w:color w:val="auto"/>
                <w:kern w:val="0"/>
                <w:szCs w:val="21"/>
                <w:highlight w:val="none"/>
              </w:rPr>
              <w:t xml:space="preserve">有详尽的施工技术方案，有主要分部工程施工步骤、施工要点，能指导具体施工并确保安全。 </w:t>
            </w:r>
          </w:p>
          <w:p w14:paraId="29C76F73">
            <w:pPr>
              <w:spacing w:line="400" w:lineRule="exact"/>
              <w:ind w:firstLine="420"/>
              <w:rPr>
                <w:rFonts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w:t>
            </w:r>
            <w:r>
              <w:rPr>
                <w:rFonts w:hint="eastAsia" w:ascii="宋体" w:hAnsi="宋体" w:cs="宋体"/>
                <w:bCs/>
                <w:color w:val="auto"/>
                <w:kern w:val="0"/>
                <w:szCs w:val="21"/>
                <w:highlight w:val="none"/>
              </w:rPr>
              <w:t>档（15分）：</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方案</w:t>
            </w:r>
            <w:r>
              <w:rPr>
                <w:rFonts w:hint="eastAsia" w:ascii="宋体" w:hAnsi="宋体" w:cs="宋体"/>
                <w:bCs/>
                <w:color w:val="auto"/>
                <w:kern w:val="0"/>
                <w:szCs w:val="21"/>
                <w:highlight w:val="none"/>
                <w:lang w:val="zh-CN"/>
              </w:rPr>
              <w:t>、施工</w:t>
            </w:r>
            <w:r>
              <w:rPr>
                <w:rFonts w:hint="eastAsia" w:ascii="宋体" w:hAnsi="宋体" w:cs="宋体"/>
                <w:bCs/>
                <w:color w:val="auto"/>
                <w:kern w:val="0"/>
                <w:szCs w:val="21"/>
                <w:highlight w:val="none"/>
                <w:lang w:val="en-US" w:eastAsia="zh-CN"/>
              </w:rPr>
              <w:t>方法与技术措施详尽完整，</w:t>
            </w:r>
            <w:r>
              <w:rPr>
                <w:rFonts w:hint="eastAsia" w:ascii="宋体" w:hAnsi="宋体" w:cs="宋体"/>
                <w:bCs/>
                <w:color w:val="auto"/>
                <w:kern w:val="0"/>
                <w:szCs w:val="21"/>
                <w:highlight w:val="none"/>
              </w:rPr>
              <w:t>各主要分部施工方法符合项目实际，有详尽的施工技术方案，主要分部工程施工工序、施工步骤、施工要点、施工工艺方案具有先进性，施工准备、技术准备或交底、各工种施工配合方案具有针对性，能高效指导具体施工并确保安全。</w:t>
            </w:r>
          </w:p>
        </w:tc>
        <w:tc>
          <w:tcPr>
            <w:tcW w:w="772" w:type="dxa"/>
            <w:vAlign w:val="center"/>
          </w:tcPr>
          <w:p w14:paraId="04CAFB12">
            <w:pPr>
              <w:spacing w:line="360" w:lineRule="exact"/>
              <w:jc w:val="center"/>
              <w:rPr>
                <w:rFonts w:ascii="宋体" w:hAnsi="宋体" w:cs="宋体"/>
                <w:color w:val="auto"/>
                <w:kern w:val="0"/>
                <w:szCs w:val="21"/>
                <w:highlight w:val="none"/>
              </w:rPr>
            </w:pPr>
            <w:r>
              <w:rPr>
                <w:rFonts w:ascii="宋体" w:hAnsi="宋体" w:cs="宋体"/>
                <w:bCs/>
                <w:color w:val="auto"/>
                <w:kern w:val="0"/>
                <w:szCs w:val="21"/>
                <w:highlight w:val="none"/>
              </w:rPr>
              <w:t>15</w:t>
            </w:r>
            <w:r>
              <w:rPr>
                <w:rFonts w:hint="eastAsia" w:ascii="宋体" w:hAnsi="宋体" w:cs="宋体"/>
                <w:bCs/>
                <w:color w:val="auto"/>
                <w:kern w:val="0"/>
                <w:szCs w:val="21"/>
                <w:highlight w:val="none"/>
              </w:rPr>
              <w:t>分</w:t>
            </w:r>
          </w:p>
        </w:tc>
      </w:tr>
      <w:tr w14:paraId="3EA8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9C7A906">
            <w:pPr>
              <w:adjustRightInd w:val="0"/>
              <w:spacing w:line="320" w:lineRule="exact"/>
              <w:ind w:left="-105" w:leftChars="-50" w:right="-105" w:rightChars="-50"/>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2.3</w:t>
            </w:r>
          </w:p>
        </w:tc>
        <w:tc>
          <w:tcPr>
            <w:tcW w:w="1086" w:type="dxa"/>
            <w:vAlign w:val="center"/>
          </w:tcPr>
          <w:p w14:paraId="338029F9">
            <w:pPr>
              <w:adjustRightInd w:val="0"/>
              <w:spacing w:line="400" w:lineRule="exact"/>
              <w:jc w:val="center"/>
              <w:textAlignment w:val="baseline"/>
              <w:rPr>
                <w:rFonts w:hint="eastAsia" w:ascii="宋体" w:hAnsi="宋体" w:eastAsia="宋体" w:cs="宋体"/>
                <w:bCs/>
                <w:color w:val="auto"/>
                <w:kern w:val="0"/>
                <w:sz w:val="21"/>
                <w:szCs w:val="21"/>
                <w:highlight w:val="none"/>
                <w:lang w:val="en-US" w:eastAsia="zh-CN" w:bidi="ar-SA"/>
              </w:rPr>
            </w:pPr>
            <w:r>
              <w:rPr>
                <w:rFonts w:hint="eastAsia" w:ascii="宋体" w:hAnsi="宋体" w:cs="宋体"/>
                <w:bCs/>
                <w:color w:val="auto"/>
                <w:kern w:val="0"/>
                <w:szCs w:val="21"/>
                <w:highlight w:val="none"/>
              </w:rPr>
              <w:t>拟投入的主要物资计划、劳动力安排计划方案</w:t>
            </w:r>
          </w:p>
        </w:tc>
        <w:tc>
          <w:tcPr>
            <w:tcW w:w="7110" w:type="dxa"/>
            <w:vAlign w:val="center"/>
          </w:tcPr>
          <w:p w14:paraId="17B69B93">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hAnsi="宋体" w:cs="宋体"/>
                <w:bCs/>
                <w:color w:val="auto"/>
                <w:sz w:val="21"/>
                <w:highlight w:val="none"/>
                <w:lang w:val="en-US" w:eastAsia="zh-CN"/>
              </w:rPr>
              <w:t>一档（0分）：</w:t>
            </w:r>
            <w:r>
              <w:rPr>
                <w:rFonts w:hint="eastAsia" w:ascii="宋体" w:hAnsi="宋体" w:eastAsia="宋体" w:cs="宋体"/>
                <w:bCs/>
                <w:color w:val="auto"/>
                <w:sz w:val="21"/>
                <w:highlight w:val="none"/>
                <w:lang w:val="en-US" w:eastAsia="zh-CN"/>
              </w:rPr>
              <w:t>没有提供</w:t>
            </w:r>
            <w:r>
              <w:rPr>
                <w:rFonts w:hint="eastAsia" w:ascii="宋体" w:hAnsi="宋体" w:eastAsia="宋体" w:cs="宋体"/>
                <w:bCs/>
                <w:color w:val="auto"/>
                <w:sz w:val="21"/>
                <w:highlight w:val="none"/>
              </w:rPr>
              <w:t>拟投入的主要物资计划、劳动力安排计划方案</w:t>
            </w:r>
            <w:r>
              <w:rPr>
                <w:rFonts w:hint="eastAsia" w:ascii="宋体" w:hAnsi="宋体" w:eastAsia="宋体" w:cs="宋体"/>
                <w:bCs/>
                <w:color w:val="auto"/>
                <w:sz w:val="21"/>
                <w:highlight w:val="none"/>
                <w:lang w:eastAsia="zh-CN"/>
              </w:rPr>
              <w:t>，</w:t>
            </w:r>
            <w:r>
              <w:rPr>
                <w:rFonts w:hint="eastAsia" w:ascii="宋体" w:hAnsi="宋体" w:eastAsia="宋体" w:cs="宋体"/>
                <w:bCs/>
                <w:color w:val="auto"/>
                <w:sz w:val="21"/>
                <w:highlight w:val="none"/>
                <w:lang w:val="en-US" w:eastAsia="zh-CN"/>
              </w:rPr>
              <w:t>或内容与本项目无关。</w:t>
            </w:r>
          </w:p>
          <w:p w14:paraId="25290D39">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二</w:t>
            </w:r>
            <w:r>
              <w:rPr>
                <w:rFonts w:hint="eastAsia" w:ascii="宋体" w:hAnsi="宋体" w:eastAsia="宋体" w:cs="宋体"/>
                <w:bCs/>
                <w:color w:val="auto"/>
                <w:sz w:val="21"/>
                <w:highlight w:val="none"/>
              </w:rPr>
              <w:t>档（</w:t>
            </w:r>
            <w:r>
              <w:rPr>
                <w:rFonts w:hint="eastAsia" w:ascii="宋体" w:hAnsi="宋体" w:eastAsia="宋体" w:cs="宋体"/>
                <w:bCs/>
                <w:color w:val="auto"/>
                <w:sz w:val="21"/>
                <w:highlight w:val="none"/>
                <w:lang w:val="en-US" w:eastAsia="zh-CN"/>
              </w:rPr>
              <w:t>2</w:t>
            </w:r>
            <w:r>
              <w:rPr>
                <w:rFonts w:hint="eastAsia" w:ascii="宋体" w:hAnsi="宋体" w:eastAsia="宋体" w:cs="宋体"/>
                <w:bCs/>
                <w:color w:val="auto"/>
                <w:sz w:val="21"/>
                <w:highlight w:val="none"/>
              </w:rPr>
              <w:t>分）：投入的施工材料有组织计划，基本满足施工需要。各主</w:t>
            </w:r>
            <w:r>
              <w:rPr>
                <w:rFonts w:hint="eastAsia" w:hAnsi="宋体" w:cs="宋体"/>
                <w:bCs/>
                <w:color w:val="auto"/>
                <w:sz w:val="21"/>
                <w:highlight w:val="none"/>
              </w:rPr>
              <w:t>要施工工序有劳动力安排计划，有各工种劳动力安排计划，基本能满足施工需要。</w:t>
            </w:r>
          </w:p>
          <w:p w14:paraId="0ADFD14E">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lang w:val="en-US" w:eastAsia="zh-CN"/>
              </w:rPr>
              <w:t>三</w:t>
            </w:r>
            <w:r>
              <w:rPr>
                <w:rFonts w:hint="eastAsia" w:hAnsi="宋体" w:cs="宋体"/>
                <w:bCs/>
                <w:color w:val="auto"/>
                <w:sz w:val="21"/>
                <w:highlight w:val="none"/>
              </w:rPr>
              <w:t>档（</w:t>
            </w:r>
            <w:r>
              <w:rPr>
                <w:rFonts w:hint="eastAsia" w:hAnsi="宋体" w:cs="宋体"/>
                <w:bCs/>
                <w:color w:val="auto"/>
                <w:sz w:val="21"/>
                <w:highlight w:val="none"/>
                <w:lang w:val="en-US" w:eastAsia="zh-CN"/>
              </w:rPr>
              <w:t>6</w:t>
            </w:r>
            <w:r>
              <w:rPr>
                <w:rFonts w:hint="eastAsia" w:hAnsi="宋体" w:cs="宋体"/>
                <w:bCs/>
                <w:color w:val="auto"/>
                <w:sz w:val="21"/>
                <w:highlight w:val="none"/>
              </w:rPr>
              <w:t>分）：投入的主要物资计划与进度计划呼应，满足施工需要，定量定点堆放物资。各主要施工工序有周密的劳动力安排计划，不窝工，有各工种劳动力安排计划，能满足施工需要。</w:t>
            </w:r>
          </w:p>
          <w:p w14:paraId="58050F66">
            <w:pPr>
              <w:pStyle w:val="15"/>
              <w:spacing w:line="400" w:lineRule="exact"/>
              <w:ind w:firstLine="420" w:firstLineChars="200"/>
              <w:rPr>
                <w:rFonts w:hint="eastAsia" w:ascii="宋体" w:hAnsi="宋体" w:eastAsia="宋体" w:cs="宋体"/>
                <w:bCs/>
                <w:color w:val="auto"/>
                <w:kern w:val="0"/>
                <w:sz w:val="21"/>
                <w:szCs w:val="21"/>
                <w:highlight w:val="none"/>
                <w:lang w:val="en-US" w:eastAsia="zh-CN" w:bidi="ar-SA"/>
              </w:rPr>
            </w:pPr>
            <w:r>
              <w:rPr>
                <w:rFonts w:hint="eastAsia" w:hAnsi="宋体" w:cs="宋体"/>
                <w:bCs/>
                <w:color w:val="auto"/>
                <w:sz w:val="21"/>
                <w:highlight w:val="none"/>
                <w:lang w:val="en-US" w:eastAsia="zh-CN"/>
              </w:rPr>
              <w:t>四</w:t>
            </w:r>
            <w:r>
              <w:rPr>
                <w:rFonts w:hint="eastAsia" w:hAnsi="宋体" w:cs="宋体"/>
                <w:bCs/>
                <w:color w:val="auto"/>
                <w:sz w:val="21"/>
                <w:highlight w:val="none"/>
              </w:rPr>
              <w:t>档（1</w:t>
            </w:r>
            <w:r>
              <w:rPr>
                <w:rFonts w:hint="eastAsia" w:hAnsi="宋体" w:cs="宋体"/>
                <w:bCs/>
                <w:color w:val="auto"/>
                <w:sz w:val="21"/>
                <w:highlight w:val="none"/>
                <w:lang w:val="en-US" w:eastAsia="zh-CN"/>
              </w:rPr>
              <w:t>0</w:t>
            </w:r>
            <w:r>
              <w:rPr>
                <w:rFonts w:hint="eastAsia" w:hAnsi="宋体" w:cs="宋体"/>
                <w:bCs/>
                <w:color w:val="auto"/>
                <w:sz w:val="21"/>
                <w:highlight w:val="none"/>
              </w:rPr>
              <w:t>分）：投入的主要物资计划与进度计划呼应，满足施工需要，材料物资采购及供应保证措施，定量定点堆放物资。各主要施工工序有周密的劳动力安排计划，不窝工，各工种劳动力安排计划切实高效，有切实有效的劳动力保障措施，能满足施工需要且衔接得当。</w:t>
            </w:r>
          </w:p>
        </w:tc>
        <w:tc>
          <w:tcPr>
            <w:tcW w:w="772" w:type="dxa"/>
            <w:vAlign w:val="center"/>
          </w:tcPr>
          <w:p w14:paraId="0A43CAE9">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63A66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6DE93BF">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31B1950D">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工程质量管理体系及保证措施</w:t>
            </w:r>
          </w:p>
        </w:tc>
        <w:tc>
          <w:tcPr>
            <w:tcW w:w="7110" w:type="dxa"/>
            <w:vAlign w:val="center"/>
          </w:tcPr>
          <w:p w14:paraId="144CD6D2">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一档（0分）：没有工程质量管理体系及保证措施的</w:t>
            </w:r>
            <w:r>
              <w:rPr>
                <w:rFonts w:hint="eastAsia" w:hAnsi="宋体" w:cs="宋体"/>
                <w:bCs/>
                <w:color w:val="auto"/>
                <w:sz w:val="21"/>
                <w:highlight w:val="none"/>
                <w:lang w:val="en-US" w:eastAsia="zh-CN"/>
              </w:rPr>
              <w:t>，或内容与本项目无关。</w:t>
            </w:r>
          </w:p>
          <w:p w14:paraId="2C7A3F51">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二档（1分）：主要工序无质量技术保证措施和手段，自控体系不完整，或不能有效保证技术质量，达不到承诺的质量标准。</w:t>
            </w:r>
          </w:p>
          <w:p w14:paraId="2AB5CCB0">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三档（3分）：主要工序有质量技术保证措施和手段，自控体系基本完整，基本能有效保证技术质量，达到承诺的质量标准。</w:t>
            </w:r>
          </w:p>
          <w:p w14:paraId="7315B3BA">
            <w:pPr>
              <w:pStyle w:val="15"/>
              <w:spacing w:line="400" w:lineRule="exact"/>
              <w:ind w:firstLine="420" w:firstLineChars="200"/>
              <w:rPr>
                <w:rFonts w:hint="default"/>
                <w:color w:val="auto"/>
                <w:highlight w:val="none"/>
                <w:lang w:val="en-US" w:eastAsia="zh-CN"/>
              </w:rPr>
            </w:pPr>
            <w:r>
              <w:rPr>
                <w:rFonts w:hint="eastAsia" w:ascii="宋体" w:hAnsi="宋体" w:eastAsia="宋体" w:cs="宋体"/>
                <w:bCs/>
                <w:color w:val="auto"/>
                <w:sz w:val="21"/>
                <w:highlight w:val="none"/>
                <w:lang w:val="en-US" w:eastAsia="zh-CN"/>
              </w:rPr>
              <w:t>四档（5分）：主要工序有详细的质量技术保证措施和手段，自控体系完整，能有效保证技术质量，达到承诺的质量标准。</w:t>
            </w:r>
          </w:p>
        </w:tc>
        <w:tc>
          <w:tcPr>
            <w:tcW w:w="772" w:type="dxa"/>
            <w:vAlign w:val="center"/>
          </w:tcPr>
          <w:p w14:paraId="3578E4A8">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E107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6569F84">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1F2A3BAF">
            <w:pPr>
              <w:adjustRightInd w:val="0"/>
              <w:spacing w:line="400" w:lineRule="exact"/>
              <w:jc w:val="center"/>
              <w:textAlignment w:val="baseline"/>
              <w:rPr>
                <w:rFonts w:hint="eastAsia" w:ascii="宋体" w:hAnsi="宋体" w:cs="宋体"/>
                <w:bCs/>
                <w:color w:val="auto"/>
                <w:kern w:val="0"/>
                <w:szCs w:val="21"/>
                <w:highlight w:val="none"/>
              </w:rPr>
            </w:pPr>
            <w:r>
              <w:rPr>
                <w:rFonts w:hint="eastAsia" w:ascii="宋体" w:hAnsi="宋体" w:cs="宋体"/>
                <w:bCs/>
                <w:color w:val="auto"/>
                <w:kern w:val="0"/>
                <w:szCs w:val="21"/>
                <w:highlight w:val="none"/>
              </w:rPr>
              <w:t>安全生产管理体系及保证措施</w:t>
            </w:r>
          </w:p>
        </w:tc>
        <w:tc>
          <w:tcPr>
            <w:tcW w:w="7110" w:type="dxa"/>
            <w:vAlign w:val="center"/>
          </w:tcPr>
          <w:p w14:paraId="620F91BB">
            <w:pPr>
              <w:pStyle w:val="15"/>
              <w:spacing w:line="400" w:lineRule="exact"/>
              <w:ind w:firstLine="420" w:firstLineChars="200"/>
              <w:rPr>
                <w:rFonts w:hint="default"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一档（0分）：没有安全生产管理体系及保证措施</w:t>
            </w:r>
            <w:r>
              <w:rPr>
                <w:rFonts w:hint="eastAsia" w:hAnsi="宋体" w:cs="宋体"/>
                <w:bCs/>
                <w:color w:val="auto"/>
                <w:sz w:val="21"/>
                <w:highlight w:val="none"/>
                <w:lang w:val="en-US" w:eastAsia="zh-CN"/>
              </w:rPr>
              <w:t>，或内容与本项目无关。</w:t>
            </w:r>
          </w:p>
          <w:p w14:paraId="3123E724">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1分）：无专门的安全管理人员或制度，或人员配备不合理，制度不健全，或各道工序安全技术措施无针对性，不符合实际不满足有关安全技术标准要求。或现场防火、应急救援、社会治安安全措施不可行。</w:t>
            </w:r>
          </w:p>
          <w:p w14:paraId="1219E35C">
            <w:pPr>
              <w:pStyle w:val="15"/>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三档（3分）：有专门的安全管理人员（至少1名）和制度，制度健全，各道工序安全技术措施有针对性，满足施工安全技术标准要求。现场防火、应急救援、社会治安安全措施基本可行。</w:t>
            </w:r>
          </w:p>
          <w:p w14:paraId="179DB0BF">
            <w:pPr>
              <w:pStyle w:val="15"/>
              <w:spacing w:line="400" w:lineRule="exact"/>
              <w:ind w:firstLine="420" w:firstLineChars="200"/>
              <w:rPr>
                <w:rFonts w:hint="eastAsia" w:hAnsi="宋体" w:cs="宋体"/>
                <w:bCs/>
                <w:color w:val="auto"/>
                <w:sz w:val="21"/>
                <w:highlight w:val="none"/>
              </w:rPr>
            </w:pPr>
            <w:r>
              <w:rPr>
                <w:rFonts w:hint="eastAsia" w:ascii="宋体" w:hAnsi="宋体" w:eastAsia="宋体" w:cs="宋体"/>
                <w:bCs/>
                <w:color w:val="auto"/>
                <w:sz w:val="21"/>
                <w:highlight w:val="none"/>
                <w:lang w:val="en-US" w:eastAsia="zh-CN"/>
              </w:rPr>
              <w:t>四档（5分）：有专门的安全管理人员（至少2名）和制度，且人员配备合理，制度健全，各道工序安全技术措施针对性强，符合项目实际且满足施工安全技术标准要求。现场防火、应急救援、社会治安安全措施得力。</w:t>
            </w:r>
          </w:p>
        </w:tc>
        <w:tc>
          <w:tcPr>
            <w:tcW w:w="772" w:type="dxa"/>
            <w:vAlign w:val="center"/>
          </w:tcPr>
          <w:p w14:paraId="5BE809EA">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5分</w:t>
            </w:r>
          </w:p>
        </w:tc>
      </w:tr>
      <w:tr w14:paraId="1B83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36A6F5B">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7B24EA84">
            <w:pPr>
              <w:adjustRightInd w:val="0"/>
              <w:spacing w:line="400" w:lineRule="exact"/>
              <w:jc w:val="center"/>
              <w:textAlignment w:val="baseline"/>
              <w:rPr>
                <w:rFonts w:ascii="宋体" w:hAnsi="宋体" w:cs="宋体"/>
                <w:bCs/>
                <w:color w:val="auto"/>
                <w:kern w:val="0"/>
                <w:szCs w:val="21"/>
                <w:highlight w:val="none"/>
              </w:rPr>
            </w:pPr>
            <w:r>
              <w:rPr>
                <w:rFonts w:ascii="宋体" w:hAnsi="宋体" w:cs="宋体"/>
                <w:bCs/>
                <w:color w:val="auto"/>
                <w:kern w:val="0"/>
                <w:szCs w:val="21"/>
                <w:highlight w:val="none"/>
              </w:rPr>
              <w:t>工期保证体系及保证措施</w:t>
            </w:r>
          </w:p>
        </w:tc>
        <w:tc>
          <w:tcPr>
            <w:tcW w:w="7110" w:type="dxa"/>
            <w:vAlign w:val="center"/>
          </w:tcPr>
          <w:p w14:paraId="26CAE670">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ascii="宋体" w:hAnsi="宋体" w:eastAsia="宋体" w:cs="宋体"/>
                <w:bCs/>
                <w:color w:val="auto"/>
                <w:sz w:val="21"/>
                <w:highlight w:val="none"/>
                <w:lang w:val="zh-CN"/>
              </w:rPr>
              <w:t>没有确保工期的技术组织措施。</w:t>
            </w:r>
          </w:p>
          <w:p w14:paraId="5D9BFA77">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二档（1分）：无保证工期的具体措施或措施不得当。或者无控制工期的施工进度计划。或者无施工总进度表或施工网络图，或各项计划图表编制不完善，安排不合理，不符合本项目施工实际要求。</w:t>
            </w:r>
          </w:p>
          <w:p w14:paraId="676F7CC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在施工工艺、施工方法、材料选用、劳动力安排、技术等方面有保证工期的具体措施且措施基本得当。有控制工期的施工进度计划。有施工总进度表或施工网络图，各项计划图表编制较完善，安排基本科学合理，基本符合本项目施工实际要求</w:t>
            </w:r>
            <w:r>
              <w:rPr>
                <w:rFonts w:hint="eastAsia" w:hAnsi="宋体" w:cs="宋体"/>
                <w:bCs/>
                <w:color w:val="auto"/>
                <w:sz w:val="21"/>
                <w:highlight w:val="none"/>
              </w:rPr>
              <w:t>。</w:t>
            </w:r>
          </w:p>
          <w:p w14:paraId="4B6C96AC">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在施工工艺、施工方法、材料选用、劳动力安排、技术等方面有保证工期的具体措施且措施得当。有控制工期的施工进度计划。有施工总进度表或施工网络图，各项计划图表编制完善，安排科学合理，符合本项目施工实际要求。</w:t>
            </w:r>
          </w:p>
        </w:tc>
        <w:tc>
          <w:tcPr>
            <w:tcW w:w="772" w:type="dxa"/>
            <w:vAlign w:val="center"/>
          </w:tcPr>
          <w:p w14:paraId="51783974">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3BF6E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B123728">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265D00B0">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文明施工、文物保护保证体系及保证措施</w:t>
            </w:r>
          </w:p>
        </w:tc>
        <w:tc>
          <w:tcPr>
            <w:tcW w:w="7110" w:type="dxa"/>
            <w:vAlign w:val="center"/>
          </w:tcPr>
          <w:p w14:paraId="7556D67C">
            <w:pPr>
              <w:pStyle w:val="15"/>
              <w:spacing w:line="400" w:lineRule="exact"/>
              <w:ind w:firstLine="420" w:firstLineChars="200"/>
              <w:rPr>
                <w:rFonts w:hint="eastAsia" w:ascii="宋体" w:hAnsi="宋体" w:eastAsia="宋体" w:cs="宋体"/>
                <w:bCs/>
                <w:color w:val="auto"/>
                <w:sz w:val="21"/>
                <w:highlight w:val="none"/>
                <w:lang w:val="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无现场</w:t>
            </w:r>
            <w:r>
              <w:rPr>
                <w:rFonts w:hint="eastAsia" w:hAnsi="宋体" w:cs="宋体"/>
                <w:bCs/>
                <w:color w:val="auto"/>
                <w:sz w:val="21"/>
                <w:highlight w:val="none"/>
              </w:rPr>
              <w:t>文明施工、文物保护保证体系及保证措施</w:t>
            </w:r>
            <w:r>
              <w:rPr>
                <w:rFonts w:hint="eastAsia" w:ascii="宋体" w:hAnsi="宋体" w:eastAsia="宋体" w:cs="宋体"/>
                <w:bCs/>
                <w:color w:val="auto"/>
                <w:sz w:val="21"/>
                <w:highlight w:val="none"/>
                <w:lang w:val="zh-CN"/>
              </w:rPr>
              <w:t>，</w:t>
            </w:r>
            <w:r>
              <w:rPr>
                <w:rFonts w:hint="eastAsia" w:hAnsi="宋体" w:cs="宋体"/>
                <w:bCs/>
                <w:color w:val="auto"/>
                <w:sz w:val="21"/>
                <w:highlight w:val="none"/>
                <w:lang w:val="en-US" w:eastAsia="zh-CN"/>
              </w:rPr>
              <w:t>或内容与本项目无关。</w:t>
            </w:r>
          </w:p>
          <w:p w14:paraId="1D1FDE8B">
            <w:pPr>
              <w:pStyle w:val="15"/>
              <w:spacing w:line="400" w:lineRule="exact"/>
              <w:ind w:firstLine="420" w:firstLineChars="200"/>
              <w:rPr>
                <w:rFonts w:hint="eastAsia" w:ascii="宋体" w:hAnsi="宋体" w:eastAsia="宋体" w:cs="宋体"/>
                <w:bCs/>
                <w:color w:val="auto"/>
                <w:sz w:val="21"/>
                <w:highlight w:val="none"/>
                <w:lang w:val="zh-CN"/>
              </w:rPr>
            </w:pPr>
            <w:r>
              <w:rPr>
                <w:rFonts w:hint="eastAsia" w:ascii="宋体" w:hAnsi="宋体" w:eastAsia="宋体" w:cs="宋体"/>
                <w:bCs/>
                <w:color w:val="auto"/>
                <w:sz w:val="21"/>
                <w:highlight w:val="none"/>
                <w:lang w:val="zh-CN"/>
              </w:rPr>
              <w:t>二档（1分）：现场文明施工、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ascii="宋体" w:hAnsi="宋体" w:eastAsia="宋体" w:cs="宋体"/>
                <w:bCs/>
                <w:color w:val="auto"/>
                <w:sz w:val="21"/>
                <w:highlight w:val="none"/>
                <w:lang w:val="zh-CN"/>
              </w:rPr>
              <w:t>环境保护措施内容达不到</w:t>
            </w:r>
            <w:r>
              <w:rPr>
                <w:rFonts w:hint="eastAsia" w:ascii="宋体" w:hAnsi="宋体" w:eastAsia="宋体" w:cs="宋体"/>
                <w:bCs/>
                <w:color w:val="auto"/>
                <w:sz w:val="21"/>
                <w:highlight w:val="none"/>
                <w:lang w:val="en-US" w:eastAsia="zh-CN"/>
              </w:rPr>
              <w:t>采购需求</w:t>
            </w:r>
            <w:r>
              <w:rPr>
                <w:rFonts w:hint="eastAsia" w:ascii="宋体" w:hAnsi="宋体" w:eastAsia="宋体" w:cs="宋体"/>
                <w:bCs/>
                <w:color w:val="auto"/>
                <w:sz w:val="21"/>
                <w:highlight w:val="none"/>
                <w:lang w:val="zh-CN"/>
              </w:rPr>
              <w:t>，各项措施不可行。</w:t>
            </w:r>
          </w:p>
          <w:p w14:paraId="23D3FF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三档（3分）：</w:t>
            </w:r>
            <w:r>
              <w:rPr>
                <w:rFonts w:hint="eastAsia" w:hAnsi="宋体" w:cs="宋体"/>
                <w:bCs/>
                <w:color w:val="auto"/>
                <w:sz w:val="21"/>
                <w:highlight w:val="none"/>
                <w:lang w:val="zh-CN"/>
              </w:rPr>
              <w:t>现场文明施工、</w:t>
            </w:r>
            <w:r>
              <w:rPr>
                <w:rFonts w:hint="eastAsia" w:hAnsi="宋体" w:cs="宋体"/>
                <w:bCs/>
                <w:color w:val="auto"/>
                <w:sz w:val="21"/>
                <w:highlight w:val="none"/>
              </w:rPr>
              <w:t>文物保护保证体系</w:t>
            </w:r>
            <w:r>
              <w:rPr>
                <w:rFonts w:hint="eastAsia" w:hAnsi="宋体" w:cs="宋体"/>
                <w:bCs/>
                <w:color w:val="auto"/>
                <w:sz w:val="21"/>
                <w:highlight w:val="none"/>
                <w:lang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，且各项措施内容具体、基本可行</w:t>
            </w:r>
            <w:r>
              <w:rPr>
                <w:rFonts w:hint="eastAsia" w:hAnsi="宋体" w:cs="宋体"/>
                <w:bCs/>
                <w:color w:val="auto"/>
                <w:sz w:val="21"/>
                <w:highlight w:val="none"/>
              </w:rPr>
              <w:t>。</w:t>
            </w:r>
          </w:p>
          <w:p w14:paraId="328298F4">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四档（5分）：现场文明施工、文物保护保证体系</w:t>
            </w:r>
            <w:r>
              <w:rPr>
                <w:rFonts w:hint="eastAsia" w:hAnsi="宋体" w:cs="宋体"/>
                <w:bCs/>
                <w:color w:val="auto"/>
                <w:sz w:val="21"/>
                <w:highlight w:val="none"/>
                <w:lang w:val="zh-CN" w:eastAsia="zh-CN"/>
              </w:rPr>
              <w:t>、</w:t>
            </w:r>
            <w:r>
              <w:rPr>
                <w:rFonts w:hint="eastAsia" w:hAnsi="宋体" w:cs="宋体"/>
                <w:bCs/>
                <w:color w:val="auto"/>
                <w:sz w:val="21"/>
                <w:highlight w:val="none"/>
                <w:lang w:val="zh-CN"/>
              </w:rPr>
              <w:t>环境保护措施</w:t>
            </w:r>
            <w:r>
              <w:rPr>
                <w:rFonts w:hint="eastAsia" w:hAnsi="宋体" w:cs="宋体"/>
                <w:bCs/>
                <w:color w:val="auto"/>
                <w:sz w:val="21"/>
                <w:highlight w:val="none"/>
                <w:lang w:val="en-US" w:eastAsia="zh-CN"/>
              </w:rPr>
              <w:t>符合项目实际</w:t>
            </w:r>
            <w:r>
              <w:rPr>
                <w:rFonts w:hint="eastAsia" w:hAnsi="宋体" w:cs="宋体"/>
                <w:bCs/>
                <w:color w:val="auto"/>
                <w:sz w:val="21"/>
                <w:highlight w:val="none"/>
                <w:lang w:val="zh-CN"/>
              </w:rPr>
              <w:t>，且</w:t>
            </w:r>
            <w:r>
              <w:rPr>
                <w:rFonts w:hint="eastAsia" w:hAnsi="宋体" w:cs="宋体"/>
                <w:bCs/>
                <w:color w:val="auto"/>
                <w:sz w:val="21"/>
                <w:highlight w:val="none"/>
                <w:lang w:val="en-US" w:eastAsia="zh-CN"/>
              </w:rPr>
              <w:t>满足采购需求，</w:t>
            </w:r>
            <w:r>
              <w:rPr>
                <w:rFonts w:hint="eastAsia" w:hAnsi="宋体" w:cs="宋体"/>
                <w:bCs/>
                <w:color w:val="auto"/>
                <w:sz w:val="21"/>
                <w:highlight w:val="none"/>
                <w:lang w:val="zh-CN"/>
              </w:rPr>
              <w:t>各项措施内容周全、具体、</w:t>
            </w:r>
            <w:r>
              <w:rPr>
                <w:rFonts w:hint="eastAsia" w:hAnsi="宋体" w:cs="宋体"/>
                <w:bCs/>
                <w:color w:val="auto"/>
                <w:sz w:val="21"/>
                <w:highlight w:val="none"/>
                <w:lang w:val="en-US" w:eastAsia="zh-CN"/>
              </w:rPr>
              <w:t>可行性高</w:t>
            </w:r>
            <w:r>
              <w:rPr>
                <w:rFonts w:hint="eastAsia" w:hAnsi="宋体" w:cs="宋体"/>
                <w:bCs/>
                <w:color w:val="auto"/>
                <w:sz w:val="21"/>
                <w:highlight w:val="none"/>
                <w:lang w:val="zh-CN"/>
              </w:rPr>
              <w:t>。</w:t>
            </w:r>
          </w:p>
        </w:tc>
        <w:tc>
          <w:tcPr>
            <w:tcW w:w="772" w:type="dxa"/>
            <w:vAlign w:val="center"/>
          </w:tcPr>
          <w:p w14:paraId="1A23E98F">
            <w:pPr>
              <w:spacing w:line="320" w:lineRule="exac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5分</w:t>
            </w:r>
          </w:p>
        </w:tc>
      </w:tr>
      <w:tr w14:paraId="46E2A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CF74F30">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145EF377">
            <w:pPr>
              <w:adjustRightInd w:val="0"/>
              <w:spacing w:line="400" w:lineRule="exact"/>
              <w:jc w:val="center"/>
              <w:textAlignment w:val="baseline"/>
              <w:rPr>
                <w:rFonts w:ascii="宋体" w:hAnsi="宋体" w:cs="宋体"/>
                <w:bCs/>
                <w:color w:val="auto"/>
                <w:kern w:val="0"/>
                <w:szCs w:val="21"/>
                <w:highlight w:val="none"/>
              </w:rPr>
            </w:pPr>
            <w:r>
              <w:rPr>
                <w:rFonts w:hint="eastAsia" w:ascii="宋体" w:hAnsi="宋体" w:cs="宋体"/>
                <w:bCs/>
                <w:color w:val="auto"/>
                <w:kern w:val="0"/>
                <w:szCs w:val="21"/>
                <w:highlight w:val="none"/>
              </w:rPr>
              <w:t>项目风险预测与防范，事故应急预案</w:t>
            </w:r>
          </w:p>
        </w:tc>
        <w:tc>
          <w:tcPr>
            <w:tcW w:w="7110" w:type="dxa"/>
            <w:vAlign w:val="center"/>
          </w:tcPr>
          <w:p w14:paraId="3B331186">
            <w:pPr>
              <w:pStyle w:val="15"/>
              <w:spacing w:line="400" w:lineRule="exact"/>
              <w:ind w:firstLine="420" w:firstLineChars="200"/>
              <w:rPr>
                <w:rFonts w:hint="default" w:hAnsi="宋体" w:eastAsia="宋体" w:cs="宋体"/>
                <w:bCs/>
                <w:color w:val="auto"/>
                <w:sz w:val="21"/>
                <w:highlight w:val="none"/>
                <w:lang w:val="en-US" w:eastAsia="zh-CN"/>
              </w:rPr>
            </w:pPr>
            <w:r>
              <w:rPr>
                <w:rFonts w:hint="eastAsia" w:hAnsi="宋体" w:cs="宋体"/>
                <w:bCs/>
                <w:color w:val="auto"/>
                <w:sz w:val="21"/>
                <w:highlight w:val="none"/>
              </w:rPr>
              <w:t>一档（0分）：</w:t>
            </w:r>
            <w:r>
              <w:rPr>
                <w:rFonts w:hint="eastAsia" w:hAnsi="宋体" w:cs="宋体"/>
                <w:bCs/>
                <w:color w:val="auto"/>
                <w:sz w:val="21"/>
                <w:highlight w:val="none"/>
                <w:lang w:val="en-US" w:eastAsia="zh-CN"/>
              </w:rPr>
              <w:t>无</w:t>
            </w:r>
            <w:r>
              <w:rPr>
                <w:rFonts w:hint="eastAsia" w:hAnsi="宋体" w:cs="宋体"/>
                <w:bCs/>
                <w:color w:val="auto"/>
                <w:sz w:val="21"/>
                <w:highlight w:val="none"/>
              </w:rPr>
              <w:t>项目风险预测与防范，事故应急预案</w:t>
            </w:r>
            <w:r>
              <w:rPr>
                <w:rFonts w:hint="eastAsia" w:hAnsi="宋体" w:cs="宋体"/>
                <w:bCs/>
                <w:color w:val="auto"/>
                <w:sz w:val="21"/>
                <w:highlight w:val="none"/>
                <w:lang w:eastAsia="zh-CN"/>
              </w:rPr>
              <w:t>，</w:t>
            </w:r>
            <w:r>
              <w:rPr>
                <w:rFonts w:hint="eastAsia" w:hAnsi="宋体" w:cs="宋体"/>
                <w:bCs/>
                <w:color w:val="auto"/>
                <w:sz w:val="21"/>
                <w:highlight w:val="none"/>
                <w:lang w:val="en-US" w:eastAsia="zh-CN"/>
              </w:rPr>
              <w:t>或内容与本项目无关。</w:t>
            </w:r>
          </w:p>
          <w:p w14:paraId="4052C58C">
            <w:pPr>
              <w:pStyle w:val="15"/>
              <w:spacing w:line="400" w:lineRule="exact"/>
              <w:ind w:firstLine="420" w:firstLineChars="200"/>
              <w:rPr>
                <w:rFonts w:hint="eastAsia" w:hAnsi="宋体" w:cs="宋体"/>
                <w:bCs/>
                <w:color w:val="auto"/>
                <w:sz w:val="21"/>
                <w:highlight w:val="none"/>
                <w:lang w:val="zh-CN"/>
              </w:rPr>
            </w:pPr>
            <w:r>
              <w:rPr>
                <w:rFonts w:hint="eastAsia" w:hAnsi="宋体" w:cs="宋体"/>
                <w:bCs/>
                <w:color w:val="auto"/>
                <w:sz w:val="21"/>
                <w:highlight w:val="none"/>
                <w:lang w:val="zh-CN"/>
              </w:rPr>
              <w:t>二档（</w:t>
            </w:r>
            <w:r>
              <w:rPr>
                <w:rFonts w:hint="eastAsia" w:hAnsi="宋体" w:cs="宋体"/>
                <w:bCs/>
                <w:color w:val="auto"/>
                <w:sz w:val="21"/>
                <w:highlight w:val="none"/>
                <w:lang w:val="en-US" w:eastAsia="zh-CN"/>
              </w:rPr>
              <w:t>2</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en-US"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en-US" w:eastAsia="zh-CN"/>
              </w:rPr>
              <w:t>内容不完整</w:t>
            </w:r>
            <w:r>
              <w:rPr>
                <w:rFonts w:hint="eastAsia" w:hAnsi="宋体" w:cs="宋体"/>
                <w:bCs/>
                <w:color w:val="auto"/>
                <w:sz w:val="21"/>
                <w:highlight w:val="none"/>
                <w:lang w:val="zh-CN"/>
              </w:rPr>
              <w:t>，</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rPr>
              <w:t>不</w:t>
            </w:r>
            <w:r>
              <w:rPr>
                <w:rFonts w:hint="eastAsia" w:hAnsi="宋体" w:cs="宋体"/>
                <w:bCs/>
                <w:color w:val="auto"/>
                <w:sz w:val="21"/>
                <w:highlight w:val="none"/>
                <w:lang w:val="en-US" w:eastAsia="zh-CN"/>
              </w:rPr>
              <w:t>可行</w:t>
            </w:r>
            <w:r>
              <w:rPr>
                <w:rFonts w:hint="eastAsia" w:hAnsi="宋体" w:cs="宋体"/>
                <w:bCs/>
                <w:color w:val="auto"/>
                <w:sz w:val="21"/>
                <w:highlight w:val="none"/>
                <w:lang w:val="zh-CN"/>
              </w:rPr>
              <w:t>。</w:t>
            </w:r>
          </w:p>
          <w:p w14:paraId="327218A5">
            <w:pPr>
              <w:pStyle w:val="15"/>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w:t>
            </w:r>
            <w:r>
              <w:rPr>
                <w:rFonts w:hint="eastAsia" w:hAnsi="宋体" w:cs="宋体"/>
                <w:bCs/>
                <w:color w:val="auto"/>
                <w:sz w:val="21"/>
                <w:highlight w:val="none"/>
                <w:lang w:val="en-US" w:eastAsia="zh-CN"/>
              </w:rPr>
              <w:t>6</w:t>
            </w:r>
            <w:r>
              <w:rPr>
                <w:rFonts w:hint="eastAsia" w:hAnsi="宋体" w:cs="宋体"/>
                <w:bCs/>
                <w:color w:val="auto"/>
                <w:sz w:val="21"/>
                <w:highlight w:val="none"/>
              </w:rPr>
              <w:t>分）：</w:t>
            </w:r>
            <w:r>
              <w:rPr>
                <w:rFonts w:hint="eastAsia" w:hAnsi="宋体" w:cs="宋体"/>
                <w:bCs/>
                <w:color w:val="auto"/>
                <w:sz w:val="21"/>
                <w:highlight w:val="none"/>
                <w:lang w:val="zh-CN"/>
              </w:rPr>
              <w:t>针对本工程项目特点，风险预测</w:t>
            </w:r>
            <w:r>
              <w:rPr>
                <w:rFonts w:hint="eastAsia" w:hAnsi="宋体" w:cs="宋体"/>
                <w:bCs/>
                <w:color w:val="auto"/>
                <w:sz w:val="21"/>
                <w:highlight w:val="none"/>
                <w:lang w:val="zh-CN" w:eastAsia="zh-CN"/>
              </w:rPr>
              <w:t>与防范</w:t>
            </w:r>
            <w:r>
              <w:rPr>
                <w:rFonts w:hint="eastAsia" w:hAnsi="宋体" w:cs="宋体"/>
                <w:bCs/>
                <w:color w:val="auto"/>
                <w:sz w:val="21"/>
                <w:highlight w:val="none"/>
                <w:lang w:val="en-US" w:eastAsia="zh-CN"/>
              </w:rPr>
              <w:t>措施</w:t>
            </w:r>
            <w:r>
              <w:rPr>
                <w:rFonts w:hint="eastAsia" w:hAnsi="宋体" w:cs="宋体"/>
                <w:bCs/>
                <w:color w:val="auto"/>
                <w:sz w:val="21"/>
                <w:highlight w:val="none"/>
                <w:lang w:val="zh-CN" w:eastAsia="zh-CN"/>
              </w:rPr>
              <w:t>、事故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齐全</w:t>
            </w:r>
            <w:r>
              <w:rPr>
                <w:rFonts w:hint="eastAsia" w:hAnsi="宋体" w:cs="宋体"/>
                <w:bCs/>
                <w:color w:val="auto"/>
                <w:sz w:val="21"/>
                <w:highlight w:val="none"/>
                <w:lang w:val="zh-CN"/>
              </w:rPr>
              <w:t>，且各项措施具体、</w:t>
            </w:r>
            <w:r>
              <w:rPr>
                <w:rFonts w:hint="eastAsia" w:hAnsi="宋体" w:cs="宋体"/>
                <w:bCs/>
                <w:color w:val="auto"/>
                <w:sz w:val="21"/>
                <w:highlight w:val="none"/>
                <w:lang w:val="en-US" w:eastAsia="zh-CN"/>
              </w:rPr>
              <w:t>可行</w:t>
            </w:r>
            <w:r>
              <w:rPr>
                <w:rFonts w:hint="eastAsia" w:hAnsi="宋体" w:cs="宋体"/>
                <w:bCs/>
                <w:color w:val="auto"/>
                <w:sz w:val="21"/>
                <w:highlight w:val="none"/>
              </w:rPr>
              <w:t>。</w:t>
            </w:r>
          </w:p>
          <w:p w14:paraId="422E2C8A">
            <w:pPr>
              <w:pStyle w:val="15"/>
              <w:spacing w:line="400" w:lineRule="exact"/>
              <w:ind w:firstLine="420" w:firstLineChars="200"/>
              <w:rPr>
                <w:rFonts w:hAnsi="宋体" w:cs="宋体"/>
                <w:bCs/>
                <w:color w:val="auto"/>
                <w:sz w:val="21"/>
                <w:highlight w:val="none"/>
              </w:rPr>
            </w:pPr>
            <w:r>
              <w:rPr>
                <w:rFonts w:hint="eastAsia" w:hAnsi="宋体" w:cs="宋体"/>
                <w:bCs/>
                <w:color w:val="auto"/>
                <w:sz w:val="21"/>
                <w:highlight w:val="none"/>
                <w:lang w:val="zh-CN"/>
              </w:rPr>
              <w:t>四档（</w:t>
            </w:r>
            <w:r>
              <w:rPr>
                <w:rFonts w:hint="eastAsia" w:hAnsi="宋体" w:cs="宋体"/>
                <w:bCs/>
                <w:color w:val="auto"/>
                <w:sz w:val="21"/>
                <w:highlight w:val="none"/>
                <w:lang w:val="en-US" w:eastAsia="zh-CN"/>
              </w:rPr>
              <w:t>10</w:t>
            </w:r>
            <w:r>
              <w:rPr>
                <w:rFonts w:hint="eastAsia" w:hAnsi="宋体" w:cs="宋体"/>
                <w:bCs/>
                <w:color w:val="auto"/>
                <w:sz w:val="21"/>
                <w:highlight w:val="none"/>
                <w:lang w:val="zh-CN"/>
              </w:rPr>
              <w:t>分）：针对本工程项目特点，风险预测</w:t>
            </w:r>
            <w:r>
              <w:rPr>
                <w:rFonts w:hint="eastAsia" w:hAnsi="宋体" w:cs="宋体"/>
                <w:bCs/>
                <w:color w:val="auto"/>
                <w:sz w:val="21"/>
                <w:highlight w:val="none"/>
                <w:lang w:val="zh-CN" w:eastAsia="zh-CN"/>
              </w:rPr>
              <w:t>与防范措施、事故</w:t>
            </w:r>
            <w:r>
              <w:rPr>
                <w:rFonts w:hint="eastAsia" w:hAnsi="宋体" w:cs="宋体"/>
                <w:bCs/>
                <w:color w:val="auto"/>
                <w:sz w:val="21"/>
                <w:highlight w:val="none"/>
                <w:lang w:val="zh-CN"/>
              </w:rPr>
              <w:t>应急预案</w:t>
            </w:r>
            <w:r>
              <w:rPr>
                <w:rFonts w:hint="eastAsia" w:hAnsi="宋体" w:cs="宋体"/>
                <w:bCs/>
                <w:color w:val="auto"/>
                <w:sz w:val="21"/>
                <w:highlight w:val="none"/>
                <w:lang w:val="zh-CN" w:eastAsia="zh-CN"/>
              </w:rPr>
              <w:t>内容</w:t>
            </w:r>
            <w:r>
              <w:rPr>
                <w:rFonts w:hint="eastAsia" w:hAnsi="宋体" w:cs="宋体"/>
                <w:bCs/>
                <w:color w:val="auto"/>
                <w:sz w:val="21"/>
                <w:highlight w:val="none"/>
                <w:lang w:val="en-US" w:eastAsia="zh-CN"/>
              </w:rPr>
              <w:t>完整详细，且符合项目实际</w:t>
            </w:r>
            <w:r>
              <w:rPr>
                <w:rFonts w:hint="eastAsia" w:hAnsi="宋体" w:cs="宋体"/>
                <w:bCs/>
                <w:color w:val="auto"/>
                <w:sz w:val="21"/>
                <w:highlight w:val="none"/>
                <w:lang w:val="zh-CN"/>
              </w:rPr>
              <w:t>，各项措施周全、具体、有效。</w:t>
            </w:r>
          </w:p>
        </w:tc>
        <w:tc>
          <w:tcPr>
            <w:tcW w:w="772" w:type="dxa"/>
            <w:vAlign w:val="center"/>
          </w:tcPr>
          <w:p w14:paraId="7BA5140F">
            <w:pPr>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r>
      <w:tr w14:paraId="273C2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544F54">
            <w:pPr>
              <w:widowControl/>
              <w:spacing w:line="360" w:lineRule="exact"/>
              <w:jc w:val="center"/>
              <w:rPr>
                <w:rFonts w:hint="default" w:ascii="宋体" w:hAnsi="宋体" w:eastAsia="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2.9</w:t>
            </w:r>
          </w:p>
        </w:tc>
        <w:tc>
          <w:tcPr>
            <w:tcW w:w="1086" w:type="dxa"/>
            <w:vAlign w:val="center"/>
          </w:tcPr>
          <w:p w14:paraId="6960F4DB">
            <w:pPr>
              <w:widowControl/>
              <w:spacing w:line="360" w:lineRule="exact"/>
              <w:jc w:val="center"/>
              <w:rPr>
                <w:rFonts w:hint="default" w:ascii="宋体" w:hAnsi="宋体" w:eastAsia="宋体" w:cs="宋体"/>
                <w:b/>
                <w:bCs/>
                <w:color w:val="auto"/>
                <w:szCs w:val="21"/>
                <w:highlight w:val="none"/>
                <w:lang w:val="en-US" w:eastAsia="zh-CN"/>
              </w:rPr>
            </w:pPr>
            <w:r>
              <w:rPr>
                <w:rFonts w:hint="eastAsia" w:ascii="宋体" w:hAnsi="宋体" w:cs="宋体"/>
                <w:b w:val="0"/>
                <w:bCs w:val="0"/>
                <w:color w:val="auto"/>
                <w:szCs w:val="21"/>
                <w:highlight w:val="none"/>
                <w:lang w:val="en-US" w:eastAsia="zh-CN"/>
              </w:rPr>
              <w:t>项目实施人员</w:t>
            </w:r>
          </w:p>
        </w:tc>
        <w:tc>
          <w:tcPr>
            <w:tcW w:w="7110" w:type="dxa"/>
            <w:vAlign w:val="center"/>
          </w:tcPr>
          <w:p w14:paraId="0A11B51D">
            <w:pPr>
              <w:pStyle w:val="15"/>
              <w:numPr>
                <w:ilvl w:val="0"/>
                <w:numId w:val="0"/>
              </w:numPr>
              <w:spacing w:line="400" w:lineRule="exact"/>
              <w:rPr>
                <w:rFonts w:hint="eastAsia" w:hAnsi="宋体" w:cs="宋体"/>
                <w:bCs/>
                <w:color w:val="auto"/>
                <w:sz w:val="21"/>
                <w:highlight w:val="none"/>
                <w:lang w:val="en-US" w:eastAsia="zh-CN"/>
              </w:rPr>
            </w:pPr>
            <w:r>
              <w:rPr>
                <w:rFonts w:hint="eastAsia" w:ascii="宋体" w:hAnsi="宋体" w:eastAsia="宋体" w:cs="宋体"/>
                <w:bCs/>
                <w:color w:val="auto"/>
                <w:kern w:val="0"/>
                <w:sz w:val="21"/>
                <w:szCs w:val="21"/>
                <w:highlight w:val="none"/>
                <w:lang w:val="en-US" w:eastAsia="zh-CN" w:bidi="ar-SA"/>
              </w:rPr>
              <w:t>（1）</w:t>
            </w:r>
            <w:r>
              <w:rPr>
                <w:rFonts w:hint="eastAsia" w:hAnsi="宋体" w:cs="宋体"/>
                <w:bCs/>
                <w:color w:val="auto"/>
                <w:sz w:val="21"/>
                <w:highlight w:val="none"/>
                <w:lang w:val="en-US" w:eastAsia="zh-CN"/>
              </w:rPr>
              <w:t>项目经理：</w:t>
            </w:r>
            <w:r>
              <w:rPr>
                <w:rFonts w:hAnsi="宋体" w:cs="宋体"/>
                <w:bCs/>
                <w:color w:val="auto"/>
                <w:sz w:val="21"/>
                <w:highlight w:val="none"/>
              </w:rPr>
              <w:t>拟投入本项目的</w:t>
            </w:r>
            <w:r>
              <w:rPr>
                <w:rFonts w:hint="eastAsia" w:hAnsi="宋体" w:cs="宋体"/>
                <w:bCs/>
                <w:color w:val="auto"/>
                <w:sz w:val="21"/>
                <w:highlight w:val="none"/>
                <w:lang w:val="en-US" w:eastAsia="zh-CN"/>
              </w:rPr>
              <w:t>项目经理具有中级及以上技术职称得4分。</w:t>
            </w:r>
          </w:p>
          <w:p w14:paraId="6F57E2CA">
            <w:pPr>
              <w:pStyle w:val="15"/>
              <w:numPr>
                <w:ilvl w:val="0"/>
                <w:numId w:val="0"/>
              </w:numPr>
              <w:spacing w:line="400" w:lineRule="exact"/>
              <w:rPr>
                <w:rFonts w:hint="default"/>
                <w:color w:val="auto"/>
                <w:highlight w:val="none"/>
                <w:lang w:val="en-US" w:eastAsia="zh-CN"/>
              </w:rPr>
            </w:pPr>
            <w:r>
              <w:rPr>
                <w:rFonts w:hint="eastAsia"/>
                <w:color w:val="auto"/>
                <w:highlight w:val="none"/>
                <w:lang w:val="en-US" w:eastAsia="zh-CN"/>
              </w:rPr>
              <w:t>（2）技术负责人：</w:t>
            </w:r>
            <w:r>
              <w:rPr>
                <w:rFonts w:hint="eastAsia" w:hAnsi="宋体" w:cs="宋体"/>
                <w:bCs/>
                <w:color w:val="auto"/>
                <w:sz w:val="21"/>
                <w:highlight w:val="none"/>
              </w:rPr>
              <w:t>拟投入本项目的技术负责人具有工程类中级及以上技术职称得2分</w:t>
            </w:r>
            <w:r>
              <w:rPr>
                <w:rFonts w:hint="eastAsia" w:hAnsi="宋体" w:cs="宋体"/>
                <w:bCs/>
                <w:color w:val="auto"/>
                <w:sz w:val="21"/>
                <w:highlight w:val="none"/>
                <w:lang w:val="en-US" w:eastAsia="zh-CN"/>
              </w:rPr>
              <w:t>。</w:t>
            </w:r>
          </w:p>
          <w:p w14:paraId="1DCFB39A">
            <w:pPr>
              <w:widowControl/>
              <w:spacing w:line="360" w:lineRule="exact"/>
              <w:jc w:val="left"/>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3）其他人员（不含项目经理）：拟投入本项目的其他人员至少包括安全员、施工员、质量员、材料员，且均具有相应岗位资格证书的，得基础分2分，拟投入其他人员中具有初级及以上技术职称证书的，每人加1分，最高加2分。此项满分4分。</w:t>
            </w:r>
          </w:p>
          <w:p w14:paraId="0EA5AD80">
            <w:pPr>
              <w:widowControl/>
              <w:spacing w:line="360" w:lineRule="exact"/>
              <w:jc w:val="left"/>
              <w:rPr>
                <w:rFonts w:hint="default" w:hAnsi="宋体" w:cs="宋体"/>
                <w:bCs/>
                <w:color w:val="auto"/>
                <w:sz w:val="21"/>
                <w:highlight w:val="none"/>
                <w:lang w:val="en-US" w:eastAsia="zh-CN"/>
              </w:rPr>
            </w:pPr>
            <w:r>
              <w:rPr>
                <w:rFonts w:hint="eastAsia" w:hAnsi="宋体" w:cs="宋体"/>
                <w:bCs/>
                <w:color w:val="auto"/>
                <w:sz w:val="21"/>
                <w:highlight w:val="none"/>
                <w:lang w:val="en-US" w:eastAsia="zh-CN"/>
              </w:rPr>
              <w:t>注：（1）响应文件中提供上述人员证书复印件并加盖竞标人单位公章，否则不计分。</w:t>
            </w:r>
          </w:p>
        </w:tc>
        <w:tc>
          <w:tcPr>
            <w:tcW w:w="772" w:type="dxa"/>
            <w:vAlign w:val="center"/>
          </w:tcPr>
          <w:p w14:paraId="4D6C011D">
            <w:pPr>
              <w:widowControl/>
              <w:spacing w:line="360" w:lineRule="exact"/>
              <w:jc w:val="center"/>
              <w:rPr>
                <w:rFonts w:hint="default" w:ascii="宋体" w:hAnsi="宋体" w:cs="宋体"/>
                <w:b/>
                <w:bCs/>
                <w:color w:val="auto"/>
                <w:kern w:val="0"/>
                <w:szCs w:val="21"/>
                <w:highlight w:val="none"/>
                <w:lang w:val="en-US" w:eastAsia="zh-CN"/>
              </w:rPr>
            </w:pPr>
            <w:r>
              <w:rPr>
                <w:rFonts w:hint="eastAsia" w:ascii="宋体" w:hAnsi="宋体" w:cs="宋体"/>
                <w:b w:val="0"/>
                <w:bCs w:val="0"/>
                <w:color w:val="auto"/>
                <w:kern w:val="0"/>
                <w:szCs w:val="21"/>
                <w:highlight w:val="none"/>
                <w:lang w:val="en-US" w:eastAsia="zh-CN"/>
              </w:rPr>
              <w:t>10分</w:t>
            </w:r>
          </w:p>
        </w:tc>
      </w:tr>
      <w:tr w14:paraId="151B3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2A685E75">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7BA4AB58">
            <w:pPr>
              <w:widowControl/>
              <w:spacing w:line="360" w:lineRule="exact"/>
              <w:jc w:val="center"/>
              <w:rPr>
                <w:rFonts w:ascii="宋体" w:hAnsi="宋体" w:cs="宋体"/>
                <w:b/>
                <w:bCs/>
                <w:color w:val="auto"/>
                <w:kern w:val="0"/>
                <w:szCs w:val="21"/>
                <w:highlight w:val="none"/>
                <w:lang w:bidi="ar"/>
              </w:rPr>
            </w:pPr>
            <w:r>
              <w:rPr>
                <w:rFonts w:hint="eastAsia" w:ascii="宋体" w:hAnsi="宋体" w:cs="宋体"/>
                <w:b/>
                <w:bCs/>
                <w:color w:val="auto"/>
                <w:szCs w:val="21"/>
                <w:highlight w:val="none"/>
              </w:rPr>
              <w:t>商务分</w:t>
            </w:r>
          </w:p>
        </w:tc>
        <w:tc>
          <w:tcPr>
            <w:tcW w:w="7110" w:type="dxa"/>
            <w:vAlign w:val="center"/>
          </w:tcPr>
          <w:p w14:paraId="5D69147E">
            <w:pPr>
              <w:widowControl/>
              <w:spacing w:line="360" w:lineRule="exact"/>
              <w:jc w:val="center"/>
              <w:rPr>
                <w:rFonts w:ascii="宋体" w:hAnsi="宋体" w:cs="宋体"/>
                <w:b/>
                <w:bCs/>
                <w:color w:val="auto"/>
                <w:szCs w:val="21"/>
                <w:highlight w:val="none"/>
              </w:rPr>
            </w:pPr>
            <w:r>
              <w:rPr>
                <w:rFonts w:hint="eastAsia" w:ascii="宋体" w:hAnsi="宋体" w:cs="宋体"/>
                <w:b/>
                <w:bCs/>
                <w:color w:val="auto"/>
                <w:kern w:val="0"/>
                <w:szCs w:val="21"/>
                <w:highlight w:val="none"/>
              </w:rPr>
              <w:t>评审因素（客观分）</w:t>
            </w:r>
          </w:p>
        </w:tc>
        <w:tc>
          <w:tcPr>
            <w:tcW w:w="772" w:type="dxa"/>
            <w:vAlign w:val="center"/>
          </w:tcPr>
          <w:p w14:paraId="6F10E2E2">
            <w:pPr>
              <w:widowControl/>
              <w:spacing w:line="360" w:lineRule="exact"/>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lang w:val="en-US" w:eastAsia="zh-CN"/>
              </w:rPr>
              <w:t>15</w:t>
            </w:r>
            <w:r>
              <w:rPr>
                <w:rFonts w:hint="eastAsia" w:ascii="宋体" w:hAnsi="宋体" w:cs="宋体"/>
                <w:b/>
                <w:bCs/>
                <w:color w:val="auto"/>
                <w:kern w:val="0"/>
                <w:szCs w:val="21"/>
                <w:highlight w:val="none"/>
              </w:rPr>
              <w:t>分</w:t>
            </w:r>
          </w:p>
        </w:tc>
      </w:tr>
      <w:tr w14:paraId="09553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52" w:type="dxa"/>
            <w:vAlign w:val="center"/>
          </w:tcPr>
          <w:p w14:paraId="75D91659">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3.1</w:t>
            </w:r>
          </w:p>
        </w:tc>
        <w:tc>
          <w:tcPr>
            <w:tcW w:w="1086" w:type="dxa"/>
            <w:vAlign w:val="center"/>
          </w:tcPr>
          <w:p w14:paraId="5B6D0B06">
            <w:pPr>
              <w:widowControl/>
              <w:spacing w:line="360" w:lineRule="exact"/>
              <w:jc w:val="center"/>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业绩</w:t>
            </w:r>
          </w:p>
        </w:tc>
        <w:tc>
          <w:tcPr>
            <w:tcW w:w="7110" w:type="dxa"/>
          </w:tcPr>
          <w:p w14:paraId="0F1E83C3">
            <w:pPr>
              <w:pStyle w:val="15"/>
              <w:spacing w:line="360" w:lineRule="exact"/>
              <w:ind w:firstLine="420" w:firstLineChars="200"/>
              <w:rPr>
                <w:rFonts w:hAnsi="宋体" w:cs="宋体"/>
                <w:color w:val="auto"/>
                <w:sz w:val="21"/>
                <w:highlight w:val="none"/>
              </w:rPr>
            </w:pPr>
            <w:bookmarkStart w:id="514" w:name="_GoBack"/>
            <w:r>
              <w:rPr>
                <w:rFonts w:hint="eastAsia" w:hAnsi="宋体" w:cs="宋体"/>
                <w:color w:val="auto"/>
                <w:sz w:val="21"/>
                <w:highlight w:val="none"/>
              </w:rPr>
              <w:t>竞标人20</w:t>
            </w:r>
            <w:r>
              <w:rPr>
                <w:rFonts w:hint="eastAsia" w:hAnsi="宋体" w:cs="宋体"/>
                <w:color w:val="auto"/>
                <w:sz w:val="21"/>
                <w:highlight w:val="none"/>
                <w:lang w:val="en-US" w:eastAsia="zh-CN"/>
              </w:rPr>
              <w:t>22</w:t>
            </w:r>
            <w:r>
              <w:rPr>
                <w:rFonts w:hint="eastAsia" w:hAnsi="宋体" w:cs="宋体"/>
                <w:color w:val="auto"/>
                <w:sz w:val="21"/>
                <w:highlight w:val="none"/>
              </w:rPr>
              <w:t>年1月1日以来</w:t>
            </w:r>
            <w:r>
              <w:rPr>
                <w:rFonts w:hint="eastAsia" w:hAnsi="宋体" w:cs="宋体"/>
                <w:bCs/>
                <w:color w:val="auto"/>
                <w:sz w:val="21"/>
                <w:highlight w:val="none"/>
              </w:rPr>
              <w:t>完成</w:t>
            </w:r>
            <w:r>
              <w:rPr>
                <w:rFonts w:hint="eastAsia" w:hAnsi="宋体" w:cs="宋体"/>
                <w:bCs/>
                <w:color w:val="auto"/>
                <w:sz w:val="21"/>
                <w:highlight w:val="none"/>
                <w:lang w:val="en-US" w:eastAsia="zh-CN"/>
              </w:rPr>
              <w:t>或承接</w:t>
            </w:r>
            <w:r>
              <w:rPr>
                <w:rFonts w:hint="eastAsia" w:hAnsi="宋体" w:cs="宋体"/>
                <w:bCs/>
                <w:color w:val="auto"/>
                <w:sz w:val="21"/>
                <w:highlight w:val="none"/>
              </w:rPr>
              <w:t>过</w:t>
            </w:r>
            <w:r>
              <w:rPr>
                <w:rFonts w:hint="eastAsia" w:hAnsi="宋体" w:cs="宋体"/>
                <w:bCs/>
                <w:color w:val="auto"/>
                <w:sz w:val="21"/>
                <w:highlight w:val="none"/>
                <w:lang w:val="en-US" w:eastAsia="zh-CN"/>
              </w:rPr>
              <w:t>类似</w:t>
            </w:r>
            <w:r>
              <w:rPr>
                <w:rFonts w:hint="eastAsia" w:hAnsi="宋体" w:cs="宋体"/>
                <w:color w:val="auto"/>
                <w:sz w:val="21"/>
                <w:highlight w:val="none"/>
              </w:rPr>
              <w:t>项目业绩的，每个得</w:t>
            </w:r>
            <w:r>
              <w:rPr>
                <w:rFonts w:hint="eastAsia" w:hAnsi="宋体" w:cs="宋体"/>
                <w:color w:val="auto"/>
                <w:sz w:val="21"/>
                <w:highlight w:val="none"/>
                <w:lang w:val="en-US" w:eastAsia="zh-CN"/>
              </w:rPr>
              <w:t>5</w:t>
            </w:r>
            <w:r>
              <w:rPr>
                <w:rFonts w:hint="eastAsia" w:hAnsi="宋体" w:cs="宋体"/>
                <w:color w:val="auto"/>
                <w:sz w:val="21"/>
                <w:highlight w:val="none"/>
              </w:rPr>
              <w:t>分，此项满分</w:t>
            </w:r>
            <w:r>
              <w:rPr>
                <w:rFonts w:hint="eastAsia" w:hAnsi="宋体" w:cs="宋体"/>
                <w:color w:val="auto"/>
                <w:sz w:val="21"/>
                <w:highlight w:val="none"/>
                <w:lang w:val="en-US" w:eastAsia="zh-CN"/>
              </w:rPr>
              <w:t>15</w:t>
            </w:r>
            <w:r>
              <w:rPr>
                <w:rFonts w:hint="eastAsia" w:hAnsi="宋体" w:cs="宋体"/>
                <w:color w:val="auto"/>
                <w:sz w:val="21"/>
                <w:highlight w:val="none"/>
              </w:rPr>
              <w:t>分。</w:t>
            </w:r>
          </w:p>
          <w:p w14:paraId="4219F1E7">
            <w:pPr>
              <w:pStyle w:val="15"/>
              <w:spacing w:line="360" w:lineRule="exact"/>
              <w:ind w:firstLine="420" w:firstLineChars="200"/>
              <w:rPr>
                <w:rFonts w:hAnsi="宋体" w:cs="宋体"/>
                <w:color w:val="auto"/>
                <w:sz w:val="21"/>
                <w:highlight w:val="none"/>
              </w:rPr>
            </w:pPr>
            <w:r>
              <w:rPr>
                <w:rFonts w:hint="eastAsia" w:hAnsi="宋体" w:cs="宋体"/>
                <w:color w:val="auto"/>
                <w:sz w:val="21"/>
                <w:highlight w:val="none"/>
              </w:rPr>
              <w:t>注：</w:t>
            </w:r>
            <w:r>
              <w:rPr>
                <w:rFonts w:hint="eastAsia" w:hAnsi="宋体" w:cs="宋体"/>
                <w:color w:val="auto"/>
                <w:sz w:val="21"/>
                <w:highlight w:val="none"/>
                <w:lang w:val="en-US" w:eastAsia="zh-CN"/>
              </w:rPr>
              <w:t>类似项目指建设内容包含道路（或公路）新建或改扩建或维修（维护或硬化）类等施工项目。</w:t>
            </w:r>
            <w:r>
              <w:rPr>
                <w:rFonts w:hint="eastAsia" w:hAnsi="宋体" w:cs="宋体"/>
                <w:color w:val="auto"/>
                <w:sz w:val="21"/>
                <w:highlight w:val="none"/>
              </w:rPr>
              <w:t>响应文件中需提供以下对应材料，并加盖竞标人单位公章，不按照要求提供资料不得分。</w:t>
            </w:r>
          </w:p>
          <w:p w14:paraId="401A835D">
            <w:pPr>
              <w:pStyle w:val="15"/>
              <w:numPr>
                <w:ilvl w:val="0"/>
                <w:numId w:val="0"/>
              </w:numPr>
              <w:spacing w:line="360" w:lineRule="exact"/>
              <w:ind w:left="420" w:leftChars="0"/>
              <w:rPr>
                <w:rFonts w:hint="eastAsia" w:ascii="宋体" w:hAnsi="宋体" w:eastAsia="宋体" w:cs="宋体"/>
                <w:color w:val="auto"/>
                <w:sz w:val="21"/>
                <w:highlight w:val="none"/>
              </w:rPr>
            </w:pPr>
            <w:r>
              <w:rPr>
                <w:rFonts w:hint="eastAsia" w:ascii="宋体" w:hAnsi="宋体" w:eastAsia="宋体" w:cs="宋体"/>
                <w:color w:val="auto"/>
                <w:sz w:val="21"/>
                <w:highlight w:val="none"/>
              </w:rPr>
              <w:t>①提供业绩一览表；</w:t>
            </w:r>
          </w:p>
          <w:p w14:paraId="741FCF65">
            <w:pPr>
              <w:pStyle w:val="15"/>
              <w:spacing w:line="360" w:lineRule="exact"/>
              <w:ind w:firstLine="420" w:firstLineChars="200"/>
              <w:rPr>
                <w:rFonts w:hint="default" w:eastAsia="宋体"/>
                <w:color w:val="auto"/>
                <w:highlight w:val="none"/>
                <w:lang w:val="en-US" w:eastAsia="zh-CN"/>
              </w:rPr>
            </w:pPr>
            <w:r>
              <w:rPr>
                <w:rFonts w:hint="eastAsia" w:ascii="宋体" w:hAnsi="宋体" w:eastAsia="宋体" w:cs="宋体"/>
                <w:color w:val="auto"/>
                <w:sz w:val="21"/>
                <w:highlight w:val="none"/>
              </w:rPr>
              <w:t>②提供合同或中标通知书复印件。</w:t>
            </w:r>
            <w:bookmarkEnd w:id="514"/>
          </w:p>
        </w:tc>
        <w:tc>
          <w:tcPr>
            <w:tcW w:w="772" w:type="dxa"/>
            <w:vAlign w:val="center"/>
          </w:tcPr>
          <w:p w14:paraId="6EBDAFF6">
            <w:pPr>
              <w:widowControl/>
              <w:spacing w:line="36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r>
      <w:tr w14:paraId="6DD24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tcPr>
          <w:p w14:paraId="0A1D895C">
            <w:pPr>
              <w:pStyle w:val="15"/>
              <w:spacing w:line="360" w:lineRule="exact"/>
              <w:ind w:firstLine="420" w:firstLineChars="200"/>
              <w:rPr>
                <w:rFonts w:hAnsi="宋体" w:cs="宋体"/>
                <w:bCs/>
                <w:color w:val="auto"/>
                <w:sz w:val="21"/>
                <w:highlight w:val="none"/>
              </w:rPr>
            </w:pPr>
            <w:r>
              <w:rPr>
                <w:rFonts w:hint="eastAsia" w:hAnsi="宋体" w:cs="宋体"/>
                <w:bCs/>
                <w:color w:val="auto"/>
                <w:sz w:val="21"/>
                <w:highlight w:val="none"/>
              </w:rPr>
              <w:t>总得分＝1＋2＋3</w:t>
            </w:r>
          </w:p>
        </w:tc>
        <w:tc>
          <w:tcPr>
            <w:tcW w:w="772" w:type="dxa"/>
            <w:vAlign w:val="center"/>
          </w:tcPr>
          <w:p w14:paraId="7FEDF449">
            <w:pPr>
              <w:widowControl/>
              <w:spacing w:line="360" w:lineRule="exact"/>
              <w:jc w:val="center"/>
              <w:rPr>
                <w:rFonts w:ascii="宋体" w:hAnsi="宋体" w:cs="宋体"/>
                <w:color w:val="auto"/>
                <w:kern w:val="0"/>
                <w:szCs w:val="21"/>
                <w:highlight w:val="none"/>
              </w:rPr>
            </w:pPr>
          </w:p>
        </w:tc>
      </w:tr>
    </w:tbl>
    <w:p w14:paraId="0110E21B">
      <w:pPr>
        <w:pStyle w:val="15"/>
        <w:spacing w:line="360" w:lineRule="exact"/>
        <w:ind w:firstLine="420" w:firstLineChars="200"/>
        <w:rPr>
          <w:rFonts w:hAnsi="宋体" w:cs="宋体"/>
          <w:color w:val="auto"/>
          <w:kern w:val="2"/>
          <w:sz w:val="21"/>
          <w:szCs w:val="24"/>
          <w:highlight w:val="none"/>
        </w:rPr>
      </w:pPr>
      <w:r>
        <w:rPr>
          <w:rFonts w:hint="eastAsia" w:hAnsi="宋体" w:cs="宋体"/>
          <w:color w:val="auto"/>
          <w:kern w:val="2"/>
          <w:sz w:val="21"/>
          <w:szCs w:val="24"/>
          <w:highlight w:val="none"/>
        </w:rPr>
        <w:t>8.2商务技术评审因素为客观评分项的，应在评分项目或评分标准中予以标注为“客观分”。对供应商的客观评分项目，各评审专家评分应当一致。</w:t>
      </w:r>
    </w:p>
    <w:p w14:paraId="22D9AFC8">
      <w:pPr>
        <w:spacing w:line="360" w:lineRule="auto"/>
        <w:ind w:firstLine="420" w:firstLineChars="200"/>
        <w:rPr>
          <w:rFonts w:ascii="宋体" w:hAnsi="宋体" w:cs="宋体"/>
          <w:color w:val="auto"/>
          <w:highlight w:val="none"/>
        </w:rPr>
      </w:pPr>
      <w:bookmarkStart w:id="62" w:name="_Toc80205935"/>
      <w:r>
        <w:rPr>
          <w:rFonts w:hint="eastAsia" w:ascii="宋体" w:hAnsi="宋体" w:cs="宋体"/>
          <w:color w:val="auto"/>
          <w:highlight w:val="none"/>
        </w:rPr>
        <w:t>8.3.终止竞争性磋商采购活动</w:t>
      </w:r>
    </w:p>
    <w:p w14:paraId="2D2DFA20">
      <w:pPr>
        <w:spacing w:line="360" w:lineRule="auto"/>
        <w:ind w:firstLine="420" w:firstLineChars="200"/>
        <w:rPr>
          <w:rFonts w:ascii="宋体" w:hAnsi="宋体" w:cs="宋体"/>
          <w:b w:val="0"/>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4BCB96F5">
      <w:pPr>
        <w:pStyle w:val="3"/>
        <w:spacing w:before="0" w:after="0" w:line="360" w:lineRule="auto"/>
        <w:ind w:firstLine="640" w:firstLineChars="200"/>
        <w:jc w:val="center"/>
        <w:rPr>
          <w:rFonts w:ascii="宋体" w:hAnsi="宋体" w:cs="宋体"/>
          <w:b w:val="0"/>
          <w:color w:val="auto"/>
          <w:highlight w:val="none"/>
        </w:rPr>
      </w:pPr>
      <w:bookmarkStart w:id="63" w:name="_Toc1930"/>
      <w:r>
        <w:rPr>
          <w:rFonts w:hint="eastAsia" w:ascii="宋体" w:hAnsi="宋体" w:cs="宋体"/>
          <w:b w:val="0"/>
          <w:color w:val="auto"/>
          <w:highlight w:val="none"/>
        </w:rPr>
        <w:t>第二节 评标报告</w:t>
      </w:r>
      <w:bookmarkEnd w:id="62"/>
      <w:bookmarkEnd w:id="63"/>
    </w:p>
    <w:p w14:paraId="09946DEA">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1.成交标准</w:t>
      </w:r>
    </w:p>
    <w:p w14:paraId="23DFA464">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服务需求偏离分由高到低排序）。评审得分、最后报价（不计算价格折扣）、技术得分、服务需求偏离分均相同的，由磋商小组随机抽取推荐。</w:t>
      </w:r>
    </w:p>
    <w:p w14:paraId="35DDA074">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2.评标争议事项处理</w:t>
      </w:r>
    </w:p>
    <w:p w14:paraId="0A188442">
      <w:pPr>
        <w:pStyle w:val="3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磋商小组成员对需要共同认定的事项存在争议的，应当按照少数服从多数的原则作出结论。持不同意见的磋商小组成员应当在评标报告上签署不同意见及理由，否则视为同意评标报告。</w:t>
      </w:r>
    </w:p>
    <w:p w14:paraId="3D4818A8">
      <w:pPr>
        <w:pStyle w:val="3"/>
        <w:spacing w:before="0" w:after="0" w:line="360" w:lineRule="auto"/>
        <w:ind w:firstLine="640" w:firstLineChars="200"/>
        <w:jc w:val="center"/>
        <w:rPr>
          <w:rFonts w:ascii="宋体" w:hAnsi="宋体" w:cs="宋体"/>
          <w:b w:val="0"/>
          <w:color w:val="auto"/>
          <w:highlight w:val="none"/>
        </w:rPr>
      </w:pPr>
      <w:bookmarkStart w:id="64" w:name="_Toc80205936"/>
      <w:bookmarkStart w:id="65" w:name="_Toc23409"/>
      <w:r>
        <w:rPr>
          <w:rFonts w:hint="eastAsia" w:ascii="宋体" w:hAnsi="宋体" w:cs="宋体"/>
          <w:b w:val="0"/>
          <w:color w:val="auto"/>
          <w:highlight w:val="none"/>
        </w:rPr>
        <w:t>第三节 评审过程的保密与录像</w:t>
      </w:r>
      <w:bookmarkEnd w:id="64"/>
      <w:bookmarkEnd w:id="65"/>
    </w:p>
    <w:p w14:paraId="17A89E81">
      <w:pPr>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1.保密。</w:t>
      </w:r>
    </w:p>
    <w:p w14:paraId="4E21B052">
      <w:pPr>
        <w:widowControl/>
        <w:spacing w:line="360" w:lineRule="auto"/>
        <w:ind w:firstLine="420" w:firstLineChars="200"/>
        <w:rPr>
          <w:rFonts w:ascii="宋体" w:hAnsi="宋体" w:cs="宋体"/>
          <w:color w:val="auto"/>
          <w:highlight w:val="none"/>
        </w:rPr>
      </w:pPr>
      <w:r>
        <w:rPr>
          <w:rFonts w:hint="eastAsia" w:ascii="宋体" w:hAnsi="宋体" w:cs="宋体"/>
          <w:color w:val="auto"/>
          <w:highlight w:val="none"/>
        </w:rPr>
        <w:t>评审活动在严格保密的情况下进行。评审过程中凡是与采购响应文件评审和比较、中标成交供应商推荐等评审有关的情况，以及涉及国家秘密和商业秘密等信息，评审委员会成员、采购人和采购机构工作人员、相关监督人员等与评审有关的人员应当予以保密。</w:t>
      </w:r>
    </w:p>
    <w:p w14:paraId="37F64B01">
      <w:pPr>
        <w:widowControl/>
        <w:spacing w:line="360" w:lineRule="auto"/>
        <w:ind w:firstLine="480" w:firstLineChars="200"/>
        <w:rPr>
          <w:rFonts w:ascii="宋体" w:hAnsi="宋体" w:cs="宋体"/>
          <w:color w:val="auto"/>
          <w:sz w:val="24"/>
          <w:szCs w:val="32"/>
          <w:highlight w:val="none"/>
        </w:rPr>
      </w:pPr>
      <w:r>
        <w:rPr>
          <w:rFonts w:hint="eastAsia" w:ascii="宋体" w:hAnsi="宋体" w:cs="宋体"/>
          <w:color w:val="auto"/>
          <w:sz w:val="24"/>
          <w:szCs w:val="32"/>
          <w:highlight w:val="none"/>
        </w:rPr>
        <w:t>2.录音录像。</w:t>
      </w:r>
    </w:p>
    <w:p w14:paraId="2CD4CE1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采购代理机构对评审工作现场及操作屏幕进行全过程录音录像，录音录像资料作为采购项目文件随其他文件一并存档。</w:t>
      </w:r>
      <w:r>
        <w:rPr>
          <w:rFonts w:hint="eastAsia" w:ascii="宋体" w:hAnsi="宋体" w:cs="宋体"/>
          <w:b/>
          <w:bCs/>
          <w:color w:val="auto"/>
          <w:highlight w:val="none"/>
        </w:rPr>
        <w:br w:type="page"/>
      </w:r>
    </w:p>
    <w:p w14:paraId="134FD470">
      <w:pPr>
        <w:pStyle w:val="3"/>
        <w:jc w:val="center"/>
        <w:rPr>
          <w:rFonts w:ascii="宋体" w:hAnsi="宋体" w:cs="宋体"/>
          <w:color w:val="auto"/>
          <w:highlight w:val="none"/>
        </w:rPr>
      </w:pPr>
    </w:p>
    <w:p w14:paraId="6984856D">
      <w:pPr>
        <w:pStyle w:val="3"/>
        <w:jc w:val="center"/>
        <w:rPr>
          <w:rFonts w:ascii="宋体" w:hAnsi="宋体" w:cs="宋体"/>
          <w:color w:val="auto"/>
          <w:highlight w:val="none"/>
        </w:rPr>
      </w:pPr>
    </w:p>
    <w:p w14:paraId="63E2D7F1">
      <w:pPr>
        <w:pStyle w:val="3"/>
        <w:jc w:val="center"/>
        <w:rPr>
          <w:rFonts w:ascii="宋体" w:hAnsi="宋体" w:cs="宋体"/>
          <w:color w:val="auto"/>
          <w:highlight w:val="none"/>
        </w:rPr>
      </w:pPr>
    </w:p>
    <w:p w14:paraId="4E7873A1">
      <w:pPr>
        <w:pStyle w:val="3"/>
        <w:jc w:val="center"/>
        <w:rPr>
          <w:rFonts w:ascii="宋体" w:hAnsi="宋体" w:cs="宋体"/>
          <w:color w:val="auto"/>
          <w:highlight w:val="none"/>
        </w:rPr>
      </w:pPr>
    </w:p>
    <w:p w14:paraId="2B89985F">
      <w:pPr>
        <w:pStyle w:val="3"/>
        <w:rPr>
          <w:rFonts w:ascii="宋体" w:hAnsi="宋体" w:cs="宋体"/>
          <w:color w:val="auto"/>
          <w:highlight w:val="none"/>
        </w:rPr>
      </w:pPr>
    </w:p>
    <w:p w14:paraId="0BADD0AA">
      <w:pPr>
        <w:pStyle w:val="2"/>
        <w:jc w:val="center"/>
        <w:rPr>
          <w:rFonts w:ascii="宋体" w:hAnsi="宋体" w:cs="宋体"/>
          <w:color w:val="auto"/>
          <w:highlight w:val="none"/>
        </w:rPr>
      </w:pPr>
      <w:bookmarkStart w:id="66" w:name="_Toc13484"/>
      <w:r>
        <w:rPr>
          <w:rFonts w:hint="eastAsia" w:ascii="宋体" w:hAnsi="宋体" w:cs="宋体"/>
          <w:color w:val="auto"/>
          <w:highlight w:val="none"/>
        </w:rPr>
        <w:t>第五章 响应文件格式</w:t>
      </w:r>
      <w:bookmarkEnd w:id="66"/>
    </w:p>
    <w:p w14:paraId="068E6DBE">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93823E4">
      <w:pPr>
        <w:pStyle w:val="3"/>
        <w:jc w:val="center"/>
        <w:rPr>
          <w:rFonts w:ascii="宋体" w:hAnsi="宋体" w:cs="宋体"/>
          <w:b w:val="0"/>
          <w:color w:val="auto"/>
          <w:highlight w:val="none"/>
        </w:rPr>
      </w:pPr>
      <w:bookmarkStart w:id="67" w:name="_Toc7129"/>
      <w:bookmarkStart w:id="68" w:name="_Toc80205938"/>
      <w:r>
        <w:rPr>
          <w:rFonts w:hint="eastAsia" w:ascii="宋体" w:hAnsi="宋体" w:cs="宋体"/>
          <w:b w:val="0"/>
          <w:color w:val="auto"/>
          <w:highlight w:val="none"/>
        </w:rPr>
        <w:t>第一节 封面格式</w:t>
      </w:r>
      <w:bookmarkEnd w:id="67"/>
      <w:bookmarkEnd w:id="68"/>
    </w:p>
    <w:p w14:paraId="2ED29E35">
      <w:pPr>
        <w:snapToGrid w:val="0"/>
        <w:spacing w:before="120" w:beforeLines="50" w:after="50"/>
        <w:rPr>
          <w:rFonts w:ascii="宋体" w:hAnsi="宋体" w:cs="宋体"/>
          <w:color w:val="auto"/>
          <w:sz w:val="24"/>
          <w:szCs w:val="20"/>
          <w:highlight w:val="none"/>
        </w:rPr>
      </w:pPr>
    </w:p>
    <w:p w14:paraId="11A65364">
      <w:pPr>
        <w:snapToGrid w:val="0"/>
        <w:spacing w:before="120" w:beforeLines="50" w:after="50"/>
        <w:jc w:val="center"/>
        <w:rPr>
          <w:rFonts w:ascii="宋体" w:hAnsi="宋体" w:cs="宋体"/>
          <w:bCs/>
          <w:color w:val="auto"/>
          <w:sz w:val="24"/>
          <w:szCs w:val="20"/>
          <w:highlight w:val="none"/>
        </w:rPr>
      </w:pPr>
    </w:p>
    <w:p w14:paraId="3A691E10">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响  应  文  件</w:t>
      </w:r>
    </w:p>
    <w:p w14:paraId="2C17FA8D">
      <w:pPr>
        <w:snapToGrid w:val="0"/>
        <w:spacing w:before="120" w:beforeLines="50" w:after="50"/>
        <w:rPr>
          <w:rFonts w:ascii="宋体" w:hAnsi="宋体" w:cs="宋体"/>
          <w:bCs/>
          <w:color w:val="auto"/>
          <w:sz w:val="24"/>
          <w:szCs w:val="20"/>
          <w:highlight w:val="none"/>
        </w:rPr>
      </w:pPr>
    </w:p>
    <w:p w14:paraId="28ECDE26">
      <w:pPr>
        <w:snapToGrid w:val="0"/>
        <w:spacing w:before="120" w:beforeLines="50" w:after="50"/>
        <w:rPr>
          <w:rFonts w:ascii="宋体" w:hAnsi="宋体" w:cs="宋体"/>
          <w:bCs/>
          <w:color w:val="auto"/>
          <w:sz w:val="24"/>
          <w:szCs w:val="20"/>
          <w:highlight w:val="none"/>
        </w:rPr>
      </w:pPr>
    </w:p>
    <w:p w14:paraId="543E811C">
      <w:pPr>
        <w:snapToGrid w:val="0"/>
        <w:spacing w:before="120" w:beforeLines="50" w:after="50"/>
        <w:rPr>
          <w:rFonts w:ascii="宋体" w:hAnsi="宋体" w:cs="宋体"/>
          <w:bCs/>
          <w:color w:val="auto"/>
          <w:sz w:val="32"/>
          <w:szCs w:val="32"/>
          <w:highlight w:val="none"/>
        </w:rPr>
      </w:pPr>
    </w:p>
    <w:p w14:paraId="618F1A9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69" w:name="PO_3000001868_PM002_2"/>
      <w:r>
        <w:rPr>
          <w:rFonts w:hint="eastAsia" w:ascii="宋体" w:hAnsi="宋体" w:cs="宋体"/>
          <w:bCs/>
          <w:color w:val="auto"/>
          <w:sz w:val="32"/>
          <w:szCs w:val="32"/>
          <w:highlight w:val="none"/>
        </w:rPr>
        <w:t>[项目名称]</w:t>
      </w:r>
      <w:bookmarkEnd w:id="69"/>
    </w:p>
    <w:p w14:paraId="3EDDC72D">
      <w:pPr>
        <w:snapToGrid w:val="0"/>
        <w:spacing w:before="120" w:beforeLines="50" w:after="50"/>
        <w:ind w:firstLine="480" w:firstLineChars="150"/>
        <w:rPr>
          <w:rFonts w:ascii="宋体" w:hAnsi="宋体" w:cs="宋体"/>
          <w:bCs/>
          <w:color w:val="auto"/>
          <w:sz w:val="32"/>
          <w:szCs w:val="32"/>
          <w:highlight w:val="none"/>
        </w:rPr>
      </w:pPr>
    </w:p>
    <w:p w14:paraId="4523A07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0" w:name="PO_3000001868_PM001_4"/>
      <w:r>
        <w:rPr>
          <w:rFonts w:hint="eastAsia" w:ascii="宋体" w:hAnsi="宋体" w:cs="宋体"/>
          <w:bCs/>
          <w:color w:val="auto"/>
          <w:sz w:val="32"/>
          <w:szCs w:val="32"/>
          <w:highlight w:val="none"/>
        </w:rPr>
        <w:t>[项目编号]</w:t>
      </w:r>
      <w:bookmarkEnd w:id="70"/>
    </w:p>
    <w:p w14:paraId="32D6EB21">
      <w:pPr>
        <w:snapToGrid w:val="0"/>
        <w:spacing w:before="120" w:beforeLines="50" w:after="50"/>
        <w:ind w:firstLine="480" w:firstLineChars="150"/>
        <w:rPr>
          <w:rFonts w:ascii="宋体" w:hAnsi="宋体" w:cs="宋体"/>
          <w:bCs/>
          <w:color w:val="auto"/>
          <w:sz w:val="32"/>
          <w:szCs w:val="32"/>
          <w:highlight w:val="none"/>
        </w:rPr>
      </w:pPr>
    </w:p>
    <w:p w14:paraId="242EBDBF">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28F42B97">
      <w:pPr>
        <w:snapToGrid w:val="0"/>
        <w:spacing w:before="120" w:beforeLines="50" w:after="50"/>
        <w:rPr>
          <w:rFonts w:ascii="宋体" w:hAnsi="宋体" w:cs="宋体"/>
          <w:bCs/>
          <w:color w:val="auto"/>
          <w:sz w:val="32"/>
          <w:szCs w:val="32"/>
          <w:highlight w:val="none"/>
        </w:rPr>
      </w:pPr>
    </w:p>
    <w:p w14:paraId="1D857DA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9EF6105">
      <w:pPr>
        <w:snapToGrid w:val="0"/>
        <w:spacing w:before="120" w:beforeLines="50" w:after="50"/>
        <w:rPr>
          <w:rFonts w:ascii="宋体" w:hAnsi="宋体" w:cs="宋体"/>
          <w:bCs/>
          <w:color w:val="auto"/>
          <w:sz w:val="32"/>
          <w:szCs w:val="32"/>
          <w:highlight w:val="none"/>
        </w:rPr>
      </w:pPr>
    </w:p>
    <w:p w14:paraId="32D6B3FF">
      <w:pPr>
        <w:snapToGrid w:val="0"/>
        <w:spacing w:before="120" w:beforeLines="50" w:after="50"/>
        <w:ind w:firstLine="480" w:firstLineChars="150"/>
        <w:jc w:val="center"/>
        <w:rPr>
          <w:rFonts w:ascii="宋体" w:hAnsi="宋体" w:cs="宋体"/>
          <w:bCs/>
          <w:color w:val="auto"/>
          <w:sz w:val="32"/>
          <w:szCs w:val="32"/>
          <w:highlight w:val="none"/>
        </w:rPr>
      </w:pPr>
      <w:r>
        <w:rPr>
          <w:rFonts w:hint="eastAsia" w:ascii="宋体" w:hAnsi="宋体" w:cs="宋体"/>
          <w:bCs/>
          <w:color w:val="auto"/>
          <w:sz w:val="32"/>
          <w:szCs w:val="32"/>
          <w:highlight w:val="none"/>
        </w:rPr>
        <w:t>首次响应文件提交截止时间前不得解密</w:t>
      </w:r>
    </w:p>
    <w:p w14:paraId="6E6B9C6B">
      <w:pPr>
        <w:snapToGrid w:val="0"/>
        <w:spacing w:before="120" w:beforeLines="50" w:after="50"/>
        <w:ind w:firstLine="5440" w:firstLineChars="1700"/>
        <w:jc w:val="center"/>
        <w:rPr>
          <w:rFonts w:ascii="宋体" w:hAnsi="宋体" w:cs="宋体"/>
          <w:bCs/>
          <w:color w:val="auto"/>
          <w:sz w:val="32"/>
          <w:szCs w:val="32"/>
          <w:highlight w:val="none"/>
        </w:rPr>
      </w:pPr>
    </w:p>
    <w:p w14:paraId="78738FEB">
      <w:pPr>
        <w:snapToGrid w:val="0"/>
        <w:spacing w:before="120" w:beforeLines="50" w:after="50"/>
        <w:ind w:firstLine="645"/>
        <w:jc w:val="center"/>
        <w:rPr>
          <w:rFonts w:ascii="宋体" w:hAnsi="宋体" w:cs="宋体"/>
          <w:bCs/>
          <w:color w:val="auto"/>
          <w:sz w:val="32"/>
          <w:szCs w:val="32"/>
          <w:highlight w:val="none"/>
        </w:rPr>
      </w:pPr>
      <w:r>
        <w:rPr>
          <w:rFonts w:hint="eastAsia" w:ascii="宋体" w:hAnsi="宋体" w:cs="宋体"/>
          <w:bCs/>
          <w:color w:val="auto"/>
          <w:sz w:val="32"/>
          <w:szCs w:val="32"/>
          <w:highlight w:val="none"/>
        </w:rPr>
        <w:t>年    月    日</w:t>
      </w:r>
    </w:p>
    <w:p w14:paraId="478052D5">
      <w:pPr>
        <w:widowControl/>
        <w:jc w:val="left"/>
        <w:rPr>
          <w:rFonts w:ascii="宋体" w:hAnsi="宋体" w:cs="宋体"/>
          <w:color w:val="auto"/>
          <w:highlight w:val="none"/>
        </w:rPr>
        <w:sectPr>
          <w:pgSz w:w="11910" w:h="16840"/>
          <w:pgMar w:top="1340" w:right="1500" w:bottom="280" w:left="1680" w:header="720" w:footer="720" w:gutter="0"/>
          <w:cols w:space="720" w:num="1"/>
        </w:sectPr>
      </w:pPr>
    </w:p>
    <w:p w14:paraId="5F356B04">
      <w:pPr>
        <w:pStyle w:val="3"/>
        <w:jc w:val="center"/>
        <w:rPr>
          <w:rFonts w:ascii="宋体" w:hAnsi="宋体" w:cs="宋体"/>
          <w:bCs w:val="0"/>
          <w:color w:val="auto"/>
          <w:highlight w:val="none"/>
        </w:rPr>
      </w:pPr>
      <w:bookmarkStart w:id="71" w:name="_Toc30886"/>
      <w:bookmarkStart w:id="72" w:name="_Toc80205939"/>
      <w:r>
        <w:rPr>
          <w:rFonts w:hint="eastAsia" w:ascii="宋体" w:hAnsi="宋体" w:cs="宋体"/>
          <w:bCs w:val="0"/>
          <w:color w:val="auto"/>
          <w:highlight w:val="none"/>
        </w:rPr>
        <w:t>第二节 资格证明文件格式</w:t>
      </w:r>
      <w:bookmarkEnd w:id="71"/>
      <w:bookmarkEnd w:id="72"/>
    </w:p>
    <w:p w14:paraId="41EDA82A">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03494C02">
      <w:pPr>
        <w:snapToGrid w:val="0"/>
        <w:spacing w:before="120" w:beforeLines="50" w:after="50"/>
        <w:rPr>
          <w:rFonts w:ascii="宋体" w:hAnsi="宋体" w:cs="宋体"/>
          <w:color w:val="auto"/>
          <w:sz w:val="24"/>
          <w:szCs w:val="20"/>
          <w:highlight w:val="none"/>
        </w:rPr>
      </w:pPr>
    </w:p>
    <w:p w14:paraId="5E19545B">
      <w:pPr>
        <w:snapToGrid w:val="0"/>
        <w:spacing w:before="120" w:beforeLines="50" w:after="50"/>
        <w:rPr>
          <w:rFonts w:ascii="宋体" w:hAnsi="宋体" w:cs="宋体"/>
          <w:color w:val="auto"/>
          <w:sz w:val="24"/>
          <w:szCs w:val="20"/>
          <w:highlight w:val="none"/>
        </w:rPr>
      </w:pPr>
    </w:p>
    <w:p w14:paraId="32FBDDBF">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资  格  证  明  文  件（封面）</w:t>
      </w:r>
    </w:p>
    <w:p w14:paraId="09F38A28">
      <w:pPr>
        <w:snapToGrid w:val="0"/>
        <w:spacing w:before="120" w:beforeLines="50" w:after="50"/>
        <w:rPr>
          <w:rFonts w:ascii="宋体" w:hAnsi="宋体" w:cs="宋体"/>
          <w:bCs/>
          <w:color w:val="auto"/>
          <w:sz w:val="24"/>
          <w:szCs w:val="20"/>
          <w:highlight w:val="none"/>
        </w:rPr>
      </w:pPr>
    </w:p>
    <w:p w14:paraId="4A6F497A">
      <w:pPr>
        <w:snapToGrid w:val="0"/>
        <w:spacing w:before="120" w:beforeLines="50" w:after="50"/>
        <w:rPr>
          <w:rFonts w:ascii="宋体" w:hAnsi="宋体" w:cs="宋体"/>
          <w:bCs/>
          <w:color w:val="auto"/>
          <w:sz w:val="24"/>
          <w:szCs w:val="20"/>
          <w:highlight w:val="none"/>
        </w:rPr>
      </w:pPr>
    </w:p>
    <w:p w14:paraId="442E0BDA">
      <w:pPr>
        <w:snapToGrid w:val="0"/>
        <w:spacing w:before="120" w:beforeLines="50" w:after="50"/>
        <w:rPr>
          <w:rFonts w:ascii="宋体" w:hAnsi="宋体" w:cs="宋体"/>
          <w:bCs/>
          <w:color w:val="auto"/>
          <w:sz w:val="24"/>
          <w:szCs w:val="20"/>
          <w:highlight w:val="none"/>
        </w:rPr>
      </w:pPr>
    </w:p>
    <w:p w14:paraId="7445E96E">
      <w:pPr>
        <w:snapToGrid w:val="0"/>
        <w:spacing w:before="120" w:beforeLines="50" w:after="50"/>
        <w:rPr>
          <w:rFonts w:ascii="宋体" w:hAnsi="宋体" w:cs="宋体"/>
          <w:bCs/>
          <w:color w:val="auto"/>
          <w:sz w:val="24"/>
          <w:szCs w:val="20"/>
          <w:highlight w:val="none"/>
        </w:rPr>
      </w:pPr>
    </w:p>
    <w:p w14:paraId="70828D4C">
      <w:pPr>
        <w:snapToGrid w:val="0"/>
        <w:spacing w:before="120" w:beforeLines="50" w:after="50"/>
        <w:rPr>
          <w:rFonts w:ascii="宋体" w:hAnsi="宋体" w:cs="宋体"/>
          <w:bCs/>
          <w:color w:val="auto"/>
          <w:sz w:val="24"/>
          <w:szCs w:val="20"/>
          <w:highlight w:val="none"/>
        </w:rPr>
      </w:pPr>
    </w:p>
    <w:p w14:paraId="71B50F83">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3" w:name="PO_3000001868_PM002_3"/>
      <w:r>
        <w:rPr>
          <w:rFonts w:hint="eastAsia" w:ascii="宋体" w:hAnsi="宋体" w:cs="宋体"/>
          <w:bCs/>
          <w:color w:val="auto"/>
          <w:sz w:val="32"/>
          <w:szCs w:val="32"/>
          <w:highlight w:val="none"/>
        </w:rPr>
        <w:t>[项目名称]</w:t>
      </w:r>
      <w:bookmarkEnd w:id="73"/>
    </w:p>
    <w:p w14:paraId="37E0D4E4">
      <w:pPr>
        <w:snapToGrid w:val="0"/>
        <w:spacing w:before="120" w:beforeLines="50" w:after="50"/>
        <w:ind w:firstLine="720" w:firstLineChars="225"/>
        <w:rPr>
          <w:rFonts w:ascii="宋体" w:hAnsi="宋体" w:cs="宋体"/>
          <w:bCs/>
          <w:color w:val="auto"/>
          <w:sz w:val="32"/>
          <w:szCs w:val="32"/>
          <w:highlight w:val="none"/>
        </w:rPr>
      </w:pPr>
    </w:p>
    <w:p w14:paraId="01CAB8FB">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4" w:name="PO_3000001868_PM001_5"/>
      <w:r>
        <w:rPr>
          <w:rFonts w:hint="eastAsia" w:ascii="宋体" w:hAnsi="宋体" w:cs="宋体"/>
          <w:bCs/>
          <w:color w:val="auto"/>
          <w:sz w:val="32"/>
          <w:szCs w:val="32"/>
          <w:highlight w:val="none"/>
        </w:rPr>
        <w:t>[项目编号]</w:t>
      </w:r>
      <w:bookmarkEnd w:id="74"/>
    </w:p>
    <w:p w14:paraId="24F5423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3146BB04">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3A2EF7FA">
      <w:pPr>
        <w:snapToGrid w:val="0"/>
        <w:spacing w:before="120" w:beforeLines="50" w:after="50"/>
        <w:ind w:firstLine="720" w:firstLineChars="225"/>
        <w:rPr>
          <w:rFonts w:ascii="宋体" w:hAnsi="宋体" w:cs="宋体"/>
          <w:bCs/>
          <w:color w:val="auto"/>
          <w:sz w:val="32"/>
          <w:szCs w:val="32"/>
          <w:highlight w:val="none"/>
        </w:rPr>
      </w:pPr>
    </w:p>
    <w:p w14:paraId="2050E877">
      <w:pPr>
        <w:pStyle w:val="8"/>
        <w:snapToGrid w:val="0"/>
        <w:spacing w:before="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1173C880">
      <w:pPr>
        <w:pStyle w:val="8"/>
        <w:snapToGrid w:val="0"/>
        <w:spacing w:before="50" w:after="50"/>
        <w:ind w:firstLine="720" w:firstLineChars="225"/>
        <w:rPr>
          <w:rFonts w:ascii="宋体" w:hAnsi="宋体" w:cs="宋体"/>
          <w:bCs/>
          <w:color w:val="auto"/>
          <w:sz w:val="32"/>
          <w:szCs w:val="32"/>
          <w:highlight w:val="none"/>
        </w:rPr>
      </w:pPr>
    </w:p>
    <w:p w14:paraId="3384A684">
      <w:pPr>
        <w:pStyle w:val="8"/>
        <w:snapToGrid w:val="0"/>
        <w:spacing w:before="50" w:after="50"/>
        <w:ind w:firstLine="720" w:firstLineChars="225"/>
        <w:rPr>
          <w:rFonts w:ascii="宋体" w:hAnsi="宋体" w:cs="宋体"/>
          <w:bCs/>
          <w:color w:val="auto"/>
          <w:sz w:val="32"/>
          <w:szCs w:val="32"/>
          <w:highlight w:val="none"/>
        </w:rPr>
      </w:pPr>
    </w:p>
    <w:p w14:paraId="573CB0D9">
      <w:pPr>
        <w:pStyle w:val="8"/>
        <w:snapToGrid w:val="0"/>
        <w:spacing w:before="50" w:after="50"/>
        <w:ind w:firstLine="720" w:firstLineChars="225"/>
        <w:rPr>
          <w:rFonts w:ascii="宋体" w:hAnsi="宋体" w:cs="宋体"/>
          <w:bCs/>
          <w:color w:val="auto"/>
          <w:sz w:val="32"/>
          <w:szCs w:val="32"/>
          <w:highlight w:val="none"/>
        </w:rPr>
      </w:pPr>
    </w:p>
    <w:p w14:paraId="770FC600">
      <w:pPr>
        <w:pStyle w:val="8"/>
        <w:snapToGrid w:val="0"/>
        <w:spacing w:before="50" w:after="50"/>
        <w:ind w:firstLine="1280" w:firstLineChars="400"/>
        <w:rPr>
          <w:rFonts w:ascii="宋体" w:hAnsi="宋体" w:cs="宋体"/>
          <w:bCs/>
          <w:color w:val="auto"/>
          <w:sz w:val="32"/>
          <w:szCs w:val="32"/>
          <w:highlight w:val="none"/>
        </w:rPr>
      </w:pPr>
    </w:p>
    <w:p w14:paraId="0D46C6DE">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2BB82489">
      <w:pPr>
        <w:snapToGrid w:val="0"/>
        <w:spacing w:before="120" w:beforeLines="50" w:after="50" w:line="360" w:lineRule="auto"/>
        <w:jc w:val="left"/>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 xml:space="preserve"> </w:t>
      </w:r>
    </w:p>
    <w:p w14:paraId="0DA4B4B3">
      <w:pPr>
        <w:jc w:val="center"/>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资格证明文件目录</w:t>
      </w:r>
    </w:p>
    <w:p w14:paraId="1F230133">
      <w:pPr>
        <w:snapToGrid w:val="0"/>
        <w:spacing w:line="360" w:lineRule="auto"/>
        <w:rPr>
          <w:rFonts w:ascii="宋体" w:hAnsi="宋体" w:cs="宋体"/>
          <w:color w:val="auto"/>
          <w:kern w:val="0"/>
          <w:sz w:val="24"/>
          <w:highlight w:val="none"/>
        </w:rPr>
      </w:pPr>
    </w:p>
    <w:p w14:paraId="493E3E7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一、营业执照(或事业法人登记证或其他工商等登记证明材料)复印件（供应商为自然人的，须提供自然人的身份证明）…………………………………………（页码）</w:t>
      </w:r>
    </w:p>
    <w:p w14:paraId="71072507">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二、竞标人根据防财监〔2023〕58 号文要求提供的《防城港市政府采购供应商信用承诺函》……………………………………………………………………（页码）</w:t>
      </w:r>
    </w:p>
    <w:p w14:paraId="6BAAB7E8">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三</w:t>
      </w:r>
      <w:r>
        <w:rPr>
          <w:rFonts w:hint="eastAsia" w:ascii="宋体" w:hAnsi="宋体" w:cs="宋体"/>
          <w:color w:val="auto"/>
          <w:sz w:val="24"/>
          <w:highlight w:val="none"/>
        </w:rPr>
        <w:t>、供应商直接控股股东信息…………………………………………………（页码）</w:t>
      </w:r>
    </w:p>
    <w:p w14:paraId="4A9AB89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、供应商直接关联关系信息表………………………………………………（页码）</w:t>
      </w:r>
    </w:p>
    <w:p w14:paraId="2952EC3C">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五</w:t>
      </w:r>
      <w:r>
        <w:rPr>
          <w:rFonts w:hint="eastAsia" w:ascii="宋体" w:hAnsi="宋体" w:cs="宋体"/>
          <w:color w:val="auto"/>
          <w:sz w:val="24"/>
          <w:highlight w:val="none"/>
        </w:rPr>
        <w:t>、竞标声明…………………………………………………………………（页码）</w:t>
      </w:r>
    </w:p>
    <w:p w14:paraId="171B65C5">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val="en-US" w:eastAsia="zh-CN"/>
        </w:rPr>
        <w:t>六</w:t>
      </w:r>
      <w:r>
        <w:rPr>
          <w:rFonts w:hint="eastAsia" w:ascii="宋体" w:hAnsi="宋体" w:cs="宋体"/>
          <w:color w:val="auto"/>
          <w:sz w:val="24"/>
          <w:highlight w:val="none"/>
        </w:rPr>
        <w:t>、中小企业声明函或残疾人福利性单位声明函或属于监狱企业的证明文件…（页码）</w:t>
      </w:r>
    </w:p>
    <w:p w14:paraId="3AF8F5F7">
      <w:pPr>
        <w:snapToGrid w:val="0"/>
        <w:spacing w:line="360" w:lineRule="auto"/>
        <w:rPr>
          <w:rFonts w:hint="eastAsia" w:ascii="宋体" w:hAnsi="宋体" w:cs="宋体"/>
          <w:color w:val="auto"/>
          <w:kern w:val="0"/>
          <w:sz w:val="24"/>
          <w:highlight w:val="none"/>
        </w:rPr>
      </w:pPr>
      <w:r>
        <w:rPr>
          <w:rFonts w:hint="eastAsia" w:ascii="宋体" w:hAnsi="宋体" w:cs="宋体"/>
          <w:color w:val="auto"/>
          <w:sz w:val="24"/>
          <w:highlight w:val="none"/>
          <w:lang w:val="en-US" w:eastAsia="zh-CN"/>
        </w:rPr>
        <w:t>七</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资格条件正面材料：</w:t>
      </w:r>
      <w:r>
        <w:rPr>
          <w:rFonts w:hint="default" w:ascii="宋体" w:hAnsi="宋体" w:eastAsia="宋体" w:cs="宋体"/>
          <w:color w:val="auto"/>
          <w:sz w:val="24"/>
          <w:highlight w:val="none"/>
          <w:lang w:eastAsia="zh-CN"/>
        </w:rPr>
        <w:t>①</w:t>
      </w:r>
      <w:r>
        <w:rPr>
          <w:rFonts w:hint="eastAsia" w:ascii="宋体" w:hAnsi="宋体" w:eastAsia="宋体" w:cs="宋体"/>
          <w:color w:val="auto"/>
          <w:sz w:val="24"/>
          <w:highlight w:val="none"/>
        </w:rPr>
        <w:t>供应商须具备公路工程施工总承包叁级(含)以上资质，</w:t>
      </w:r>
      <w:r>
        <w:rPr>
          <w:rFonts w:hint="eastAsia" w:ascii="宋体" w:hAnsi="宋体" w:eastAsia="宋体" w:cs="宋体"/>
          <w:color w:val="auto"/>
          <w:sz w:val="24"/>
          <w:highlight w:val="none"/>
          <w:lang w:val="en-US" w:eastAsia="zh-CN"/>
        </w:rPr>
        <w:t>同时</w:t>
      </w:r>
      <w:r>
        <w:rPr>
          <w:rFonts w:hint="eastAsia" w:ascii="宋体" w:hAnsi="宋体" w:eastAsia="宋体" w:cs="宋体"/>
          <w:color w:val="auto"/>
          <w:sz w:val="24"/>
          <w:highlight w:val="none"/>
        </w:rPr>
        <w:t>持有省级及以上建设行政主管部门颁发的安全生产许可证；</w:t>
      </w:r>
      <w:r>
        <w:rPr>
          <w:rFonts w:hint="default" w:ascii="宋体" w:hAnsi="宋体" w:eastAsia="宋体" w:cs="宋体"/>
          <w:color w:val="auto"/>
          <w:sz w:val="24"/>
          <w:highlight w:val="none"/>
        </w:rPr>
        <w:t>②</w:t>
      </w:r>
      <w:r>
        <w:rPr>
          <w:rFonts w:hint="eastAsia" w:ascii="宋体" w:hAnsi="宋体" w:eastAsia="宋体" w:cs="宋体"/>
          <w:color w:val="auto"/>
          <w:sz w:val="24"/>
          <w:highlight w:val="none"/>
          <w:lang w:val="en-US" w:eastAsia="zh-CN"/>
        </w:rPr>
        <w:t>拟投入本项目的</w:t>
      </w:r>
      <w:r>
        <w:rPr>
          <w:rFonts w:hint="eastAsia" w:ascii="宋体" w:hAnsi="宋体" w:eastAsia="宋体" w:cs="宋体"/>
          <w:color w:val="auto"/>
          <w:sz w:val="24"/>
          <w:highlight w:val="none"/>
        </w:rPr>
        <w:t>项目经理须</w:t>
      </w:r>
      <w:r>
        <w:rPr>
          <w:rFonts w:hint="eastAsia" w:ascii="宋体" w:hAnsi="宋体" w:eastAsia="宋体" w:cs="宋体"/>
          <w:color w:val="auto"/>
          <w:sz w:val="24"/>
          <w:highlight w:val="none"/>
          <w:lang w:val="en-US" w:eastAsia="zh-CN"/>
        </w:rPr>
        <w:t>具备</w:t>
      </w:r>
      <w:r>
        <w:rPr>
          <w:rFonts w:hint="eastAsia" w:ascii="宋体" w:hAnsi="宋体" w:eastAsia="宋体" w:cs="宋体"/>
          <w:color w:val="auto"/>
          <w:sz w:val="24"/>
          <w:highlight w:val="none"/>
        </w:rPr>
        <w:t>公路工程专业</w:t>
      </w:r>
      <w:r>
        <w:rPr>
          <w:rFonts w:hint="eastAsia" w:ascii="宋体" w:hAnsi="宋体" w:eastAsia="宋体" w:cs="宋体"/>
          <w:color w:val="auto"/>
          <w:sz w:val="24"/>
          <w:highlight w:val="none"/>
          <w:lang w:val="en-US" w:eastAsia="zh-CN"/>
        </w:rPr>
        <w:t>贰</w:t>
      </w:r>
      <w:r>
        <w:rPr>
          <w:rFonts w:hint="eastAsia" w:ascii="宋体" w:hAnsi="宋体" w:eastAsia="宋体" w:cs="宋体"/>
          <w:color w:val="auto"/>
          <w:sz w:val="24"/>
          <w:highlight w:val="none"/>
        </w:rPr>
        <w:t>级以上(含</w:t>
      </w:r>
      <w:r>
        <w:rPr>
          <w:rFonts w:hint="eastAsia" w:ascii="宋体" w:hAnsi="宋体" w:eastAsia="宋体" w:cs="宋体"/>
          <w:color w:val="auto"/>
          <w:sz w:val="24"/>
          <w:highlight w:val="none"/>
          <w:lang w:val="en-US" w:eastAsia="zh-CN"/>
        </w:rPr>
        <w:t>贰级</w:t>
      </w:r>
      <w:r>
        <w:rPr>
          <w:rFonts w:hint="eastAsia" w:ascii="宋体" w:hAnsi="宋体" w:eastAsia="宋体" w:cs="宋体"/>
          <w:color w:val="auto"/>
          <w:sz w:val="24"/>
          <w:highlight w:val="none"/>
        </w:rPr>
        <w:t>)注册建造师资格，并持有省级或以上交通运输行政主管部门颁发的安全生产考核合格证(“三类人员”B 类证书)</w:t>
      </w:r>
      <w:r>
        <w:rPr>
          <w:rFonts w:hint="eastAsia" w:ascii="宋体" w:hAnsi="宋体" w:eastAsia="宋体" w:cs="宋体"/>
          <w:color w:val="auto"/>
          <w:sz w:val="24"/>
          <w:highlight w:val="none"/>
          <w:lang w:eastAsia="zh-CN"/>
        </w:rPr>
        <w:t>，</w:t>
      </w:r>
      <w:r>
        <w:rPr>
          <w:rFonts w:hint="default" w:ascii="宋体" w:hAnsi="宋体" w:eastAsia="宋体" w:cs="宋体"/>
          <w:color w:val="auto"/>
          <w:sz w:val="24"/>
          <w:highlight w:val="none"/>
          <w:lang w:eastAsia="zh-CN"/>
        </w:rPr>
        <w:t>③</w:t>
      </w:r>
      <w:r>
        <w:rPr>
          <w:rFonts w:hint="eastAsia" w:ascii="宋体" w:hAnsi="宋体" w:eastAsia="宋体" w:cs="宋体"/>
          <w:color w:val="auto"/>
          <w:sz w:val="24"/>
          <w:highlight w:val="none"/>
          <w:lang w:val="en-US" w:eastAsia="zh-CN"/>
        </w:rPr>
        <w:t>拟投入本项目的安全员应具有省级（或以上）交通主管部门颁发的《安全生产考核合格证书》 C证</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53E1D3D4">
      <w:p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八、承诺函</w:t>
      </w:r>
      <w:r>
        <w:rPr>
          <w:rFonts w:hint="eastAsia" w:ascii="宋体" w:hAnsi="宋体" w:eastAsia="宋体" w:cs="宋体"/>
          <w:color w:val="auto"/>
          <w:sz w:val="24"/>
          <w:highlight w:val="none"/>
        </w:rPr>
        <w:t>…</w:t>
      </w:r>
      <w:r>
        <w:rPr>
          <w:rFonts w:hint="eastAsia" w:ascii="宋体" w:hAnsi="宋体" w:cs="宋体"/>
          <w:color w:val="auto"/>
          <w:kern w:val="0"/>
          <w:sz w:val="24"/>
          <w:highlight w:val="none"/>
        </w:rPr>
        <w:t>……………（页码）</w:t>
      </w:r>
    </w:p>
    <w:p w14:paraId="01AEA020">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注：以上目录是编制供应商响应文件的基本格式要求，各供应商可根据自身情况进一步细化。</w:t>
      </w:r>
    </w:p>
    <w:p w14:paraId="24CAF2CE">
      <w:pPr>
        <w:snapToGrid w:val="0"/>
        <w:spacing w:before="120" w:beforeLines="50" w:after="50" w:line="360" w:lineRule="auto"/>
        <w:ind w:left="142" w:firstLine="420" w:firstLineChars="200"/>
        <w:jc w:val="left"/>
        <w:rPr>
          <w:rFonts w:ascii="宋体" w:hAnsi="宋体" w:cs="宋体"/>
          <w:color w:val="auto"/>
          <w:szCs w:val="21"/>
          <w:highlight w:val="none"/>
        </w:rPr>
      </w:pPr>
    </w:p>
    <w:p w14:paraId="36E92DC7">
      <w:pPr>
        <w:spacing w:line="300" w:lineRule="auto"/>
        <w:rPr>
          <w:rFonts w:ascii="宋体" w:hAnsi="宋体" w:cs="宋体"/>
          <w:color w:val="auto"/>
          <w:szCs w:val="21"/>
          <w:highlight w:val="none"/>
        </w:rPr>
      </w:pPr>
    </w:p>
    <w:p w14:paraId="4993EEA5">
      <w:pPr>
        <w:spacing w:line="300" w:lineRule="auto"/>
        <w:rPr>
          <w:rFonts w:ascii="宋体" w:hAnsi="宋体" w:cs="宋体"/>
          <w:color w:val="auto"/>
          <w:szCs w:val="21"/>
          <w:highlight w:val="none"/>
        </w:rPr>
      </w:pPr>
    </w:p>
    <w:p w14:paraId="348DFE01">
      <w:pPr>
        <w:spacing w:line="300" w:lineRule="auto"/>
        <w:rPr>
          <w:rFonts w:ascii="宋体" w:hAnsi="宋体" w:cs="宋体"/>
          <w:color w:val="auto"/>
          <w:szCs w:val="21"/>
          <w:highlight w:val="none"/>
        </w:rPr>
      </w:pPr>
    </w:p>
    <w:p w14:paraId="4DDBA271">
      <w:pPr>
        <w:spacing w:line="300" w:lineRule="auto"/>
        <w:rPr>
          <w:rFonts w:ascii="宋体" w:hAnsi="宋体" w:cs="宋体"/>
          <w:color w:val="auto"/>
          <w:szCs w:val="21"/>
          <w:highlight w:val="none"/>
        </w:rPr>
      </w:pPr>
    </w:p>
    <w:p w14:paraId="29F171EF">
      <w:pPr>
        <w:spacing w:line="300" w:lineRule="auto"/>
        <w:rPr>
          <w:rFonts w:ascii="宋体" w:hAnsi="宋体" w:cs="宋体"/>
          <w:color w:val="auto"/>
          <w:szCs w:val="21"/>
          <w:highlight w:val="none"/>
        </w:rPr>
      </w:pPr>
    </w:p>
    <w:p w14:paraId="3136E13D">
      <w:pPr>
        <w:spacing w:line="300" w:lineRule="auto"/>
        <w:rPr>
          <w:rFonts w:ascii="宋体" w:hAnsi="宋体" w:cs="宋体"/>
          <w:color w:val="auto"/>
          <w:szCs w:val="21"/>
          <w:highlight w:val="none"/>
        </w:rPr>
      </w:pPr>
    </w:p>
    <w:p w14:paraId="0EC44371">
      <w:pPr>
        <w:spacing w:line="300" w:lineRule="auto"/>
        <w:rPr>
          <w:rFonts w:ascii="宋体" w:hAnsi="宋体" w:cs="宋体"/>
          <w:color w:val="auto"/>
          <w:szCs w:val="21"/>
          <w:highlight w:val="none"/>
        </w:rPr>
      </w:pPr>
    </w:p>
    <w:p w14:paraId="067D8614">
      <w:pPr>
        <w:spacing w:line="300" w:lineRule="auto"/>
        <w:rPr>
          <w:rFonts w:ascii="宋体" w:hAnsi="宋体" w:cs="宋体"/>
          <w:color w:val="auto"/>
          <w:szCs w:val="21"/>
          <w:highlight w:val="none"/>
        </w:rPr>
      </w:pPr>
    </w:p>
    <w:p w14:paraId="13003AB2">
      <w:pPr>
        <w:spacing w:line="300" w:lineRule="auto"/>
        <w:rPr>
          <w:rFonts w:ascii="宋体" w:hAnsi="宋体" w:cs="宋体"/>
          <w:color w:val="auto"/>
          <w:szCs w:val="21"/>
          <w:highlight w:val="none"/>
        </w:rPr>
      </w:pPr>
    </w:p>
    <w:p w14:paraId="12BFA9DB">
      <w:pPr>
        <w:spacing w:line="300" w:lineRule="auto"/>
        <w:rPr>
          <w:rFonts w:ascii="宋体" w:hAnsi="宋体" w:cs="宋体"/>
          <w:color w:val="auto"/>
          <w:szCs w:val="21"/>
          <w:highlight w:val="none"/>
        </w:rPr>
      </w:pPr>
    </w:p>
    <w:p w14:paraId="39931D17">
      <w:pPr>
        <w:spacing w:line="300" w:lineRule="auto"/>
        <w:rPr>
          <w:rFonts w:ascii="宋体" w:hAnsi="宋体" w:cs="宋体"/>
          <w:color w:val="auto"/>
          <w:szCs w:val="21"/>
          <w:highlight w:val="none"/>
        </w:rPr>
      </w:pPr>
    </w:p>
    <w:p w14:paraId="340A071B">
      <w:pPr>
        <w:pStyle w:val="15"/>
        <w:spacing w:line="360" w:lineRule="auto"/>
        <w:ind w:firstLine="400" w:firstLineChars="200"/>
        <w:rPr>
          <w:rFonts w:hAnsi="宋体" w:cs="宋体"/>
          <w:b/>
          <w:color w:val="auto"/>
          <w:sz w:val="30"/>
          <w:szCs w:val="30"/>
          <w:highlight w:val="none"/>
        </w:rPr>
      </w:pPr>
      <w:r>
        <w:rPr>
          <w:rFonts w:hint="eastAsia" w:hAnsi="宋体" w:cs="宋体"/>
          <w:color w:val="auto"/>
          <w:highlight w:val="none"/>
        </w:rPr>
        <w:t xml:space="preserve">   </w:t>
      </w:r>
      <w:r>
        <w:rPr>
          <w:rFonts w:hint="eastAsia" w:hAnsi="宋体" w:cs="宋体"/>
          <w:b/>
          <w:color w:val="auto"/>
          <w:sz w:val="30"/>
          <w:szCs w:val="30"/>
          <w:highlight w:val="none"/>
        </w:rPr>
        <w:t>一、营业执照(或事业法人登记证或其他工商等登记证明材料)复印件（供应商为自然人的，提供自然人的身份证明）</w:t>
      </w:r>
    </w:p>
    <w:p w14:paraId="3716611B">
      <w:pPr>
        <w:pStyle w:val="15"/>
        <w:spacing w:line="360" w:lineRule="auto"/>
        <w:ind w:firstLine="602" w:firstLineChars="200"/>
        <w:rPr>
          <w:rFonts w:hAnsi="宋体" w:cs="宋体"/>
          <w:b/>
          <w:color w:val="auto"/>
          <w:sz w:val="30"/>
          <w:szCs w:val="30"/>
          <w:highlight w:val="none"/>
        </w:rPr>
      </w:pPr>
    </w:p>
    <w:p w14:paraId="7F0A09CD">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B52FFB">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55E0FAC">
      <w:pPr>
        <w:snapToGrid w:val="0"/>
        <w:spacing w:before="120" w:beforeLines="50" w:after="50"/>
        <w:rPr>
          <w:rFonts w:ascii="宋体" w:hAnsi="宋体" w:cs="宋体"/>
          <w:color w:val="auto"/>
          <w:sz w:val="24"/>
          <w:szCs w:val="20"/>
          <w:highlight w:val="none"/>
        </w:rPr>
      </w:pPr>
    </w:p>
    <w:p w14:paraId="73768C22">
      <w:pPr>
        <w:pStyle w:val="15"/>
        <w:spacing w:line="360" w:lineRule="auto"/>
        <w:ind w:firstLine="602" w:firstLineChars="200"/>
        <w:rPr>
          <w:rFonts w:ascii="宋体" w:hAnsi="宋体"/>
          <w:b/>
          <w:color w:val="auto"/>
          <w:sz w:val="32"/>
          <w:szCs w:val="32"/>
          <w:highlight w:val="none"/>
        </w:rPr>
      </w:pPr>
      <w:r>
        <w:rPr>
          <w:rFonts w:hint="eastAsia" w:hAnsi="宋体" w:cs="宋体"/>
          <w:b/>
          <w:color w:val="auto"/>
          <w:sz w:val="30"/>
          <w:szCs w:val="30"/>
          <w:highlight w:val="none"/>
        </w:rPr>
        <w:t>二、</w:t>
      </w:r>
      <w:r>
        <w:rPr>
          <w:rFonts w:hint="eastAsia" w:ascii="宋体" w:hAnsi="宋体"/>
          <w:b/>
          <w:color w:val="auto"/>
          <w:sz w:val="32"/>
          <w:szCs w:val="32"/>
          <w:highlight w:val="none"/>
        </w:rPr>
        <w:t>防城港市政府采购供应商信用承诺函（格式）</w:t>
      </w:r>
    </w:p>
    <w:p w14:paraId="30AF43E6">
      <w:pPr>
        <w:spacing w:line="320" w:lineRule="exact"/>
        <w:jc w:val="left"/>
        <w:rPr>
          <w:rFonts w:hint="eastAsia" w:ascii="宋体" w:hAnsi="宋体"/>
          <w:color w:val="auto"/>
          <w:szCs w:val="21"/>
          <w:highlight w:val="none"/>
        </w:rPr>
      </w:pPr>
    </w:p>
    <w:p w14:paraId="64F9D388">
      <w:pPr>
        <w:spacing w:line="360" w:lineRule="auto"/>
        <w:jc w:val="left"/>
        <w:rPr>
          <w:rFonts w:hint="eastAsia" w:ascii="宋体" w:hAnsi="宋体"/>
          <w:color w:val="auto"/>
          <w:sz w:val="24"/>
          <w:highlight w:val="none"/>
        </w:rPr>
      </w:pPr>
      <w:r>
        <w:rPr>
          <w:rFonts w:hint="eastAsia" w:ascii="宋体" w:hAnsi="宋体"/>
          <w:color w:val="auto"/>
          <w:sz w:val="24"/>
          <w:highlight w:val="none"/>
        </w:rPr>
        <w:t>致（采购人或采购代理机构） ：</w:t>
      </w:r>
    </w:p>
    <w:p w14:paraId="1FF7945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我方自愿参加</w:t>
      </w:r>
      <w:r>
        <w:rPr>
          <w:rFonts w:hint="eastAsia" w:ascii="宋体" w:hAnsi="宋体"/>
          <w:color w:val="auto"/>
          <w:sz w:val="24"/>
          <w:highlight w:val="none"/>
          <w:u w:val="single"/>
        </w:rPr>
        <w:t xml:space="preserve"> （项目名称） </w:t>
      </w:r>
      <w:r>
        <w:rPr>
          <w:rFonts w:hint="eastAsia" w:ascii="宋体" w:hAnsi="宋体"/>
          <w:color w:val="auto"/>
          <w:sz w:val="24"/>
          <w:highlight w:val="none"/>
        </w:rPr>
        <w:t>项目（</w:t>
      </w:r>
      <w:r>
        <w:rPr>
          <w:rFonts w:hint="eastAsia" w:ascii="宋体" w:hAnsi="宋体"/>
          <w:color w:val="auto"/>
          <w:sz w:val="24"/>
          <w:highlight w:val="none"/>
          <w:u w:val="single"/>
        </w:rPr>
        <w:t xml:space="preserve">项目编号：         </w:t>
      </w:r>
      <w:r>
        <w:rPr>
          <w:rFonts w:hint="eastAsia" w:ascii="宋体" w:hAnsi="宋体"/>
          <w:color w:val="auto"/>
          <w:sz w:val="24"/>
          <w:highlight w:val="none"/>
        </w:rPr>
        <w:t xml:space="preserve">）的政府采购活动，严格遵守《中华人民共和国政府采购法》及相关法律法规，依法诚信经营，无条件遵守本次政府采购活动的各项规定，并郑重承诺： </w:t>
      </w:r>
    </w:p>
    <w:p w14:paraId="41D67E3C">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1.我方具有符合采购文件资格要求的财务状况报告。 </w:t>
      </w:r>
    </w:p>
    <w:p w14:paraId="0C5FD3E3">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2.我方具有符合采购文件资格要求的依法缴纳税收和社会保障资金的良好记录。 </w:t>
      </w:r>
    </w:p>
    <w:p w14:paraId="1F37994E">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3.我方参加政府采购活动前三年内在经营活动中没有重大违法记录。 </w:t>
      </w:r>
    </w:p>
    <w:p w14:paraId="0C8E8488">
      <w:pPr>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我方对以上承诺内容的真实性负责。如有虚假，将依法承担相应责任。</w:t>
      </w:r>
    </w:p>
    <w:p w14:paraId="382A2526">
      <w:pPr>
        <w:spacing w:line="360" w:lineRule="auto"/>
        <w:jc w:val="left"/>
        <w:rPr>
          <w:rFonts w:hint="eastAsia" w:ascii="宋体" w:hAnsi="宋体"/>
          <w:color w:val="auto"/>
          <w:sz w:val="24"/>
          <w:highlight w:val="none"/>
        </w:rPr>
      </w:pPr>
    </w:p>
    <w:p w14:paraId="1BFBC2B1">
      <w:pPr>
        <w:spacing w:line="360" w:lineRule="auto"/>
        <w:jc w:val="left"/>
        <w:rPr>
          <w:rFonts w:hint="eastAsia" w:ascii="宋体" w:hAnsi="宋体"/>
          <w:color w:val="auto"/>
          <w:sz w:val="24"/>
          <w:highlight w:val="none"/>
        </w:rPr>
      </w:pPr>
    </w:p>
    <w:p w14:paraId="4F22FB9C">
      <w:pPr>
        <w:spacing w:line="360" w:lineRule="auto"/>
        <w:jc w:val="left"/>
        <w:rPr>
          <w:rFonts w:hint="eastAsia" w:ascii="宋体" w:hAnsi="宋体"/>
          <w:color w:val="auto"/>
          <w:sz w:val="24"/>
          <w:highlight w:val="none"/>
        </w:rPr>
      </w:pPr>
      <w:r>
        <w:rPr>
          <w:rFonts w:hint="eastAsia" w:ascii="宋体" w:hAnsi="宋体"/>
          <w:color w:val="auto"/>
          <w:sz w:val="24"/>
          <w:highlight w:val="none"/>
        </w:rPr>
        <w:t>供应商名称（电子签章）：</w:t>
      </w:r>
    </w:p>
    <w:p w14:paraId="30FE837B">
      <w:pPr>
        <w:spacing w:line="360" w:lineRule="auto"/>
        <w:jc w:val="left"/>
        <w:rPr>
          <w:rFonts w:hint="eastAsia" w:ascii="宋体" w:hAnsi="宋体"/>
          <w:color w:val="auto"/>
          <w:sz w:val="24"/>
          <w:highlight w:val="none"/>
        </w:rPr>
      </w:pPr>
      <w:r>
        <w:rPr>
          <w:rFonts w:hint="eastAsia" w:ascii="宋体" w:hAnsi="宋体"/>
          <w:color w:val="auto"/>
          <w:sz w:val="24"/>
          <w:highlight w:val="none"/>
        </w:rPr>
        <w:t>统一社会信用代码：</w:t>
      </w:r>
    </w:p>
    <w:p w14:paraId="2CCD54F8">
      <w:pPr>
        <w:spacing w:line="360" w:lineRule="auto"/>
        <w:jc w:val="left"/>
        <w:rPr>
          <w:rFonts w:hint="eastAsia" w:ascii="宋体" w:hAnsi="宋体"/>
          <w:color w:val="auto"/>
          <w:sz w:val="24"/>
          <w:highlight w:val="none"/>
        </w:rPr>
      </w:pPr>
      <w:r>
        <w:rPr>
          <w:rFonts w:hint="eastAsia" w:ascii="宋体" w:hAnsi="宋体"/>
          <w:color w:val="auto"/>
          <w:sz w:val="24"/>
          <w:highlight w:val="none"/>
        </w:rPr>
        <w:t>法定代表人或授权代表(签字或者电子签名)：</w:t>
      </w:r>
    </w:p>
    <w:p w14:paraId="6E217232">
      <w:pPr>
        <w:spacing w:line="360" w:lineRule="auto"/>
        <w:jc w:val="left"/>
        <w:rPr>
          <w:rFonts w:hint="eastAsia" w:ascii="宋体" w:hAnsi="宋体"/>
          <w:color w:val="auto"/>
          <w:sz w:val="24"/>
          <w:highlight w:val="none"/>
        </w:rPr>
      </w:pPr>
      <w:r>
        <w:rPr>
          <w:rFonts w:hint="eastAsia" w:ascii="宋体" w:hAnsi="宋体"/>
          <w:color w:val="auto"/>
          <w:sz w:val="24"/>
          <w:highlight w:val="none"/>
        </w:rPr>
        <w:t>日期： 年 月 日</w:t>
      </w:r>
    </w:p>
    <w:p w14:paraId="7C1DD595">
      <w:pPr>
        <w:spacing w:line="360" w:lineRule="auto"/>
        <w:jc w:val="left"/>
        <w:rPr>
          <w:rFonts w:hint="eastAsia" w:ascii="宋体" w:hAnsi="宋体"/>
          <w:color w:val="auto"/>
          <w:sz w:val="24"/>
          <w:highlight w:val="none"/>
        </w:rPr>
      </w:pPr>
    </w:p>
    <w:p w14:paraId="21CD3949">
      <w:pPr>
        <w:spacing w:line="360" w:lineRule="auto"/>
        <w:jc w:val="left"/>
        <w:rPr>
          <w:rFonts w:hint="eastAsia" w:ascii="宋体" w:hAnsi="宋体"/>
          <w:color w:val="auto"/>
          <w:sz w:val="24"/>
          <w:highlight w:val="none"/>
        </w:rPr>
      </w:pPr>
      <w:r>
        <w:rPr>
          <w:rFonts w:hint="eastAsia" w:ascii="宋体" w:hAnsi="宋体"/>
          <w:color w:val="auto"/>
          <w:sz w:val="24"/>
          <w:highlight w:val="none"/>
        </w:rPr>
        <w:t>注：1.供应商须在响应文件中按此模板提供承诺函，未提供视为未实质性响应采购文件要求，按无效响应处理。</w:t>
      </w:r>
    </w:p>
    <w:p w14:paraId="09C7706C">
      <w:pPr>
        <w:autoSpaceDE w:val="0"/>
        <w:autoSpaceDN w:val="0"/>
        <w:spacing w:line="360" w:lineRule="auto"/>
        <w:jc w:val="left"/>
        <w:rPr>
          <w:rFonts w:ascii="宋体" w:hAnsi="宋体" w:cs="宋体"/>
          <w:b/>
          <w:bCs/>
          <w:color w:val="auto"/>
          <w:sz w:val="24"/>
          <w:highlight w:val="none"/>
        </w:rPr>
      </w:pPr>
      <w:r>
        <w:rPr>
          <w:rFonts w:hint="eastAsia" w:ascii="宋体" w:hAnsi="宋体"/>
          <w:color w:val="auto"/>
          <w:sz w:val="24"/>
          <w:highlight w:val="none"/>
        </w:rPr>
        <w:t>2.供应商的法定代表人（其他组织的为负责人）或者授权代表的签名或盖章应真实、有效，如由授权代表签名或盖章的，应提供“法定代表人授权书”。</w:t>
      </w:r>
    </w:p>
    <w:p w14:paraId="3C1E3FC4">
      <w:pPr>
        <w:spacing w:line="320" w:lineRule="exact"/>
        <w:jc w:val="left"/>
        <w:rPr>
          <w:rFonts w:ascii="宋体" w:hAnsi="宋体" w:cs="宋体"/>
          <w:color w:val="auto"/>
          <w:szCs w:val="21"/>
          <w:highlight w:val="none"/>
        </w:rPr>
      </w:pPr>
      <w:r>
        <w:rPr>
          <w:rFonts w:hint="eastAsia" w:ascii="宋体" w:hAnsi="宋体" w:cs="宋体"/>
          <w:color w:val="auto"/>
          <w:szCs w:val="21"/>
          <w:highlight w:val="none"/>
        </w:rPr>
        <w:t xml:space="preserve"> </w:t>
      </w:r>
    </w:p>
    <w:p w14:paraId="5B948841">
      <w:pPr>
        <w:snapToGrid w:val="0"/>
        <w:spacing w:before="120" w:beforeLines="50" w:after="50" w:line="360" w:lineRule="auto"/>
        <w:jc w:val="center"/>
        <w:rPr>
          <w:rFonts w:ascii="宋体" w:hAnsi="宋体" w:cs="宋体"/>
          <w:b/>
          <w:color w:val="auto"/>
          <w:sz w:val="24"/>
          <w:highlight w:val="none"/>
        </w:rPr>
      </w:pPr>
    </w:p>
    <w:p w14:paraId="5E59C8FC">
      <w:pPr>
        <w:spacing w:line="360" w:lineRule="auto"/>
        <w:ind w:firstLine="596" w:firstLineChars="198"/>
        <w:rPr>
          <w:rFonts w:hint="eastAsia" w:ascii="宋体" w:hAnsi="宋体" w:cs="宋体"/>
          <w:b/>
          <w:color w:val="auto"/>
          <w:kern w:val="0"/>
          <w:sz w:val="30"/>
          <w:szCs w:val="30"/>
          <w:highlight w:val="none"/>
          <w:lang w:val="en-US" w:eastAsia="zh-CN"/>
        </w:rPr>
      </w:pPr>
    </w:p>
    <w:p w14:paraId="2749F171">
      <w:pPr>
        <w:spacing w:line="360" w:lineRule="auto"/>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三</w:t>
      </w:r>
      <w:r>
        <w:rPr>
          <w:rFonts w:hint="eastAsia" w:ascii="宋体" w:hAnsi="宋体" w:cs="宋体"/>
          <w:b/>
          <w:color w:val="auto"/>
          <w:kern w:val="0"/>
          <w:sz w:val="30"/>
          <w:szCs w:val="30"/>
          <w:highlight w:val="none"/>
        </w:rPr>
        <w:t>、供应商直接控股股东信息</w:t>
      </w:r>
    </w:p>
    <w:p w14:paraId="3521153E">
      <w:pPr>
        <w:spacing w:line="360" w:lineRule="auto"/>
        <w:jc w:val="center"/>
        <w:rPr>
          <w:rFonts w:ascii="宋体" w:hAnsi="宋体" w:cs="宋体"/>
          <w:b/>
          <w:color w:val="auto"/>
          <w:sz w:val="24"/>
          <w:highlight w:val="none"/>
        </w:rPr>
      </w:pPr>
    </w:p>
    <w:tbl>
      <w:tblPr>
        <w:tblStyle w:val="26"/>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5CB45555">
        <w:tblPrEx>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CEDDAE8">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C28FE91">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DC3DE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1E8480">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BDE0634">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2ED23097">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88F8A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453EAC1">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D5A1AD">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F5199E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B2BA085">
            <w:pPr>
              <w:widowControl/>
              <w:spacing w:line="360" w:lineRule="auto"/>
              <w:jc w:val="center"/>
              <w:rPr>
                <w:rFonts w:ascii="宋体" w:hAnsi="宋体" w:cs="宋体"/>
                <w:color w:val="auto"/>
                <w:kern w:val="0"/>
                <w:sz w:val="24"/>
                <w:highlight w:val="none"/>
              </w:rPr>
            </w:pPr>
          </w:p>
        </w:tc>
      </w:tr>
      <w:tr w14:paraId="1B681D8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F06F48B">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4EFC0DC">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82C678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6CD5F9">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2392909">
            <w:pPr>
              <w:widowControl/>
              <w:spacing w:line="360" w:lineRule="auto"/>
              <w:jc w:val="center"/>
              <w:rPr>
                <w:rFonts w:ascii="宋体" w:hAnsi="宋体" w:cs="宋体"/>
                <w:color w:val="auto"/>
                <w:kern w:val="0"/>
                <w:sz w:val="24"/>
                <w:highlight w:val="none"/>
              </w:rPr>
            </w:pPr>
          </w:p>
        </w:tc>
      </w:tr>
      <w:tr w14:paraId="382EE6AE">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E88EF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A57A882">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E014F23">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F5847C">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E2A9DF5">
            <w:pPr>
              <w:widowControl/>
              <w:spacing w:line="360" w:lineRule="auto"/>
              <w:jc w:val="center"/>
              <w:rPr>
                <w:rFonts w:ascii="宋体" w:hAnsi="宋体" w:cs="宋体"/>
                <w:color w:val="auto"/>
                <w:kern w:val="0"/>
                <w:sz w:val="24"/>
                <w:highlight w:val="none"/>
              </w:rPr>
            </w:pPr>
          </w:p>
        </w:tc>
      </w:tr>
      <w:tr w14:paraId="61D05C93">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B9D83D">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5DE709A">
            <w:pPr>
              <w:widowControl/>
              <w:spacing w:line="360" w:lineRule="auto"/>
              <w:jc w:val="center"/>
              <w:rPr>
                <w:rFonts w:ascii="宋体" w:hAnsi="宋体" w:cs="宋体"/>
                <w:color w:val="auto"/>
                <w:kern w:val="0"/>
                <w:sz w:val="24"/>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5000D19">
            <w:pPr>
              <w:widowControl/>
              <w:spacing w:line="360" w:lineRule="auto"/>
              <w:jc w:val="center"/>
              <w:rPr>
                <w:rFonts w:ascii="宋体" w:hAnsi="宋体" w:cs="宋体"/>
                <w:color w:val="auto"/>
                <w:kern w:val="0"/>
                <w:sz w:val="24"/>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285FF3">
            <w:pPr>
              <w:widowControl/>
              <w:spacing w:line="360" w:lineRule="auto"/>
              <w:jc w:val="center"/>
              <w:rPr>
                <w:rFonts w:ascii="宋体" w:hAnsi="宋体" w:cs="宋体"/>
                <w:color w:val="auto"/>
                <w:kern w:val="0"/>
                <w:sz w:val="24"/>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DAFA7DA">
            <w:pPr>
              <w:widowControl/>
              <w:spacing w:line="360" w:lineRule="auto"/>
              <w:jc w:val="center"/>
              <w:rPr>
                <w:rFonts w:ascii="宋体" w:hAnsi="宋体" w:cs="宋体"/>
                <w:color w:val="auto"/>
                <w:kern w:val="0"/>
                <w:sz w:val="24"/>
                <w:highlight w:val="none"/>
              </w:rPr>
            </w:pPr>
          </w:p>
        </w:tc>
      </w:tr>
    </w:tbl>
    <w:p w14:paraId="7FA7BA60">
      <w:pPr>
        <w:spacing w:line="360" w:lineRule="auto"/>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2DBFA182">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D7308BF">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2.本表所指的控股关系仅限于直接控股关系，不包括间接的控股关系。公司实际控制人与公司之间的关系不属于本表所指的直接控股关系。</w:t>
      </w:r>
    </w:p>
    <w:p w14:paraId="289037B5">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3.供应商不存在直接控股股东的，则填“无”。</w:t>
      </w:r>
    </w:p>
    <w:p w14:paraId="20541941">
      <w:pPr>
        <w:snapToGrid w:val="0"/>
        <w:spacing w:line="360" w:lineRule="auto"/>
        <w:jc w:val="left"/>
        <w:rPr>
          <w:rFonts w:ascii="宋体" w:hAnsi="宋体" w:cs="宋体"/>
          <w:color w:val="auto"/>
          <w:sz w:val="24"/>
          <w:highlight w:val="none"/>
        </w:rPr>
      </w:pPr>
    </w:p>
    <w:p w14:paraId="68F31C12">
      <w:pPr>
        <w:snapToGrid w:val="0"/>
        <w:spacing w:line="360" w:lineRule="auto"/>
        <w:jc w:val="left"/>
        <w:rPr>
          <w:rFonts w:ascii="宋体" w:hAnsi="宋体" w:cs="宋体"/>
          <w:color w:val="auto"/>
          <w:sz w:val="24"/>
          <w:highlight w:val="none"/>
        </w:rPr>
      </w:pPr>
    </w:p>
    <w:p w14:paraId="24F0C7AC">
      <w:pPr>
        <w:snapToGrid w:val="0"/>
        <w:spacing w:line="360" w:lineRule="auto"/>
        <w:jc w:val="left"/>
        <w:rPr>
          <w:rFonts w:ascii="宋体" w:hAnsi="宋体" w:cs="宋体"/>
          <w:color w:val="auto"/>
          <w:sz w:val="24"/>
          <w:highlight w:val="none"/>
        </w:rPr>
      </w:pPr>
    </w:p>
    <w:p w14:paraId="479A36EF">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680A0ECB">
      <w:pPr>
        <w:autoSpaceDE w:val="0"/>
        <w:autoSpaceDN w:val="0"/>
        <w:spacing w:line="360" w:lineRule="auto"/>
        <w:ind w:firstLine="6120" w:firstLineChars="255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E46BB0B">
      <w:pPr>
        <w:autoSpaceDE w:val="0"/>
        <w:autoSpaceDN w:val="0"/>
        <w:spacing w:line="360" w:lineRule="auto"/>
        <w:ind w:firstLine="6120" w:firstLineChars="2550"/>
        <w:rPr>
          <w:rFonts w:hint="eastAsia" w:ascii="宋体" w:hAnsi="宋体" w:cs="宋体"/>
          <w:color w:val="auto"/>
          <w:kern w:val="0"/>
          <w:sz w:val="24"/>
          <w:highlight w:val="none"/>
          <w:lang w:val="zh-CN"/>
        </w:rPr>
      </w:pPr>
    </w:p>
    <w:p w14:paraId="0C212B16">
      <w:pPr>
        <w:autoSpaceDE w:val="0"/>
        <w:autoSpaceDN w:val="0"/>
        <w:spacing w:line="360" w:lineRule="auto"/>
        <w:ind w:firstLine="6120" w:firstLineChars="2550"/>
        <w:rPr>
          <w:rFonts w:hint="eastAsia" w:ascii="宋体" w:hAnsi="宋体" w:cs="宋体"/>
          <w:color w:val="auto"/>
          <w:kern w:val="0"/>
          <w:sz w:val="24"/>
          <w:highlight w:val="none"/>
          <w:lang w:val="zh-CN"/>
        </w:rPr>
      </w:pPr>
    </w:p>
    <w:p w14:paraId="00019FCF">
      <w:pPr>
        <w:autoSpaceDE w:val="0"/>
        <w:autoSpaceDN w:val="0"/>
        <w:spacing w:line="360" w:lineRule="auto"/>
        <w:ind w:firstLine="6120" w:firstLineChars="2550"/>
        <w:rPr>
          <w:rFonts w:hint="eastAsia" w:ascii="宋体" w:hAnsi="宋体" w:cs="宋体"/>
          <w:color w:val="auto"/>
          <w:kern w:val="0"/>
          <w:sz w:val="24"/>
          <w:highlight w:val="none"/>
          <w:lang w:val="zh-CN"/>
        </w:rPr>
      </w:pPr>
    </w:p>
    <w:p w14:paraId="397C911A">
      <w:pPr>
        <w:autoSpaceDE w:val="0"/>
        <w:autoSpaceDN w:val="0"/>
        <w:spacing w:line="360" w:lineRule="auto"/>
        <w:ind w:firstLine="6120" w:firstLineChars="2550"/>
        <w:rPr>
          <w:rFonts w:hint="eastAsia" w:ascii="宋体" w:hAnsi="宋体" w:cs="宋体"/>
          <w:color w:val="auto"/>
          <w:kern w:val="0"/>
          <w:sz w:val="24"/>
          <w:highlight w:val="none"/>
          <w:lang w:val="zh-CN"/>
        </w:rPr>
      </w:pPr>
    </w:p>
    <w:p w14:paraId="6C3CF9D0">
      <w:pPr>
        <w:autoSpaceDE w:val="0"/>
        <w:autoSpaceDN w:val="0"/>
        <w:spacing w:line="360" w:lineRule="auto"/>
        <w:ind w:firstLine="6120" w:firstLineChars="2550"/>
        <w:rPr>
          <w:rFonts w:hint="eastAsia" w:ascii="宋体" w:hAnsi="宋体" w:cs="宋体"/>
          <w:color w:val="auto"/>
          <w:kern w:val="0"/>
          <w:sz w:val="24"/>
          <w:highlight w:val="none"/>
          <w:lang w:val="zh-CN"/>
        </w:rPr>
      </w:pPr>
    </w:p>
    <w:p w14:paraId="220FA833">
      <w:pPr>
        <w:autoSpaceDE w:val="0"/>
        <w:autoSpaceDN w:val="0"/>
        <w:spacing w:line="360" w:lineRule="auto"/>
        <w:ind w:firstLine="6120" w:firstLineChars="2550"/>
        <w:rPr>
          <w:rFonts w:hint="eastAsia" w:ascii="宋体" w:hAnsi="宋体" w:cs="宋体"/>
          <w:color w:val="auto"/>
          <w:kern w:val="0"/>
          <w:sz w:val="24"/>
          <w:highlight w:val="none"/>
          <w:lang w:val="zh-CN"/>
        </w:rPr>
      </w:pPr>
    </w:p>
    <w:p w14:paraId="47BCC198">
      <w:pPr>
        <w:autoSpaceDE w:val="0"/>
        <w:autoSpaceDN w:val="0"/>
        <w:spacing w:line="360" w:lineRule="auto"/>
        <w:ind w:firstLine="6120" w:firstLineChars="2550"/>
        <w:rPr>
          <w:rFonts w:hint="eastAsia" w:ascii="宋体" w:hAnsi="宋体" w:cs="宋体"/>
          <w:color w:val="auto"/>
          <w:kern w:val="0"/>
          <w:sz w:val="24"/>
          <w:highlight w:val="none"/>
          <w:lang w:val="zh-CN"/>
        </w:rPr>
      </w:pPr>
    </w:p>
    <w:p w14:paraId="2024A463">
      <w:pPr>
        <w:snapToGrid w:val="0"/>
        <w:rPr>
          <w:rFonts w:ascii="宋体" w:hAnsi="宋体" w:cs="宋体"/>
          <w:b/>
          <w:color w:val="auto"/>
          <w:kern w:val="0"/>
          <w:sz w:val="30"/>
          <w:szCs w:val="30"/>
          <w:highlight w:val="none"/>
        </w:rPr>
      </w:pPr>
    </w:p>
    <w:p w14:paraId="7CADC32B">
      <w:pPr>
        <w:snapToGrid w:val="0"/>
        <w:ind w:firstLine="596" w:firstLineChars="198"/>
        <w:rPr>
          <w:rFonts w:ascii="宋体" w:hAnsi="宋体" w:cs="宋体"/>
          <w:b/>
          <w:color w:val="auto"/>
          <w:kern w:val="0"/>
          <w:sz w:val="30"/>
          <w:szCs w:val="30"/>
          <w:highlight w:val="none"/>
        </w:rPr>
      </w:pPr>
      <w:r>
        <w:rPr>
          <w:rFonts w:hint="eastAsia" w:ascii="宋体" w:hAnsi="宋体" w:cs="宋体"/>
          <w:b/>
          <w:color w:val="auto"/>
          <w:kern w:val="0"/>
          <w:sz w:val="30"/>
          <w:szCs w:val="30"/>
          <w:highlight w:val="none"/>
          <w:lang w:val="en-US" w:eastAsia="zh-CN"/>
        </w:rPr>
        <w:t>四</w:t>
      </w:r>
      <w:r>
        <w:rPr>
          <w:rFonts w:hint="eastAsia" w:ascii="宋体" w:hAnsi="宋体" w:cs="宋体"/>
          <w:b/>
          <w:color w:val="auto"/>
          <w:kern w:val="0"/>
          <w:sz w:val="30"/>
          <w:szCs w:val="30"/>
          <w:highlight w:val="none"/>
        </w:rPr>
        <w:t>、供应商直接管理关系信息表</w:t>
      </w:r>
    </w:p>
    <w:p w14:paraId="606AC761">
      <w:pPr>
        <w:snapToGrid w:val="0"/>
        <w:spacing w:line="360" w:lineRule="auto"/>
        <w:jc w:val="center"/>
        <w:rPr>
          <w:rFonts w:ascii="宋体" w:hAnsi="宋体" w:cs="宋体"/>
          <w:b/>
          <w:color w:val="auto"/>
          <w:sz w:val="24"/>
          <w:highlight w:val="none"/>
        </w:rPr>
      </w:pPr>
    </w:p>
    <w:tbl>
      <w:tblPr>
        <w:tblStyle w:val="26"/>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65059719">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9D183FE">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A9796F">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143633">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74C2682">
            <w:pPr>
              <w:widowControl/>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5E871A4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1980C3E">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AA22093">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BE3CF1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6DAC8B">
            <w:pPr>
              <w:widowControl/>
              <w:spacing w:line="360" w:lineRule="auto"/>
              <w:jc w:val="center"/>
              <w:rPr>
                <w:rFonts w:ascii="宋体" w:hAnsi="宋体" w:cs="宋体"/>
                <w:color w:val="auto"/>
                <w:kern w:val="0"/>
                <w:sz w:val="24"/>
                <w:highlight w:val="none"/>
              </w:rPr>
            </w:pPr>
          </w:p>
        </w:tc>
      </w:tr>
      <w:tr w14:paraId="3487CB27">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254798">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4F2A14">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9A155E7">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9F40CA">
            <w:pPr>
              <w:widowControl/>
              <w:spacing w:line="360" w:lineRule="auto"/>
              <w:jc w:val="center"/>
              <w:rPr>
                <w:rFonts w:ascii="宋体" w:hAnsi="宋体" w:cs="宋体"/>
                <w:color w:val="auto"/>
                <w:kern w:val="0"/>
                <w:sz w:val="24"/>
                <w:highlight w:val="none"/>
              </w:rPr>
            </w:pPr>
          </w:p>
        </w:tc>
      </w:tr>
      <w:tr w14:paraId="33B170FC">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03954E0">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79CB276">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334F248">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56F579">
            <w:pPr>
              <w:widowControl/>
              <w:spacing w:line="360" w:lineRule="auto"/>
              <w:jc w:val="center"/>
              <w:rPr>
                <w:rFonts w:ascii="宋体" w:hAnsi="宋体" w:cs="宋体"/>
                <w:color w:val="auto"/>
                <w:kern w:val="0"/>
                <w:sz w:val="24"/>
                <w:highlight w:val="none"/>
              </w:rPr>
            </w:pPr>
          </w:p>
        </w:tc>
      </w:tr>
      <w:tr w14:paraId="5E92C99E">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DAECEC">
            <w:pPr>
              <w:widowControl/>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8BD039A">
            <w:pPr>
              <w:widowControl/>
              <w:spacing w:line="360" w:lineRule="auto"/>
              <w:jc w:val="center"/>
              <w:rPr>
                <w:rFonts w:ascii="宋体" w:hAnsi="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9CC0EA">
            <w:pPr>
              <w:widowControl/>
              <w:spacing w:line="360" w:lineRule="auto"/>
              <w:jc w:val="center"/>
              <w:rPr>
                <w:rFonts w:ascii="宋体" w:hAnsi="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7F36295">
            <w:pPr>
              <w:widowControl/>
              <w:spacing w:line="360" w:lineRule="auto"/>
              <w:jc w:val="center"/>
              <w:rPr>
                <w:rFonts w:ascii="宋体" w:hAnsi="宋体" w:cs="宋体"/>
                <w:color w:val="auto"/>
                <w:kern w:val="0"/>
                <w:sz w:val="24"/>
                <w:highlight w:val="none"/>
              </w:rPr>
            </w:pPr>
          </w:p>
        </w:tc>
      </w:tr>
    </w:tbl>
    <w:p w14:paraId="58B057F6">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注：</w:t>
      </w:r>
    </w:p>
    <w:p w14:paraId="575CA980">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1.管理关系：是指不具有出资持股关系的其他单位之间存在的管理与被管理关系，如一些上下级关系的事业单位和团体组织。</w:t>
      </w:r>
    </w:p>
    <w:p w14:paraId="728086FA">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2.本表所指的管理关系仅限于直接管理关系，不包括间接的管理关系。</w:t>
      </w:r>
    </w:p>
    <w:p w14:paraId="1A457F38">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3.供应商不存在直接管理关系的，则填“无”。</w:t>
      </w:r>
    </w:p>
    <w:p w14:paraId="09ED5EB4">
      <w:pPr>
        <w:spacing w:line="360" w:lineRule="auto"/>
        <w:jc w:val="left"/>
        <w:rPr>
          <w:rFonts w:ascii="宋体" w:hAnsi="宋体" w:cs="宋体"/>
          <w:color w:val="auto"/>
          <w:sz w:val="24"/>
          <w:highlight w:val="none"/>
        </w:rPr>
      </w:pPr>
    </w:p>
    <w:p w14:paraId="4CEE7D7E">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126AA317">
      <w:pPr>
        <w:autoSpaceDE w:val="0"/>
        <w:autoSpaceDN w:val="0"/>
        <w:spacing w:line="360" w:lineRule="auto"/>
        <w:ind w:firstLine="6120" w:firstLineChars="255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94A2964">
      <w:pPr>
        <w:spacing w:line="360" w:lineRule="auto"/>
        <w:ind w:right="480" w:firstLine="240" w:firstLineChars="100"/>
        <w:contextualSpacing/>
        <w:jc w:val="center"/>
        <w:rPr>
          <w:rFonts w:hint="eastAsia" w:ascii="宋体" w:hAnsi="宋体" w:cs="宋体"/>
          <w:color w:val="auto"/>
          <w:sz w:val="24"/>
          <w:highlight w:val="none"/>
        </w:rPr>
      </w:pPr>
    </w:p>
    <w:p w14:paraId="59CA8F17">
      <w:pPr>
        <w:spacing w:line="360" w:lineRule="auto"/>
        <w:ind w:right="480" w:firstLine="240" w:firstLineChars="100"/>
        <w:contextualSpacing/>
        <w:jc w:val="center"/>
        <w:rPr>
          <w:rFonts w:hint="eastAsia" w:ascii="宋体" w:hAnsi="宋体" w:cs="宋体"/>
          <w:color w:val="auto"/>
          <w:sz w:val="24"/>
          <w:highlight w:val="none"/>
        </w:rPr>
      </w:pPr>
    </w:p>
    <w:p w14:paraId="25986098">
      <w:pPr>
        <w:spacing w:line="360" w:lineRule="auto"/>
        <w:ind w:right="480" w:firstLine="240" w:firstLineChars="100"/>
        <w:contextualSpacing/>
        <w:jc w:val="center"/>
        <w:rPr>
          <w:rFonts w:hint="eastAsia" w:ascii="宋体" w:hAnsi="宋体" w:cs="宋体"/>
          <w:color w:val="auto"/>
          <w:sz w:val="24"/>
          <w:highlight w:val="none"/>
        </w:rPr>
      </w:pPr>
    </w:p>
    <w:p w14:paraId="58D75740">
      <w:pPr>
        <w:spacing w:line="360" w:lineRule="auto"/>
        <w:ind w:right="480" w:firstLine="240" w:firstLineChars="100"/>
        <w:contextualSpacing/>
        <w:jc w:val="center"/>
        <w:rPr>
          <w:rFonts w:hint="eastAsia" w:ascii="宋体" w:hAnsi="宋体" w:cs="宋体"/>
          <w:color w:val="auto"/>
          <w:sz w:val="24"/>
          <w:highlight w:val="none"/>
        </w:rPr>
      </w:pPr>
    </w:p>
    <w:p w14:paraId="1A7C2EB3">
      <w:pPr>
        <w:spacing w:line="360" w:lineRule="auto"/>
        <w:ind w:right="480" w:firstLine="240" w:firstLineChars="100"/>
        <w:contextualSpacing/>
        <w:jc w:val="center"/>
        <w:rPr>
          <w:rFonts w:hint="eastAsia" w:ascii="宋体" w:hAnsi="宋体" w:cs="宋体"/>
          <w:color w:val="auto"/>
          <w:sz w:val="24"/>
          <w:highlight w:val="none"/>
        </w:rPr>
      </w:pPr>
    </w:p>
    <w:p w14:paraId="18019E04">
      <w:pPr>
        <w:spacing w:line="360" w:lineRule="auto"/>
        <w:ind w:right="480" w:firstLine="240" w:firstLineChars="100"/>
        <w:contextualSpacing/>
        <w:jc w:val="center"/>
        <w:rPr>
          <w:rFonts w:hint="eastAsia" w:ascii="宋体" w:hAnsi="宋体" w:cs="宋体"/>
          <w:color w:val="auto"/>
          <w:sz w:val="24"/>
          <w:highlight w:val="none"/>
        </w:rPr>
      </w:pPr>
    </w:p>
    <w:p w14:paraId="32E75FED">
      <w:pPr>
        <w:spacing w:line="360" w:lineRule="auto"/>
        <w:ind w:right="480" w:firstLine="240" w:firstLineChars="100"/>
        <w:contextualSpacing/>
        <w:jc w:val="center"/>
        <w:rPr>
          <w:rFonts w:hint="eastAsia" w:ascii="宋体" w:hAnsi="宋体" w:cs="宋体"/>
          <w:color w:val="auto"/>
          <w:sz w:val="24"/>
          <w:highlight w:val="none"/>
        </w:rPr>
      </w:pPr>
    </w:p>
    <w:p w14:paraId="3803614B">
      <w:pPr>
        <w:spacing w:line="360" w:lineRule="auto"/>
        <w:ind w:right="480" w:firstLine="240" w:firstLineChars="100"/>
        <w:contextualSpacing/>
        <w:jc w:val="center"/>
        <w:rPr>
          <w:rFonts w:hint="eastAsia" w:ascii="宋体" w:hAnsi="宋体" w:cs="宋体"/>
          <w:color w:val="auto"/>
          <w:sz w:val="24"/>
          <w:highlight w:val="none"/>
        </w:rPr>
      </w:pPr>
    </w:p>
    <w:p w14:paraId="0B1AFD75">
      <w:pPr>
        <w:spacing w:line="360" w:lineRule="auto"/>
        <w:ind w:right="480" w:firstLine="240" w:firstLineChars="100"/>
        <w:contextualSpacing/>
        <w:jc w:val="center"/>
        <w:rPr>
          <w:rFonts w:hint="eastAsia" w:ascii="宋体" w:hAnsi="宋体" w:cs="宋体"/>
          <w:color w:val="auto"/>
          <w:sz w:val="24"/>
          <w:highlight w:val="none"/>
        </w:rPr>
      </w:pPr>
    </w:p>
    <w:p w14:paraId="5974DDA5">
      <w:pPr>
        <w:spacing w:line="360" w:lineRule="auto"/>
        <w:ind w:right="480" w:firstLine="240" w:firstLineChars="100"/>
        <w:contextualSpacing/>
        <w:jc w:val="center"/>
        <w:rPr>
          <w:rFonts w:hint="eastAsia" w:ascii="宋体" w:hAnsi="宋体" w:cs="宋体"/>
          <w:color w:val="auto"/>
          <w:sz w:val="24"/>
          <w:highlight w:val="none"/>
        </w:rPr>
      </w:pPr>
    </w:p>
    <w:p w14:paraId="7B639FE7">
      <w:pPr>
        <w:spacing w:line="360" w:lineRule="auto"/>
        <w:ind w:right="480" w:firstLine="240" w:firstLineChars="100"/>
        <w:contextualSpacing/>
        <w:jc w:val="center"/>
        <w:rPr>
          <w:rFonts w:hint="eastAsia" w:ascii="宋体" w:hAnsi="宋体" w:cs="宋体"/>
          <w:color w:val="auto"/>
          <w:sz w:val="24"/>
          <w:highlight w:val="none"/>
        </w:rPr>
      </w:pPr>
    </w:p>
    <w:p w14:paraId="6FEAC6EA">
      <w:pPr>
        <w:spacing w:line="360" w:lineRule="auto"/>
        <w:ind w:right="480" w:firstLine="240" w:firstLineChars="100"/>
        <w:contextualSpacing/>
        <w:jc w:val="center"/>
        <w:rPr>
          <w:rFonts w:hint="eastAsia" w:ascii="宋体" w:hAnsi="宋体" w:cs="宋体"/>
          <w:color w:val="auto"/>
          <w:sz w:val="24"/>
          <w:highlight w:val="none"/>
        </w:rPr>
      </w:pPr>
    </w:p>
    <w:p w14:paraId="78203386">
      <w:pPr>
        <w:spacing w:line="360" w:lineRule="auto"/>
        <w:ind w:right="480"/>
        <w:contextualSpacing/>
        <w:jc w:val="both"/>
        <w:rPr>
          <w:rFonts w:ascii="宋体" w:hAnsi="宋体" w:cs="宋体"/>
          <w:color w:val="auto"/>
          <w:sz w:val="28"/>
          <w:szCs w:val="28"/>
          <w:highlight w:val="none"/>
        </w:rPr>
      </w:pPr>
      <w:r>
        <w:rPr>
          <w:rFonts w:hint="eastAsia" w:ascii="宋体" w:hAnsi="宋体" w:cs="宋体"/>
          <w:color w:val="auto"/>
          <w:sz w:val="24"/>
          <w:highlight w:val="none"/>
        </w:rPr>
        <w:t xml:space="preserve">                                  </w:t>
      </w:r>
    </w:p>
    <w:p w14:paraId="388BFB3B">
      <w:pPr>
        <w:spacing w:line="320" w:lineRule="exact"/>
        <w:ind w:firstLine="602" w:firstLineChars="200"/>
        <w:jc w:val="left"/>
        <w:rPr>
          <w:rFonts w:ascii="宋体" w:hAnsi="宋体" w:cs="宋体"/>
          <w:color w:val="auto"/>
          <w:sz w:val="28"/>
          <w:szCs w:val="28"/>
          <w:highlight w:val="none"/>
        </w:rPr>
      </w:pPr>
      <w:r>
        <w:rPr>
          <w:rFonts w:hint="eastAsia" w:ascii="宋体" w:hAnsi="宋体" w:cs="宋体"/>
          <w:b/>
          <w:color w:val="auto"/>
          <w:kern w:val="0"/>
          <w:sz w:val="30"/>
          <w:szCs w:val="30"/>
          <w:highlight w:val="none"/>
          <w:lang w:val="en-US" w:eastAsia="zh-CN"/>
        </w:rPr>
        <w:t>五</w:t>
      </w:r>
      <w:r>
        <w:rPr>
          <w:rFonts w:hint="eastAsia" w:ascii="宋体" w:hAnsi="宋体" w:cs="宋体"/>
          <w:b/>
          <w:color w:val="auto"/>
          <w:kern w:val="0"/>
          <w:sz w:val="30"/>
          <w:szCs w:val="30"/>
          <w:highlight w:val="none"/>
        </w:rPr>
        <w:t>、</w:t>
      </w:r>
      <w:r>
        <w:rPr>
          <w:rFonts w:hint="eastAsia" w:ascii="宋体" w:hAnsi="宋体" w:cs="宋体"/>
          <w:b/>
          <w:color w:val="auto"/>
          <w:kern w:val="0"/>
          <w:sz w:val="30"/>
          <w:szCs w:val="30"/>
          <w:highlight w:val="none"/>
          <w:lang w:val="en-US" w:eastAsia="zh-CN"/>
        </w:rPr>
        <w:t>竞标</w:t>
      </w:r>
      <w:r>
        <w:rPr>
          <w:rFonts w:hint="eastAsia" w:ascii="宋体" w:hAnsi="宋体" w:cs="宋体"/>
          <w:b/>
          <w:color w:val="auto"/>
          <w:kern w:val="0"/>
          <w:sz w:val="30"/>
          <w:szCs w:val="30"/>
          <w:highlight w:val="none"/>
        </w:rPr>
        <w:t>声明函</w:t>
      </w:r>
    </w:p>
    <w:p w14:paraId="65D49B1B">
      <w:pPr>
        <w:spacing w:line="320" w:lineRule="exact"/>
        <w:jc w:val="both"/>
        <w:rPr>
          <w:rFonts w:ascii="宋体" w:hAnsi="宋体" w:cs="宋体"/>
          <w:b/>
          <w:color w:val="auto"/>
          <w:sz w:val="32"/>
          <w:szCs w:val="32"/>
          <w:highlight w:val="none"/>
        </w:rPr>
      </w:pPr>
    </w:p>
    <w:p w14:paraId="3E1742AD">
      <w:pPr>
        <w:spacing w:line="320" w:lineRule="exact"/>
        <w:jc w:val="center"/>
        <w:rPr>
          <w:rFonts w:ascii="宋体" w:hAnsi="宋体" w:cs="宋体"/>
          <w:b/>
          <w:color w:val="auto"/>
          <w:sz w:val="32"/>
          <w:szCs w:val="32"/>
          <w:highlight w:val="none"/>
        </w:rPr>
      </w:pPr>
      <w:r>
        <w:rPr>
          <w:rFonts w:hint="eastAsia" w:ascii="宋体" w:hAnsi="宋体" w:cs="宋体"/>
          <w:b/>
          <w:color w:val="auto"/>
          <w:kern w:val="0"/>
          <w:sz w:val="30"/>
          <w:szCs w:val="30"/>
          <w:highlight w:val="none"/>
          <w:lang w:val="en-US" w:eastAsia="zh-CN"/>
        </w:rPr>
        <w:t>竞标</w:t>
      </w:r>
      <w:r>
        <w:rPr>
          <w:rFonts w:hint="eastAsia" w:ascii="宋体" w:hAnsi="宋体" w:cs="宋体"/>
          <w:b/>
          <w:color w:val="auto"/>
          <w:sz w:val="32"/>
          <w:szCs w:val="32"/>
          <w:highlight w:val="none"/>
        </w:rPr>
        <w:t>声明函</w:t>
      </w:r>
    </w:p>
    <w:p w14:paraId="035F08CA">
      <w:pPr>
        <w:spacing w:line="320" w:lineRule="exact"/>
        <w:jc w:val="center"/>
        <w:rPr>
          <w:rFonts w:ascii="宋体" w:hAnsi="宋体" w:cs="宋体"/>
          <w:color w:val="auto"/>
          <w:sz w:val="24"/>
          <w:szCs w:val="20"/>
          <w:highlight w:val="none"/>
        </w:rPr>
      </w:pPr>
    </w:p>
    <w:p w14:paraId="3355E322">
      <w:pPr>
        <w:spacing w:line="360" w:lineRule="auto"/>
        <w:contextualSpacing/>
        <w:rPr>
          <w:rFonts w:hint="eastAsia"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764A7B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3A3D3C4">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5EECA12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57CEE49B">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w:t>
      </w:r>
      <w:r>
        <w:rPr>
          <w:rFonts w:hint="eastAsia" w:ascii="宋体" w:hAnsi="宋体"/>
          <w:color w:val="auto"/>
          <w:sz w:val="24"/>
          <w:highlight w:val="none"/>
        </w:rPr>
        <w:t>我方不是为本次采购项目提供整体设计、规范编制或者项目管理、监理、检测等服务的供应商</w:t>
      </w:r>
      <w:r>
        <w:rPr>
          <w:rFonts w:hint="eastAsia" w:ascii="宋体" w:hAnsi="宋体" w:cs="宋体"/>
          <w:color w:val="auto"/>
          <w:sz w:val="24"/>
          <w:highlight w:val="none"/>
        </w:rPr>
        <w:t>。</w:t>
      </w:r>
    </w:p>
    <w:p w14:paraId="16DB7E9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3.在此，我方宣布同意如下：</w:t>
      </w:r>
    </w:p>
    <w:p w14:paraId="6B80610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201E9E0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（2）已详细审查全部磋商文件，包括澄清或者更正公告（如有）；</w:t>
      </w:r>
    </w:p>
    <w:p w14:paraId="110E231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36AB44D">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（4）响应磋商文件规定的竞标有效期。</w:t>
      </w:r>
    </w:p>
    <w:p w14:paraId="0F3A0EE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4.我方承诺符合《中华人民共和国政府采购法》第二十二条规定：</w:t>
      </w:r>
    </w:p>
    <w:p w14:paraId="47F1882E">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（1）具有独立承担民事责任的能力；</w:t>
      </w:r>
    </w:p>
    <w:p w14:paraId="0CA8231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（2）具有良好的商业信誉和健全的财务会计制度；</w:t>
      </w:r>
    </w:p>
    <w:p w14:paraId="6232847A">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2546DD25">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2AAEC552">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0A6310C">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（6）法律、行政法规规定的其他条件。</w:t>
      </w:r>
    </w:p>
    <w:p w14:paraId="35412F6E">
      <w:pPr>
        <w:pStyle w:val="8"/>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5.我方承诺具有满足本项目的承保资格、经营能力、售后服务和偿付能力；承诺</w:t>
      </w:r>
      <w:r>
        <w:rPr>
          <w:rFonts w:ascii="宋体" w:hAnsi="宋体" w:cs="宋体"/>
          <w:color w:val="auto"/>
          <w:sz w:val="24"/>
          <w:szCs w:val="24"/>
          <w:highlight w:val="none"/>
        </w:rPr>
        <w:t>同一保险机构只</w:t>
      </w:r>
      <w:r>
        <w:rPr>
          <w:rFonts w:hint="eastAsia" w:ascii="宋体" w:hAnsi="宋体" w:cs="宋体"/>
          <w:color w:val="auto"/>
          <w:sz w:val="24"/>
          <w:szCs w:val="24"/>
          <w:highlight w:val="none"/>
        </w:rPr>
        <w:t>有</w:t>
      </w:r>
      <w:r>
        <w:rPr>
          <w:rFonts w:ascii="宋体" w:hAnsi="宋体" w:cs="宋体"/>
          <w:color w:val="auto"/>
          <w:sz w:val="24"/>
          <w:szCs w:val="24"/>
          <w:highlight w:val="none"/>
        </w:rPr>
        <w:t>一家公司</w:t>
      </w:r>
      <w:r>
        <w:rPr>
          <w:rFonts w:hint="eastAsia" w:ascii="宋体" w:hAnsi="宋体" w:cs="宋体"/>
          <w:color w:val="auto"/>
          <w:sz w:val="24"/>
          <w:szCs w:val="24"/>
          <w:highlight w:val="none"/>
        </w:rPr>
        <w:t>（包括其总公司、省级分公司的下属分公司、分支机构）</w:t>
      </w:r>
      <w:r>
        <w:rPr>
          <w:rFonts w:ascii="宋体" w:hAnsi="宋体" w:cs="宋体"/>
          <w:color w:val="auto"/>
          <w:sz w:val="24"/>
          <w:szCs w:val="24"/>
          <w:highlight w:val="none"/>
        </w:rPr>
        <w:t>参与本次</w:t>
      </w:r>
      <w:r>
        <w:rPr>
          <w:rFonts w:hint="eastAsia" w:ascii="宋体" w:hAnsi="宋体" w:cs="宋体"/>
          <w:color w:val="auto"/>
          <w:sz w:val="24"/>
          <w:szCs w:val="24"/>
          <w:highlight w:val="none"/>
        </w:rPr>
        <w:t>竞标，如有2家及以上属于本单位同系统的供应商（包括其总公司、省级分公司的下属分公司、分支机构）参与竞标的，则只认可最先获取竞争性磋商文件的供应商。</w:t>
      </w:r>
    </w:p>
    <w:p w14:paraId="68DFB596">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6.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1EDFFF23">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7.根据《中华人民共和国政府采购法实施条例》第五十条要求对政府采购合同进行公告，但政府采购合同中涉及国家秘密、商业秘密的内容除外。我方就对本次响应文件进行注明如下：（两项内容中必须选择一项）</w:t>
      </w:r>
    </w:p>
    <w:p w14:paraId="793ACFE9">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681DE320">
      <w:pPr>
        <w:spacing w:line="360" w:lineRule="auto"/>
        <w:ind w:firstLine="480" w:firstLineChars="200"/>
        <w:contextualSpacing/>
        <w:rPr>
          <w:rFonts w:hint="eastAsia"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D1BA4A1">
      <w:pPr>
        <w:pStyle w:val="15"/>
        <w:spacing w:line="360" w:lineRule="auto"/>
        <w:ind w:firstLine="480" w:firstLineChars="200"/>
        <w:contextualSpacing/>
        <w:rPr>
          <w:rFonts w:hint="eastAsia" w:hAnsi="宋体" w:cs="宋体"/>
          <w:color w:val="auto"/>
          <w:sz w:val="24"/>
          <w:szCs w:val="24"/>
          <w:highlight w:val="none"/>
          <w:u w:val="single"/>
        </w:rPr>
      </w:pPr>
      <w:r>
        <w:rPr>
          <w:rFonts w:hint="eastAsia" w:hAnsi="宋体" w:cs="宋体"/>
          <w:color w:val="auto"/>
          <w:sz w:val="24"/>
          <w:szCs w:val="24"/>
          <w:highlight w:val="none"/>
          <w:lang w:eastAsia="zh-CN"/>
        </w:rPr>
        <w:t>8</w:t>
      </w:r>
      <w:r>
        <w:rPr>
          <w:rFonts w:hint="eastAsia" w:hAnsi="宋体" w:cs="宋体"/>
          <w:color w:val="auto"/>
          <w:sz w:val="24"/>
          <w:szCs w:val="24"/>
          <w:highlight w:val="none"/>
        </w:rPr>
        <w:t>.与本磋商有关的一切正式往来信函请寄：</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邮政编号：</w:t>
      </w:r>
      <w:r>
        <w:rPr>
          <w:rFonts w:hint="eastAsia" w:hAnsi="宋体" w:cs="宋体"/>
          <w:color w:val="auto"/>
          <w:sz w:val="24"/>
          <w:szCs w:val="24"/>
          <w:highlight w:val="none"/>
          <w:u w:val="single"/>
        </w:rPr>
        <w:t xml:space="preserve">        </w:t>
      </w:r>
    </w:p>
    <w:p w14:paraId="20E5BA56">
      <w:pPr>
        <w:pStyle w:val="15"/>
        <w:spacing w:line="360" w:lineRule="auto"/>
        <w:ind w:firstLine="480" w:firstLineChars="200"/>
        <w:contextualSpacing/>
        <w:rPr>
          <w:rFonts w:hint="eastAsia" w:hAnsi="宋体" w:cs="宋体"/>
          <w:color w:val="auto"/>
          <w:sz w:val="24"/>
          <w:szCs w:val="24"/>
          <w:highlight w:val="none"/>
        </w:rPr>
      </w:pPr>
      <w:r>
        <w:rPr>
          <w:rFonts w:hint="eastAsia" w:hAnsi="宋体" w:cs="宋体"/>
          <w:color w:val="auto"/>
          <w:sz w:val="24"/>
          <w:szCs w:val="24"/>
          <w:highlight w:val="none"/>
        </w:rPr>
        <w:t>电话/传真：</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电子邮箱：</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 xml:space="preserve">    </w:t>
      </w:r>
    </w:p>
    <w:p w14:paraId="109E1689">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开户银行：</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账号：</w:t>
      </w:r>
      <w:r>
        <w:rPr>
          <w:rFonts w:hint="eastAsia" w:ascii="宋体" w:hAnsi="宋体" w:cs="宋体"/>
          <w:color w:val="auto"/>
          <w:sz w:val="24"/>
          <w:highlight w:val="none"/>
          <w:u w:val="single"/>
        </w:rPr>
        <w:t xml:space="preserve">                               </w:t>
      </w:r>
    </w:p>
    <w:p w14:paraId="492D6BFD">
      <w:pPr>
        <w:pStyle w:val="13"/>
        <w:tabs>
          <w:tab w:val="left" w:pos="939"/>
        </w:tabs>
        <w:spacing w:line="360" w:lineRule="auto"/>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9.以上事项如有虚假或者隐瞒，我方愿意承担一切后果，并不再寻求任何旨在减轻或者免除法律责任的辩解。</w:t>
      </w:r>
    </w:p>
    <w:p w14:paraId="5CE627F7">
      <w:pPr>
        <w:pStyle w:val="13"/>
        <w:tabs>
          <w:tab w:val="left" w:pos="939"/>
        </w:tabs>
        <w:spacing w:line="360" w:lineRule="auto"/>
        <w:ind w:left="141" w:leftChars="67" w:firstLine="360" w:firstLineChars="150"/>
        <w:rPr>
          <w:rFonts w:hint="eastAsia" w:ascii="宋体" w:hAnsi="宋体" w:cs="宋体"/>
          <w:color w:val="auto"/>
          <w:sz w:val="24"/>
          <w:highlight w:val="none"/>
        </w:rPr>
      </w:pPr>
      <w:r>
        <w:rPr>
          <w:rFonts w:hint="eastAsia" w:ascii="宋体" w:hAnsi="宋体" w:cs="宋体"/>
          <w:color w:val="auto"/>
          <w:sz w:val="24"/>
          <w:highlight w:val="none"/>
        </w:rPr>
        <w:t>特此承诺。</w:t>
      </w:r>
    </w:p>
    <w:p w14:paraId="45AAF223">
      <w:pPr>
        <w:spacing w:line="360" w:lineRule="auto"/>
        <w:contextualSpacing/>
        <w:jc w:val="left"/>
        <w:rPr>
          <w:rFonts w:hint="eastAsia" w:ascii="宋体" w:hAnsi="宋体" w:cs="宋体"/>
          <w:b/>
          <w:color w:val="auto"/>
          <w:sz w:val="24"/>
          <w:highlight w:val="none"/>
        </w:rPr>
      </w:pPr>
    </w:p>
    <w:p w14:paraId="7A82FC17">
      <w:pPr>
        <w:spacing w:line="360" w:lineRule="auto"/>
        <w:contextualSpacing/>
        <w:jc w:val="left"/>
        <w:rPr>
          <w:rFonts w:hint="eastAsia" w:ascii="宋体" w:hAnsi="宋体" w:cs="宋体"/>
          <w:color w:val="auto"/>
          <w:szCs w:val="21"/>
          <w:highlight w:val="none"/>
        </w:rPr>
      </w:pPr>
    </w:p>
    <w:p w14:paraId="21E00605">
      <w:pPr>
        <w:spacing w:line="360" w:lineRule="auto"/>
        <w:ind w:firstLine="1800" w:firstLineChars="750"/>
        <w:contextualSpacing/>
        <w:rPr>
          <w:rFonts w:hint="eastAsia"/>
          <w:color w:val="auto"/>
          <w:sz w:val="24"/>
          <w:szCs w:val="24"/>
          <w:highlight w:val="none"/>
        </w:rPr>
      </w:pPr>
      <w:r>
        <w:rPr>
          <w:rFonts w:hint="eastAsia"/>
          <w:color w:val="auto"/>
          <w:sz w:val="24"/>
          <w:szCs w:val="24"/>
          <w:highlight w:val="none"/>
        </w:rPr>
        <w:t>法定代表人（</w:t>
      </w:r>
      <w:r>
        <w:rPr>
          <w:rFonts w:hint="eastAsia" w:ascii="宋体" w:hAnsi="宋体"/>
          <w:color w:val="auto"/>
          <w:sz w:val="24"/>
          <w:szCs w:val="24"/>
          <w:highlight w:val="none"/>
        </w:rPr>
        <w:t>签字或者盖章或者电子签名</w:t>
      </w:r>
      <w:r>
        <w:rPr>
          <w:rFonts w:hint="eastAsia"/>
          <w:color w:val="auto"/>
          <w:sz w:val="24"/>
          <w:szCs w:val="24"/>
          <w:highlight w:val="none"/>
        </w:rPr>
        <w:t>）：</w:t>
      </w:r>
      <w:r>
        <w:rPr>
          <w:rFonts w:hint="eastAsia"/>
          <w:color w:val="auto"/>
          <w:sz w:val="24"/>
          <w:szCs w:val="24"/>
          <w:highlight w:val="none"/>
          <w:u w:val="single"/>
        </w:rPr>
        <w:t xml:space="preserve">           </w:t>
      </w:r>
      <w:r>
        <w:rPr>
          <w:rFonts w:hint="eastAsia"/>
          <w:color w:val="auto"/>
          <w:sz w:val="24"/>
          <w:szCs w:val="24"/>
          <w:highlight w:val="none"/>
        </w:rPr>
        <w:t xml:space="preserve">                                     </w:t>
      </w:r>
    </w:p>
    <w:p w14:paraId="47A7D065">
      <w:pPr>
        <w:spacing w:line="360" w:lineRule="auto"/>
        <w:ind w:firstLine="1920" w:firstLineChars="800"/>
        <w:contextualSpacing/>
        <w:rPr>
          <w:rFonts w:hint="eastAsia" w:ascii="宋体" w:hAnsi="宋体" w:cs="宋体"/>
          <w:color w:val="auto"/>
          <w:sz w:val="24"/>
          <w:szCs w:val="24"/>
          <w:highlight w:val="none"/>
          <w:u w:val="single"/>
        </w:rPr>
      </w:pPr>
      <w:r>
        <w:rPr>
          <w:rFonts w:hint="eastAsia"/>
          <w:color w:val="auto"/>
          <w:sz w:val="24"/>
          <w:szCs w:val="24"/>
          <w:highlight w:val="none"/>
        </w:rPr>
        <w:t>供应商（电子签章）：</w:t>
      </w:r>
      <w:r>
        <w:rPr>
          <w:rFonts w:hint="eastAsia"/>
          <w:color w:val="auto"/>
          <w:sz w:val="24"/>
          <w:szCs w:val="24"/>
          <w:highlight w:val="none"/>
          <w:u w:val="single"/>
        </w:rPr>
        <w:t xml:space="preserve">                               </w:t>
      </w:r>
      <w:r>
        <w:rPr>
          <w:rFonts w:hint="eastAsia"/>
          <w:color w:val="auto"/>
          <w:sz w:val="24"/>
          <w:szCs w:val="24"/>
          <w:highlight w:val="none"/>
        </w:rPr>
        <w:t xml:space="preserve">       </w:t>
      </w:r>
      <w:r>
        <w:rPr>
          <w:rFonts w:hint="eastAsia" w:ascii="宋体" w:hAnsi="宋体" w:cs="宋体"/>
          <w:color w:val="auto"/>
          <w:sz w:val="24"/>
          <w:szCs w:val="24"/>
          <w:highlight w:val="none"/>
        </w:rPr>
        <w:t xml:space="preserve">    </w:t>
      </w:r>
    </w:p>
    <w:p w14:paraId="464BB6EB">
      <w:pPr>
        <w:widowControl/>
        <w:spacing w:line="360" w:lineRule="auto"/>
        <w:jc w:val="left"/>
        <w:rPr>
          <w:rFonts w:hint="eastAsia"/>
          <w:color w:val="auto"/>
          <w:sz w:val="24"/>
          <w:szCs w:val="24"/>
          <w:highlight w:val="none"/>
          <w:lang w:val="zh-CN"/>
        </w:rPr>
        <w:sectPr>
          <w:pgSz w:w="11910" w:h="16840"/>
          <w:pgMar w:top="1340" w:right="1500" w:bottom="280" w:left="1680" w:header="720" w:footer="720" w:gutter="0"/>
          <w:cols w:space="720" w:num="1"/>
        </w:sectPr>
      </w:pPr>
      <w:r>
        <w:rPr>
          <w:rFonts w:hint="eastAsia" w:ascii="宋体" w:hAnsi="宋体" w:cs="宋体"/>
          <w:color w:val="auto"/>
          <w:sz w:val="24"/>
          <w:szCs w:val="24"/>
          <w:highlight w:val="none"/>
        </w:rPr>
        <w:t xml:space="preserve">                                               </w:t>
      </w:r>
      <w:r>
        <w:rPr>
          <w:rFonts w:hint="eastAsia"/>
          <w:color w:val="auto"/>
          <w:sz w:val="24"/>
          <w:szCs w:val="24"/>
          <w:highlight w:val="none"/>
        </w:rPr>
        <w:t xml:space="preserve"> 年    月    日</w:t>
      </w:r>
    </w:p>
    <w:p w14:paraId="17188202">
      <w:pPr>
        <w:pStyle w:val="33"/>
        <w:rPr>
          <w:color w:val="auto"/>
          <w:highlight w:val="none"/>
        </w:rPr>
      </w:pPr>
    </w:p>
    <w:p w14:paraId="0B3D6430">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、中小企业声明函或残疾人福利性单位声明函或属于监狱企业的证明文件</w:t>
      </w:r>
    </w:p>
    <w:p w14:paraId="6BEE0E85">
      <w:pPr>
        <w:spacing w:line="300" w:lineRule="auto"/>
        <w:jc w:val="center"/>
        <w:rPr>
          <w:rFonts w:ascii="宋体" w:hAnsi="宋体" w:cs="宋体"/>
          <w:color w:val="auto"/>
          <w:sz w:val="44"/>
          <w:szCs w:val="44"/>
          <w:highlight w:val="none"/>
        </w:rPr>
      </w:pPr>
      <w:r>
        <w:rPr>
          <w:rFonts w:hint="eastAsia" w:ascii="宋体" w:hAnsi="宋体" w:cs="宋体"/>
          <w:color w:val="auto"/>
          <w:sz w:val="44"/>
          <w:szCs w:val="44"/>
          <w:highlight w:val="none"/>
        </w:rPr>
        <w:t>中小企业声明函（工程、服务）</w:t>
      </w:r>
    </w:p>
    <w:p w14:paraId="0BC5398D">
      <w:pPr>
        <w:spacing w:line="360" w:lineRule="auto"/>
        <w:ind w:firstLine="550"/>
        <w:rPr>
          <w:rFonts w:ascii="宋体" w:hAnsi="宋体" w:cs="宋体"/>
          <w:color w:val="auto"/>
          <w:kern w:val="0"/>
          <w:sz w:val="24"/>
          <w:highlight w:val="none"/>
        </w:rPr>
      </w:pPr>
    </w:p>
    <w:p w14:paraId="74E8D06C">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rPr>
        <w:t>[采购人]</w:t>
      </w:r>
      <w:r>
        <w:rPr>
          <w:rFonts w:hint="eastAsia" w:ascii="宋体" w:hAnsi="宋体" w:cs="宋体"/>
          <w:color w:val="auto"/>
          <w:sz w:val="24"/>
          <w:highlight w:val="none"/>
        </w:rPr>
        <w:t>的</w:t>
      </w:r>
      <w:r>
        <w:rPr>
          <w:rFonts w:hint="eastAsia" w:ascii="宋体" w:hAnsi="宋体" w:cs="宋体"/>
          <w:color w:val="auto"/>
          <w:sz w:val="24"/>
          <w:highlight w:val="none"/>
          <w:u w:val="single"/>
        </w:rPr>
        <w:t>[项目名称]</w:t>
      </w:r>
      <w:r>
        <w:rPr>
          <w:rFonts w:hint="eastAsia" w:ascii="宋体" w:hAnsi="宋体" w:cs="宋体"/>
          <w:color w:val="auto"/>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D24F052">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1.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w:t>
      </w:r>
      <w:r>
        <w:rPr>
          <w:rFonts w:hint="eastAsia" w:ascii="宋体" w:hAnsi="宋体" w:cs="宋体"/>
          <w:color w:val="auto"/>
          <w:sz w:val="24"/>
          <w:highlight w:val="none"/>
          <w:vertAlign w:val="superscript"/>
        </w:rPr>
        <w:t>1</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1E2BE704">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2. </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（采购文件中明确的所属行业：见服务需求一览表）</w:t>
      </w:r>
      <w:r>
        <w:rPr>
          <w:rFonts w:hint="eastAsia" w:ascii="宋体" w:hAnsi="宋体" w:cs="宋体"/>
          <w:color w:val="auto"/>
          <w:kern w:val="0"/>
          <w:sz w:val="24"/>
          <w:highlight w:val="none"/>
        </w:rPr>
        <w:t>行业；承建（承接）企业为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人，营业收入为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14:paraId="6302C709">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 xml:space="preserve"> …… </w:t>
      </w:r>
    </w:p>
    <w:p w14:paraId="6377D82F">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以上企业，不属于大企业的分支机构，不存在控股股东为大企业的情形，也不存在与大企业的负责人为同一人的情形。</w:t>
      </w:r>
    </w:p>
    <w:p w14:paraId="664CB90D">
      <w:pPr>
        <w:spacing w:line="360" w:lineRule="auto"/>
        <w:ind w:firstLine="550"/>
        <w:rPr>
          <w:rFonts w:ascii="宋体" w:hAnsi="宋体" w:cs="宋体"/>
          <w:color w:val="auto"/>
          <w:kern w:val="0"/>
          <w:sz w:val="24"/>
          <w:highlight w:val="none"/>
        </w:rPr>
      </w:pPr>
      <w:r>
        <w:rPr>
          <w:rFonts w:hint="eastAsia" w:ascii="宋体" w:hAnsi="宋体" w:cs="宋体"/>
          <w:color w:val="auto"/>
          <w:kern w:val="0"/>
          <w:sz w:val="24"/>
          <w:highlight w:val="none"/>
        </w:rPr>
        <w:t>本企业对上述声明内容的真实性负责。如有虚假，将依法承担相应责任。</w:t>
      </w:r>
    </w:p>
    <w:p w14:paraId="25DEF4D2">
      <w:pPr>
        <w:ind w:firstLine="552"/>
        <w:rPr>
          <w:rFonts w:ascii="宋体" w:hAnsi="宋体" w:cs="宋体"/>
          <w:color w:val="auto"/>
          <w:kern w:val="0"/>
          <w:szCs w:val="21"/>
          <w:highlight w:val="none"/>
        </w:rPr>
      </w:pPr>
    </w:p>
    <w:p w14:paraId="7CCCA98A">
      <w:pPr>
        <w:pStyle w:val="11"/>
        <w:spacing w:after="0" w:line="360" w:lineRule="auto"/>
        <w:contextualSpacing/>
        <w:rPr>
          <w:rFonts w:ascii="宋体" w:hAnsi="宋体" w:cs="宋体"/>
          <w:color w:val="auto"/>
          <w:kern w:val="0"/>
          <w:sz w:val="24"/>
          <w:szCs w:val="22"/>
          <w:highlight w:val="none"/>
        </w:rPr>
      </w:pPr>
      <w:r>
        <w:rPr>
          <w:rFonts w:hint="eastAsia" w:ascii="宋体" w:hAnsi="宋体" w:cs="宋体"/>
          <w:color w:val="auto"/>
          <w:kern w:val="0"/>
          <w:sz w:val="24"/>
          <w:szCs w:val="22"/>
          <w:highlight w:val="none"/>
        </w:rPr>
        <w:t>1从业人员、营业收入、资产总额填报上一年度数据，无上一年度数据的新成立企业可不填报。</w:t>
      </w:r>
    </w:p>
    <w:p w14:paraId="5DA9DD89">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7893F058">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5F47E764">
      <w:pPr>
        <w:pStyle w:val="11"/>
        <w:spacing w:after="0" w:line="360" w:lineRule="auto"/>
        <w:ind w:left="3960" w:right="1808"/>
        <w:contextualSpacing/>
        <w:rPr>
          <w:rFonts w:ascii="宋体" w:hAnsi="宋体" w:cs="宋体"/>
          <w:color w:val="auto"/>
          <w:highlight w:val="none"/>
        </w:rPr>
      </w:pPr>
    </w:p>
    <w:p w14:paraId="66C17F9E">
      <w:pPr>
        <w:tabs>
          <w:tab w:val="left" w:pos="7980"/>
        </w:tabs>
        <w:spacing w:line="360" w:lineRule="auto"/>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小微企业扶持政策的，采购人、采购代理机构应当随成交结果公开成交供应商的《小微企业声明函》。从业人员、营业收入、资产总额填报上一年度数据，无上一年度数据的新成立企业可不填报。</w:t>
      </w:r>
    </w:p>
    <w:p w14:paraId="27A3C5EF">
      <w:pPr>
        <w:snapToGrid w:val="0"/>
        <w:spacing w:before="120" w:beforeLines="50" w:after="50" w:line="360" w:lineRule="auto"/>
        <w:outlineLvl w:val="1"/>
        <w:rPr>
          <w:rFonts w:ascii="宋体" w:hAnsi="宋体" w:cs="宋体"/>
          <w:b/>
          <w:bCs/>
          <w:color w:val="auto"/>
          <w:sz w:val="32"/>
          <w:szCs w:val="32"/>
          <w:highlight w:val="none"/>
        </w:rPr>
        <w:sectPr>
          <w:pgSz w:w="11910" w:h="16840"/>
          <w:pgMar w:top="1440" w:right="1440" w:bottom="1440" w:left="1440" w:header="720" w:footer="720" w:gutter="0"/>
          <w:cols w:space="720" w:num="1"/>
        </w:sectPr>
      </w:pPr>
    </w:p>
    <w:p w14:paraId="20236B4E">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残疾人福利性单位声明函</w:t>
      </w:r>
    </w:p>
    <w:p w14:paraId="672D5B6B">
      <w:pPr>
        <w:spacing w:line="520" w:lineRule="exact"/>
        <w:rPr>
          <w:rFonts w:ascii="宋体" w:hAnsi="宋体" w:cs="宋体"/>
          <w:color w:val="auto"/>
          <w:sz w:val="32"/>
          <w:szCs w:val="32"/>
          <w:highlight w:val="none"/>
        </w:rPr>
      </w:pPr>
    </w:p>
    <w:p w14:paraId="6BFFB7FA">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项目采购活动由本单位提供服务。</w:t>
      </w:r>
    </w:p>
    <w:p w14:paraId="328A17BE">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52E1EA08">
      <w:pPr>
        <w:spacing w:line="360" w:lineRule="auto"/>
        <w:contextualSpacing/>
        <w:rPr>
          <w:rFonts w:ascii="宋体" w:hAnsi="宋体" w:cs="宋体"/>
          <w:color w:val="auto"/>
          <w:sz w:val="24"/>
          <w:highlight w:val="none"/>
        </w:rPr>
      </w:pPr>
    </w:p>
    <w:p w14:paraId="1A8E35DD">
      <w:pPr>
        <w:spacing w:line="360" w:lineRule="auto"/>
        <w:contextualSpacing/>
        <w:rPr>
          <w:rFonts w:ascii="宋体" w:hAnsi="宋体" w:cs="宋体"/>
          <w:color w:val="auto"/>
          <w:sz w:val="24"/>
          <w:highlight w:val="none"/>
        </w:rPr>
      </w:pPr>
    </w:p>
    <w:p w14:paraId="308A18AA">
      <w:pPr>
        <w:spacing w:line="360" w:lineRule="auto"/>
        <w:contextualSpacing/>
        <w:rPr>
          <w:rFonts w:ascii="宋体" w:hAnsi="宋体" w:cs="宋体"/>
          <w:color w:val="auto"/>
          <w:sz w:val="24"/>
          <w:highlight w:val="none"/>
        </w:rPr>
      </w:pPr>
    </w:p>
    <w:p w14:paraId="238BB38B">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供应商名称（电子签章）：</w:t>
      </w:r>
    </w:p>
    <w:p w14:paraId="0B040AF5">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6ADBBA82">
      <w:pPr>
        <w:spacing w:line="360" w:lineRule="auto"/>
        <w:contextualSpacing/>
        <w:rPr>
          <w:rFonts w:ascii="宋体" w:hAnsi="宋体" w:cs="宋体"/>
          <w:color w:val="auto"/>
          <w:sz w:val="24"/>
          <w:highlight w:val="none"/>
        </w:rPr>
      </w:pPr>
    </w:p>
    <w:p w14:paraId="364B8696">
      <w:pPr>
        <w:spacing w:line="360" w:lineRule="auto"/>
        <w:contextualSpacing/>
        <w:rPr>
          <w:rFonts w:ascii="宋体" w:hAnsi="宋体" w:cs="宋体"/>
          <w:color w:val="auto"/>
          <w:sz w:val="24"/>
          <w:highlight w:val="none"/>
        </w:rPr>
      </w:pPr>
    </w:p>
    <w:p w14:paraId="23CF306B">
      <w:pPr>
        <w:spacing w:line="360" w:lineRule="auto"/>
        <w:contextualSpacing/>
        <w:rPr>
          <w:rFonts w:ascii="宋体" w:hAnsi="宋体" w:cs="宋体"/>
          <w:color w:val="auto"/>
          <w:sz w:val="24"/>
          <w:highlight w:val="none"/>
        </w:rPr>
      </w:pPr>
    </w:p>
    <w:p w14:paraId="246AB46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注：请根据自己的真实情况出具《残疾人福利性单位声明函》。依法享受小微企业优惠政策的，采购人或者采购代理机构在公告中标结果时，同时公告其《残疾人福利性单位声明函》，接受社会监督。</w:t>
      </w:r>
    </w:p>
    <w:p w14:paraId="5D670FBC">
      <w:pPr>
        <w:snapToGrid w:val="0"/>
        <w:spacing w:line="360" w:lineRule="auto"/>
        <w:rPr>
          <w:rFonts w:ascii="宋体" w:hAnsi="宋体" w:cs="宋体"/>
          <w:bCs/>
          <w:color w:val="auto"/>
          <w:sz w:val="30"/>
          <w:szCs w:val="30"/>
          <w:highlight w:val="none"/>
        </w:rPr>
      </w:pPr>
    </w:p>
    <w:p w14:paraId="6263F00C">
      <w:pPr>
        <w:spacing w:line="360" w:lineRule="auto"/>
        <w:contextualSpacing/>
        <w:rPr>
          <w:rFonts w:hint="eastAsia" w:ascii="宋体" w:hAnsi="宋体" w:cs="宋体"/>
          <w:color w:val="auto"/>
          <w:sz w:val="24"/>
          <w:highlight w:val="none"/>
        </w:rPr>
      </w:pPr>
      <w:r>
        <w:rPr>
          <w:rFonts w:hint="eastAsia" w:ascii="宋体" w:hAnsi="宋体" w:cs="宋体"/>
          <w:b/>
          <w:bCs/>
          <w:color w:val="auto"/>
          <w:sz w:val="24"/>
          <w:highlight w:val="none"/>
          <w:lang w:val="en-US" w:eastAsia="zh-CN"/>
        </w:rPr>
        <w:t>七</w:t>
      </w:r>
      <w:r>
        <w:rPr>
          <w:rFonts w:hint="eastAsia" w:ascii="宋体" w:hAnsi="宋体" w:cs="宋体"/>
          <w:b/>
          <w:bCs/>
          <w:color w:val="auto"/>
          <w:sz w:val="24"/>
          <w:highlight w:val="none"/>
        </w:rPr>
        <w:t>、</w:t>
      </w:r>
      <w:r>
        <w:rPr>
          <w:rFonts w:hint="eastAsia" w:ascii="宋体" w:hAnsi="宋体" w:cs="宋体"/>
          <w:b/>
          <w:bCs/>
          <w:color w:val="auto"/>
          <w:sz w:val="24"/>
          <w:highlight w:val="none"/>
          <w:lang w:val="en-US" w:eastAsia="zh-CN"/>
        </w:rPr>
        <w:t>资格条件证明材料：</w:t>
      </w:r>
      <w:r>
        <w:rPr>
          <w:rFonts w:hint="eastAsia" w:ascii="宋体" w:hAnsi="宋体" w:cs="宋体"/>
          <w:b/>
          <w:bCs/>
          <w:color w:val="auto"/>
          <w:sz w:val="24"/>
          <w:highlight w:val="none"/>
          <w:lang w:eastAsia="zh-CN"/>
        </w:rPr>
        <w:t>①</w:t>
      </w:r>
      <w:r>
        <w:rPr>
          <w:rFonts w:hint="eastAsia" w:ascii="宋体" w:hAnsi="宋体" w:cs="宋体"/>
          <w:b/>
          <w:bCs/>
          <w:color w:val="auto"/>
          <w:sz w:val="24"/>
          <w:highlight w:val="none"/>
        </w:rPr>
        <w:t>供应商须具备公路工程施工总承包叁级(含)以上资质，</w:t>
      </w:r>
      <w:r>
        <w:rPr>
          <w:rFonts w:hint="eastAsia" w:ascii="宋体" w:hAnsi="宋体" w:cs="宋体"/>
          <w:b/>
          <w:bCs/>
          <w:color w:val="auto"/>
          <w:sz w:val="24"/>
          <w:highlight w:val="none"/>
          <w:lang w:val="en-US" w:eastAsia="zh-CN"/>
        </w:rPr>
        <w:t>同时</w:t>
      </w:r>
      <w:r>
        <w:rPr>
          <w:rFonts w:hint="eastAsia" w:ascii="宋体" w:hAnsi="宋体" w:cs="宋体"/>
          <w:b/>
          <w:bCs/>
          <w:color w:val="auto"/>
          <w:sz w:val="24"/>
          <w:highlight w:val="none"/>
        </w:rPr>
        <w:t>持有省级及以上建设行政主管部门颁发的安全生产许可证；②</w:t>
      </w:r>
      <w:r>
        <w:rPr>
          <w:rFonts w:hint="eastAsia" w:ascii="宋体" w:hAnsi="宋体" w:cs="宋体"/>
          <w:b/>
          <w:bCs/>
          <w:color w:val="auto"/>
          <w:sz w:val="24"/>
          <w:highlight w:val="none"/>
          <w:lang w:val="en-US" w:eastAsia="zh-CN"/>
        </w:rPr>
        <w:t>拟投入本项目的</w:t>
      </w:r>
      <w:r>
        <w:rPr>
          <w:rFonts w:hint="eastAsia" w:ascii="宋体" w:hAnsi="宋体" w:cs="宋体"/>
          <w:b/>
          <w:bCs/>
          <w:color w:val="auto"/>
          <w:sz w:val="24"/>
          <w:highlight w:val="none"/>
        </w:rPr>
        <w:t>项目经理须</w:t>
      </w:r>
      <w:r>
        <w:rPr>
          <w:rFonts w:hint="eastAsia" w:ascii="宋体" w:hAnsi="宋体" w:cs="宋体"/>
          <w:b/>
          <w:bCs/>
          <w:color w:val="auto"/>
          <w:sz w:val="24"/>
          <w:highlight w:val="none"/>
          <w:lang w:val="en-US" w:eastAsia="zh-CN"/>
        </w:rPr>
        <w:t>具备</w:t>
      </w:r>
      <w:r>
        <w:rPr>
          <w:rFonts w:hint="eastAsia" w:ascii="宋体" w:hAnsi="宋体" w:cs="宋体"/>
          <w:b/>
          <w:bCs/>
          <w:color w:val="auto"/>
          <w:sz w:val="24"/>
          <w:highlight w:val="none"/>
        </w:rPr>
        <w:t>公路工程专业</w:t>
      </w:r>
      <w:r>
        <w:rPr>
          <w:rFonts w:hint="eastAsia" w:ascii="宋体" w:hAnsi="宋体" w:cs="宋体"/>
          <w:b/>
          <w:bCs/>
          <w:color w:val="auto"/>
          <w:sz w:val="24"/>
          <w:highlight w:val="none"/>
          <w:lang w:val="en-US" w:eastAsia="zh-CN"/>
        </w:rPr>
        <w:t>贰</w:t>
      </w:r>
      <w:r>
        <w:rPr>
          <w:rFonts w:hint="eastAsia" w:ascii="宋体" w:hAnsi="宋体" w:cs="宋体"/>
          <w:b/>
          <w:bCs/>
          <w:color w:val="auto"/>
          <w:sz w:val="24"/>
          <w:highlight w:val="none"/>
        </w:rPr>
        <w:t>级以上(含</w:t>
      </w:r>
      <w:r>
        <w:rPr>
          <w:rFonts w:hint="eastAsia" w:ascii="宋体" w:hAnsi="宋体" w:cs="宋体"/>
          <w:b/>
          <w:bCs/>
          <w:color w:val="auto"/>
          <w:sz w:val="24"/>
          <w:highlight w:val="none"/>
          <w:lang w:val="en-US" w:eastAsia="zh-CN"/>
        </w:rPr>
        <w:t>贰级</w:t>
      </w:r>
      <w:r>
        <w:rPr>
          <w:rFonts w:hint="eastAsia" w:ascii="宋体" w:hAnsi="宋体" w:cs="宋体"/>
          <w:b/>
          <w:bCs/>
          <w:color w:val="auto"/>
          <w:sz w:val="24"/>
          <w:highlight w:val="none"/>
        </w:rPr>
        <w:t>)注册建造师资格，并持有省级或以上交通运输行政主管部门颁发的安全生产考核合格证(“三类人员”B 类证书)</w:t>
      </w:r>
      <w:r>
        <w:rPr>
          <w:rFonts w:hint="eastAsia" w:ascii="宋体" w:hAnsi="宋体" w:cs="宋体"/>
          <w:b/>
          <w:bCs/>
          <w:color w:val="auto"/>
          <w:sz w:val="24"/>
          <w:highlight w:val="none"/>
          <w:lang w:eastAsia="zh-CN"/>
        </w:rPr>
        <w:t>，③</w:t>
      </w:r>
      <w:r>
        <w:rPr>
          <w:rFonts w:hint="eastAsia" w:ascii="宋体" w:hAnsi="宋体" w:cs="宋体"/>
          <w:b/>
          <w:bCs/>
          <w:color w:val="auto"/>
          <w:sz w:val="24"/>
          <w:highlight w:val="none"/>
          <w:lang w:val="en-US" w:eastAsia="zh-CN"/>
        </w:rPr>
        <w:t>拟投入本项目的安全员应具有省级（或以上）交通主管部门颁发的《安全生产考核合格证书》 C证</w:t>
      </w:r>
    </w:p>
    <w:p w14:paraId="06B57C75">
      <w:pPr>
        <w:snapToGrid w:val="0"/>
        <w:spacing w:line="360" w:lineRule="auto"/>
        <w:ind w:firstLine="602" w:firstLineChars="200"/>
        <w:rPr>
          <w:rFonts w:ascii="宋体" w:hAnsi="宋体" w:cs="宋体"/>
          <w:b/>
          <w:color w:val="auto"/>
          <w:sz w:val="30"/>
          <w:szCs w:val="30"/>
          <w:highlight w:val="none"/>
        </w:rPr>
      </w:pPr>
    </w:p>
    <w:p w14:paraId="7FC72565">
      <w:pPr>
        <w:spacing w:line="360" w:lineRule="auto"/>
        <w:contextualSpacing/>
        <w:rPr>
          <w:rFonts w:hint="eastAsia" w:ascii="宋体" w:hAnsi="宋体" w:cs="宋体"/>
          <w:color w:val="auto"/>
          <w:sz w:val="24"/>
          <w:highlight w:val="none"/>
          <w:lang w:val="zh-CN" w:eastAsia="zh-CN"/>
        </w:rPr>
      </w:pPr>
    </w:p>
    <w:p w14:paraId="1636AEB2">
      <w:pPr>
        <w:spacing w:line="360" w:lineRule="auto"/>
        <w:contextualSpacing/>
        <w:rPr>
          <w:rFonts w:hint="eastAsia" w:ascii="宋体" w:hAnsi="宋体" w:cs="宋体"/>
          <w:color w:val="auto"/>
          <w:sz w:val="24"/>
          <w:highlight w:val="none"/>
          <w:lang w:val="zh-CN" w:eastAsia="zh-CN"/>
        </w:rPr>
      </w:pPr>
    </w:p>
    <w:p w14:paraId="759FE6ED">
      <w:pPr>
        <w:spacing w:line="360" w:lineRule="auto"/>
        <w:contextualSpacing/>
        <w:rPr>
          <w:rFonts w:hint="eastAsia" w:ascii="宋体" w:hAnsi="宋体" w:cs="宋体"/>
          <w:color w:val="auto"/>
          <w:sz w:val="24"/>
          <w:highlight w:val="none"/>
          <w:lang w:val="zh-CN" w:eastAsia="zh-CN"/>
        </w:rPr>
      </w:pPr>
    </w:p>
    <w:p w14:paraId="116D9287">
      <w:pPr>
        <w:spacing w:line="360" w:lineRule="auto"/>
        <w:contextualSpacing/>
        <w:rPr>
          <w:rFonts w:hint="eastAsia" w:ascii="宋体" w:hAnsi="宋体" w:cs="宋体"/>
          <w:color w:val="auto"/>
          <w:sz w:val="24"/>
          <w:highlight w:val="none"/>
          <w:lang w:val="en-US" w:eastAsia="zh-CN"/>
        </w:rPr>
      </w:pPr>
    </w:p>
    <w:p w14:paraId="4EBB53D3">
      <w:pPr>
        <w:spacing w:line="360" w:lineRule="auto"/>
        <w:contextualSpacing/>
        <w:rPr>
          <w:rFonts w:hint="eastAsia" w:ascii="宋体" w:hAnsi="宋体" w:cs="宋体"/>
          <w:color w:val="auto"/>
          <w:sz w:val="24"/>
          <w:highlight w:val="none"/>
          <w:lang w:val="en-US" w:eastAsia="zh-CN"/>
        </w:rPr>
      </w:pPr>
      <w:r>
        <w:rPr>
          <w:rFonts w:hint="eastAsia" w:ascii="宋体" w:hAnsi="宋体" w:cs="宋体"/>
          <w:b/>
          <w:bCs/>
          <w:color w:val="auto"/>
          <w:sz w:val="24"/>
          <w:highlight w:val="none"/>
          <w:lang w:val="en-US" w:eastAsia="zh-CN"/>
        </w:rPr>
        <w:t>八、承诺函</w:t>
      </w:r>
    </w:p>
    <w:p w14:paraId="7BB63DEA">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承诺函（一）</w:t>
      </w:r>
    </w:p>
    <w:p w14:paraId="6C5EEC3D">
      <w:pPr>
        <w:spacing w:before="240" w:after="240" w:line="500" w:lineRule="exact"/>
        <w:rPr>
          <w:rFonts w:ascii="宋体" w:hAnsi="宋体" w:cs="宋体"/>
          <w:color w:val="auto"/>
          <w:szCs w:val="21"/>
          <w:highlight w:val="none"/>
          <w:u w:val="single"/>
        </w:rPr>
      </w:pPr>
      <w:r>
        <w:rPr>
          <w:rFonts w:hint="eastAsia" w:ascii="宋体" w:hAnsi="宋体" w:cs="宋体"/>
          <w:color w:val="auto"/>
          <w:szCs w:val="21"/>
          <w:highlight w:val="none"/>
          <w:u w:val="single"/>
        </w:rPr>
        <w:t>致：（</w:t>
      </w:r>
      <w:r>
        <w:rPr>
          <w:rFonts w:hint="eastAsia" w:ascii="宋体" w:hAnsi="宋体" w:cs="宋体"/>
          <w:color w:val="auto"/>
          <w:szCs w:val="21"/>
          <w:highlight w:val="none"/>
          <w:u w:val="single"/>
          <w:lang w:val="en-US" w:eastAsia="zh-CN"/>
        </w:rPr>
        <w:t>采购人</w:t>
      </w:r>
      <w:r>
        <w:rPr>
          <w:rFonts w:hint="eastAsia" w:ascii="宋体" w:hAnsi="宋体" w:cs="宋体"/>
          <w:color w:val="auto"/>
          <w:szCs w:val="21"/>
          <w:highlight w:val="none"/>
          <w:u w:val="single"/>
        </w:rPr>
        <w:t>名称）：</w:t>
      </w:r>
    </w:p>
    <w:p w14:paraId="4548A362">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我公司决定参加</w:t>
      </w:r>
      <w:r>
        <w:rPr>
          <w:rFonts w:hint="eastAsia" w:ascii="宋体" w:hAnsi="宋体" w:cs="宋体"/>
          <w:color w:val="auto"/>
          <w:szCs w:val="21"/>
          <w:highlight w:val="none"/>
          <w:u w:val="single"/>
        </w:rPr>
        <w:t xml:space="preserve"> (项目名称) </w:t>
      </w:r>
      <w:r>
        <w:rPr>
          <w:rFonts w:hint="eastAsia" w:ascii="宋体" w:hAnsi="宋体" w:cs="宋体"/>
          <w:color w:val="auto"/>
          <w:szCs w:val="21"/>
          <w:highlight w:val="none"/>
        </w:rPr>
        <w:t>的</w:t>
      </w:r>
      <w:r>
        <w:rPr>
          <w:rFonts w:hint="eastAsia" w:ascii="宋体" w:hAnsi="宋体" w:cs="宋体"/>
          <w:color w:val="auto"/>
          <w:szCs w:val="21"/>
          <w:highlight w:val="none"/>
          <w:lang w:val="en-US" w:eastAsia="zh-CN"/>
        </w:rPr>
        <w:t>采购活动</w:t>
      </w:r>
      <w:r>
        <w:rPr>
          <w:rFonts w:hint="eastAsia" w:ascii="宋体" w:hAnsi="宋体" w:cs="宋体"/>
          <w:color w:val="auto"/>
          <w:szCs w:val="21"/>
          <w:highlight w:val="none"/>
        </w:rPr>
        <w:t>并作出如下承诺：</w:t>
      </w:r>
    </w:p>
    <w:p w14:paraId="061355AD">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一、我公司保证在递交</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文件截止之日止，在已完或在建的项目中没有存在拖欠或克扣农民工工资的行为；</w:t>
      </w:r>
    </w:p>
    <w:p w14:paraId="38A0C36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二、如我公司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后，同意按工程</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价的2%缴纳农民工工资保障金；</w:t>
      </w:r>
    </w:p>
    <w:p w14:paraId="52B30680">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三、如我公司</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，保证依法足额支付农民工工资，一旦本公司承建的项目出现拖欠农民工工资的，可由劳动保障、交通主管部门（或交通主管部门授权的机构）及建设单位根据相关规定从本公司的农民工工资保障金中先予支取。</w:t>
      </w:r>
    </w:p>
    <w:p w14:paraId="382C7D5B">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四、农民工工资保障金按现金支票或银行汇票的方式汇到发包人指定帐户。</w:t>
      </w:r>
    </w:p>
    <w:p w14:paraId="2458A83C">
      <w:pPr>
        <w:spacing w:line="500" w:lineRule="exact"/>
        <w:ind w:left="420" w:firstLine="480"/>
        <w:rPr>
          <w:rFonts w:ascii="宋体" w:hAnsi="宋体" w:cs="宋体"/>
          <w:color w:val="auto"/>
          <w:szCs w:val="21"/>
          <w:highlight w:val="none"/>
        </w:rPr>
      </w:pPr>
    </w:p>
    <w:p w14:paraId="06357AA1">
      <w:pPr>
        <w:ind w:left="420" w:firstLine="480"/>
        <w:rPr>
          <w:rFonts w:ascii="宋体" w:hAnsi="宋体" w:cs="宋体"/>
          <w:color w:val="auto"/>
          <w:szCs w:val="21"/>
          <w:highlight w:val="none"/>
        </w:rPr>
      </w:pPr>
    </w:p>
    <w:p w14:paraId="7198323A">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6B71D1EE">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17B29707">
      <w:pPr>
        <w:spacing w:line="500" w:lineRule="exact"/>
        <w:rPr>
          <w:rFonts w:ascii="宋体" w:hAnsi="宋体" w:cs="宋体"/>
          <w:color w:val="auto"/>
          <w:szCs w:val="21"/>
          <w:highlight w:val="none"/>
        </w:rPr>
      </w:pPr>
    </w:p>
    <w:p w14:paraId="60056B36">
      <w:pPr>
        <w:spacing w:before="240" w:after="240" w:line="500" w:lineRule="exact"/>
        <w:jc w:val="center"/>
        <w:rPr>
          <w:rFonts w:ascii="宋体" w:hAnsi="宋体" w:cs="宋体"/>
          <w:color w:val="auto"/>
          <w:sz w:val="24"/>
          <w:highlight w:val="none"/>
        </w:rPr>
      </w:pPr>
    </w:p>
    <w:p w14:paraId="6F11D844">
      <w:pPr>
        <w:spacing w:before="240" w:after="240" w:line="500" w:lineRule="exact"/>
        <w:jc w:val="center"/>
        <w:rPr>
          <w:rFonts w:ascii="宋体" w:hAnsi="宋体" w:cs="宋体"/>
          <w:color w:val="auto"/>
          <w:sz w:val="24"/>
          <w:highlight w:val="none"/>
        </w:rPr>
      </w:pPr>
    </w:p>
    <w:p w14:paraId="4AB3E01A">
      <w:pPr>
        <w:spacing w:before="240" w:after="240" w:line="500" w:lineRule="exact"/>
        <w:jc w:val="center"/>
        <w:rPr>
          <w:rFonts w:ascii="宋体" w:hAnsi="宋体" w:cs="宋体"/>
          <w:color w:val="auto"/>
          <w:sz w:val="24"/>
          <w:highlight w:val="none"/>
        </w:rPr>
      </w:pPr>
    </w:p>
    <w:p w14:paraId="1C5A128E">
      <w:pPr>
        <w:spacing w:before="240" w:after="240" w:line="500" w:lineRule="exact"/>
        <w:jc w:val="center"/>
        <w:rPr>
          <w:rFonts w:ascii="宋体" w:hAnsi="宋体" w:cs="宋体"/>
          <w:color w:val="auto"/>
          <w:sz w:val="24"/>
          <w:highlight w:val="none"/>
        </w:rPr>
      </w:pPr>
    </w:p>
    <w:p w14:paraId="21E33121">
      <w:pPr>
        <w:spacing w:before="240" w:after="240" w:line="500" w:lineRule="exact"/>
        <w:jc w:val="center"/>
        <w:rPr>
          <w:rFonts w:ascii="宋体" w:hAnsi="宋体" w:cs="宋体"/>
          <w:color w:val="auto"/>
          <w:sz w:val="24"/>
          <w:highlight w:val="none"/>
        </w:rPr>
      </w:pPr>
    </w:p>
    <w:p w14:paraId="4B157C99">
      <w:pPr>
        <w:spacing w:before="240" w:after="240" w:line="500" w:lineRule="exact"/>
        <w:jc w:val="center"/>
        <w:rPr>
          <w:rFonts w:ascii="宋体" w:hAnsi="宋体" w:cs="宋体"/>
          <w:color w:val="auto"/>
          <w:sz w:val="24"/>
          <w:highlight w:val="none"/>
        </w:rPr>
      </w:pPr>
    </w:p>
    <w:p w14:paraId="2230DED1">
      <w:pPr>
        <w:spacing w:before="240" w:after="240" w:line="500" w:lineRule="exact"/>
        <w:jc w:val="center"/>
        <w:rPr>
          <w:rFonts w:ascii="宋体" w:hAnsi="宋体" w:cs="宋体"/>
          <w:color w:val="auto"/>
          <w:sz w:val="24"/>
          <w:highlight w:val="none"/>
        </w:rPr>
      </w:pPr>
    </w:p>
    <w:p w14:paraId="20FFDE64">
      <w:pPr>
        <w:spacing w:before="240" w:after="240" w:line="500" w:lineRule="exact"/>
        <w:jc w:val="center"/>
        <w:rPr>
          <w:rFonts w:ascii="宋体" w:hAnsi="宋体" w:cs="宋体"/>
          <w:color w:val="auto"/>
          <w:sz w:val="24"/>
          <w:highlight w:val="none"/>
        </w:rPr>
      </w:pPr>
    </w:p>
    <w:p w14:paraId="044F1C95">
      <w:pPr>
        <w:spacing w:before="240" w:after="240" w:line="500" w:lineRule="exact"/>
        <w:jc w:val="center"/>
        <w:rPr>
          <w:rFonts w:ascii="宋体" w:hAnsi="宋体" w:cs="宋体"/>
          <w:b/>
          <w:bCs/>
          <w:color w:val="auto"/>
          <w:sz w:val="24"/>
          <w:highlight w:val="none"/>
        </w:rPr>
      </w:pPr>
      <w:r>
        <w:rPr>
          <w:rFonts w:hint="eastAsia" w:ascii="宋体" w:hAnsi="宋体" w:cs="宋体"/>
          <w:b/>
          <w:bCs/>
          <w:color w:val="auto"/>
          <w:sz w:val="24"/>
          <w:highlight w:val="none"/>
        </w:rPr>
        <w:t>承诺函（二）</w:t>
      </w:r>
    </w:p>
    <w:p w14:paraId="21817D1E">
      <w:pPr>
        <w:spacing w:before="240" w:after="240" w:line="500" w:lineRule="exac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采购人</w:t>
      </w:r>
      <w:r>
        <w:rPr>
          <w:rFonts w:hint="eastAsia" w:ascii="宋体" w:hAnsi="宋体" w:cs="宋体"/>
          <w:color w:val="auto"/>
          <w:sz w:val="24"/>
          <w:highlight w:val="none"/>
        </w:rPr>
        <w:t>名称）：</w:t>
      </w:r>
    </w:p>
    <w:p w14:paraId="256D07CF">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我方参加了</w:t>
      </w:r>
      <w:r>
        <w:rPr>
          <w:rFonts w:hint="eastAsia" w:ascii="宋体" w:hAnsi="宋体" w:cs="宋体"/>
          <w:color w:val="auto"/>
          <w:szCs w:val="21"/>
          <w:highlight w:val="none"/>
          <w:u w:val="single"/>
        </w:rPr>
        <w:t>（项目名称）</w:t>
      </w:r>
      <w:r>
        <w:rPr>
          <w:rFonts w:hint="eastAsia" w:ascii="宋体" w:hAnsi="宋体" w:cs="宋体"/>
          <w:color w:val="auto"/>
          <w:szCs w:val="21"/>
          <w:highlight w:val="none"/>
          <w:lang w:val="en-US" w:eastAsia="zh-CN"/>
        </w:rPr>
        <w:t>的采购活动</w:t>
      </w:r>
      <w:r>
        <w:rPr>
          <w:rFonts w:hint="eastAsia" w:ascii="宋体" w:hAnsi="宋体" w:cs="宋体"/>
          <w:color w:val="auto"/>
          <w:szCs w:val="21"/>
          <w:highlight w:val="none"/>
        </w:rPr>
        <w:t>，若我方</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，我方在此承诺：</w:t>
      </w:r>
    </w:p>
    <w:p w14:paraId="13BFC8C1">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文件未要求我方在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人向我方发出</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通知书之前，我方将按照合同附件提出的最低要求填报派驻本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的其他主要管理人员和技术人员及主要机械设备和试验检测设备，在经</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人审批后作为派驻本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的项目管理机构主要人员和主要设备且不进行更换，如需更换须经</w:t>
      </w:r>
      <w:r>
        <w:rPr>
          <w:rFonts w:hint="eastAsia" w:ascii="宋体" w:hAnsi="宋体" w:cs="宋体"/>
          <w:color w:val="auto"/>
          <w:szCs w:val="21"/>
          <w:highlight w:val="none"/>
          <w:lang w:val="en-US" w:eastAsia="zh-CN"/>
        </w:rPr>
        <w:t>采购人</w:t>
      </w:r>
      <w:r>
        <w:rPr>
          <w:rFonts w:hint="eastAsia" w:ascii="宋体" w:hAnsi="宋体" w:cs="宋体"/>
          <w:color w:val="auto"/>
          <w:szCs w:val="21"/>
          <w:highlight w:val="none"/>
        </w:rPr>
        <w:t>同意。</w:t>
      </w:r>
    </w:p>
    <w:p w14:paraId="1B5E8B9A">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若我方已按本项目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文件要求在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文件中填报派驻本</w:t>
      </w:r>
      <w:r>
        <w:rPr>
          <w:rFonts w:hint="eastAsia" w:ascii="宋体" w:hAnsi="宋体" w:cs="宋体"/>
          <w:color w:val="auto"/>
          <w:szCs w:val="21"/>
          <w:highlight w:val="none"/>
          <w:lang w:val="en-US" w:eastAsia="zh-CN"/>
        </w:rPr>
        <w:t>工程</w:t>
      </w:r>
      <w:r>
        <w:rPr>
          <w:rFonts w:hint="eastAsia" w:ascii="宋体" w:hAnsi="宋体" w:cs="宋体"/>
          <w:color w:val="auto"/>
          <w:szCs w:val="21"/>
          <w:highlight w:val="none"/>
        </w:rPr>
        <w:t>的其他主要管理人员和技术人员及主要机械设备和试验检测设备，我方将严格按照在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文件中填报的其他主要管理人员和技术人员及主要机械设备和试验检测设备组织进场施工，且不进行更换。</w:t>
      </w:r>
    </w:p>
    <w:p w14:paraId="321341F9">
      <w:pPr>
        <w:spacing w:line="5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如我方违背了上述承诺，本项目</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人有权取消我方的</w:t>
      </w:r>
      <w:r>
        <w:rPr>
          <w:rFonts w:hint="eastAsia" w:ascii="宋体" w:hAnsi="宋体" w:cs="宋体"/>
          <w:color w:val="auto"/>
          <w:szCs w:val="21"/>
          <w:highlight w:val="none"/>
          <w:lang w:val="en-US" w:eastAsia="zh-CN"/>
        </w:rPr>
        <w:t>成交</w:t>
      </w:r>
      <w:r>
        <w:rPr>
          <w:rFonts w:hint="eastAsia" w:ascii="宋体" w:hAnsi="宋体" w:cs="宋体"/>
          <w:color w:val="auto"/>
          <w:szCs w:val="21"/>
          <w:highlight w:val="none"/>
        </w:rPr>
        <w:t>资格，并由</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人将我方的违约行为上报交通行政主管部门，作为不良记录纳入公路建设市场信息管理系统。</w:t>
      </w:r>
    </w:p>
    <w:p w14:paraId="747FAB11">
      <w:pPr>
        <w:spacing w:line="500" w:lineRule="exact"/>
        <w:rPr>
          <w:rFonts w:ascii="宋体" w:hAnsi="宋体" w:cs="宋体"/>
          <w:color w:val="auto"/>
          <w:szCs w:val="21"/>
          <w:highlight w:val="none"/>
        </w:rPr>
      </w:pPr>
    </w:p>
    <w:p w14:paraId="02088AF4">
      <w:pPr>
        <w:rPr>
          <w:rFonts w:ascii="宋体" w:hAnsi="宋体" w:cs="宋体"/>
          <w:color w:val="auto"/>
          <w:szCs w:val="21"/>
          <w:highlight w:val="none"/>
        </w:rPr>
      </w:pPr>
    </w:p>
    <w:p w14:paraId="21FBB139">
      <w:pPr>
        <w:spacing w:line="500" w:lineRule="exact"/>
        <w:ind w:left="420" w:firstLine="480"/>
        <w:rPr>
          <w:rFonts w:ascii="宋体" w:hAnsi="宋体" w:cs="宋体"/>
          <w:color w:val="auto"/>
          <w:szCs w:val="21"/>
          <w:highlight w:val="none"/>
        </w:rPr>
      </w:pPr>
      <w:r>
        <w:rPr>
          <w:rFonts w:hint="eastAsia" w:ascii="宋体" w:hAnsi="宋体" w:cs="宋体"/>
          <w:color w:val="auto"/>
          <w:szCs w:val="21"/>
          <w:highlight w:val="none"/>
        </w:rPr>
        <w:t>供应商名称（电子签章）：</w:t>
      </w:r>
    </w:p>
    <w:p w14:paraId="78EA6F23">
      <w:pPr>
        <w:spacing w:line="500" w:lineRule="exact"/>
        <w:ind w:left="420" w:firstLine="480"/>
        <w:rPr>
          <w:rFonts w:ascii="宋体" w:hAnsi="宋体" w:cs="宋体"/>
          <w:color w:val="auto"/>
          <w:szCs w:val="21"/>
          <w:highlight w:val="none"/>
          <w:lang w:val="zh-CN"/>
        </w:rPr>
      </w:pPr>
      <w:r>
        <w:rPr>
          <w:rFonts w:hint="eastAsia" w:ascii="宋体" w:hAnsi="宋体" w:cs="宋体"/>
          <w:color w:val="auto"/>
          <w:szCs w:val="21"/>
          <w:highlight w:val="none"/>
          <w:lang w:val="zh-CN"/>
        </w:rPr>
        <w:t>日期：  年  月   日</w:t>
      </w:r>
    </w:p>
    <w:p w14:paraId="2B57718B">
      <w:pPr>
        <w:numPr>
          <w:ilvl w:val="0"/>
          <w:numId w:val="0"/>
        </w:numPr>
        <w:snapToGrid w:val="0"/>
        <w:spacing w:line="360" w:lineRule="auto"/>
        <w:rPr>
          <w:rFonts w:hint="eastAsia" w:ascii="宋体" w:hAnsi="宋体" w:eastAsia="宋体" w:cs="宋体"/>
          <w:b/>
          <w:color w:val="auto"/>
          <w:sz w:val="30"/>
          <w:szCs w:val="30"/>
          <w:highlight w:val="none"/>
          <w:lang w:val="en-US" w:eastAsia="zh-CN"/>
        </w:rPr>
      </w:pPr>
    </w:p>
    <w:p w14:paraId="279F1344">
      <w:pPr>
        <w:pStyle w:val="3"/>
        <w:jc w:val="center"/>
        <w:rPr>
          <w:rFonts w:hint="eastAsia" w:ascii="宋体" w:hAnsi="宋体" w:cs="宋体"/>
          <w:b w:val="0"/>
          <w:bCs w:val="0"/>
          <w:color w:val="auto"/>
          <w:highlight w:val="none"/>
        </w:rPr>
      </w:pPr>
      <w:bookmarkStart w:id="75" w:name="_Toc10861"/>
      <w:bookmarkStart w:id="76" w:name="_Toc80205940"/>
    </w:p>
    <w:p w14:paraId="17A5EFEF">
      <w:pPr>
        <w:pStyle w:val="3"/>
        <w:jc w:val="both"/>
        <w:rPr>
          <w:rFonts w:hint="eastAsia" w:ascii="宋体" w:hAnsi="宋体" w:cs="宋体"/>
          <w:b w:val="0"/>
          <w:bCs w:val="0"/>
          <w:color w:val="auto"/>
          <w:highlight w:val="none"/>
        </w:rPr>
      </w:pPr>
    </w:p>
    <w:p w14:paraId="546F607B">
      <w:pPr>
        <w:rPr>
          <w:rFonts w:hint="eastAsia"/>
          <w:color w:val="auto"/>
          <w:highlight w:val="none"/>
        </w:rPr>
      </w:pPr>
    </w:p>
    <w:p w14:paraId="2139C090">
      <w:pPr>
        <w:pStyle w:val="3"/>
        <w:jc w:val="center"/>
        <w:rPr>
          <w:rFonts w:hint="eastAsia" w:ascii="宋体" w:hAnsi="宋体" w:cs="宋体"/>
          <w:b w:val="0"/>
          <w:bCs w:val="0"/>
          <w:color w:val="auto"/>
          <w:highlight w:val="none"/>
        </w:rPr>
      </w:pPr>
    </w:p>
    <w:p w14:paraId="1794892C">
      <w:pPr>
        <w:rPr>
          <w:rFonts w:hint="eastAsia" w:ascii="宋体" w:hAnsi="宋体" w:cs="宋体"/>
          <w:b w:val="0"/>
          <w:bCs w:val="0"/>
          <w:color w:val="auto"/>
          <w:highlight w:val="none"/>
        </w:rPr>
      </w:pPr>
    </w:p>
    <w:p w14:paraId="46E6DBD6">
      <w:pPr>
        <w:rPr>
          <w:rFonts w:hint="eastAsia" w:ascii="宋体" w:hAnsi="宋体" w:cs="宋体"/>
          <w:b w:val="0"/>
          <w:bCs w:val="0"/>
          <w:color w:val="auto"/>
          <w:highlight w:val="none"/>
        </w:rPr>
      </w:pPr>
    </w:p>
    <w:p w14:paraId="5DEACF4A">
      <w:pPr>
        <w:pStyle w:val="3"/>
        <w:jc w:val="center"/>
        <w:rPr>
          <w:rFonts w:ascii="宋体" w:hAnsi="宋体" w:cs="宋体"/>
          <w:b w:val="0"/>
          <w:color w:val="auto"/>
          <w:highlight w:val="none"/>
        </w:rPr>
      </w:pPr>
      <w:r>
        <w:rPr>
          <w:rFonts w:hint="eastAsia" w:ascii="宋体" w:hAnsi="宋体" w:cs="宋体"/>
          <w:b w:val="0"/>
          <w:bCs w:val="0"/>
          <w:color w:val="auto"/>
          <w:highlight w:val="none"/>
        </w:rPr>
        <w:t xml:space="preserve">第三节 </w:t>
      </w:r>
      <w:r>
        <w:rPr>
          <w:rFonts w:hint="eastAsia" w:ascii="宋体" w:hAnsi="宋体" w:cs="宋体"/>
          <w:b w:val="0"/>
          <w:color w:val="auto"/>
          <w:highlight w:val="none"/>
        </w:rPr>
        <w:t>商务技术文件格式</w:t>
      </w:r>
      <w:bookmarkEnd w:id="75"/>
      <w:bookmarkEnd w:id="76"/>
    </w:p>
    <w:p w14:paraId="1093ED5F">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65F481CB">
      <w:pPr>
        <w:snapToGrid w:val="0"/>
        <w:spacing w:before="120" w:beforeLines="50" w:after="50"/>
        <w:rPr>
          <w:rFonts w:ascii="宋体" w:hAnsi="宋体" w:cs="宋体"/>
          <w:color w:val="auto"/>
          <w:sz w:val="24"/>
          <w:szCs w:val="20"/>
          <w:highlight w:val="none"/>
        </w:rPr>
      </w:pPr>
    </w:p>
    <w:p w14:paraId="1DF3BF8F">
      <w:pPr>
        <w:snapToGrid w:val="0"/>
        <w:spacing w:before="120" w:beforeLines="50" w:after="50"/>
        <w:rPr>
          <w:rFonts w:ascii="宋体" w:hAnsi="宋体" w:cs="宋体"/>
          <w:color w:val="auto"/>
          <w:sz w:val="24"/>
          <w:szCs w:val="20"/>
          <w:highlight w:val="none"/>
        </w:rPr>
      </w:pPr>
    </w:p>
    <w:p w14:paraId="450CEF16">
      <w:pPr>
        <w:snapToGrid w:val="0"/>
        <w:spacing w:before="120" w:beforeLines="50" w:after="50"/>
        <w:rPr>
          <w:rFonts w:ascii="宋体" w:hAnsi="宋体" w:cs="宋体"/>
          <w:color w:val="auto"/>
          <w:sz w:val="24"/>
          <w:szCs w:val="20"/>
          <w:highlight w:val="none"/>
        </w:rPr>
      </w:pPr>
    </w:p>
    <w:p w14:paraId="72DD07E8">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  务  技  术  文  件（封面）</w:t>
      </w:r>
    </w:p>
    <w:p w14:paraId="7D80F95D">
      <w:pPr>
        <w:snapToGrid w:val="0"/>
        <w:spacing w:before="120" w:beforeLines="50" w:after="50"/>
        <w:rPr>
          <w:rFonts w:ascii="宋体" w:hAnsi="宋体" w:cs="宋体"/>
          <w:bCs/>
          <w:color w:val="auto"/>
          <w:sz w:val="24"/>
          <w:szCs w:val="20"/>
          <w:highlight w:val="none"/>
        </w:rPr>
      </w:pPr>
    </w:p>
    <w:p w14:paraId="5116DDD0">
      <w:pPr>
        <w:snapToGrid w:val="0"/>
        <w:spacing w:before="120" w:beforeLines="50" w:after="50"/>
        <w:rPr>
          <w:rFonts w:ascii="宋体" w:hAnsi="宋体" w:cs="宋体"/>
          <w:bCs/>
          <w:color w:val="auto"/>
          <w:sz w:val="24"/>
          <w:szCs w:val="20"/>
          <w:highlight w:val="none"/>
        </w:rPr>
      </w:pPr>
    </w:p>
    <w:p w14:paraId="1E01574A">
      <w:pPr>
        <w:snapToGrid w:val="0"/>
        <w:spacing w:before="120" w:beforeLines="50" w:after="50"/>
        <w:rPr>
          <w:rFonts w:ascii="宋体" w:hAnsi="宋体" w:cs="宋体"/>
          <w:bCs/>
          <w:color w:val="auto"/>
          <w:sz w:val="24"/>
          <w:szCs w:val="20"/>
          <w:highlight w:val="none"/>
        </w:rPr>
      </w:pPr>
    </w:p>
    <w:p w14:paraId="7E00062C">
      <w:pPr>
        <w:snapToGrid w:val="0"/>
        <w:spacing w:before="120" w:beforeLines="50" w:after="50"/>
        <w:rPr>
          <w:rFonts w:ascii="宋体" w:hAnsi="宋体" w:cs="宋体"/>
          <w:bCs/>
          <w:color w:val="auto"/>
          <w:sz w:val="24"/>
          <w:szCs w:val="20"/>
          <w:highlight w:val="none"/>
        </w:rPr>
      </w:pPr>
    </w:p>
    <w:p w14:paraId="13E4982C">
      <w:pPr>
        <w:snapToGrid w:val="0"/>
        <w:spacing w:before="120" w:beforeLines="50" w:after="50"/>
        <w:rPr>
          <w:rFonts w:ascii="宋体" w:hAnsi="宋体" w:cs="宋体"/>
          <w:bCs/>
          <w:color w:val="auto"/>
          <w:sz w:val="24"/>
          <w:szCs w:val="20"/>
          <w:highlight w:val="none"/>
        </w:rPr>
      </w:pPr>
    </w:p>
    <w:p w14:paraId="305AAE0E">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77" w:name="PO_3000001868_PM002_6"/>
      <w:r>
        <w:rPr>
          <w:rFonts w:hint="eastAsia" w:ascii="宋体" w:hAnsi="宋体" w:cs="宋体"/>
          <w:bCs/>
          <w:color w:val="auto"/>
          <w:sz w:val="32"/>
          <w:szCs w:val="32"/>
          <w:highlight w:val="none"/>
        </w:rPr>
        <w:t>[项目名称]</w:t>
      </w:r>
      <w:bookmarkEnd w:id="77"/>
    </w:p>
    <w:p w14:paraId="0064B4AC">
      <w:pPr>
        <w:snapToGrid w:val="0"/>
        <w:spacing w:before="120" w:beforeLines="50" w:after="50"/>
        <w:ind w:firstLine="720" w:firstLineChars="225"/>
        <w:rPr>
          <w:rFonts w:ascii="宋体" w:hAnsi="宋体" w:cs="宋体"/>
          <w:bCs/>
          <w:color w:val="auto"/>
          <w:sz w:val="32"/>
          <w:szCs w:val="32"/>
          <w:highlight w:val="none"/>
        </w:rPr>
      </w:pPr>
    </w:p>
    <w:p w14:paraId="70123078">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78" w:name="PO_3000001868_PM001_7"/>
      <w:r>
        <w:rPr>
          <w:rFonts w:hint="eastAsia" w:ascii="宋体" w:hAnsi="宋体" w:cs="宋体"/>
          <w:bCs/>
          <w:color w:val="auto"/>
          <w:sz w:val="32"/>
          <w:szCs w:val="32"/>
          <w:highlight w:val="none"/>
        </w:rPr>
        <w:t>[项目编号]</w:t>
      </w:r>
      <w:bookmarkEnd w:id="78"/>
    </w:p>
    <w:p w14:paraId="51F3B995">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4EAEB650">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5B58CD69">
      <w:pPr>
        <w:snapToGrid w:val="0"/>
        <w:spacing w:before="120" w:beforeLines="50" w:after="50"/>
        <w:ind w:firstLine="720" w:firstLineChars="225"/>
        <w:rPr>
          <w:rFonts w:ascii="宋体" w:hAnsi="宋体" w:cs="宋体"/>
          <w:bCs/>
          <w:color w:val="auto"/>
          <w:sz w:val="32"/>
          <w:szCs w:val="32"/>
          <w:highlight w:val="none"/>
        </w:rPr>
      </w:pPr>
    </w:p>
    <w:p w14:paraId="02E825A1">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63F39D35">
      <w:pPr>
        <w:pStyle w:val="8"/>
        <w:snapToGrid w:val="0"/>
        <w:spacing w:before="50" w:after="50"/>
        <w:ind w:firstLine="720" w:firstLineChars="225"/>
        <w:rPr>
          <w:rFonts w:ascii="宋体" w:hAnsi="宋体" w:cs="宋体"/>
          <w:bCs/>
          <w:color w:val="auto"/>
          <w:sz w:val="32"/>
          <w:szCs w:val="32"/>
          <w:highlight w:val="none"/>
        </w:rPr>
      </w:pPr>
    </w:p>
    <w:p w14:paraId="575584AC">
      <w:pPr>
        <w:pStyle w:val="8"/>
        <w:snapToGrid w:val="0"/>
        <w:spacing w:before="50" w:after="50"/>
        <w:ind w:firstLine="720" w:firstLineChars="225"/>
        <w:rPr>
          <w:rFonts w:ascii="宋体" w:hAnsi="宋体" w:cs="宋体"/>
          <w:bCs/>
          <w:color w:val="auto"/>
          <w:sz w:val="32"/>
          <w:szCs w:val="32"/>
          <w:highlight w:val="none"/>
        </w:rPr>
      </w:pPr>
    </w:p>
    <w:p w14:paraId="59D7ED09">
      <w:pPr>
        <w:pStyle w:val="8"/>
        <w:snapToGrid w:val="0"/>
        <w:spacing w:before="50" w:after="50"/>
        <w:ind w:firstLine="1280" w:firstLineChars="400"/>
        <w:rPr>
          <w:rFonts w:ascii="宋体" w:hAnsi="宋体" w:cs="宋体"/>
          <w:bCs/>
          <w:color w:val="auto"/>
          <w:sz w:val="32"/>
          <w:szCs w:val="32"/>
          <w:highlight w:val="none"/>
        </w:rPr>
      </w:pPr>
    </w:p>
    <w:p w14:paraId="50139494">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62E08F26">
      <w:pPr>
        <w:widowControl/>
        <w:spacing w:line="360" w:lineRule="auto"/>
        <w:jc w:val="left"/>
        <w:rPr>
          <w:rFonts w:ascii="宋体" w:hAnsi="宋体" w:cs="宋体"/>
          <w:b/>
          <w:bCs/>
          <w:color w:val="auto"/>
          <w:sz w:val="32"/>
          <w:szCs w:val="32"/>
          <w:highlight w:val="none"/>
        </w:rPr>
        <w:sectPr>
          <w:pgSz w:w="11910" w:h="16840"/>
          <w:pgMar w:top="1340" w:right="1500" w:bottom="280" w:left="1680" w:header="720" w:footer="720" w:gutter="0"/>
          <w:cols w:space="720" w:num="1"/>
        </w:sectPr>
      </w:pPr>
    </w:p>
    <w:p w14:paraId="2A31B7F4">
      <w:pPr>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商务技术文件目录</w:t>
      </w:r>
    </w:p>
    <w:p w14:paraId="6199F545">
      <w:pPr>
        <w:jc w:val="center"/>
        <w:rPr>
          <w:rFonts w:ascii="宋体" w:hAnsi="宋体" w:cs="宋体"/>
          <w:b/>
          <w:color w:val="auto"/>
          <w:kern w:val="0"/>
          <w:sz w:val="28"/>
          <w:szCs w:val="28"/>
          <w:highlight w:val="none"/>
        </w:rPr>
      </w:pPr>
    </w:p>
    <w:p w14:paraId="5630806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一、无串标行为承诺函………………………………………………………（页码）</w:t>
      </w:r>
    </w:p>
    <w:p w14:paraId="384F6535">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二、法定代表人身份证明及法定代表人有效身份证正反面复印件………（页码）</w:t>
      </w:r>
    </w:p>
    <w:p w14:paraId="26CE1CC3">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三、法定代表人授权委托书及委托代理人有效身份证正反面复印件（如有委托时）………（页码）</w:t>
      </w:r>
    </w:p>
    <w:p w14:paraId="6CB65DD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rPr>
        <w:t>四、</w:t>
      </w:r>
      <w:r>
        <w:rPr>
          <w:rFonts w:hint="eastAsia" w:ascii="宋体" w:hAnsi="宋体" w:eastAsia="宋体" w:cs="宋体"/>
          <w:color w:val="auto"/>
          <w:highlight w:val="none"/>
          <w:lang w:val="zh-CN"/>
        </w:rPr>
        <w:t>商务条款偏离表………………………………</w:t>
      </w:r>
      <w:r>
        <w:rPr>
          <w:rFonts w:hint="eastAsia" w:ascii="宋体" w:hAnsi="宋体" w:eastAsia="宋体" w:cs="宋体"/>
          <w:color w:val="auto"/>
          <w:highlight w:val="none"/>
        </w:rPr>
        <w:t>…………………………（页码）</w:t>
      </w:r>
    </w:p>
    <w:p w14:paraId="5512BB0A">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施工组织设计</w:t>
      </w:r>
      <w:r>
        <w:rPr>
          <w:rFonts w:hint="eastAsia" w:ascii="宋体" w:hAnsi="宋体" w:eastAsia="宋体" w:cs="宋体"/>
          <w:color w:val="auto"/>
          <w:highlight w:val="none"/>
        </w:rPr>
        <w:t>…………………………………………………………（页码）</w:t>
      </w:r>
    </w:p>
    <w:p w14:paraId="7245A7B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、项目实施人员一览表……………………………………（页码）</w:t>
      </w:r>
    </w:p>
    <w:p w14:paraId="1EDA5D46">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代理服务费承诺书</w:t>
      </w:r>
      <w:r>
        <w:rPr>
          <w:rFonts w:hint="eastAsia" w:ascii="宋体" w:hAnsi="宋体" w:eastAsia="宋体" w:cs="宋体"/>
          <w:color w:val="auto"/>
          <w:highlight w:val="none"/>
        </w:rPr>
        <w:t>………………………………</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4290299">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八</w:t>
      </w:r>
      <w:r>
        <w:rPr>
          <w:rFonts w:hint="eastAsia" w:ascii="宋体" w:hAnsi="宋体" w:eastAsia="宋体" w:cs="宋体"/>
          <w:color w:val="auto"/>
          <w:highlight w:val="none"/>
        </w:rPr>
        <w:t>、对应采购需求的服务需求、商务条款提供的其他文件资料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78E6C502">
      <w:pPr>
        <w:pStyle w:val="38"/>
        <w:spacing w:line="360" w:lineRule="auto"/>
        <w:rPr>
          <w:rFonts w:ascii="宋体" w:hAnsi="宋体" w:eastAsia="宋体" w:cs="宋体"/>
          <w:color w:val="auto"/>
          <w:highlight w:val="none"/>
        </w:rPr>
      </w:pPr>
      <w:r>
        <w:rPr>
          <w:rFonts w:hint="eastAsia" w:ascii="宋体" w:hAnsi="宋体" w:eastAsia="宋体" w:cs="宋体"/>
          <w:color w:val="auto"/>
          <w:highlight w:val="none"/>
          <w:lang w:val="en-US" w:eastAsia="zh-CN"/>
        </w:rPr>
        <w:t>九</w:t>
      </w:r>
      <w:r>
        <w:rPr>
          <w:rFonts w:hint="eastAsia" w:ascii="宋体" w:hAnsi="宋体" w:eastAsia="宋体" w:cs="宋体"/>
          <w:color w:val="auto"/>
          <w:highlight w:val="none"/>
        </w:rPr>
        <w:t>、服务需求、商务条款要求提供的其他材料</w:t>
      </w:r>
      <w:r>
        <w:rPr>
          <w:rFonts w:hint="eastAsia" w:ascii="宋体" w:hAnsi="宋体" w:eastAsia="宋体" w:cs="宋体"/>
          <w:color w:val="auto"/>
          <w:highlight w:val="none"/>
          <w:lang w:val="zh-CN"/>
        </w:rPr>
        <w:t>…………………</w:t>
      </w:r>
      <w:r>
        <w:rPr>
          <w:rFonts w:hint="eastAsia" w:ascii="宋体" w:hAnsi="宋体" w:eastAsia="宋体" w:cs="宋体"/>
          <w:color w:val="auto"/>
          <w:highlight w:val="none"/>
        </w:rPr>
        <w:t>………（页码）</w:t>
      </w:r>
    </w:p>
    <w:p w14:paraId="0C116AC7">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注：以上目录是基本格式要求，各供应商可根据自身情况进一步向下增加内容或细化。</w:t>
      </w:r>
    </w:p>
    <w:p w14:paraId="20345898">
      <w:pPr>
        <w:spacing w:line="400" w:lineRule="exact"/>
        <w:rPr>
          <w:rFonts w:ascii="宋体" w:hAnsi="宋体" w:cs="宋体"/>
          <w:color w:val="auto"/>
          <w:sz w:val="32"/>
          <w:szCs w:val="32"/>
          <w:highlight w:val="none"/>
        </w:rPr>
      </w:pPr>
    </w:p>
    <w:p w14:paraId="0B30B912">
      <w:pPr>
        <w:spacing w:line="520" w:lineRule="exact"/>
        <w:ind w:firstLine="880" w:firstLineChars="200"/>
        <w:rPr>
          <w:rFonts w:ascii="宋体" w:hAnsi="宋体" w:cs="宋体"/>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一、无串标行为承诺函</w:t>
      </w:r>
    </w:p>
    <w:p w14:paraId="7318E60A">
      <w:pPr>
        <w:spacing w:line="520" w:lineRule="exact"/>
        <w:jc w:val="center"/>
        <w:rPr>
          <w:rFonts w:ascii="宋体" w:hAnsi="宋体" w:cs="宋体"/>
          <w:color w:val="auto"/>
          <w:sz w:val="44"/>
          <w:szCs w:val="44"/>
          <w:highlight w:val="none"/>
        </w:rPr>
      </w:pPr>
    </w:p>
    <w:p w14:paraId="401FB7D0">
      <w:pPr>
        <w:spacing w:line="520" w:lineRule="exact"/>
        <w:jc w:val="center"/>
        <w:rPr>
          <w:rFonts w:ascii="宋体" w:hAnsi="宋体" w:cs="宋体"/>
          <w:color w:val="auto"/>
          <w:sz w:val="32"/>
          <w:szCs w:val="32"/>
          <w:highlight w:val="none"/>
        </w:rPr>
      </w:pPr>
      <w:r>
        <w:rPr>
          <w:rFonts w:hint="eastAsia" w:ascii="宋体" w:hAnsi="宋体" w:cs="宋体"/>
          <w:color w:val="auto"/>
          <w:sz w:val="44"/>
          <w:szCs w:val="44"/>
          <w:highlight w:val="none"/>
        </w:rPr>
        <w:t>无串通竞标行为的承诺函</w:t>
      </w:r>
    </w:p>
    <w:p w14:paraId="40D37E96">
      <w:pPr>
        <w:spacing w:line="520" w:lineRule="exact"/>
        <w:ind w:firstLine="640" w:firstLineChars="200"/>
        <w:rPr>
          <w:rFonts w:ascii="宋体" w:hAnsi="宋体" w:cs="宋体"/>
          <w:color w:val="auto"/>
          <w:sz w:val="32"/>
          <w:szCs w:val="32"/>
          <w:highlight w:val="none"/>
        </w:rPr>
      </w:pPr>
    </w:p>
    <w:p w14:paraId="55A60DEA">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74143F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1.不同供应商的响应文件由同一单位或者个人编制；或者不同供应商报名的IP地址一致的；或者编制响应文件硬件设备CPU编号、硬盘编号、网卡地址一致的情况。  </w:t>
      </w:r>
    </w:p>
    <w:p w14:paraId="7B8A613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65BB201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57E233F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A39F2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491BDE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6.不同供应商的磋商保证金从同一单位或者个人账户转出。</w:t>
      </w:r>
    </w:p>
    <w:p w14:paraId="7A5E9407">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3FEF770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3FC953A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2D6C92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48DFF5F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5ABFBF0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4ACB4C6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1B7EC31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2A3B88C">
      <w:pPr>
        <w:spacing w:line="360" w:lineRule="auto"/>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1F746E73">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7C94CB">
      <w:pPr>
        <w:spacing w:line="520" w:lineRule="exact"/>
        <w:ind w:left="239" w:leftChars="114" w:firstLine="6120" w:firstLineChars="2550"/>
        <w:jc w:val="left"/>
        <w:rPr>
          <w:rFonts w:ascii="宋体" w:hAnsi="宋体" w:cs="宋体"/>
          <w:bCs/>
          <w:color w:val="auto"/>
          <w:sz w:val="44"/>
          <w:szCs w:val="44"/>
          <w:highlight w:val="none"/>
        </w:rPr>
      </w:pPr>
      <w:r>
        <w:rPr>
          <w:rFonts w:hint="eastAsia" w:ascii="宋体" w:hAnsi="宋体" w:cs="宋体"/>
          <w:color w:val="auto"/>
          <w:kern w:val="0"/>
          <w:sz w:val="24"/>
          <w:highlight w:val="none"/>
          <w:lang w:val="zh-CN"/>
        </w:rPr>
        <w:t xml:space="preserve">日期：  年  月   日   </w:t>
      </w:r>
      <w:r>
        <w:rPr>
          <w:rFonts w:hint="eastAsia" w:ascii="宋体" w:hAnsi="宋体" w:cs="宋体"/>
          <w:b/>
          <w:bCs/>
          <w:color w:val="auto"/>
          <w:sz w:val="32"/>
          <w:szCs w:val="32"/>
          <w:highlight w:val="none"/>
        </w:rPr>
        <w:br w:type="page"/>
      </w:r>
      <w:r>
        <w:rPr>
          <w:rFonts w:hint="eastAsia" w:ascii="宋体" w:hAnsi="宋体" w:cs="宋体"/>
          <w:b/>
          <w:color w:val="auto"/>
          <w:sz w:val="30"/>
          <w:szCs w:val="30"/>
          <w:highlight w:val="none"/>
        </w:rPr>
        <w:t>二、法定代表人身份证明及法定代表人有效身份证正反面复印件</w:t>
      </w:r>
    </w:p>
    <w:p w14:paraId="665C2D0F">
      <w:pPr>
        <w:spacing w:line="520" w:lineRule="exact"/>
        <w:jc w:val="center"/>
        <w:rPr>
          <w:rFonts w:ascii="宋体" w:hAnsi="宋体" w:cs="宋体"/>
          <w:color w:val="auto"/>
          <w:sz w:val="32"/>
          <w:szCs w:val="32"/>
          <w:highlight w:val="none"/>
        </w:rPr>
      </w:pPr>
      <w:r>
        <w:rPr>
          <w:rFonts w:hint="eastAsia" w:ascii="宋体" w:hAnsi="宋体" w:cs="宋体"/>
          <w:bCs/>
          <w:color w:val="auto"/>
          <w:sz w:val="44"/>
          <w:szCs w:val="44"/>
          <w:highlight w:val="none"/>
        </w:rPr>
        <w:t>法定代表人证明书</w:t>
      </w:r>
    </w:p>
    <w:p w14:paraId="50F971EF">
      <w:pPr>
        <w:spacing w:line="360" w:lineRule="auto"/>
        <w:ind w:left="540"/>
        <w:contextualSpacing/>
        <w:rPr>
          <w:rFonts w:ascii="宋体" w:hAnsi="宋体" w:cs="宋体"/>
          <w:color w:val="auto"/>
          <w:sz w:val="32"/>
          <w:szCs w:val="32"/>
          <w:highlight w:val="none"/>
        </w:rPr>
      </w:pPr>
    </w:p>
    <w:p w14:paraId="3849322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0BD07F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77A742B">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336BAAE0">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09247ED6">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1BB241D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35B7162">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286415E9">
      <w:pPr>
        <w:spacing w:line="360" w:lineRule="auto"/>
        <w:ind w:left="540"/>
        <w:contextualSpacing/>
        <w:rPr>
          <w:rFonts w:ascii="宋体" w:hAnsi="宋体" w:cs="宋体"/>
          <w:color w:val="auto"/>
          <w:sz w:val="24"/>
          <w:highlight w:val="none"/>
        </w:rPr>
      </w:pPr>
    </w:p>
    <w:p w14:paraId="33121E13">
      <w:pPr>
        <w:spacing w:line="360" w:lineRule="auto"/>
        <w:ind w:left="540"/>
        <w:contextualSpacing/>
        <w:rPr>
          <w:rFonts w:ascii="宋体" w:hAnsi="宋体" w:cs="宋体"/>
          <w:color w:val="auto"/>
          <w:sz w:val="24"/>
          <w:highlight w:val="none"/>
        </w:rPr>
      </w:pPr>
    </w:p>
    <w:p w14:paraId="24C2F003">
      <w:pPr>
        <w:spacing w:line="360" w:lineRule="auto"/>
        <w:ind w:left="540"/>
        <w:contextualSpacing/>
        <w:rPr>
          <w:rFonts w:ascii="宋体" w:hAnsi="宋体" w:cs="宋体"/>
          <w:color w:val="auto"/>
          <w:sz w:val="24"/>
          <w:highlight w:val="none"/>
        </w:rPr>
      </w:pPr>
    </w:p>
    <w:p w14:paraId="58470A5D">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5B3125CA">
      <w:pPr>
        <w:spacing w:line="360" w:lineRule="auto"/>
        <w:ind w:left="540"/>
        <w:contextualSpacing/>
        <w:rPr>
          <w:rFonts w:ascii="宋体" w:hAnsi="宋体" w:cs="宋体"/>
          <w:color w:val="auto"/>
          <w:sz w:val="24"/>
          <w:highlight w:val="none"/>
        </w:rPr>
      </w:pPr>
    </w:p>
    <w:p w14:paraId="7563E9FE">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5BA14790">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3E6521E">
      <w:pPr>
        <w:spacing w:line="360" w:lineRule="auto"/>
        <w:jc w:val="left"/>
        <w:rPr>
          <w:rFonts w:ascii="宋体" w:hAnsi="宋体" w:cs="宋体"/>
          <w:color w:val="auto"/>
          <w:sz w:val="24"/>
          <w:highlight w:val="none"/>
        </w:rPr>
      </w:pPr>
    </w:p>
    <w:p w14:paraId="2733C839">
      <w:pPr>
        <w:spacing w:line="360" w:lineRule="auto"/>
        <w:jc w:val="left"/>
        <w:rPr>
          <w:rFonts w:ascii="宋体" w:hAnsi="宋体" w:cs="宋体"/>
          <w:color w:val="auto"/>
          <w:sz w:val="24"/>
          <w:highlight w:val="none"/>
        </w:rPr>
      </w:pPr>
      <w:r>
        <w:rPr>
          <w:rFonts w:hint="eastAsia" w:ascii="宋体" w:hAnsi="宋体" w:cs="宋体"/>
          <w:color w:val="auto"/>
          <w:sz w:val="24"/>
          <w:highlight w:val="none"/>
        </w:rPr>
        <w:t>注：1.自然人竞标的无需提供，联合体竞标的只需牵头人出具。</w:t>
      </w:r>
    </w:p>
    <w:p w14:paraId="74FE471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FD39E92">
      <w:pPr>
        <w:widowControl/>
        <w:spacing w:line="360" w:lineRule="auto"/>
        <w:jc w:val="left"/>
        <w:rPr>
          <w:rFonts w:ascii="宋体" w:hAnsi="宋体" w:cs="宋体"/>
          <w:color w:val="auto"/>
          <w:sz w:val="24"/>
          <w:highlight w:val="none"/>
        </w:rPr>
        <w:sectPr>
          <w:pgSz w:w="11910" w:h="16840"/>
          <w:pgMar w:top="1340" w:right="1500" w:bottom="280" w:left="1680" w:header="720" w:footer="720" w:gutter="0"/>
          <w:cols w:space="720" w:num="1"/>
        </w:sectPr>
      </w:pPr>
    </w:p>
    <w:tbl>
      <w:tblPr>
        <w:tblStyle w:val="26"/>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43FD0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tcPr>
          <w:p w14:paraId="5B59E29A">
            <w:pPr>
              <w:spacing w:line="360" w:lineRule="auto"/>
              <w:rPr>
                <w:rFonts w:ascii="宋体" w:hAnsi="宋体" w:cs="宋体"/>
                <w:b/>
                <w:color w:val="auto"/>
                <w:sz w:val="24"/>
                <w:highlight w:val="none"/>
              </w:rPr>
            </w:pPr>
          </w:p>
          <w:p w14:paraId="788CF6A6">
            <w:pPr>
              <w:spacing w:line="360" w:lineRule="auto"/>
              <w:rPr>
                <w:rFonts w:ascii="宋体" w:hAnsi="宋体" w:cs="宋体"/>
                <w:b/>
                <w:color w:val="auto"/>
                <w:sz w:val="24"/>
                <w:highlight w:val="none"/>
              </w:rPr>
            </w:pPr>
            <w:r>
              <w:rPr>
                <w:rFonts w:hint="eastAsia" w:ascii="宋体" w:hAnsi="宋体" w:cs="宋体"/>
                <w:b/>
                <w:color w:val="auto"/>
                <w:sz w:val="24"/>
                <w:highlight w:val="none"/>
              </w:rPr>
              <w:t>法定代表身份证复印件粘帖处（正、反面）</w:t>
            </w:r>
          </w:p>
        </w:tc>
      </w:tr>
    </w:tbl>
    <w:p w14:paraId="5DFCE5D1">
      <w:pPr>
        <w:spacing w:line="360" w:lineRule="auto"/>
        <w:ind w:firstLine="482" w:firstLineChars="200"/>
        <w:jc w:val="left"/>
        <w:rPr>
          <w:rFonts w:ascii="宋体" w:hAnsi="宋体" w:cs="宋体"/>
          <w:b/>
          <w:color w:val="auto"/>
          <w:sz w:val="32"/>
          <w:szCs w:val="32"/>
          <w:highlight w:val="none"/>
        </w:rPr>
      </w:pPr>
      <w:r>
        <w:rPr>
          <w:rFonts w:hint="eastAsia" w:ascii="宋体" w:hAnsi="宋体" w:cs="宋体"/>
          <w:b/>
          <w:color w:val="auto"/>
          <w:sz w:val="24"/>
          <w:highlight w:val="none"/>
        </w:rPr>
        <w:t>附件：</w:t>
      </w:r>
    </w:p>
    <w:p w14:paraId="4650C3F5">
      <w:pPr>
        <w:adjustRightInd w:val="0"/>
        <w:snapToGrid w:val="0"/>
        <w:spacing w:line="300" w:lineRule="auto"/>
        <w:jc w:val="left"/>
        <w:rPr>
          <w:rFonts w:ascii="宋体" w:hAnsi="宋体" w:cs="宋体"/>
          <w:b/>
          <w:color w:val="auto"/>
          <w:szCs w:val="21"/>
          <w:highlight w:val="none"/>
        </w:rPr>
      </w:pPr>
    </w:p>
    <w:p w14:paraId="04209ADF">
      <w:pPr>
        <w:spacing w:line="520" w:lineRule="exact"/>
        <w:ind w:firstLine="880"/>
        <w:jc w:val="left"/>
        <w:rPr>
          <w:rFonts w:ascii="宋体" w:hAnsi="宋体" w:cs="宋体"/>
          <w:bCs/>
          <w:color w:val="auto"/>
          <w:sz w:val="44"/>
          <w:szCs w:val="44"/>
          <w:highlight w:val="none"/>
        </w:rPr>
      </w:pPr>
      <w:r>
        <w:rPr>
          <w:rFonts w:hint="eastAsia" w:ascii="宋体" w:hAnsi="宋体" w:cs="宋体"/>
          <w:color w:val="auto"/>
          <w:sz w:val="44"/>
          <w:szCs w:val="44"/>
          <w:highlight w:val="none"/>
        </w:rPr>
        <w:br w:type="page"/>
      </w:r>
      <w:r>
        <w:rPr>
          <w:rFonts w:hint="eastAsia" w:ascii="宋体" w:hAnsi="宋体" w:cs="宋体"/>
          <w:b/>
          <w:color w:val="auto"/>
          <w:sz w:val="30"/>
          <w:szCs w:val="30"/>
          <w:highlight w:val="none"/>
        </w:rPr>
        <w:t>三、法定代表人授权委托书</w:t>
      </w:r>
    </w:p>
    <w:p w14:paraId="2B33931D">
      <w:pPr>
        <w:spacing w:line="500" w:lineRule="exact"/>
        <w:jc w:val="center"/>
        <w:rPr>
          <w:rFonts w:ascii="宋体" w:hAnsi="宋体" w:cs="宋体"/>
          <w:color w:val="auto"/>
          <w:sz w:val="44"/>
          <w:szCs w:val="44"/>
          <w:highlight w:val="none"/>
        </w:rPr>
      </w:pPr>
    </w:p>
    <w:p w14:paraId="185822C6">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授权委托书</w:t>
      </w:r>
    </w:p>
    <w:p w14:paraId="2F76E2F3">
      <w:pPr>
        <w:spacing w:line="520" w:lineRule="exact"/>
        <w:jc w:val="center"/>
        <w:rPr>
          <w:rFonts w:ascii="宋体" w:hAnsi="宋体" w:cs="宋体"/>
          <w:color w:val="auto"/>
          <w:sz w:val="44"/>
          <w:szCs w:val="44"/>
          <w:highlight w:val="none"/>
        </w:rPr>
      </w:pPr>
      <w:r>
        <w:rPr>
          <w:rFonts w:hint="eastAsia" w:ascii="宋体" w:hAnsi="宋体" w:cs="宋体"/>
          <w:color w:val="auto"/>
          <w:sz w:val="44"/>
          <w:szCs w:val="44"/>
          <w:highlight w:val="none"/>
        </w:rPr>
        <w:t>（如有委托时）</w:t>
      </w:r>
    </w:p>
    <w:p w14:paraId="40313306">
      <w:pPr>
        <w:spacing w:line="520" w:lineRule="exact"/>
        <w:rPr>
          <w:rFonts w:ascii="宋体" w:hAnsi="宋体" w:cs="宋体"/>
          <w:color w:val="auto"/>
          <w:sz w:val="32"/>
          <w:szCs w:val="32"/>
          <w:highlight w:val="none"/>
        </w:rPr>
      </w:pPr>
    </w:p>
    <w:p w14:paraId="17A83CE2">
      <w:pPr>
        <w:spacing w:line="360" w:lineRule="auto"/>
        <w:rPr>
          <w:rFonts w:ascii="宋体" w:hAnsi="宋体" w:cs="宋体"/>
          <w:color w:val="auto"/>
          <w:sz w:val="24"/>
          <w:highlight w:val="none"/>
        </w:rPr>
      </w:pPr>
      <w:r>
        <w:rPr>
          <w:rFonts w:hint="eastAsia" w:ascii="宋体" w:hAnsi="宋体" w:cs="宋体"/>
          <w:color w:val="auto"/>
          <w:sz w:val="24"/>
          <w:highlight w:val="none"/>
        </w:rPr>
        <w:t>致：</w:t>
      </w:r>
      <w:bookmarkStart w:id="79" w:name="PO_3000001868_PM031_7"/>
      <w:r>
        <w:rPr>
          <w:rFonts w:hint="eastAsia" w:ascii="宋体" w:hAnsi="宋体" w:cs="宋体"/>
          <w:color w:val="auto"/>
          <w:sz w:val="24"/>
          <w:highlight w:val="none"/>
          <w:u w:val="single"/>
        </w:rPr>
        <w:t>[采购</w:t>
      </w:r>
      <w:r>
        <w:rPr>
          <w:rFonts w:hint="eastAsia" w:ascii="宋体" w:hAnsi="宋体" w:cs="宋体"/>
          <w:color w:val="auto"/>
          <w:sz w:val="24"/>
          <w:highlight w:val="none"/>
          <w:u w:val="single"/>
          <w:lang w:val="en-US" w:eastAsia="zh-CN"/>
        </w:rPr>
        <w:t>人或采购代理机构</w:t>
      </w:r>
      <w:r>
        <w:rPr>
          <w:rFonts w:hint="eastAsia" w:ascii="宋体" w:hAnsi="宋体" w:cs="宋体"/>
          <w:color w:val="auto"/>
          <w:sz w:val="24"/>
          <w:highlight w:val="none"/>
          <w:u w:val="single"/>
        </w:rPr>
        <w:t>]</w:t>
      </w:r>
      <w:bookmarkEnd w:id="79"/>
      <w:r>
        <w:rPr>
          <w:rFonts w:hint="eastAsia" w:ascii="宋体" w:hAnsi="宋体" w:cs="宋体"/>
          <w:color w:val="auto"/>
          <w:sz w:val="24"/>
          <w:highlight w:val="none"/>
        </w:rPr>
        <w:t>：</w:t>
      </w:r>
    </w:p>
    <w:p w14:paraId="0B4F8E1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（供应商名称）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（姓名） </w:t>
      </w:r>
      <w:r>
        <w:rPr>
          <w:rFonts w:hint="eastAsia" w:ascii="宋体" w:hAnsi="宋体" w:cs="宋体"/>
          <w:color w:val="auto"/>
          <w:sz w:val="24"/>
          <w:highlight w:val="none"/>
        </w:rPr>
        <w:t>以我方的名义参加</w:t>
      </w:r>
      <w:bookmarkStart w:id="80" w:name="PO_3000001868_PM002_7"/>
      <w:r>
        <w:rPr>
          <w:rFonts w:hint="eastAsia" w:ascii="宋体" w:hAnsi="宋体" w:cs="宋体"/>
          <w:color w:val="auto"/>
          <w:sz w:val="24"/>
          <w:highlight w:val="none"/>
          <w:u w:val="single"/>
        </w:rPr>
        <w:t>[项目名称]</w:t>
      </w:r>
      <w:bookmarkEnd w:id="80"/>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36102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65DB136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6E0E12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6C554D6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58E1B58D">
      <w:pPr>
        <w:spacing w:line="360" w:lineRule="auto"/>
        <w:rPr>
          <w:rFonts w:ascii="宋体" w:hAnsi="宋体" w:cs="宋体"/>
          <w:color w:val="auto"/>
          <w:sz w:val="24"/>
          <w:highlight w:val="none"/>
        </w:rPr>
      </w:pPr>
    </w:p>
    <w:p w14:paraId="278E6410">
      <w:pPr>
        <w:spacing w:line="360" w:lineRule="auto"/>
        <w:rPr>
          <w:rFonts w:ascii="宋体" w:hAnsi="宋体" w:cs="宋体"/>
          <w:color w:val="auto"/>
          <w:sz w:val="24"/>
          <w:highlight w:val="none"/>
        </w:rPr>
      </w:pPr>
      <w:r>
        <w:rPr>
          <w:rFonts w:hint="eastAsia" w:ascii="宋体" w:hAnsi="宋体" w:cs="宋体"/>
          <w:color w:val="auto"/>
          <w:sz w:val="24"/>
          <w:highlight w:val="none"/>
        </w:rPr>
        <w:t>委托代理人（签字</w:t>
      </w:r>
      <w:r>
        <w:rPr>
          <w:rFonts w:hint="eastAsia" w:ascii="宋体" w:hAnsi="宋体" w:cs="宋体"/>
          <w:color w:val="auto"/>
          <w:sz w:val="24"/>
          <w:highlight w:val="none"/>
          <w:lang w:val="en-US" w:eastAsia="zh-CN"/>
        </w:rPr>
        <w:t>或签章</w:t>
      </w:r>
      <w:r>
        <w:rPr>
          <w:rFonts w:hint="eastAsia" w:ascii="宋体" w:hAnsi="宋体" w:cs="宋体"/>
          <w:color w:val="auto"/>
          <w:sz w:val="24"/>
          <w:highlight w:val="none"/>
        </w:rPr>
        <w:t>）：         法定代表人（签字或</w:t>
      </w:r>
      <w:r>
        <w:rPr>
          <w:rFonts w:hint="eastAsia" w:ascii="宋体" w:hAnsi="宋体" w:cs="宋体"/>
          <w:color w:val="auto"/>
          <w:sz w:val="24"/>
          <w:highlight w:val="none"/>
          <w:lang w:val="en-US" w:eastAsia="zh-CN"/>
        </w:rPr>
        <w:t>签章</w:t>
      </w:r>
      <w:r>
        <w:rPr>
          <w:rFonts w:hint="eastAsia" w:ascii="宋体" w:hAnsi="宋体" w:cs="宋体"/>
          <w:color w:val="auto"/>
          <w:sz w:val="24"/>
          <w:highlight w:val="none"/>
        </w:rPr>
        <w:t xml:space="preserve">）：                    </w:t>
      </w:r>
    </w:p>
    <w:p w14:paraId="4AAF9FF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181DF02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FDD550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供应商名称（电子签章）：</w:t>
      </w:r>
    </w:p>
    <w:p w14:paraId="0905B40D">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1D68B51">
      <w:pPr>
        <w:spacing w:line="360" w:lineRule="auto"/>
        <w:rPr>
          <w:rFonts w:ascii="宋体" w:hAnsi="宋体" w:cs="宋体"/>
          <w:color w:val="auto"/>
          <w:sz w:val="24"/>
          <w:highlight w:val="none"/>
        </w:rPr>
      </w:pPr>
    </w:p>
    <w:p w14:paraId="17A6EAB9">
      <w:pPr>
        <w:spacing w:line="360" w:lineRule="auto"/>
        <w:rPr>
          <w:rFonts w:ascii="宋体" w:hAnsi="宋体" w:cs="宋体"/>
          <w:color w:val="auto"/>
          <w:sz w:val="24"/>
          <w:highlight w:val="none"/>
        </w:rPr>
      </w:pPr>
      <w:r>
        <w:rPr>
          <w:rFonts w:hint="eastAsia" w:ascii="宋体" w:hAnsi="宋体" w:cs="宋体"/>
          <w:color w:val="auto"/>
          <w:sz w:val="24"/>
          <w:highlight w:val="none"/>
        </w:rPr>
        <w:t>注：1. 法定代表人必须在授权委托书上亲笔签字或盖章，委托代理人必须在授权委托书上亲笔签字，</w:t>
      </w:r>
      <w:r>
        <w:rPr>
          <w:rFonts w:hint="eastAsia" w:ascii="宋体" w:hAnsi="宋体" w:cs="宋体"/>
          <w:b/>
          <w:color w:val="auto"/>
          <w:sz w:val="24"/>
          <w:highlight w:val="none"/>
        </w:rPr>
        <w:t>否则其响应文件按无效响应处理。</w:t>
      </w:r>
    </w:p>
    <w:p w14:paraId="12B816FC">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0B59A375">
      <w:pPr>
        <w:spacing w:line="360" w:lineRule="auto"/>
        <w:ind w:firstLine="480" w:firstLineChars="200"/>
        <w:jc w:val="left"/>
        <w:rPr>
          <w:rFonts w:ascii="宋体" w:hAnsi="宋体" w:cs="宋体"/>
          <w:color w:val="auto"/>
          <w:szCs w:val="21"/>
          <w:highlight w:val="none"/>
        </w:rPr>
      </w:pPr>
      <w:r>
        <w:rPr>
          <w:rFonts w:hint="eastAsia" w:ascii="宋体" w:hAnsi="宋体" w:cs="宋体"/>
          <w:color w:val="auto"/>
          <w:sz w:val="24"/>
          <w:highlight w:val="none"/>
        </w:rPr>
        <w:t>3. 法人、其他组织竞标时“我方”是指“我单位”，自然人竞标时“我方”是指“本人”。</w:t>
      </w:r>
    </w:p>
    <w:p w14:paraId="3EEF0389">
      <w:pPr>
        <w:spacing w:line="520" w:lineRule="exact"/>
        <w:ind w:firstLine="420" w:firstLineChars="200"/>
        <w:jc w:val="left"/>
        <w:rPr>
          <w:rFonts w:ascii="宋体" w:hAnsi="宋体" w:cs="宋体"/>
          <w:b/>
          <w:color w:val="auto"/>
          <w:sz w:val="30"/>
          <w:szCs w:val="30"/>
          <w:highlight w:val="none"/>
        </w:rPr>
      </w:pPr>
      <w:r>
        <w:rPr>
          <w:rFonts w:hint="eastAsia" w:ascii="宋体" w:hAnsi="宋体" w:cs="宋体"/>
          <w:color w:val="auto"/>
          <w:szCs w:val="21"/>
          <w:highlight w:val="none"/>
        </w:rPr>
        <w:br w:type="page"/>
      </w:r>
      <w:r>
        <w:rPr>
          <w:rFonts w:hint="eastAsia" w:ascii="宋体" w:hAnsi="宋体" w:cs="宋体"/>
          <w:b/>
          <w:color w:val="auto"/>
          <w:sz w:val="30"/>
          <w:szCs w:val="30"/>
          <w:highlight w:val="none"/>
        </w:rPr>
        <w:t>四、商务条款偏离表</w:t>
      </w:r>
    </w:p>
    <w:p w14:paraId="53EF845F">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5C69886C">
      <w:pPr>
        <w:spacing w:line="520" w:lineRule="exact"/>
        <w:rPr>
          <w:rFonts w:ascii="宋体" w:hAnsi="宋体" w:cs="宋体"/>
          <w:color w:val="auto"/>
          <w:sz w:val="32"/>
          <w:szCs w:val="32"/>
          <w:highlight w:val="none"/>
        </w:rPr>
      </w:pPr>
    </w:p>
    <w:p w14:paraId="71850BF8">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single"/>
        </w:rPr>
        <w:t xml:space="preserve">  </w:t>
      </w:r>
      <w:bookmarkStart w:id="81" w:name="PO_3000001868_PM001_8"/>
      <w:r>
        <w:rPr>
          <w:rFonts w:hint="eastAsia" w:ascii="宋体" w:hAnsi="宋体" w:cs="宋体"/>
          <w:color w:val="auto"/>
          <w:sz w:val="24"/>
          <w:highlight w:val="none"/>
          <w:u w:val="single"/>
        </w:rPr>
        <w:t>[项目编号]</w:t>
      </w:r>
      <w:bookmarkEnd w:id="81"/>
      <w:r>
        <w:rPr>
          <w:rFonts w:hint="eastAsia" w:ascii="宋体" w:hAnsi="宋体" w:cs="宋体"/>
          <w:color w:val="auto"/>
          <w:sz w:val="24"/>
          <w:highlight w:val="none"/>
          <w:u w:val="single"/>
        </w:rPr>
        <w:t xml:space="preserve">  </w:t>
      </w:r>
    </w:p>
    <w:p w14:paraId="161B8E88">
      <w:pPr>
        <w:spacing w:line="360" w:lineRule="auto"/>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bookmarkStart w:id="82" w:name="PO_3000001868_PM002_8"/>
      <w:r>
        <w:rPr>
          <w:rFonts w:hint="eastAsia" w:ascii="宋体" w:hAnsi="宋体" w:cs="宋体"/>
          <w:color w:val="auto"/>
          <w:sz w:val="24"/>
          <w:highlight w:val="none"/>
          <w:u w:val="single"/>
        </w:rPr>
        <w:t>[项目名称]</w:t>
      </w:r>
      <w:bookmarkEnd w:id="82"/>
      <w:r>
        <w:rPr>
          <w:rFonts w:hint="eastAsia" w:ascii="宋体" w:hAnsi="宋体" w:cs="宋体"/>
          <w:color w:val="auto"/>
          <w:sz w:val="24"/>
          <w:highlight w:val="none"/>
          <w:u w:val="single"/>
        </w:rPr>
        <w:t xml:space="preserve"> </w:t>
      </w:r>
    </w:p>
    <w:p w14:paraId="43BB5E51">
      <w:pPr>
        <w:spacing w:line="360" w:lineRule="auto"/>
        <w:rPr>
          <w:rFonts w:ascii="宋体" w:hAnsi="宋体" w:cs="宋体"/>
          <w:color w:val="auto"/>
          <w:sz w:val="24"/>
          <w:highlight w:val="none"/>
          <w:u w:val="single"/>
        </w:rPr>
      </w:pPr>
      <w:r>
        <w:rPr>
          <w:rFonts w:hint="eastAsia" w:ascii="宋体" w:hAnsi="宋体" w:cs="宋体"/>
          <w:color w:val="auto"/>
          <w:sz w:val="24"/>
          <w:highlight w:val="none"/>
        </w:rPr>
        <w:t>分标号</w:t>
      </w:r>
      <w:r>
        <w:rPr>
          <w:rFonts w:hint="eastAsia" w:ascii="宋体" w:hAnsi="宋体" w:cs="宋体"/>
          <w:color w:val="auto"/>
          <w:szCs w:val="21"/>
          <w:highlight w:val="none"/>
        </w:rPr>
        <w:t>（此处有分标时填写具体分标号，无分标时填写“无”）</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tbl>
      <w:tblPr>
        <w:tblStyle w:val="26"/>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C6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14:paraId="59C5AF7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53E4471C">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竞争性磋商采购文件的商务需求</w:t>
            </w:r>
          </w:p>
        </w:tc>
        <w:tc>
          <w:tcPr>
            <w:tcW w:w="3589" w:type="dxa"/>
            <w:tcBorders>
              <w:top w:val="single" w:color="auto" w:sz="4" w:space="0"/>
              <w:left w:val="single" w:color="auto" w:sz="4" w:space="0"/>
              <w:bottom w:val="single" w:color="auto" w:sz="4" w:space="0"/>
              <w:right w:val="single" w:color="auto" w:sz="4" w:space="0"/>
            </w:tcBorders>
            <w:vAlign w:val="center"/>
          </w:tcPr>
          <w:p w14:paraId="6E5BC8C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响应文件承诺的商务条款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30C52AAF">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0869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615E5772">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4E7D8A86">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34EB4B85">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52BD06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47F64B2">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033526C3">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4DFD13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38C3D283">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4635F98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2B59C910">
            <w:pPr>
              <w:spacing w:line="300" w:lineRule="exact"/>
              <w:rPr>
                <w:rFonts w:ascii="宋体" w:hAnsi="宋体" w:cs="宋体"/>
                <w:color w:val="auto"/>
                <w:szCs w:val="21"/>
                <w:highlight w:val="none"/>
              </w:rPr>
            </w:pPr>
          </w:p>
        </w:tc>
      </w:tr>
      <w:tr w14:paraId="7A62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69842D4">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5B3F35ED">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5D3A1512">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123EDCB8">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0D6DC913">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5CBA3D37">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08CC77C9">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62F2CD4D">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3F5E4A5D">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0B7CBA71">
            <w:pPr>
              <w:spacing w:line="300" w:lineRule="exact"/>
              <w:rPr>
                <w:rFonts w:ascii="宋体" w:hAnsi="宋体" w:cs="宋体"/>
                <w:color w:val="auto"/>
                <w:szCs w:val="21"/>
                <w:highlight w:val="none"/>
              </w:rPr>
            </w:pPr>
          </w:p>
        </w:tc>
      </w:tr>
      <w:tr w14:paraId="1BA26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3FB62BF4">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51999DA1">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D6F6D9C">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52CF0135">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F7A84F7">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589" w:type="dxa"/>
            <w:tcBorders>
              <w:top w:val="single" w:color="auto" w:sz="4" w:space="0"/>
              <w:left w:val="single" w:color="auto" w:sz="4" w:space="0"/>
              <w:bottom w:val="single" w:color="auto" w:sz="4" w:space="0"/>
              <w:right w:val="single" w:color="auto" w:sz="4" w:space="0"/>
            </w:tcBorders>
          </w:tcPr>
          <w:p w14:paraId="3A780329">
            <w:pPr>
              <w:spacing w:line="340" w:lineRule="exact"/>
              <w:rPr>
                <w:rFonts w:ascii="宋体" w:hAnsi="宋体" w:cs="宋体"/>
                <w:color w:val="auto"/>
                <w:szCs w:val="21"/>
                <w:highlight w:val="none"/>
              </w:rPr>
            </w:pPr>
            <w:r>
              <w:rPr>
                <w:rFonts w:hint="eastAsia" w:ascii="宋体" w:hAnsi="宋体" w:cs="宋体"/>
                <w:color w:val="auto"/>
                <w:szCs w:val="21"/>
                <w:highlight w:val="none"/>
              </w:rPr>
              <w:t>1  ……</w:t>
            </w:r>
          </w:p>
          <w:p w14:paraId="769BFDE3">
            <w:pPr>
              <w:spacing w:line="340" w:lineRule="exact"/>
              <w:rPr>
                <w:rFonts w:ascii="宋体" w:hAnsi="宋体" w:cs="宋体"/>
                <w:color w:val="auto"/>
                <w:szCs w:val="21"/>
                <w:highlight w:val="none"/>
              </w:rPr>
            </w:pPr>
            <w:r>
              <w:rPr>
                <w:rFonts w:hint="eastAsia" w:ascii="宋体" w:hAnsi="宋体" w:cs="宋体"/>
                <w:color w:val="auto"/>
                <w:szCs w:val="21"/>
                <w:highlight w:val="none"/>
              </w:rPr>
              <w:t>2  ……</w:t>
            </w:r>
          </w:p>
          <w:p w14:paraId="28AF3B56">
            <w:pPr>
              <w:spacing w:line="340" w:lineRule="exact"/>
              <w:rPr>
                <w:rFonts w:ascii="宋体" w:hAnsi="宋体" w:cs="宋体"/>
                <w:color w:val="auto"/>
                <w:szCs w:val="21"/>
                <w:highlight w:val="none"/>
              </w:rPr>
            </w:pPr>
            <w:r>
              <w:rPr>
                <w:rFonts w:hint="eastAsia" w:ascii="宋体" w:hAnsi="宋体" w:cs="宋体"/>
                <w:color w:val="auto"/>
                <w:szCs w:val="21"/>
                <w:highlight w:val="none"/>
              </w:rPr>
              <w:t>3  ……</w:t>
            </w:r>
          </w:p>
          <w:p w14:paraId="5BC1A79C">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1274" w:type="dxa"/>
            <w:tcBorders>
              <w:top w:val="single" w:color="auto" w:sz="4" w:space="0"/>
              <w:left w:val="single" w:color="auto" w:sz="4" w:space="0"/>
              <w:bottom w:val="single" w:color="auto" w:sz="4" w:space="0"/>
              <w:right w:val="single" w:color="auto" w:sz="4" w:space="0"/>
            </w:tcBorders>
          </w:tcPr>
          <w:p w14:paraId="1905E396">
            <w:pPr>
              <w:spacing w:line="300" w:lineRule="exact"/>
              <w:rPr>
                <w:rFonts w:ascii="宋体" w:hAnsi="宋体" w:cs="宋体"/>
                <w:color w:val="auto"/>
                <w:szCs w:val="21"/>
                <w:highlight w:val="none"/>
              </w:rPr>
            </w:pPr>
          </w:p>
        </w:tc>
      </w:tr>
    </w:tbl>
    <w:p w14:paraId="54986750">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60DE75">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1.说明：应对照磋商文件“第二章 采购需求”中的商务条款逐条作出明确响应，并作出偏离说明。</w:t>
      </w:r>
    </w:p>
    <w:p w14:paraId="3F106B5E">
      <w:pPr>
        <w:pStyle w:val="12"/>
        <w:spacing w:line="400" w:lineRule="exact"/>
        <w:ind w:firstLine="0" w:firstLineChars="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2.供应商应根据自身的承诺，对照磋商文件要求，在“偏离说明”中注明“正偏离”、“负偏离”或者“无偏离”。既不属于“正偏离”也不属于“负偏离”即为“无偏离”。 当响应文件的商务内容低于竞争性磋商采购文件要求时，竞标人应当如实写明“负偏离”，否则视为虚假应标</w:t>
      </w:r>
    </w:p>
    <w:p w14:paraId="0AF1391D">
      <w:pPr>
        <w:spacing w:line="400" w:lineRule="exact"/>
        <w:rPr>
          <w:rFonts w:ascii="宋体" w:hAnsi="宋体" w:cs="宋体"/>
          <w:color w:val="auto"/>
          <w:kern w:val="0"/>
          <w:sz w:val="24"/>
          <w:highlight w:val="none"/>
        </w:rPr>
      </w:pPr>
      <w:r>
        <w:rPr>
          <w:rFonts w:hint="eastAsia" w:ascii="宋体" w:hAnsi="宋体" w:cs="宋体"/>
          <w:color w:val="auto"/>
          <w:kern w:val="0"/>
          <w:sz w:val="24"/>
          <w:highlight w:val="none"/>
        </w:rPr>
        <w:t>3.表格内容均需按要求填写，不得留空，否则按竞标无效处理。</w:t>
      </w:r>
    </w:p>
    <w:p w14:paraId="0F0BF9C6">
      <w:pPr>
        <w:pStyle w:val="15"/>
        <w:spacing w:line="400" w:lineRule="exact"/>
        <w:rPr>
          <w:rFonts w:hAnsi="宋体" w:cs="宋体"/>
          <w:color w:val="auto"/>
          <w:sz w:val="24"/>
          <w:highlight w:val="none"/>
        </w:rPr>
      </w:pPr>
      <w:r>
        <w:rPr>
          <w:rFonts w:hint="eastAsia" w:hAnsi="宋体" w:cs="宋体"/>
          <w:color w:val="auto"/>
          <w:sz w:val="24"/>
          <w:szCs w:val="24"/>
          <w:highlight w:val="none"/>
        </w:rPr>
        <w:t>4.如果采购需求为小于、小于等于、大于或大于等于某个数值标准时，响应文件承诺不得直接复制采购需求，响应文件承诺内容应当写明竞标货物具体参数或商务响应承诺的具体数值，否则按竞标无效处理。如该采购需求属于不能明确具体数值的，采购人应在此采购需求的数值后标注◆号，对标注◆号的采购需求不适用上述“竞标无效”条款。</w:t>
      </w:r>
    </w:p>
    <w:p w14:paraId="12FF904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供应商名称（电子签章）：</w:t>
      </w:r>
    </w:p>
    <w:p w14:paraId="5239E74A">
      <w:pPr>
        <w:spacing w:line="360" w:lineRule="auto"/>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381FC9AF">
      <w:pPr>
        <w:snapToGrid w:val="0"/>
        <w:spacing w:line="360" w:lineRule="auto"/>
        <w:rPr>
          <w:rFonts w:ascii="宋体" w:hAnsi="宋体" w:cs="宋体"/>
          <w:b/>
          <w:color w:val="auto"/>
          <w:sz w:val="30"/>
          <w:szCs w:val="30"/>
          <w:highlight w:val="none"/>
        </w:rPr>
      </w:pPr>
    </w:p>
    <w:p w14:paraId="7F44BD83">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五</w:t>
      </w:r>
      <w:r>
        <w:rPr>
          <w:rFonts w:hint="eastAsia" w:ascii="宋体" w:hAnsi="宋体" w:cs="宋体"/>
          <w:b/>
          <w:color w:val="auto"/>
          <w:sz w:val="30"/>
          <w:szCs w:val="30"/>
          <w:highlight w:val="none"/>
        </w:rPr>
        <w:t>、</w:t>
      </w:r>
      <w:r>
        <w:rPr>
          <w:rFonts w:hint="eastAsia" w:ascii="宋体" w:hAnsi="宋体" w:cs="宋体"/>
          <w:b/>
          <w:color w:val="auto"/>
          <w:sz w:val="30"/>
          <w:szCs w:val="30"/>
          <w:highlight w:val="none"/>
          <w:lang w:val="en-US" w:eastAsia="zh-CN"/>
        </w:rPr>
        <w:t>施工组织设计</w:t>
      </w:r>
    </w:p>
    <w:p w14:paraId="5B7251E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w:t>
      </w:r>
      <w:r>
        <w:rPr>
          <w:rFonts w:hint="eastAsia" w:ascii="宋体" w:hAnsi="宋体" w:cs="宋体"/>
          <w:color w:val="auto"/>
          <w:sz w:val="24"/>
          <w:highlight w:val="none"/>
          <w:lang w:val="en-US" w:eastAsia="zh-CN"/>
        </w:rPr>
        <w:t>评审办法内容编制</w:t>
      </w:r>
      <w:r>
        <w:rPr>
          <w:rFonts w:hint="eastAsia" w:ascii="宋体" w:hAnsi="宋体" w:cs="宋体"/>
          <w:color w:val="auto"/>
          <w:sz w:val="24"/>
          <w:highlight w:val="none"/>
        </w:rPr>
        <w:t>）</w:t>
      </w:r>
    </w:p>
    <w:p w14:paraId="0DE13E75">
      <w:pPr>
        <w:rPr>
          <w:rFonts w:ascii="宋体" w:hAnsi="宋体" w:cs="宋体"/>
          <w:b/>
          <w:bCs/>
          <w:color w:val="auto"/>
          <w:kern w:val="0"/>
          <w:sz w:val="24"/>
          <w:highlight w:val="none"/>
          <w:lang w:val="zh-CN"/>
        </w:rPr>
      </w:pPr>
      <w:bookmarkStart w:id="83" w:name="_Toc78473822"/>
      <w:r>
        <w:rPr>
          <w:rFonts w:hint="eastAsia" w:ascii="宋体" w:hAnsi="宋体" w:cs="宋体"/>
          <w:b/>
          <w:bCs/>
          <w:color w:val="auto"/>
          <w:kern w:val="0"/>
          <w:sz w:val="24"/>
          <w:highlight w:val="none"/>
          <w:lang w:val="zh-CN"/>
        </w:rPr>
        <w:t>附表:项目实施进度计划表</w:t>
      </w:r>
      <w:r>
        <w:rPr>
          <w:rFonts w:hint="eastAsia" w:ascii="宋体" w:hAnsi="宋体" w:cs="宋体"/>
          <w:b/>
          <w:color w:val="auto"/>
          <w:sz w:val="24"/>
          <w:highlight w:val="none"/>
        </w:rPr>
        <w:t>(以生效日算起)</w:t>
      </w:r>
      <w:bookmarkEnd w:id="83"/>
      <w:r>
        <w:rPr>
          <w:rFonts w:hint="eastAsia" w:ascii="宋体" w:hAnsi="宋体" w:cs="宋体"/>
          <w:b/>
          <w:color w:val="auto"/>
          <w:sz w:val="24"/>
          <w:highlight w:val="none"/>
        </w:rPr>
        <w:t xml:space="preserve"> </w:t>
      </w:r>
    </w:p>
    <w:tbl>
      <w:tblPr>
        <w:tblStyle w:val="26"/>
        <w:tblW w:w="1003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552"/>
        <w:gridCol w:w="552"/>
        <w:gridCol w:w="552"/>
        <w:gridCol w:w="552"/>
        <w:gridCol w:w="552"/>
        <w:gridCol w:w="552"/>
        <w:gridCol w:w="553"/>
        <w:gridCol w:w="553"/>
        <w:gridCol w:w="553"/>
        <w:gridCol w:w="553"/>
        <w:gridCol w:w="553"/>
        <w:gridCol w:w="553"/>
        <w:gridCol w:w="553"/>
        <w:gridCol w:w="553"/>
        <w:gridCol w:w="553"/>
        <w:gridCol w:w="553"/>
      </w:tblGrid>
      <w:tr w14:paraId="4B60F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trPr>
        <w:tc>
          <w:tcPr>
            <w:tcW w:w="1188" w:type="dxa"/>
            <w:tcBorders>
              <w:top w:val="single" w:color="auto" w:sz="4" w:space="0"/>
              <w:left w:val="single" w:color="auto" w:sz="4" w:space="0"/>
              <w:bottom w:val="single" w:color="auto" w:sz="4" w:space="0"/>
              <w:right w:val="single" w:color="auto" w:sz="4" w:space="0"/>
            </w:tcBorders>
            <w:vAlign w:val="center"/>
          </w:tcPr>
          <w:p w14:paraId="765C483A">
            <w:pPr>
              <w:spacing w:line="360" w:lineRule="auto"/>
              <w:rPr>
                <w:rFonts w:ascii="宋体" w:hAnsi="宋体" w:cs="宋体"/>
                <w:color w:val="auto"/>
                <w:sz w:val="24"/>
                <w:highlight w:val="none"/>
              </w:rPr>
            </w:pPr>
            <w:r>
              <w:rPr>
                <w:rFonts w:hint="eastAsia" w:ascii="宋体" w:hAnsi="宋体" w:cs="宋体"/>
                <w:color w:val="auto"/>
                <w:highlight w:val="none"/>
              </w:rPr>
              <mc:AlternateContent>
                <mc:Choice Requires="wpg">
                  <w:drawing>
                    <wp:anchor distT="0" distB="0" distL="114300" distR="114300" simplePos="0" relativeHeight="251661312" behindDoc="0" locked="0" layoutInCell="1" allowOverlap="1">
                      <wp:simplePos x="0" y="0"/>
                      <wp:positionH relativeFrom="column">
                        <wp:posOffset>-65405</wp:posOffset>
                      </wp:positionH>
                      <wp:positionV relativeFrom="paragraph">
                        <wp:posOffset>0</wp:posOffset>
                      </wp:positionV>
                      <wp:extent cx="748030" cy="1181100"/>
                      <wp:effectExtent l="3810" t="2540" r="10160" b="16510"/>
                      <wp:wrapNone/>
                      <wp:docPr id="10" name="组合 10"/>
                      <wp:cNvGraphicFramePr/>
                      <a:graphic xmlns:a="http://schemas.openxmlformats.org/drawingml/2006/main">
                        <a:graphicData uri="http://schemas.microsoft.com/office/word/2010/wordprocessingGroup">
                          <wpg:wgp>
                            <wpg:cNvGrpSpPr/>
                            <wpg:grpSpPr>
                              <a:xfrm>
                                <a:off x="0" y="0"/>
                                <a:ext cx="748030" cy="1181100"/>
                                <a:chOff x="0" y="0"/>
                                <a:chExt cx="1178" cy="1860"/>
                              </a:xfrm>
                              <a:effectLst/>
                            </wpg:grpSpPr>
                            <wps:wsp>
                              <wps:cNvPr id="11" name="__TH_L2"/>
                              <wps:cNvCnPr/>
                              <wps:spPr bwMode="auto">
                                <a:xfrm>
                                  <a:off x="0" y="0"/>
                                  <a:ext cx="1178" cy="1860"/>
                                </a:xfrm>
                                <a:prstGeom prst="line">
                                  <a:avLst/>
                                </a:prstGeom>
                                <a:noFill/>
                                <a:ln w="6350">
                                  <a:solidFill>
                                    <a:srgbClr val="000000"/>
                                  </a:solidFill>
                                  <a:round/>
                                </a:ln>
                                <a:effectLst/>
                              </wps:spPr>
                              <wps:bodyPr/>
                            </wps:wsp>
                            <wps:wsp>
                              <wps:cNvPr id="12" name="__TH_B113"/>
                              <wps:cNvSpPr txBox="1">
                                <a:spLocks noChangeArrowheads="1"/>
                              </wps:cNvSpPr>
                              <wps:spPr bwMode="auto">
                                <a:xfrm>
                                  <a:off x="455" y="122"/>
                                  <a:ext cx="253" cy="263"/>
                                </a:xfrm>
                                <a:prstGeom prst="rect">
                                  <a:avLst/>
                                </a:prstGeom>
                                <a:noFill/>
                                <a:ln>
                                  <a:noFill/>
                                </a:ln>
                                <a:effectLst/>
                              </wps:spPr>
                              <wps:txbx>
                                <w:txbxContent>
                                  <w:p w14:paraId="00BEA0E8">
                                    <w:pPr>
                                      <w:snapToGrid w:val="0"/>
                                    </w:pPr>
                                    <w:r>
                                      <w:rPr>
                                        <w:rFonts w:hint="eastAsia"/>
                                      </w:rPr>
                                      <w:t>工</w:t>
                                    </w:r>
                                  </w:p>
                                </w:txbxContent>
                              </wps:txbx>
                              <wps:bodyPr rot="0" vert="horz" wrap="square" lIns="0" tIns="0" rIns="0" bIns="0" anchor="t" anchorCtr="0" upright="1">
                                <a:noAutofit/>
                              </wps:bodyPr>
                            </wps:wsp>
                            <wps:wsp>
                              <wps:cNvPr id="13" name="__TH_B124"/>
                              <wps:cNvSpPr txBox="1">
                                <a:spLocks noChangeArrowheads="1"/>
                              </wps:cNvSpPr>
                              <wps:spPr bwMode="auto">
                                <a:xfrm>
                                  <a:off x="643" y="419"/>
                                  <a:ext cx="253" cy="263"/>
                                </a:xfrm>
                                <a:prstGeom prst="rect">
                                  <a:avLst/>
                                </a:prstGeom>
                                <a:noFill/>
                                <a:ln>
                                  <a:noFill/>
                                </a:ln>
                                <a:effectLst/>
                              </wps:spPr>
                              <wps:txbx>
                                <w:txbxContent>
                                  <w:p w14:paraId="10E15F7A">
                                    <w:pPr>
                                      <w:snapToGrid w:val="0"/>
                                    </w:pPr>
                                    <w:r>
                                      <w:rPr>
                                        <w:rFonts w:hint="eastAsia"/>
                                      </w:rPr>
                                      <w:t>作</w:t>
                                    </w:r>
                                  </w:p>
                                </w:txbxContent>
                              </wps:txbx>
                              <wps:bodyPr rot="0" vert="horz" wrap="square" lIns="0" tIns="0" rIns="0" bIns="0" anchor="t" anchorCtr="0" upright="1">
                                <a:noAutofit/>
                              </wps:bodyPr>
                            </wps:wsp>
                            <wps:wsp>
                              <wps:cNvPr id="14" name="__TH_B135"/>
                              <wps:cNvSpPr txBox="1">
                                <a:spLocks noChangeArrowheads="1"/>
                              </wps:cNvSpPr>
                              <wps:spPr bwMode="auto">
                                <a:xfrm>
                                  <a:off x="831" y="717"/>
                                  <a:ext cx="253" cy="262"/>
                                </a:xfrm>
                                <a:prstGeom prst="rect">
                                  <a:avLst/>
                                </a:prstGeom>
                                <a:noFill/>
                                <a:ln>
                                  <a:noFill/>
                                </a:ln>
                                <a:effectLst/>
                              </wps:spPr>
                              <wps:txbx>
                                <w:txbxContent>
                                  <w:p w14:paraId="4D61E025">
                                    <w:pPr>
                                      <w:snapToGrid w:val="0"/>
                                    </w:pPr>
                                    <w:r>
                                      <w:rPr>
                                        <w:rFonts w:hint="eastAsia"/>
                                      </w:rPr>
                                      <w:t>日</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5.15pt;margin-top:0pt;height:93pt;width:58.9pt;z-index:251661312;mso-width-relative:page;mso-height-relative:page;" coordsize="1178,1860" o:gfxdata="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">
                      <o:lock v:ext="edit" aspectratio="f"/>
                      <v:line id="__TH_L2" o:spid="_x0000_s1026" o:spt="20" style="position:absolute;left:0;top:0;height:1860;width:1178;" filled="f" stroked="t" coordsize="21600,21600" o:gfxdata="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9fiCLgAAADbAAAA&#10;DwAAAAAAAAABACAAAAAiAAAAZHJzL2Rvd25yZXYueG1sUEsBAhQAFAAAAAgAh07iQDMvBZ47AAAA&#10;OQAAABAAAAAAAAAAAQAgAAAABwEAAGRycy9zaGFwZXhtbC54bWxQSwUGAAAAAAYABgBbAQAAsQMA&#10;AAAA&#10;">
                        <v:fill on="f" focussize="0,0"/>
                        <v:stroke weight="0.5pt" color="#000000" joinstyle="round"/>
                        <v:imagedata o:title=""/>
                        <o:lock v:ext="edit" aspectratio="f"/>
                      </v:line>
                      <v:shape id="__TH_B113" o:spid="_x0000_s1026" o:spt="202" type="#_x0000_t202" style="position:absolute;left:455;top:122;height:263;width:253;"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0BEA0E8">
                              <w:pPr>
                                <w:snapToGrid w:val="0"/>
                              </w:pPr>
                              <w:r>
                                <w:rPr>
                                  <w:rFonts w:hint="eastAsia"/>
                                </w:rPr>
                                <w:t>工</w:t>
                              </w:r>
                            </w:p>
                          </w:txbxContent>
                        </v:textbox>
                      </v:shape>
                      <v:shape id="__TH_B124" o:spid="_x0000_s1026" o:spt="202" type="#_x0000_t202" style="position:absolute;left:643;top:419;height:263;width:253;"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10E15F7A">
                              <w:pPr>
                                <w:snapToGrid w:val="0"/>
                              </w:pPr>
                              <w:r>
                                <w:rPr>
                                  <w:rFonts w:hint="eastAsia"/>
                                </w:rPr>
                                <w:t>作</w:t>
                              </w:r>
                            </w:p>
                          </w:txbxContent>
                        </v:textbox>
                      </v:shape>
                      <v:shape id="__TH_B135" o:spid="_x0000_s1026" o:spt="202" type="#_x0000_t202" style="position:absolute;left:831;top:717;height:262;width:253;"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4D61E025">
                              <w:pPr>
                                <w:snapToGrid w:val="0"/>
                              </w:pPr>
                              <w:r>
                                <w:rPr>
                                  <w:rFonts w:hint="eastAsia"/>
                                </w:rPr>
                                <w:t>日</w:t>
                              </w:r>
                            </w:p>
                          </w:txbxContent>
                        </v:textbox>
                      </v:shape>
                    </v:group>
                  </w:pict>
                </mc:Fallback>
              </mc:AlternateContent>
            </w:r>
          </w:p>
          <w:p w14:paraId="1AAF8ADD">
            <w:pPr>
              <w:spacing w:line="360" w:lineRule="auto"/>
              <w:rPr>
                <w:rFonts w:ascii="宋体" w:hAnsi="宋体" w:cs="宋体"/>
                <w:color w:val="auto"/>
                <w:sz w:val="24"/>
                <w:highlight w:val="none"/>
              </w:rPr>
            </w:pPr>
          </w:p>
          <w:p w14:paraId="34B3BD3F">
            <w:pPr>
              <w:spacing w:line="360" w:lineRule="auto"/>
              <w:rPr>
                <w:rFonts w:ascii="宋体" w:hAnsi="宋体" w:cs="宋体"/>
                <w:color w:val="auto"/>
                <w:sz w:val="24"/>
                <w:highlight w:val="none"/>
              </w:rPr>
            </w:pPr>
          </w:p>
          <w:p w14:paraId="3940FA55">
            <w:pPr>
              <w:spacing w:line="360" w:lineRule="auto"/>
              <w:rPr>
                <w:rFonts w:ascii="宋体" w:hAnsi="宋体" w:cs="宋体"/>
                <w:color w:val="auto"/>
                <w:sz w:val="24"/>
                <w:highlight w:val="none"/>
              </w:rPr>
            </w:pPr>
            <w:r>
              <w:rPr>
                <w:rFonts w:hint="eastAsia" w:ascii="宋体" w:hAnsi="宋体" w:cs="宋体"/>
                <w:color w:val="auto"/>
                <w:sz w:val="24"/>
                <w:highlight w:val="none"/>
              </w:rPr>
              <w:t>内容</w:t>
            </w:r>
          </w:p>
        </w:tc>
        <w:tc>
          <w:tcPr>
            <w:tcW w:w="552" w:type="dxa"/>
            <w:tcBorders>
              <w:top w:val="single" w:color="auto" w:sz="4" w:space="0"/>
              <w:left w:val="single" w:color="auto" w:sz="4" w:space="0"/>
              <w:bottom w:val="single" w:color="auto" w:sz="4" w:space="0"/>
              <w:right w:val="single" w:color="auto" w:sz="4" w:space="0"/>
            </w:tcBorders>
            <w:vAlign w:val="center"/>
          </w:tcPr>
          <w:p w14:paraId="30B4CD7F">
            <w:pPr>
              <w:spacing w:line="360" w:lineRule="auto"/>
              <w:rPr>
                <w:rFonts w:ascii="宋体" w:hAnsi="宋体" w:cs="宋体"/>
                <w:color w:val="auto"/>
                <w:sz w:val="24"/>
                <w:highlight w:val="none"/>
              </w:rPr>
            </w:pPr>
            <w:r>
              <w:rPr>
                <w:rFonts w:hint="eastAsia" w:ascii="宋体" w:hAnsi="宋体" w:cs="宋体"/>
                <w:color w:val="auto"/>
                <w:sz w:val="24"/>
                <w:highlight w:val="none"/>
              </w:rPr>
              <w:t>1</w:t>
            </w:r>
          </w:p>
        </w:tc>
        <w:tc>
          <w:tcPr>
            <w:tcW w:w="552" w:type="dxa"/>
            <w:tcBorders>
              <w:top w:val="single" w:color="auto" w:sz="4" w:space="0"/>
              <w:left w:val="single" w:color="auto" w:sz="4" w:space="0"/>
              <w:bottom w:val="single" w:color="auto" w:sz="4" w:space="0"/>
              <w:right w:val="single" w:color="auto" w:sz="4" w:space="0"/>
            </w:tcBorders>
            <w:vAlign w:val="center"/>
          </w:tcPr>
          <w:p w14:paraId="09B8F296">
            <w:pPr>
              <w:spacing w:line="360" w:lineRule="auto"/>
              <w:rPr>
                <w:rFonts w:ascii="宋体" w:hAnsi="宋体" w:cs="宋体"/>
                <w:color w:val="auto"/>
                <w:sz w:val="24"/>
                <w:highlight w:val="none"/>
              </w:rPr>
            </w:pPr>
            <w:r>
              <w:rPr>
                <w:rFonts w:hint="eastAsia" w:ascii="宋体" w:hAnsi="宋体" w:cs="宋体"/>
                <w:color w:val="auto"/>
                <w:sz w:val="24"/>
                <w:highlight w:val="none"/>
              </w:rPr>
              <w:t>2</w:t>
            </w:r>
          </w:p>
        </w:tc>
        <w:tc>
          <w:tcPr>
            <w:tcW w:w="552" w:type="dxa"/>
            <w:tcBorders>
              <w:top w:val="single" w:color="auto" w:sz="4" w:space="0"/>
              <w:left w:val="single" w:color="auto" w:sz="4" w:space="0"/>
              <w:bottom w:val="single" w:color="auto" w:sz="4" w:space="0"/>
              <w:right w:val="single" w:color="auto" w:sz="4" w:space="0"/>
            </w:tcBorders>
            <w:vAlign w:val="center"/>
          </w:tcPr>
          <w:p w14:paraId="394329B6">
            <w:pPr>
              <w:spacing w:line="360" w:lineRule="auto"/>
              <w:rPr>
                <w:rFonts w:ascii="宋体" w:hAnsi="宋体" w:cs="宋体"/>
                <w:color w:val="auto"/>
                <w:sz w:val="24"/>
                <w:highlight w:val="none"/>
              </w:rPr>
            </w:pPr>
            <w:r>
              <w:rPr>
                <w:rFonts w:hint="eastAsia" w:ascii="宋体" w:hAnsi="宋体" w:cs="宋体"/>
                <w:color w:val="auto"/>
                <w:sz w:val="24"/>
                <w:highlight w:val="none"/>
              </w:rPr>
              <w:t>3</w:t>
            </w:r>
          </w:p>
        </w:tc>
        <w:tc>
          <w:tcPr>
            <w:tcW w:w="552" w:type="dxa"/>
            <w:tcBorders>
              <w:top w:val="single" w:color="auto" w:sz="4" w:space="0"/>
              <w:left w:val="single" w:color="auto" w:sz="4" w:space="0"/>
              <w:bottom w:val="single" w:color="auto" w:sz="4" w:space="0"/>
              <w:right w:val="single" w:color="auto" w:sz="4" w:space="0"/>
            </w:tcBorders>
            <w:vAlign w:val="center"/>
          </w:tcPr>
          <w:p w14:paraId="4D07B19F">
            <w:pPr>
              <w:spacing w:line="360" w:lineRule="auto"/>
              <w:rPr>
                <w:rFonts w:ascii="宋体" w:hAnsi="宋体" w:cs="宋体"/>
                <w:color w:val="auto"/>
                <w:sz w:val="24"/>
                <w:highlight w:val="none"/>
              </w:rPr>
            </w:pPr>
            <w:r>
              <w:rPr>
                <w:rFonts w:hint="eastAsia" w:ascii="宋体" w:hAnsi="宋体" w:cs="宋体"/>
                <w:color w:val="auto"/>
                <w:sz w:val="24"/>
                <w:highlight w:val="none"/>
              </w:rPr>
              <w:t>4</w:t>
            </w:r>
          </w:p>
        </w:tc>
        <w:tc>
          <w:tcPr>
            <w:tcW w:w="552" w:type="dxa"/>
            <w:tcBorders>
              <w:top w:val="single" w:color="auto" w:sz="4" w:space="0"/>
              <w:left w:val="single" w:color="auto" w:sz="4" w:space="0"/>
              <w:bottom w:val="single" w:color="auto" w:sz="4" w:space="0"/>
              <w:right w:val="single" w:color="auto" w:sz="4" w:space="0"/>
            </w:tcBorders>
            <w:vAlign w:val="center"/>
          </w:tcPr>
          <w:p w14:paraId="2A4025D6">
            <w:pPr>
              <w:spacing w:line="360" w:lineRule="auto"/>
              <w:rPr>
                <w:rFonts w:ascii="宋体" w:hAnsi="宋体" w:cs="宋体"/>
                <w:color w:val="auto"/>
                <w:sz w:val="24"/>
                <w:highlight w:val="none"/>
              </w:rPr>
            </w:pPr>
            <w:r>
              <w:rPr>
                <w:rFonts w:hint="eastAsia" w:ascii="宋体" w:hAnsi="宋体" w:cs="宋体"/>
                <w:color w:val="auto"/>
                <w:sz w:val="24"/>
                <w:highlight w:val="none"/>
              </w:rPr>
              <w:t>5</w:t>
            </w:r>
          </w:p>
        </w:tc>
        <w:tc>
          <w:tcPr>
            <w:tcW w:w="552" w:type="dxa"/>
            <w:tcBorders>
              <w:top w:val="single" w:color="auto" w:sz="4" w:space="0"/>
              <w:left w:val="single" w:color="auto" w:sz="4" w:space="0"/>
              <w:bottom w:val="single" w:color="auto" w:sz="4" w:space="0"/>
              <w:right w:val="single" w:color="auto" w:sz="4" w:space="0"/>
            </w:tcBorders>
            <w:vAlign w:val="center"/>
          </w:tcPr>
          <w:p w14:paraId="793CC861">
            <w:pPr>
              <w:spacing w:line="360" w:lineRule="auto"/>
              <w:rPr>
                <w:rFonts w:ascii="宋体" w:hAnsi="宋体" w:cs="宋体"/>
                <w:color w:val="auto"/>
                <w:sz w:val="24"/>
                <w:highlight w:val="none"/>
              </w:rPr>
            </w:pPr>
            <w:r>
              <w:rPr>
                <w:rFonts w:hint="eastAsia" w:ascii="宋体" w:hAnsi="宋体" w:cs="宋体"/>
                <w:color w:val="auto"/>
                <w:sz w:val="24"/>
                <w:highlight w:val="none"/>
              </w:rPr>
              <w:t>6</w:t>
            </w:r>
          </w:p>
        </w:tc>
        <w:tc>
          <w:tcPr>
            <w:tcW w:w="553" w:type="dxa"/>
            <w:tcBorders>
              <w:top w:val="single" w:color="auto" w:sz="4" w:space="0"/>
              <w:left w:val="single" w:color="auto" w:sz="4" w:space="0"/>
              <w:bottom w:val="single" w:color="auto" w:sz="4" w:space="0"/>
              <w:right w:val="single" w:color="auto" w:sz="4" w:space="0"/>
            </w:tcBorders>
            <w:vAlign w:val="center"/>
          </w:tcPr>
          <w:p w14:paraId="4C2FEFB3">
            <w:pPr>
              <w:spacing w:line="360" w:lineRule="auto"/>
              <w:rPr>
                <w:rFonts w:ascii="宋体" w:hAnsi="宋体" w:cs="宋体"/>
                <w:color w:val="auto"/>
                <w:sz w:val="24"/>
                <w:highlight w:val="none"/>
              </w:rPr>
            </w:pPr>
            <w:r>
              <w:rPr>
                <w:rFonts w:hint="eastAsia" w:ascii="宋体" w:hAnsi="宋体" w:cs="宋体"/>
                <w:color w:val="auto"/>
                <w:sz w:val="24"/>
                <w:highlight w:val="none"/>
              </w:rPr>
              <w:t>7</w:t>
            </w:r>
          </w:p>
        </w:tc>
        <w:tc>
          <w:tcPr>
            <w:tcW w:w="553" w:type="dxa"/>
            <w:tcBorders>
              <w:top w:val="single" w:color="auto" w:sz="4" w:space="0"/>
              <w:left w:val="single" w:color="auto" w:sz="4" w:space="0"/>
              <w:bottom w:val="single" w:color="auto" w:sz="4" w:space="0"/>
              <w:right w:val="single" w:color="auto" w:sz="4" w:space="0"/>
            </w:tcBorders>
            <w:vAlign w:val="center"/>
          </w:tcPr>
          <w:p w14:paraId="404CDC6B">
            <w:pPr>
              <w:spacing w:line="360" w:lineRule="auto"/>
              <w:rPr>
                <w:rFonts w:ascii="宋体" w:hAnsi="宋体" w:cs="宋体"/>
                <w:color w:val="auto"/>
                <w:sz w:val="24"/>
                <w:highlight w:val="none"/>
              </w:rPr>
            </w:pPr>
            <w:r>
              <w:rPr>
                <w:rFonts w:hint="eastAsia" w:ascii="宋体" w:hAnsi="宋体" w:cs="宋体"/>
                <w:color w:val="auto"/>
                <w:sz w:val="24"/>
                <w:highlight w:val="none"/>
              </w:rPr>
              <w:t>8</w:t>
            </w:r>
          </w:p>
        </w:tc>
        <w:tc>
          <w:tcPr>
            <w:tcW w:w="553" w:type="dxa"/>
            <w:tcBorders>
              <w:top w:val="single" w:color="auto" w:sz="4" w:space="0"/>
              <w:left w:val="single" w:color="auto" w:sz="4" w:space="0"/>
              <w:bottom w:val="single" w:color="auto" w:sz="4" w:space="0"/>
              <w:right w:val="single" w:color="auto" w:sz="4" w:space="0"/>
            </w:tcBorders>
            <w:vAlign w:val="center"/>
          </w:tcPr>
          <w:p w14:paraId="78C9B178">
            <w:pPr>
              <w:spacing w:line="360" w:lineRule="auto"/>
              <w:rPr>
                <w:rFonts w:ascii="宋体" w:hAnsi="宋体" w:cs="宋体"/>
                <w:color w:val="auto"/>
                <w:sz w:val="24"/>
                <w:highlight w:val="none"/>
              </w:rPr>
            </w:pPr>
            <w:r>
              <w:rPr>
                <w:rFonts w:hint="eastAsia" w:ascii="宋体" w:hAnsi="宋体" w:cs="宋体"/>
                <w:color w:val="auto"/>
                <w:sz w:val="24"/>
                <w:highlight w:val="none"/>
              </w:rPr>
              <w:t>9</w:t>
            </w:r>
          </w:p>
        </w:tc>
        <w:tc>
          <w:tcPr>
            <w:tcW w:w="553" w:type="dxa"/>
            <w:tcBorders>
              <w:top w:val="single" w:color="auto" w:sz="4" w:space="0"/>
              <w:left w:val="single" w:color="auto" w:sz="4" w:space="0"/>
              <w:bottom w:val="single" w:color="auto" w:sz="4" w:space="0"/>
              <w:right w:val="single" w:color="auto" w:sz="4" w:space="0"/>
            </w:tcBorders>
            <w:vAlign w:val="center"/>
          </w:tcPr>
          <w:p w14:paraId="434861EA">
            <w:pPr>
              <w:spacing w:line="360" w:lineRule="auto"/>
              <w:rPr>
                <w:rFonts w:ascii="宋体" w:hAnsi="宋体" w:cs="宋体"/>
                <w:color w:val="auto"/>
                <w:sz w:val="24"/>
                <w:highlight w:val="none"/>
              </w:rPr>
            </w:pPr>
            <w:r>
              <w:rPr>
                <w:rFonts w:hint="eastAsia" w:ascii="宋体" w:hAnsi="宋体" w:cs="宋体"/>
                <w:color w:val="auto"/>
                <w:sz w:val="24"/>
                <w:highlight w:val="none"/>
              </w:rPr>
              <w:t>10</w:t>
            </w:r>
          </w:p>
        </w:tc>
        <w:tc>
          <w:tcPr>
            <w:tcW w:w="553" w:type="dxa"/>
            <w:tcBorders>
              <w:top w:val="single" w:color="auto" w:sz="4" w:space="0"/>
              <w:left w:val="single" w:color="auto" w:sz="4" w:space="0"/>
              <w:bottom w:val="single" w:color="auto" w:sz="4" w:space="0"/>
              <w:right w:val="single" w:color="auto" w:sz="4" w:space="0"/>
            </w:tcBorders>
            <w:vAlign w:val="center"/>
          </w:tcPr>
          <w:p w14:paraId="44F47552">
            <w:pPr>
              <w:spacing w:line="360" w:lineRule="auto"/>
              <w:rPr>
                <w:rFonts w:ascii="宋体" w:hAnsi="宋体" w:cs="宋体"/>
                <w:color w:val="auto"/>
                <w:sz w:val="24"/>
                <w:highlight w:val="none"/>
              </w:rPr>
            </w:pPr>
            <w:r>
              <w:rPr>
                <w:rFonts w:hint="eastAsia" w:ascii="宋体" w:hAnsi="宋体" w:cs="宋体"/>
                <w:color w:val="auto"/>
                <w:sz w:val="24"/>
                <w:highlight w:val="none"/>
              </w:rPr>
              <w:t>11</w:t>
            </w:r>
          </w:p>
        </w:tc>
        <w:tc>
          <w:tcPr>
            <w:tcW w:w="553" w:type="dxa"/>
            <w:tcBorders>
              <w:top w:val="single" w:color="auto" w:sz="4" w:space="0"/>
              <w:left w:val="single" w:color="auto" w:sz="4" w:space="0"/>
              <w:bottom w:val="single" w:color="auto" w:sz="4" w:space="0"/>
              <w:right w:val="single" w:color="auto" w:sz="4" w:space="0"/>
            </w:tcBorders>
            <w:vAlign w:val="center"/>
          </w:tcPr>
          <w:p w14:paraId="5C45B825">
            <w:pPr>
              <w:spacing w:line="360" w:lineRule="auto"/>
              <w:rPr>
                <w:rFonts w:ascii="宋体" w:hAnsi="宋体" w:cs="宋体"/>
                <w:color w:val="auto"/>
                <w:sz w:val="24"/>
                <w:highlight w:val="none"/>
              </w:rPr>
            </w:pPr>
            <w:r>
              <w:rPr>
                <w:rFonts w:hint="eastAsia" w:ascii="宋体" w:hAnsi="宋体" w:cs="宋体"/>
                <w:color w:val="auto"/>
                <w:sz w:val="24"/>
                <w:highlight w:val="none"/>
              </w:rPr>
              <w:t>12</w:t>
            </w:r>
          </w:p>
        </w:tc>
        <w:tc>
          <w:tcPr>
            <w:tcW w:w="553" w:type="dxa"/>
            <w:tcBorders>
              <w:top w:val="single" w:color="auto" w:sz="4" w:space="0"/>
              <w:left w:val="single" w:color="auto" w:sz="4" w:space="0"/>
              <w:bottom w:val="single" w:color="auto" w:sz="4" w:space="0"/>
              <w:right w:val="single" w:color="auto" w:sz="4" w:space="0"/>
            </w:tcBorders>
            <w:vAlign w:val="center"/>
          </w:tcPr>
          <w:p w14:paraId="20AF52AE">
            <w:pPr>
              <w:spacing w:line="360" w:lineRule="auto"/>
              <w:rPr>
                <w:rFonts w:ascii="宋体" w:hAnsi="宋体" w:cs="宋体"/>
                <w:color w:val="auto"/>
                <w:sz w:val="24"/>
                <w:highlight w:val="none"/>
              </w:rPr>
            </w:pPr>
            <w:r>
              <w:rPr>
                <w:rFonts w:hint="eastAsia" w:ascii="宋体" w:hAnsi="宋体" w:cs="宋体"/>
                <w:color w:val="auto"/>
                <w:sz w:val="24"/>
                <w:highlight w:val="none"/>
              </w:rPr>
              <w:t>13</w:t>
            </w:r>
          </w:p>
        </w:tc>
        <w:tc>
          <w:tcPr>
            <w:tcW w:w="553" w:type="dxa"/>
            <w:tcBorders>
              <w:top w:val="single" w:color="auto" w:sz="4" w:space="0"/>
              <w:left w:val="single" w:color="auto" w:sz="4" w:space="0"/>
              <w:bottom w:val="single" w:color="auto" w:sz="4" w:space="0"/>
              <w:right w:val="single" w:color="auto" w:sz="4" w:space="0"/>
            </w:tcBorders>
            <w:vAlign w:val="center"/>
          </w:tcPr>
          <w:p w14:paraId="7A3E93E7">
            <w:pPr>
              <w:spacing w:line="360" w:lineRule="auto"/>
              <w:rPr>
                <w:rFonts w:ascii="宋体" w:hAnsi="宋体" w:cs="宋体"/>
                <w:color w:val="auto"/>
                <w:sz w:val="24"/>
                <w:highlight w:val="none"/>
              </w:rPr>
            </w:pPr>
            <w:r>
              <w:rPr>
                <w:rFonts w:hint="eastAsia" w:ascii="宋体" w:hAnsi="宋体" w:cs="宋体"/>
                <w:color w:val="auto"/>
                <w:sz w:val="24"/>
                <w:highlight w:val="none"/>
              </w:rPr>
              <w:t>14</w:t>
            </w:r>
          </w:p>
        </w:tc>
        <w:tc>
          <w:tcPr>
            <w:tcW w:w="553" w:type="dxa"/>
            <w:tcBorders>
              <w:top w:val="single" w:color="auto" w:sz="4" w:space="0"/>
              <w:left w:val="single" w:color="auto" w:sz="4" w:space="0"/>
              <w:bottom w:val="single" w:color="auto" w:sz="4" w:space="0"/>
              <w:right w:val="single" w:color="auto" w:sz="4" w:space="0"/>
            </w:tcBorders>
            <w:vAlign w:val="center"/>
          </w:tcPr>
          <w:p w14:paraId="2B38CE5A">
            <w:pPr>
              <w:spacing w:line="360" w:lineRule="auto"/>
              <w:rPr>
                <w:rFonts w:ascii="宋体" w:hAnsi="宋体" w:cs="宋体"/>
                <w:color w:val="auto"/>
                <w:sz w:val="24"/>
                <w:highlight w:val="none"/>
              </w:rPr>
            </w:pPr>
            <w:r>
              <w:rPr>
                <w:rFonts w:hint="eastAsia" w:ascii="宋体" w:hAnsi="宋体" w:cs="宋体"/>
                <w:color w:val="auto"/>
                <w:sz w:val="24"/>
                <w:highlight w:val="none"/>
              </w:rPr>
              <w:t>15</w:t>
            </w:r>
          </w:p>
        </w:tc>
        <w:tc>
          <w:tcPr>
            <w:tcW w:w="553" w:type="dxa"/>
            <w:tcBorders>
              <w:top w:val="single" w:color="auto" w:sz="4" w:space="0"/>
              <w:left w:val="single" w:color="auto" w:sz="4" w:space="0"/>
              <w:bottom w:val="single" w:color="auto" w:sz="4" w:space="0"/>
              <w:right w:val="single" w:color="auto" w:sz="4" w:space="0"/>
            </w:tcBorders>
            <w:vAlign w:val="center"/>
          </w:tcPr>
          <w:p w14:paraId="76B9B0B5">
            <w:pPr>
              <w:spacing w:line="360" w:lineRule="auto"/>
              <w:rPr>
                <w:rFonts w:ascii="宋体" w:hAnsi="宋体" w:cs="宋体"/>
                <w:color w:val="auto"/>
                <w:sz w:val="24"/>
                <w:highlight w:val="none"/>
              </w:rPr>
            </w:pPr>
            <w:r>
              <w:rPr>
                <w:rFonts w:hint="eastAsia" w:ascii="宋体" w:hAnsi="宋体" w:cs="宋体"/>
                <w:color w:val="auto"/>
                <w:sz w:val="24"/>
                <w:highlight w:val="none"/>
              </w:rPr>
              <w:t>…</w:t>
            </w:r>
          </w:p>
        </w:tc>
      </w:tr>
      <w:tr w14:paraId="2507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40EF65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D531AA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CC10B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7173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BB84F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F791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1B49BC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8A2145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96FFAE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3B9AE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09A72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2EE88E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8E909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A6EDA9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5D188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9195FA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09FD692">
            <w:pPr>
              <w:spacing w:line="360" w:lineRule="auto"/>
              <w:rPr>
                <w:rFonts w:ascii="宋体" w:hAnsi="宋体" w:cs="宋体"/>
                <w:color w:val="auto"/>
                <w:sz w:val="24"/>
                <w:highlight w:val="none"/>
              </w:rPr>
            </w:pPr>
          </w:p>
        </w:tc>
      </w:tr>
      <w:tr w14:paraId="27CB3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82D59C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E10E14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C8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F2E9DE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A81A1C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2D0A9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A0B089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5D30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FC77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9394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06E83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BCAC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4A70D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7D0D5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33D067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788500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2B172A1">
            <w:pPr>
              <w:spacing w:line="360" w:lineRule="auto"/>
              <w:rPr>
                <w:rFonts w:ascii="宋体" w:hAnsi="宋体" w:cs="宋体"/>
                <w:color w:val="auto"/>
                <w:sz w:val="24"/>
                <w:highlight w:val="none"/>
              </w:rPr>
            </w:pPr>
          </w:p>
        </w:tc>
      </w:tr>
      <w:tr w14:paraId="7EE2B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64A216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5395F5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9D8711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61D568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BC5B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DC52369">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3493F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B4BE7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493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2B291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BADC0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39A77F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72786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4163B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A1533D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51BC5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350710F">
            <w:pPr>
              <w:spacing w:line="360" w:lineRule="auto"/>
              <w:rPr>
                <w:rFonts w:ascii="宋体" w:hAnsi="宋体" w:cs="宋体"/>
                <w:color w:val="auto"/>
                <w:sz w:val="24"/>
                <w:highlight w:val="none"/>
              </w:rPr>
            </w:pPr>
          </w:p>
        </w:tc>
      </w:tr>
      <w:tr w14:paraId="33E80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4DA81E5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82D24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C3387EF">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B88397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2933E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10E38C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DA768D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ECE684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1C1F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735288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D6C293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675F5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8C34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4E0371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6FF535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112A75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E3B8613">
            <w:pPr>
              <w:spacing w:line="360" w:lineRule="auto"/>
              <w:rPr>
                <w:rFonts w:ascii="宋体" w:hAnsi="宋体" w:cs="宋体"/>
                <w:color w:val="auto"/>
                <w:sz w:val="24"/>
                <w:highlight w:val="none"/>
              </w:rPr>
            </w:pPr>
          </w:p>
        </w:tc>
      </w:tr>
      <w:tr w14:paraId="387DC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E80EC2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D4CEE4B">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DCC138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E52C924">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5DE07E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28F417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7D1558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0DBD07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B7D91E8">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47A0E4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6AAF2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0E0E6E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7A6FDB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FC578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98F2FF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353CACD">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DE6C868">
            <w:pPr>
              <w:spacing w:line="360" w:lineRule="auto"/>
              <w:rPr>
                <w:rFonts w:ascii="宋体" w:hAnsi="宋体" w:cs="宋体"/>
                <w:color w:val="auto"/>
                <w:sz w:val="24"/>
                <w:highlight w:val="none"/>
              </w:rPr>
            </w:pPr>
          </w:p>
        </w:tc>
      </w:tr>
      <w:tr w14:paraId="2524F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5B80877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1691E8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97F0B20">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4A93B4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3C9A34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85B114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03123C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7276D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2AA1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34E1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2FDAC9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78860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0773B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1E67F8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43E5B0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BB222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64AB6DD">
            <w:pPr>
              <w:spacing w:line="360" w:lineRule="auto"/>
              <w:rPr>
                <w:rFonts w:ascii="宋体" w:hAnsi="宋体" w:cs="宋体"/>
                <w:color w:val="auto"/>
                <w:sz w:val="24"/>
                <w:highlight w:val="none"/>
              </w:rPr>
            </w:pPr>
          </w:p>
        </w:tc>
      </w:tr>
      <w:tr w14:paraId="021C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386E88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ACDFCA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94DCEA8">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C1F05E2">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FCCA1FD">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05F04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420C0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CC71283">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E45C24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84CA24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8A3E6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DF2E0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D9FA43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0811E42">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6B3CE7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26CB347">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E094C0B">
            <w:pPr>
              <w:spacing w:line="360" w:lineRule="auto"/>
              <w:rPr>
                <w:rFonts w:ascii="宋体" w:hAnsi="宋体" w:cs="宋体"/>
                <w:color w:val="auto"/>
                <w:sz w:val="24"/>
                <w:highlight w:val="none"/>
              </w:rPr>
            </w:pPr>
          </w:p>
        </w:tc>
      </w:tr>
      <w:tr w14:paraId="7F85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2F82B4E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EE835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5DAB7FB5">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189362A">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705FFB2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287F92B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1C9710A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5D0B28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EF387C">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5EB8FD0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41163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AF083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1ED24C1">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4F70D11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F90E25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5FCB1B4">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09CB446">
            <w:pPr>
              <w:spacing w:line="360" w:lineRule="auto"/>
              <w:rPr>
                <w:rFonts w:ascii="宋体" w:hAnsi="宋体" w:cs="宋体"/>
                <w:color w:val="auto"/>
                <w:sz w:val="24"/>
                <w:highlight w:val="none"/>
              </w:rPr>
            </w:pPr>
          </w:p>
        </w:tc>
      </w:tr>
      <w:tr w14:paraId="0A135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Borders>
              <w:top w:val="single" w:color="auto" w:sz="4" w:space="0"/>
              <w:left w:val="single" w:color="auto" w:sz="4" w:space="0"/>
              <w:bottom w:val="single" w:color="auto" w:sz="4" w:space="0"/>
              <w:right w:val="single" w:color="auto" w:sz="4" w:space="0"/>
            </w:tcBorders>
            <w:vAlign w:val="center"/>
          </w:tcPr>
          <w:p w14:paraId="071DCB1E">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4BBCABC">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04B94433">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962E87">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39BC7091">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40244726">
            <w:pPr>
              <w:spacing w:line="360" w:lineRule="auto"/>
              <w:rPr>
                <w:rFonts w:ascii="宋体" w:hAnsi="宋体" w:cs="宋体"/>
                <w:color w:val="auto"/>
                <w:sz w:val="24"/>
                <w:highlight w:val="none"/>
              </w:rPr>
            </w:pPr>
          </w:p>
        </w:tc>
        <w:tc>
          <w:tcPr>
            <w:tcW w:w="552" w:type="dxa"/>
            <w:tcBorders>
              <w:top w:val="single" w:color="auto" w:sz="4" w:space="0"/>
              <w:left w:val="single" w:color="auto" w:sz="4" w:space="0"/>
              <w:bottom w:val="single" w:color="auto" w:sz="4" w:space="0"/>
              <w:right w:val="single" w:color="auto" w:sz="4" w:space="0"/>
            </w:tcBorders>
          </w:tcPr>
          <w:p w14:paraId="6A2A41D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7B5352E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D406779">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B3AEBB">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C0DCD7A">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9280795">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1FA4A36F">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03308B10">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69945646">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26B0FECE">
            <w:pPr>
              <w:spacing w:line="360" w:lineRule="auto"/>
              <w:rPr>
                <w:rFonts w:ascii="宋体" w:hAnsi="宋体" w:cs="宋体"/>
                <w:color w:val="auto"/>
                <w:sz w:val="24"/>
                <w:highlight w:val="none"/>
              </w:rPr>
            </w:pPr>
          </w:p>
        </w:tc>
        <w:tc>
          <w:tcPr>
            <w:tcW w:w="553" w:type="dxa"/>
            <w:tcBorders>
              <w:top w:val="single" w:color="auto" w:sz="4" w:space="0"/>
              <w:left w:val="single" w:color="auto" w:sz="4" w:space="0"/>
              <w:bottom w:val="single" w:color="auto" w:sz="4" w:space="0"/>
              <w:right w:val="single" w:color="auto" w:sz="4" w:space="0"/>
            </w:tcBorders>
          </w:tcPr>
          <w:p w14:paraId="3CC50480">
            <w:pPr>
              <w:spacing w:line="360" w:lineRule="auto"/>
              <w:rPr>
                <w:rFonts w:ascii="宋体" w:hAnsi="宋体" w:cs="宋体"/>
                <w:color w:val="auto"/>
                <w:sz w:val="24"/>
                <w:highlight w:val="none"/>
              </w:rPr>
            </w:pPr>
          </w:p>
        </w:tc>
      </w:tr>
    </w:tbl>
    <w:p w14:paraId="45496A85">
      <w:pPr>
        <w:autoSpaceDE w:val="0"/>
        <w:autoSpaceDN w:val="0"/>
        <w:spacing w:line="360" w:lineRule="auto"/>
        <w:rPr>
          <w:rFonts w:ascii="宋体" w:hAnsi="宋体" w:cs="宋体"/>
          <w:color w:val="auto"/>
          <w:kern w:val="0"/>
          <w:sz w:val="24"/>
          <w:highlight w:val="none"/>
        </w:rPr>
      </w:pPr>
      <w:r>
        <w:rPr>
          <w:rFonts w:hint="eastAsia" w:ascii="宋体" w:hAnsi="宋体" w:cs="宋体"/>
          <w:b/>
          <w:color w:val="auto"/>
          <w:sz w:val="24"/>
          <w:highlight w:val="none"/>
        </w:rPr>
        <w:t>注：供应商可按上述时间表的格式自行编制切合实际的具体时间表。</w:t>
      </w:r>
    </w:p>
    <w:p w14:paraId="13647611">
      <w:pPr>
        <w:spacing w:line="500" w:lineRule="exact"/>
        <w:rPr>
          <w:rFonts w:ascii="宋体" w:hAnsi="宋体" w:cs="宋体"/>
          <w:color w:val="auto"/>
          <w:sz w:val="32"/>
          <w:szCs w:val="32"/>
          <w:highlight w:val="none"/>
        </w:rPr>
      </w:pPr>
    </w:p>
    <w:p w14:paraId="7E23AA72">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541168F">
      <w:pPr>
        <w:autoSpaceDE w:val="0"/>
        <w:autoSpaceDN w:val="0"/>
        <w:spacing w:line="360" w:lineRule="auto"/>
        <w:ind w:firstLine="6480" w:firstLineChars="2700"/>
        <w:rPr>
          <w:rFonts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2D1EBF35">
      <w:pPr>
        <w:spacing w:line="500" w:lineRule="exact"/>
        <w:rPr>
          <w:rFonts w:ascii="宋体" w:hAnsi="宋体" w:cs="宋体"/>
          <w:color w:val="auto"/>
          <w:sz w:val="32"/>
          <w:szCs w:val="32"/>
          <w:highlight w:val="none"/>
        </w:rPr>
      </w:pPr>
    </w:p>
    <w:p w14:paraId="158FA0A8">
      <w:pPr>
        <w:snapToGrid w:val="0"/>
        <w:spacing w:line="360" w:lineRule="auto"/>
        <w:ind w:firstLine="602" w:firstLineChars="200"/>
        <w:rPr>
          <w:rFonts w:ascii="宋体" w:hAnsi="宋体" w:cs="宋体"/>
          <w:b/>
          <w:color w:val="auto"/>
          <w:sz w:val="30"/>
          <w:szCs w:val="30"/>
          <w:highlight w:val="none"/>
        </w:rPr>
      </w:pPr>
    </w:p>
    <w:p w14:paraId="772F6764">
      <w:pPr>
        <w:snapToGrid w:val="0"/>
        <w:spacing w:line="360" w:lineRule="auto"/>
        <w:ind w:firstLine="602" w:firstLineChars="200"/>
        <w:rPr>
          <w:rFonts w:ascii="宋体" w:hAnsi="宋体" w:cs="宋体"/>
          <w:b/>
          <w:color w:val="auto"/>
          <w:sz w:val="30"/>
          <w:szCs w:val="30"/>
          <w:highlight w:val="none"/>
        </w:rPr>
      </w:pPr>
    </w:p>
    <w:p w14:paraId="06F58BF3">
      <w:pPr>
        <w:snapToGrid w:val="0"/>
        <w:spacing w:line="360" w:lineRule="auto"/>
        <w:ind w:firstLine="602" w:firstLineChars="200"/>
        <w:rPr>
          <w:rFonts w:ascii="宋体" w:hAnsi="宋体" w:cs="宋体"/>
          <w:b/>
          <w:color w:val="auto"/>
          <w:sz w:val="30"/>
          <w:szCs w:val="30"/>
          <w:highlight w:val="none"/>
        </w:rPr>
      </w:pPr>
    </w:p>
    <w:p w14:paraId="579046E5">
      <w:pPr>
        <w:snapToGrid w:val="0"/>
        <w:spacing w:line="360" w:lineRule="auto"/>
        <w:ind w:firstLine="602" w:firstLineChars="200"/>
        <w:rPr>
          <w:rFonts w:ascii="宋体" w:hAnsi="宋体" w:cs="宋体"/>
          <w:b/>
          <w:color w:val="auto"/>
          <w:sz w:val="30"/>
          <w:szCs w:val="30"/>
          <w:highlight w:val="none"/>
        </w:rPr>
      </w:pPr>
    </w:p>
    <w:p w14:paraId="13838507">
      <w:pPr>
        <w:snapToGrid w:val="0"/>
        <w:spacing w:line="360" w:lineRule="auto"/>
        <w:ind w:firstLine="602" w:firstLineChars="200"/>
        <w:rPr>
          <w:rFonts w:ascii="宋体" w:hAnsi="宋体" w:cs="宋体"/>
          <w:b/>
          <w:color w:val="auto"/>
          <w:sz w:val="30"/>
          <w:szCs w:val="30"/>
          <w:highlight w:val="none"/>
        </w:rPr>
      </w:pPr>
    </w:p>
    <w:p w14:paraId="36D574AC">
      <w:pPr>
        <w:snapToGrid w:val="0"/>
        <w:spacing w:line="360" w:lineRule="auto"/>
        <w:ind w:firstLine="602" w:firstLineChars="200"/>
        <w:rPr>
          <w:rFonts w:ascii="宋体" w:hAnsi="宋体" w:cs="宋体"/>
          <w:b/>
          <w:color w:val="auto"/>
          <w:sz w:val="30"/>
          <w:szCs w:val="30"/>
          <w:highlight w:val="none"/>
        </w:rPr>
      </w:pPr>
    </w:p>
    <w:p w14:paraId="36CB11AB">
      <w:pPr>
        <w:snapToGrid w:val="0"/>
        <w:spacing w:line="360" w:lineRule="auto"/>
        <w:ind w:firstLine="602" w:firstLineChars="200"/>
        <w:rPr>
          <w:rFonts w:ascii="宋体" w:hAnsi="宋体" w:cs="宋体"/>
          <w:b/>
          <w:color w:val="auto"/>
          <w:sz w:val="30"/>
          <w:szCs w:val="30"/>
          <w:highlight w:val="none"/>
        </w:rPr>
      </w:pPr>
    </w:p>
    <w:p w14:paraId="23031F9F">
      <w:pPr>
        <w:snapToGrid w:val="0"/>
        <w:spacing w:line="360" w:lineRule="auto"/>
        <w:ind w:firstLine="602" w:firstLineChars="200"/>
        <w:rPr>
          <w:rFonts w:ascii="宋体" w:hAnsi="宋体" w:cs="宋体"/>
          <w:b/>
          <w:color w:val="auto"/>
          <w:sz w:val="30"/>
          <w:szCs w:val="30"/>
          <w:highlight w:val="none"/>
        </w:rPr>
      </w:pPr>
    </w:p>
    <w:p w14:paraId="39D65EB2">
      <w:pPr>
        <w:snapToGrid w:val="0"/>
        <w:spacing w:line="360" w:lineRule="auto"/>
        <w:ind w:firstLine="602" w:firstLineChars="200"/>
        <w:rPr>
          <w:rFonts w:ascii="宋体" w:hAnsi="宋体" w:cs="宋体"/>
          <w:b/>
          <w:color w:val="auto"/>
          <w:sz w:val="30"/>
          <w:szCs w:val="30"/>
          <w:highlight w:val="none"/>
        </w:rPr>
      </w:pPr>
      <w:r>
        <w:rPr>
          <w:rFonts w:hint="eastAsia" w:ascii="宋体" w:hAnsi="宋体" w:cs="宋体"/>
          <w:b/>
          <w:color w:val="auto"/>
          <w:sz w:val="30"/>
          <w:szCs w:val="30"/>
          <w:highlight w:val="none"/>
          <w:lang w:val="en-US" w:eastAsia="zh-CN"/>
        </w:rPr>
        <w:t>六</w:t>
      </w:r>
      <w:r>
        <w:rPr>
          <w:rFonts w:hint="eastAsia" w:ascii="宋体" w:hAnsi="宋体" w:cs="宋体"/>
          <w:b/>
          <w:color w:val="auto"/>
          <w:sz w:val="30"/>
          <w:szCs w:val="30"/>
          <w:highlight w:val="none"/>
        </w:rPr>
        <w:t>、项目实施人员一览表</w:t>
      </w:r>
    </w:p>
    <w:p w14:paraId="2A337C2C">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（由供应商根据采购需求及采购文件要求编制）</w:t>
      </w:r>
    </w:p>
    <w:p w14:paraId="6DDC7589">
      <w:pPr>
        <w:pStyle w:val="15"/>
        <w:rPr>
          <w:rFonts w:hAnsi="宋体" w:cs="宋体"/>
          <w:color w:val="auto"/>
          <w:sz w:val="24"/>
          <w:szCs w:val="24"/>
          <w:highlight w:val="none"/>
        </w:rPr>
      </w:pPr>
      <w:r>
        <w:rPr>
          <w:rFonts w:hint="eastAsia" w:hAnsi="宋体" w:cs="宋体"/>
          <w:color w:val="auto"/>
          <w:sz w:val="24"/>
          <w:szCs w:val="24"/>
          <w:highlight w:val="none"/>
        </w:rPr>
        <w:t>响应分标：</w:t>
      </w:r>
      <w:r>
        <w:rPr>
          <w:rFonts w:hint="eastAsia" w:hAnsi="宋体" w:cs="宋体"/>
          <w:color w:val="auto"/>
          <w:sz w:val="24"/>
          <w:szCs w:val="24"/>
          <w:highlight w:val="none"/>
          <w:u w:val="single"/>
        </w:rPr>
        <w:t xml:space="preserve">  </w:t>
      </w:r>
      <w:r>
        <w:rPr>
          <w:rFonts w:hint="eastAsia" w:hAnsi="宋体" w:cs="宋体"/>
          <w:color w:val="auto"/>
          <w:sz w:val="24"/>
          <w:szCs w:val="24"/>
          <w:highlight w:val="none"/>
          <w:u w:val="single"/>
          <w:lang w:val="en-US" w:eastAsia="zh-CN"/>
        </w:rPr>
        <w:t>/</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分标</w:t>
      </w:r>
    </w:p>
    <w:p w14:paraId="3E140D7F">
      <w:pPr>
        <w:keepNext/>
        <w:autoSpaceDE w:val="0"/>
        <w:autoSpaceDN w:val="0"/>
        <w:spacing w:line="360" w:lineRule="auto"/>
        <w:ind w:firstLine="477"/>
        <w:rPr>
          <w:rFonts w:ascii="宋体" w:hAnsi="宋体" w:cs="宋体"/>
          <w:b/>
          <w:color w:val="auto"/>
          <w:sz w:val="24"/>
          <w:highlight w:val="none"/>
        </w:rPr>
      </w:pPr>
      <w:r>
        <w:rPr>
          <w:rFonts w:hint="eastAsia" w:ascii="宋体" w:hAnsi="宋体" w:cs="宋体"/>
          <w:b/>
          <w:color w:val="auto"/>
          <w:sz w:val="24"/>
          <w:highlight w:val="none"/>
        </w:rPr>
        <w:t>附表A:本项目的项目经理情况表</w:t>
      </w:r>
    </w:p>
    <w:tbl>
      <w:tblPr>
        <w:tblStyle w:val="26"/>
        <w:tblW w:w="8755" w:type="dxa"/>
        <w:tblInd w:w="116" w:type="dxa"/>
        <w:tblLayout w:type="fixed"/>
        <w:tblCellMar>
          <w:top w:w="0" w:type="dxa"/>
          <w:left w:w="108" w:type="dxa"/>
          <w:bottom w:w="0" w:type="dxa"/>
          <w:right w:w="108" w:type="dxa"/>
        </w:tblCellMar>
      </w:tblPr>
      <w:tblGrid>
        <w:gridCol w:w="2061"/>
        <w:gridCol w:w="1287"/>
        <w:gridCol w:w="1260"/>
        <w:gridCol w:w="4147"/>
      </w:tblGrid>
      <w:tr w14:paraId="43814F08">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52D7E1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B3B3B3"/>
            <w:vAlign w:val="center"/>
          </w:tcPr>
          <w:p w14:paraId="021CB8C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EA544A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6D29AC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响应截止时间前三年业绩及承担的主要工作情况，曾担任项目经理的项目应列明细</w:t>
            </w:r>
          </w:p>
        </w:tc>
      </w:tr>
      <w:tr w14:paraId="3E57B4CA">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62F1BBB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19372C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5D895A7F">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11BC0664">
            <w:pPr>
              <w:autoSpaceDE w:val="0"/>
              <w:autoSpaceDN w:val="0"/>
              <w:spacing w:line="360" w:lineRule="auto"/>
              <w:jc w:val="center"/>
              <w:rPr>
                <w:rFonts w:ascii="宋体" w:hAnsi="宋体" w:cs="宋体"/>
                <w:color w:val="auto"/>
                <w:sz w:val="24"/>
                <w:highlight w:val="none"/>
              </w:rPr>
            </w:pPr>
          </w:p>
        </w:tc>
      </w:tr>
      <w:tr w14:paraId="40478A89">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2CDBA51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7DF16582">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27AD5B7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B315AAC">
            <w:pPr>
              <w:widowControl/>
              <w:jc w:val="left"/>
              <w:rPr>
                <w:rFonts w:ascii="宋体" w:hAnsi="宋体" w:cs="宋体"/>
                <w:color w:val="auto"/>
                <w:sz w:val="24"/>
                <w:highlight w:val="none"/>
              </w:rPr>
            </w:pPr>
          </w:p>
        </w:tc>
      </w:tr>
      <w:tr w14:paraId="131CE806">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5923C7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97FF0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045F5D5">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5C8FBAF">
            <w:pPr>
              <w:widowControl/>
              <w:jc w:val="left"/>
              <w:rPr>
                <w:rFonts w:ascii="宋体" w:hAnsi="宋体" w:cs="宋体"/>
                <w:color w:val="auto"/>
                <w:sz w:val="24"/>
                <w:highlight w:val="none"/>
              </w:rPr>
            </w:pPr>
          </w:p>
        </w:tc>
      </w:tr>
      <w:tr w14:paraId="34DA77F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CE1C4B0">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B7D7707">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3CCB35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39F4501">
            <w:pPr>
              <w:widowControl/>
              <w:jc w:val="left"/>
              <w:rPr>
                <w:rFonts w:ascii="宋体" w:hAnsi="宋体" w:cs="宋体"/>
                <w:color w:val="auto"/>
                <w:sz w:val="24"/>
                <w:highlight w:val="none"/>
              </w:rPr>
            </w:pPr>
          </w:p>
        </w:tc>
      </w:tr>
      <w:tr w14:paraId="5841D431">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20DC302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4D4D355F">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CE482AC">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BCBA224">
            <w:pPr>
              <w:widowControl/>
              <w:jc w:val="left"/>
              <w:rPr>
                <w:rFonts w:ascii="宋体" w:hAnsi="宋体" w:cs="宋体"/>
                <w:color w:val="auto"/>
                <w:sz w:val="24"/>
                <w:highlight w:val="none"/>
              </w:rPr>
            </w:pPr>
          </w:p>
        </w:tc>
      </w:tr>
      <w:tr w14:paraId="025939BF">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1D50480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5F43EF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6601219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1DAB449">
            <w:pPr>
              <w:widowControl/>
              <w:jc w:val="left"/>
              <w:rPr>
                <w:rFonts w:ascii="宋体" w:hAnsi="宋体" w:cs="宋体"/>
                <w:color w:val="auto"/>
                <w:sz w:val="24"/>
                <w:highlight w:val="none"/>
              </w:rPr>
            </w:pPr>
          </w:p>
        </w:tc>
      </w:tr>
      <w:tr w14:paraId="5AF58C0D">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62E66E5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4713818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0F492586">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F12AEDC">
            <w:pPr>
              <w:widowControl/>
              <w:jc w:val="left"/>
              <w:rPr>
                <w:rFonts w:ascii="宋体" w:hAnsi="宋体" w:cs="宋体"/>
                <w:color w:val="auto"/>
                <w:sz w:val="24"/>
                <w:highlight w:val="none"/>
              </w:rPr>
            </w:pPr>
          </w:p>
        </w:tc>
      </w:tr>
      <w:tr w14:paraId="5396E31C">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6A1A13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06B3C44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242C49FE">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9DD6F9D">
            <w:pPr>
              <w:widowControl/>
              <w:jc w:val="left"/>
              <w:rPr>
                <w:rFonts w:ascii="宋体" w:hAnsi="宋体" w:cs="宋体"/>
                <w:color w:val="auto"/>
                <w:sz w:val="24"/>
                <w:highlight w:val="none"/>
              </w:rPr>
            </w:pPr>
          </w:p>
        </w:tc>
      </w:tr>
      <w:tr w14:paraId="2B2C133E">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516EBF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0EA3D75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B3B3B3"/>
            <w:vAlign w:val="center"/>
          </w:tcPr>
          <w:p w14:paraId="391772F7">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1A89DFD">
            <w:pPr>
              <w:widowControl/>
              <w:jc w:val="left"/>
              <w:rPr>
                <w:rFonts w:ascii="宋体" w:hAnsi="宋体" w:cs="宋体"/>
                <w:color w:val="auto"/>
                <w:sz w:val="24"/>
                <w:highlight w:val="none"/>
              </w:rPr>
            </w:pPr>
          </w:p>
        </w:tc>
      </w:tr>
    </w:tbl>
    <w:p w14:paraId="37A3158A">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注：须随表提交相应的证书复印件并注明所在响应技术文件页码。</w:t>
      </w:r>
    </w:p>
    <w:p w14:paraId="6D203269">
      <w:pPr>
        <w:autoSpaceDE w:val="0"/>
        <w:autoSpaceDN w:val="0"/>
        <w:spacing w:line="360" w:lineRule="auto"/>
        <w:rPr>
          <w:rFonts w:ascii="宋体" w:hAnsi="宋体" w:cs="宋体"/>
          <w:b/>
          <w:color w:val="auto"/>
          <w:sz w:val="24"/>
          <w:highlight w:val="none"/>
        </w:rPr>
      </w:pPr>
    </w:p>
    <w:p w14:paraId="7550E534">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本项目的</w:t>
      </w:r>
      <w:r>
        <w:rPr>
          <w:rFonts w:hint="eastAsia" w:ascii="宋体" w:hAnsi="宋体" w:cs="宋体"/>
          <w:b/>
          <w:color w:val="auto"/>
          <w:sz w:val="24"/>
          <w:highlight w:val="none"/>
          <w:lang w:val="en-US" w:eastAsia="zh-CN"/>
        </w:rPr>
        <w:t>其他</w:t>
      </w:r>
      <w:r>
        <w:rPr>
          <w:rFonts w:hint="eastAsia" w:ascii="宋体" w:hAnsi="宋体" w:cs="宋体"/>
          <w:b/>
          <w:color w:val="auto"/>
          <w:sz w:val="24"/>
          <w:highlight w:val="none"/>
        </w:rPr>
        <w:t>人员情况表</w:t>
      </w:r>
      <w:r>
        <w:rPr>
          <w:rFonts w:hint="eastAsia" w:ascii="宋体" w:hAnsi="宋体" w:cs="宋体"/>
          <w:color w:val="auto"/>
          <w:sz w:val="24"/>
          <w:highlight w:val="none"/>
        </w:rPr>
        <w:t>（按此格式自制）</w:t>
      </w:r>
    </w:p>
    <w:tbl>
      <w:tblPr>
        <w:tblStyle w:val="26"/>
        <w:tblW w:w="9030" w:type="dxa"/>
        <w:tblInd w:w="10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1116"/>
        <w:gridCol w:w="1254"/>
      </w:tblGrid>
      <w:tr w14:paraId="2275B41C">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2A1CD745">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063DF1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17CE48C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14:paraId="0D1A603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14:paraId="57DBF4B4">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p w14:paraId="423EDA2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34E279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2EA9F44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70BFB76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6357C88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7BD96FB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1116" w:type="dxa"/>
            <w:tcBorders>
              <w:top w:val="single" w:color="auto" w:sz="6" w:space="0"/>
              <w:left w:val="single" w:color="auto" w:sz="6" w:space="0"/>
              <w:bottom w:val="single" w:color="auto" w:sz="6" w:space="0"/>
              <w:right w:val="single" w:color="auto" w:sz="6" w:space="0"/>
            </w:tcBorders>
            <w:vAlign w:val="center"/>
          </w:tcPr>
          <w:p w14:paraId="2F59D2D3">
            <w:pPr>
              <w:autoSpaceDE w:val="0"/>
              <w:autoSpaceDN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执业资格证书</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p>
        </w:tc>
        <w:tc>
          <w:tcPr>
            <w:tcW w:w="1254" w:type="dxa"/>
            <w:tcBorders>
              <w:top w:val="single" w:color="auto" w:sz="6" w:space="0"/>
              <w:left w:val="single" w:color="auto" w:sz="6" w:space="0"/>
              <w:bottom w:val="single" w:color="auto" w:sz="6" w:space="0"/>
              <w:right w:val="single" w:color="auto" w:sz="6" w:space="0"/>
            </w:tcBorders>
            <w:vAlign w:val="center"/>
          </w:tcPr>
          <w:p w14:paraId="695544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9817425">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69B0B308">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0DFD8A39">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270D7F52">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73CA0B">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C7E23D">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DEBDFEF">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255898B">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03DB46B7">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1BC1B29D">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1ACA4504">
            <w:pPr>
              <w:autoSpaceDE w:val="0"/>
              <w:autoSpaceDN w:val="0"/>
              <w:spacing w:line="360" w:lineRule="auto"/>
              <w:rPr>
                <w:rFonts w:ascii="宋体" w:hAnsi="宋体" w:cs="宋体"/>
                <w:color w:val="auto"/>
                <w:sz w:val="24"/>
                <w:highlight w:val="none"/>
              </w:rPr>
            </w:pPr>
          </w:p>
        </w:tc>
      </w:tr>
      <w:tr w14:paraId="4C2ACF90">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4B3DC8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7FEFA506">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1AD3595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74977BA9">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5AAE11A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0CCA9BC6">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2EF0C373">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7F6AC68C">
            <w:pPr>
              <w:autoSpaceDE w:val="0"/>
              <w:autoSpaceDN w:val="0"/>
              <w:spacing w:line="360" w:lineRule="auto"/>
              <w:rPr>
                <w:rFonts w:ascii="宋体" w:hAnsi="宋体" w:cs="宋体"/>
                <w:color w:val="auto"/>
                <w:sz w:val="24"/>
                <w:highlight w:val="none"/>
              </w:rPr>
            </w:pPr>
          </w:p>
        </w:tc>
        <w:tc>
          <w:tcPr>
            <w:tcW w:w="1116" w:type="dxa"/>
            <w:tcBorders>
              <w:top w:val="single" w:color="auto" w:sz="6" w:space="0"/>
              <w:left w:val="single" w:color="auto" w:sz="6" w:space="0"/>
              <w:bottom w:val="single" w:color="auto" w:sz="6" w:space="0"/>
              <w:right w:val="single" w:color="auto" w:sz="6" w:space="0"/>
            </w:tcBorders>
          </w:tcPr>
          <w:p w14:paraId="414BDA59">
            <w:pPr>
              <w:autoSpaceDE w:val="0"/>
              <w:autoSpaceDN w:val="0"/>
              <w:spacing w:line="360" w:lineRule="auto"/>
              <w:rPr>
                <w:rFonts w:ascii="宋体" w:hAnsi="宋体" w:cs="宋体"/>
                <w:color w:val="auto"/>
                <w:sz w:val="24"/>
                <w:highlight w:val="none"/>
              </w:rPr>
            </w:pPr>
          </w:p>
        </w:tc>
        <w:tc>
          <w:tcPr>
            <w:tcW w:w="1254" w:type="dxa"/>
            <w:tcBorders>
              <w:top w:val="single" w:color="auto" w:sz="6" w:space="0"/>
              <w:left w:val="single" w:color="auto" w:sz="6" w:space="0"/>
              <w:bottom w:val="single" w:color="auto" w:sz="6" w:space="0"/>
              <w:right w:val="single" w:color="auto" w:sz="6" w:space="0"/>
            </w:tcBorders>
          </w:tcPr>
          <w:p w14:paraId="405F6D7D">
            <w:pPr>
              <w:autoSpaceDE w:val="0"/>
              <w:autoSpaceDN w:val="0"/>
              <w:spacing w:line="360" w:lineRule="auto"/>
              <w:rPr>
                <w:rFonts w:ascii="宋体" w:hAnsi="宋体" w:cs="宋体"/>
                <w:color w:val="auto"/>
                <w:sz w:val="24"/>
                <w:highlight w:val="none"/>
              </w:rPr>
            </w:pPr>
          </w:p>
        </w:tc>
      </w:tr>
    </w:tbl>
    <w:p w14:paraId="02539F9F">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注：供应商可按上述的格式自行编制，须随表提交相应的证书复印件并注明所在响应技术文件页码。</w:t>
      </w:r>
    </w:p>
    <w:p w14:paraId="5FA302FD">
      <w:pPr>
        <w:snapToGrid w:val="0"/>
        <w:spacing w:line="360" w:lineRule="auto"/>
        <w:ind w:firstLine="602" w:firstLineChars="200"/>
        <w:rPr>
          <w:rFonts w:ascii="宋体" w:hAnsi="宋体" w:cs="宋体"/>
          <w:b/>
          <w:color w:val="auto"/>
          <w:sz w:val="30"/>
          <w:szCs w:val="30"/>
          <w:highlight w:val="none"/>
        </w:rPr>
      </w:pPr>
    </w:p>
    <w:p w14:paraId="326DB12B">
      <w:pPr>
        <w:autoSpaceDE w:val="0"/>
        <w:autoSpaceDN w:val="0"/>
        <w:spacing w:line="360" w:lineRule="auto"/>
        <w:ind w:firstLine="6505" w:firstLineChars="2700"/>
        <w:rPr>
          <w:rFonts w:ascii="宋体" w:hAnsi="宋体" w:cs="宋体"/>
          <w:b/>
          <w:bCs/>
          <w:color w:val="auto"/>
          <w:sz w:val="24"/>
          <w:highlight w:val="none"/>
        </w:rPr>
      </w:pPr>
    </w:p>
    <w:p w14:paraId="61C81260">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426E5626">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B65ACAC">
      <w:pPr>
        <w:autoSpaceDE w:val="0"/>
        <w:autoSpaceDN w:val="0"/>
        <w:spacing w:line="360" w:lineRule="auto"/>
        <w:ind w:firstLine="6480" w:firstLineChars="2700"/>
        <w:rPr>
          <w:rFonts w:ascii="宋体" w:hAnsi="宋体" w:cs="宋体"/>
          <w:color w:val="auto"/>
          <w:kern w:val="0"/>
          <w:sz w:val="24"/>
          <w:highlight w:val="none"/>
          <w:lang w:val="zh-CN"/>
        </w:rPr>
      </w:pPr>
    </w:p>
    <w:p w14:paraId="7154520B">
      <w:pPr>
        <w:snapToGrid w:val="0"/>
        <w:spacing w:line="360" w:lineRule="auto"/>
        <w:ind w:firstLine="602" w:firstLineChars="200"/>
        <w:rPr>
          <w:rFonts w:hint="default"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七、</w:t>
      </w:r>
      <w:r>
        <w:rPr>
          <w:rFonts w:hint="eastAsia" w:ascii="宋体" w:hAnsi="宋体" w:cs="宋体"/>
          <w:b/>
          <w:color w:val="auto"/>
          <w:sz w:val="30"/>
          <w:szCs w:val="30"/>
          <w:highlight w:val="none"/>
        </w:rPr>
        <w:t>代理服务费承诺书</w:t>
      </w:r>
    </w:p>
    <w:p w14:paraId="3C468F40">
      <w:pPr>
        <w:numPr>
          <w:ilvl w:val="0"/>
          <w:numId w:val="0"/>
        </w:numPr>
        <w:snapToGrid w:val="0"/>
        <w:spacing w:line="360" w:lineRule="auto"/>
        <w:ind w:firstLine="2409" w:firstLineChars="800"/>
        <w:rPr>
          <w:rFonts w:hint="eastAsia" w:ascii="宋体" w:hAnsi="宋体" w:cs="宋体"/>
          <w:b/>
          <w:color w:val="auto"/>
          <w:sz w:val="30"/>
          <w:szCs w:val="30"/>
          <w:highlight w:val="none"/>
        </w:rPr>
      </w:pPr>
      <w:r>
        <w:rPr>
          <w:rFonts w:hint="eastAsia" w:ascii="宋体" w:hAnsi="宋体" w:cs="宋体"/>
          <w:b/>
          <w:color w:val="auto"/>
          <w:sz w:val="30"/>
          <w:szCs w:val="30"/>
          <w:highlight w:val="none"/>
        </w:rPr>
        <w:t>代理服务费承诺书</w:t>
      </w:r>
    </w:p>
    <w:p w14:paraId="5D8C1990">
      <w:pPr>
        <w:snapToGrid w:val="0"/>
        <w:spacing w:before="120" w:beforeLines="50" w:after="50"/>
        <w:jc w:val="center"/>
        <w:rPr>
          <w:rFonts w:hint="eastAsia" w:ascii="宋体" w:hAnsi="宋体"/>
          <w:b/>
          <w:color w:val="auto"/>
          <w:sz w:val="24"/>
          <w:highlight w:val="none"/>
        </w:rPr>
      </w:pPr>
    </w:p>
    <w:p w14:paraId="270C85F7">
      <w:pPr>
        <w:spacing w:line="360" w:lineRule="auto"/>
        <w:rPr>
          <w:rFonts w:hint="eastAsia" w:ascii="宋体" w:hAnsi="宋体"/>
          <w:b/>
          <w:bCs/>
          <w:color w:val="auto"/>
          <w:sz w:val="24"/>
          <w:highlight w:val="none"/>
        </w:rPr>
      </w:pPr>
      <w:r>
        <w:rPr>
          <w:rFonts w:hint="eastAsia" w:ascii="宋体" w:hAnsi="宋体"/>
          <w:bCs/>
          <w:color w:val="auto"/>
          <w:sz w:val="24"/>
          <w:highlight w:val="none"/>
        </w:rPr>
        <w:t>致：</w:t>
      </w:r>
      <w:r>
        <w:rPr>
          <w:rFonts w:hint="eastAsia" w:ascii="宋体" w:hAnsi="宋体"/>
          <w:color w:val="auto"/>
          <w:sz w:val="24"/>
          <w:highlight w:val="none"/>
          <w:u w:val="single"/>
        </w:rPr>
        <w:t>采购代理机构名称</w:t>
      </w:r>
      <w:r>
        <w:rPr>
          <w:rFonts w:hint="eastAsia" w:ascii="宋体" w:hAnsi="宋体"/>
          <w:color w:val="auto"/>
          <w:sz w:val="24"/>
          <w:highlight w:val="none"/>
        </w:rPr>
        <w:t>：</w:t>
      </w:r>
    </w:p>
    <w:p w14:paraId="116A9DAA">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本单位参加了贵方组织的</w:t>
      </w:r>
      <w:r>
        <w:rPr>
          <w:rFonts w:hint="eastAsia" w:ascii="宋体" w:hAnsi="宋体"/>
          <w:color w:val="auto"/>
          <w:sz w:val="24"/>
          <w:highlight w:val="none"/>
          <w:u w:val="single"/>
        </w:rPr>
        <w:t xml:space="preserve">  项目名称（项目编号）  </w:t>
      </w:r>
      <w:r>
        <w:rPr>
          <w:rFonts w:hint="eastAsia" w:ascii="宋体" w:hAnsi="宋体"/>
          <w:color w:val="auto"/>
          <w:sz w:val="24"/>
          <w:highlight w:val="none"/>
        </w:rPr>
        <w:t>项目， 在此说明如下：</w:t>
      </w:r>
    </w:p>
    <w:p w14:paraId="29D8C122">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1.我方承诺，若本单位成交，保证在发出成交通知书之日起25日内，按本项目磋商文件的规定标准向贵单位一次性足额支付代理服务费, 在领取成交通知书后，由于被质疑、投诉或者其他原因而导致成交结果改变，我方将放弃对已缴纳的成交服务费追还的一切权利。</w:t>
      </w:r>
    </w:p>
    <w:p w14:paraId="5422D899">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2.本单位选择第</w:t>
      </w:r>
      <w:r>
        <w:rPr>
          <w:rFonts w:hint="eastAsia" w:ascii="宋体" w:hAnsi="宋体"/>
          <w:color w:val="auto"/>
          <w:sz w:val="24"/>
          <w:highlight w:val="none"/>
          <w:u w:val="single"/>
        </w:rPr>
        <w:t xml:space="preserve">     </w:t>
      </w:r>
      <w:r>
        <w:rPr>
          <w:rFonts w:hint="eastAsia" w:ascii="宋体" w:hAnsi="宋体"/>
          <w:color w:val="auto"/>
          <w:sz w:val="24"/>
          <w:highlight w:val="none"/>
        </w:rPr>
        <w:t>种方式作为代理服务费开票类型：</w:t>
      </w:r>
    </w:p>
    <w:p w14:paraId="5C56E23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第一种方式：开具增值税普通发票。开票信息如下：</w:t>
      </w:r>
    </w:p>
    <w:p w14:paraId="795F0B11">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7CD5845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A28EE5A">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第二种方式：开具增值税专用发票，开票信息如下：</w:t>
      </w:r>
    </w:p>
    <w:p w14:paraId="4E3DF54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（1）公司名称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002C2D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（2）纳税人识别号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3394F6FF">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（3）在税局登记的地址</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478C603D">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（4）在税局登记的电话</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8112B78">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（5）开户银行</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552E1125">
      <w:pPr>
        <w:spacing w:line="360" w:lineRule="auto"/>
        <w:ind w:firstLine="360" w:firstLineChars="150"/>
        <w:rPr>
          <w:rFonts w:hint="eastAsia" w:ascii="宋体" w:hAnsi="宋体"/>
          <w:color w:val="auto"/>
          <w:sz w:val="24"/>
          <w:highlight w:val="none"/>
        </w:rPr>
      </w:pPr>
      <w:r>
        <w:rPr>
          <w:rFonts w:hint="eastAsia" w:ascii="宋体" w:hAnsi="宋体"/>
          <w:color w:val="auto"/>
          <w:sz w:val="24"/>
          <w:highlight w:val="none"/>
        </w:rPr>
        <w:t>（6）银行账户</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632473CA">
      <w:pPr>
        <w:spacing w:line="440" w:lineRule="exact"/>
        <w:rPr>
          <w:rFonts w:hint="eastAsia" w:ascii="宋体" w:hAnsi="宋体"/>
          <w:color w:val="auto"/>
          <w:sz w:val="24"/>
          <w:highlight w:val="none"/>
        </w:rPr>
      </w:pPr>
    </w:p>
    <w:p w14:paraId="6932DBFE">
      <w:pPr>
        <w:spacing w:line="440" w:lineRule="exact"/>
        <w:rPr>
          <w:rFonts w:hint="eastAsia" w:ascii="宋体" w:hAnsi="宋体"/>
          <w:color w:val="auto"/>
          <w:sz w:val="24"/>
          <w:highlight w:val="none"/>
        </w:rPr>
      </w:pPr>
    </w:p>
    <w:p w14:paraId="1DE8A481">
      <w:pPr>
        <w:spacing w:line="440" w:lineRule="exact"/>
        <w:rPr>
          <w:rFonts w:hint="eastAsia" w:ascii="宋体" w:hAnsi="宋体"/>
          <w:color w:val="auto"/>
          <w:sz w:val="24"/>
          <w:highlight w:val="none"/>
        </w:rPr>
      </w:pPr>
    </w:p>
    <w:p w14:paraId="384721A7">
      <w:pPr>
        <w:snapToGrid w:val="0"/>
        <w:spacing w:line="360" w:lineRule="auto"/>
        <w:ind w:left="-2" w:leftChars="-1" w:right="-817" w:rightChars="-389" w:firstLine="1920" w:firstLineChars="800"/>
        <w:rPr>
          <w:rFonts w:hint="eastAsia" w:ascii="宋体" w:hAnsi="宋体"/>
          <w:color w:val="auto"/>
          <w:sz w:val="24"/>
          <w:highlight w:val="none"/>
        </w:rPr>
      </w:pPr>
      <w:r>
        <w:rPr>
          <w:rFonts w:hint="eastAsia" w:ascii="宋体" w:hAnsi="宋体"/>
          <w:color w:val="auto"/>
          <w:sz w:val="24"/>
          <w:highlight w:val="none"/>
        </w:rPr>
        <w:t xml:space="preserve">法定代表人或者委托代理人（签字或者电子签名）： </w:t>
      </w:r>
    </w:p>
    <w:p w14:paraId="7CC3B378">
      <w:pPr>
        <w:snapToGrid w:val="0"/>
        <w:spacing w:line="360" w:lineRule="auto"/>
        <w:ind w:left="-3" w:leftChars="-15" w:right="-817" w:rightChars="-389" w:hanging="28" w:hangingChars="12"/>
        <w:rPr>
          <w:rFonts w:hint="eastAsia" w:ascii="宋体" w:hAnsi="宋体"/>
          <w:color w:val="auto"/>
          <w:sz w:val="24"/>
          <w:highlight w:val="none"/>
        </w:rPr>
      </w:pPr>
      <w:r>
        <w:rPr>
          <w:rFonts w:hint="eastAsia" w:ascii="宋体" w:hAnsi="宋体"/>
          <w:color w:val="auto"/>
          <w:sz w:val="24"/>
          <w:highlight w:val="none"/>
        </w:rPr>
        <w:t xml:space="preserve">                                      供应商公章（电子签章）：</w:t>
      </w:r>
    </w:p>
    <w:p w14:paraId="37416EBB">
      <w:pPr>
        <w:snapToGrid w:val="0"/>
        <w:spacing w:line="360" w:lineRule="auto"/>
        <w:ind w:right="480" w:firstLine="240" w:firstLineChars="100"/>
        <w:jc w:val="left"/>
        <w:rPr>
          <w:rFonts w:hint="eastAsia" w:ascii="宋体" w:hAnsi="宋体"/>
          <w:color w:val="auto"/>
          <w:szCs w:val="21"/>
          <w:highlight w:val="none"/>
        </w:rPr>
      </w:pPr>
      <w:r>
        <w:rPr>
          <w:rFonts w:hint="eastAsia" w:ascii="宋体" w:hAnsi="宋体"/>
          <w:color w:val="auto"/>
          <w:sz w:val="24"/>
          <w:highlight w:val="none"/>
        </w:rPr>
        <w:t xml:space="preserve">                                    日期：    年   月   日</w:t>
      </w:r>
    </w:p>
    <w:p w14:paraId="3DCA8217">
      <w:pPr>
        <w:snapToGrid w:val="0"/>
        <w:spacing w:line="360" w:lineRule="auto"/>
        <w:ind w:firstLine="602" w:firstLineChars="200"/>
        <w:rPr>
          <w:rFonts w:hint="eastAsia" w:ascii="宋体" w:hAnsi="宋体" w:cs="宋体"/>
          <w:b/>
          <w:color w:val="auto"/>
          <w:sz w:val="30"/>
          <w:szCs w:val="30"/>
          <w:highlight w:val="none"/>
        </w:rPr>
      </w:pPr>
    </w:p>
    <w:p w14:paraId="734FBB08">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八</w:t>
      </w:r>
      <w:r>
        <w:rPr>
          <w:rFonts w:hint="eastAsia" w:ascii="宋体" w:hAnsi="宋体" w:cs="宋体"/>
          <w:b/>
          <w:color w:val="auto"/>
          <w:sz w:val="30"/>
          <w:szCs w:val="30"/>
          <w:highlight w:val="none"/>
        </w:rPr>
        <w:t>.对应采购需求的服务需求、商务条款提供的其他文件资料；</w:t>
      </w:r>
    </w:p>
    <w:p w14:paraId="12414542">
      <w:pPr>
        <w:numPr>
          <w:ilvl w:val="0"/>
          <w:numId w:val="0"/>
        </w:numPr>
        <w:snapToGrid w:val="0"/>
        <w:spacing w:line="360" w:lineRule="auto"/>
        <w:rPr>
          <w:rFonts w:hint="eastAsia" w:ascii="宋体" w:hAnsi="宋体" w:cs="宋体"/>
          <w:b/>
          <w:color w:val="auto"/>
          <w:sz w:val="30"/>
          <w:szCs w:val="30"/>
          <w:highlight w:val="none"/>
        </w:rPr>
      </w:pP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.供应商认为需要提供的其他有关资料。</w:t>
      </w:r>
    </w:p>
    <w:p w14:paraId="1ECDE605">
      <w:pPr>
        <w:autoSpaceDE w:val="0"/>
        <w:autoSpaceDN w:val="0"/>
        <w:spacing w:line="360" w:lineRule="auto"/>
        <w:ind w:firstLine="6505" w:firstLineChars="2700"/>
        <w:rPr>
          <w:rFonts w:ascii="宋体" w:hAnsi="宋体" w:cs="宋体"/>
          <w:b/>
          <w:bCs/>
          <w:color w:val="auto"/>
          <w:sz w:val="24"/>
          <w:highlight w:val="none"/>
        </w:rPr>
      </w:pPr>
    </w:p>
    <w:p w14:paraId="2C9FD35A">
      <w:pPr>
        <w:pStyle w:val="3"/>
        <w:jc w:val="center"/>
        <w:rPr>
          <w:rFonts w:ascii="宋体" w:hAnsi="宋体" w:cs="宋体"/>
          <w:color w:val="auto"/>
          <w:highlight w:val="none"/>
        </w:rPr>
      </w:pPr>
      <w:bookmarkStart w:id="84" w:name="_Toc32512"/>
      <w:bookmarkStart w:id="85" w:name="_Toc80205941"/>
      <w:r>
        <w:rPr>
          <w:rFonts w:hint="eastAsia" w:ascii="宋体" w:hAnsi="宋体" w:cs="宋体"/>
          <w:color w:val="auto"/>
          <w:highlight w:val="none"/>
        </w:rPr>
        <w:t>第四节 报价文件格式</w:t>
      </w:r>
      <w:bookmarkEnd w:id="84"/>
      <w:bookmarkEnd w:id="85"/>
    </w:p>
    <w:p w14:paraId="31806E02">
      <w:pPr>
        <w:snapToGrid w:val="0"/>
        <w:spacing w:before="120" w:beforeLines="50" w:after="50"/>
        <w:rPr>
          <w:rFonts w:ascii="宋体" w:hAnsi="宋体" w:cs="宋体"/>
          <w:bCs/>
          <w:color w:val="auto"/>
          <w:sz w:val="32"/>
          <w:szCs w:val="20"/>
          <w:highlight w:val="none"/>
        </w:rPr>
      </w:pPr>
      <w:r>
        <w:rPr>
          <w:rFonts w:hint="eastAsia" w:ascii="宋体" w:hAnsi="宋体" w:cs="宋体"/>
          <w:color w:val="auto"/>
          <w:sz w:val="24"/>
          <w:highlight w:val="none"/>
        </w:rPr>
        <w:t xml:space="preserve">                                                    </w:t>
      </w:r>
      <w:r>
        <w:rPr>
          <w:rFonts w:hint="eastAsia" w:ascii="宋体" w:hAnsi="宋体" w:cs="宋体"/>
          <w:bCs/>
          <w:color w:val="auto"/>
          <w:highlight w:val="none"/>
        </w:rPr>
        <w:t>全流程电子文件</w:t>
      </w:r>
    </w:p>
    <w:p w14:paraId="3B289FB1">
      <w:pPr>
        <w:snapToGrid w:val="0"/>
        <w:spacing w:before="120" w:beforeLines="50" w:after="50"/>
        <w:rPr>
          <w:rFonts w:ascii="宋体" w:hAnsi="宋体" w:cs="宋体"/>
          <w:color w:val="auto"/>
          <w:sz w:val="24"/>
          <w:szCs w:val="20"/>
          <w:highlight w:val="none"/>
        </w:rPr>
      </w:pPr>
    </w:p>
    <w:p w14:paraId="24420DF0">
      <w:pPr>
        <w:snapToGrid w:val="0"/>
        <w:spacing w:before="120" w:beforeLines="50" w:after="50"/>
        <w:rPr>
          <w:rFonts w:ascii="宋体" w:hAnsi="宋体" w:cs="宋体"/>
          <w:color w:val="auto"/>
          <w:sz w:val="24"/>
          <w:szCs w:val="20"/>
          <w:highlight w:val="none"/>
        </w:rPr>
      </w:pPr>
    </w:p>
    <w:p w14:paraId="7712D18C">
      <w:pPr>
        <w:snapToGrid w:val="0"/>
        <w:spacing w:before="120" w:beforeLines="50" w:after="50"/>
        <w:rPr>
          <w:rFonts w:ascii="宋体" w:hAnsi="宋体" w:cs="宋体"/>
          <w:color w:val="auto"/>
          <w:sz w:val="24"/>
          <w:szCs w:val="20"/>
          <w:highlight w:val="none"/>
        </w:rPr>
      </w:pPr>
    </w:p>
    <w:p w14:paraId="75FB0839">
      <w:pPr>
        <w:snapToGrid w:val="0"/>
        <w:spacing w:before="120" w:beforeLines="50" w:after="50"/>
        <w:jc w:val="center"/>
        <w:rPr>
          <w:rFonts w:ascii="宋体" w:hAnsi="宋体" w:cs="宋体"/>
          <w:bCs/>
          <w:color w:val="auto"/>
          <w:sz w:val="44"/>
          <w:szCs w:val="44"/>
          <w:highlight w:val="none"/>
        </w:rPr>
      </w:pPr>
      <w:r>
        <w:rPr>
          <w:rFonts w:hint="eastAsia" w:ascii="宋体" w:hAnsi="宋体" w:cs="宋体"/>
          <w:bCs/>
          <w:color w:val="auto"/>
          <w:sz w:val="44"/>
          <w:szCs w:val="44"/>
          <w:highlight w:val="none"/>
        </w:rPr>
        <w:t>报  价  文  件（封面）</w:t>
      </w:r>
    </w:p>
    <w:p w14:paraId="5120630A">
      <w:pPr>
        <w:snapToGrid w:val="0"/>
        <w:spacing w:before="120" w:beforeLines="50" w:after="50"/>
        <w:rPr>
          <w:rFonts w:ascii="宋体" w:hAnsi="宋体" w:cs="宋体"/>
          <w:bCs/>
          <w:color w:val="auto"/>
          <w:sz w:val="24"/>
          <w:szCs w:val="20"/>
          <w:highlight w:val="none"/>
        </w:rPr>
      </w:pPr>
    </w:p>
    <w:p w14:paraId="1FE5DBEC">
      <w:pPr>
        <w:snapToGrid w:val="0"/>
        <w:spacing w:before="120" w:beforeLines="50" w:after="50"/>
        <w:rPr>
          <w:rFonts w:ascii="宋体" w:hAnsi="宋体" w:cs="宋体"/>
          <w:bCs/>
          <w:color w:val="auto"/>
          <w:sz w:val="24"/>
          <w:szCs w:val="20"/>
          <w:highlight w:val="none"/>
        </w:rPr>
      </w:pPr>
    </w:p>
    <w:p w14:paraId="737336FE">
      <w:pPr>
        <w:snapToGrid w:val="0"/>
        <w:spacing w:before="120" w:beforeLines="50" w:after="50"/>
        <w:rPr>
          <w:rFonts w:ascii="宋体" w:hAnsi="宋体" w:cs="宋体"/>
          <w:bCs/>
          <w:color w:val="auto"/>
          <w:sz w:val="24"/>
          <w:szCs w:val="20"/>
          <w:highlight w:val="none"/>
        </w:rPr>
      </w:pPr>
    </w:p>
    <w:p w14:paraId="0ED3DEA3">
      <w:pPr>
        <w:snapToGrid w:val="0"/>
        <w:spacing w:before="120" w:beforeLines="50" w:after="50"/>
        <w:rPr>
          <w:rFonts w:ascii="宋体" w:hAnsi="宋体" w:cs="宋体"/>
          <w:bCs/>
          <w:color w:val="auto"/>
          <w:sz w:val="24"/>
          <w:szCs w:val="20"/>
          <w:highlight w:val="none"/>
        </w:rPr>
      </w:pPr>
    </w:p>
    <w:p w14:paraId="2386CD1E">
      <w:pPr>
        <w:snapToGrid w:val="0"/>
        <w:spacing w:before="120" w:beforeLines="50" w:after="50"/>
        <w:rPr>
          <w:rFonts w:ascii="宋体" w:hAnsi="宋体" w:cs="宋体"/>
          <w:bCs/>
          <w:color w:val="auto"/>
          <w:sz w:val="24"/>
          <w:szCs w:val="20"/>
          <w:highlight w:val="none"/>
        </w:rPr>
      </w:pPr>
    </w:p>
    <w:p w14:paraId="5DD918CD">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项目名称：</w:t>
      </w:r>
      <w:bookmarkStart w:id="86" w:name="PO_3000001868_PM002_9"/>
      <w:r>
        <w:rPr>
          <w:rFonts w:hint="eastAsia" w:ascii="宋体" w:hAnsi="宋体" w:cs="宋体"/>
          <w:bCs/>
          <w:color w:val="auto"/>
          <w:sz w:val="32"/>
          <w:szCs w:val="32"/>
          <w:highlight w:val="none"/>
        </w:rPr>
        <w:t>[项目名称]</w:t>
      </w:r>
      <w:bookmarkEnd w:id="86"/>
    </w:p>
    <w:p w14:paraId="34AC2F45">
      <w:pPr>
        <w:snapToGrid w:val="0"/>
        <w:spacing w:before="120" w:beforeLines="50" w:after="50"/>
        <w:ind w:firstLine="720" w:firstLineChars="225"/>
        <w:rPr>
          <w:rFonts w:ascii="宋体" w:hAnsi="宋体" w:cs="宋体"/>
          <w:bCs/>
          <w:color w:val="auto"/>
          <w:sz w:val="32"/>
          <w:szCs w:val="32"/>
          <w:highlight w:val="none"/>
        </w:rPr>
      </w:pPr>
    </w:p>
    <w:p w14:paraId="5A051E49">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项目编号：</w:t>
      </w:r>
      <w:bookmarkStart w:id="87" w:name="PO_3000001868_PM001_9"/>
      <w:r>
        <w:rPr>
          <w:rFonts w:hint="eastAsia" w:ascii="宋体" w:hAnsi="宋体" w:cs="宋体"/>
          <w:bCs/>
          <w:color w:val="auto"/>
          <w:sz w:val="32"/>
          <w:szCs w:val="32"/>
          <w:highlight w:val="none"/>
        </w:rPr>
        <w:t>[项目编号]</w:t>
      </w:r>
      <w:bookmarkEnd w:id="87"/>
    </w:p>
    <w:p w14:paraId="285348D9">
      <w:pPr>
        <w:snapToGrid w:val="0"/>
        <w:spacing w:before="120" w:beforeLines="50" w:after="50"/>
        <w:ind w:firstLine="720" w:firstLineChars="225"/>
        <w:rPr>
          <w:rFonts w:ascii="宋体" w:hAnsi="宋体" w:cs="宋体"/>
          <w:bCs/>
          <w:color w:val="auto"/>
          <w:sz w:val="32"/>
          <w:szCs w:val="32"/>
          <w:highlight w:val="none"/>
        </w:rPr>
      </w:pPr>
      <w:r>
        <w:rPr>
          <w:rFonts w:hint="eastAsia" w:ascii="宋体" w:hAnsi="宋体" w:cs="宋体"/>
          <w:bCs/>
          <w:color w:val="auto"/>
          <w:sz w:val="32"/>
          <w:szCs w:val="32"/>
          <w:highlight w:val="none"/>
        </w:rPr>
        <w:t xml:space="preserve"> </w:t>
      </w:r>
    </w:p>
    <w:p w14:paraId="7D394EC5">
      <w:pPr>
        <w:snapToGrid w:val="0"/>
        <w:spacing w:before="120" w:beforeLines="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所竞分标（如有则填写，无分标时填写“无”或者留空）：</w:t>
      </w:r>
    </w:p>
    <w:p w14:paraId="1DA7F262">
      <w:pPr>
        <w:snapToGrid w:val="0"/>
        <w:spacing w:before="120" w:beforeLines="50" w:after="50"/>
        <w:ind w:firstLine="720" w:firstLineChars="225"/>
        <w:rPr>
          <w:rFonts w:ascii="宋体" w:hAnsi="宋体" w:cs="宋体"/>
          <w:bCs/>
          <w:color w:val="auto"/>
          <w:sz w:val="32"/>
          <w:szCs w:val="32"/>
          <w:highlight w:val="none"/>
        </w:rPr>
      </w:pPr>
    </w:p>
    <w:p w14:paraId="1A8022C0">
      <w:pPr>
        <w:pStyle w:val="8"/>
        <w:snapToGrid w:val="0"/>
        <w:spacing w:before="50" w:after="50"/>
        <w:ind w:firstLine="640" w:firstLineChars="200"/>
        <w:rPr>
          <w:rFonts w:ascii="宋体" w:hAnsi="宋体" w:cs="宋体"/>
          <w:bCs/>
          <w:color w:val="auto"/>
          <w:sz w:val="32"/>
          <w:szCs w:val="32"/>
          <w:highlight w:val="none"/>
        </w:rPr>
      </w:pPr>
      <w:r>
        <w:rPr>
          <w:rFonts w:hint="eastAsia" w:ascii="宋体" w:hAnsi="宋体" w:cs="宋体"/>
          <w:bCs/>
          <w:color w:val="auto"/>
          <w:sz w:val="32"/>
          <w:szCs w:val="32"/>
          <w:highlight w:val="none"/>
        </w:rPr>
        <w:t>供应商名称：</w:t>
      </w:r>
    </w:p>
    <w:p w14:paraId="0CF02938">
      <w:pPr>
        <w:pStyle w:val="8"/>
        <w:snapToGrid w:val="0"/>
        <w:spacing w:before="50" w:after="50"/>
        <w:ind w:firstLine="720" w:firstLineChars="225"/>
        <w:rPr>
          <w:rFonts w:ascii="宋体" w:hAnsi="宋体" w:cs="宋体"/>
          <w:bCs/>
          <w:color w:val="auto"/>
          <w:sz w:val="32"/>
          <w:szCs w:val="32"/>
          <w:highlight w:val="none"/>
        </w:rPr>
      </w:pPr>
    </w:p>
    <w:p w14:paraId="04E52320">
      <w:pPr>
        <w:pStyle w:val="8"/>
        <w:snapToGrid w:val="0"/>
        <w:spacing w:before="50" w:after="50"/>
        <w:ind w:firstLine="720" w:firstLineChars="225"/>
        <w:rPr>
          <w:rFonts w:ascii="宋体" w:hAnsi="宋体" w:cs="宋体"/>
          <w:bCs/>
          <w:color w:val="auto"/>
          <w:sz w:val="32"/>
          <w:szCs w:val="32"/>
          <w:highlight w:val="none"/>
        </w:rPr>
      </w:pPr>
    </w:p>
    <w:p w14:paraId="03DFF8AA">
      <w:pPr>
        <w:pStyle w:val="8"/>
        <w:snapToGrid w:val="0"/>
        <w:spacing w:before="50" w:after="50"/>
        <w:ind w:firstLine="1280" w:firstLineChars="400"/>
        <w:rPr>
          <w:rFonts w:ascii="宋体" w:hAnsi="宋体" w:cs="宋体"/>
          <w:bCs/>
          <w:color w:val="auto"/>
          <w:sz w:val="32"/>
          <w:szCs w:val="32"/>
          <w:highlight w:val="none"/>
        </w:rPr>
      </w:pPr>
    </w:p>
    <w:p w14:paraId="5C9E5771">
      <w:pPr>
        <w:snapToGrid w:val="0"/>
        <w:spacing w:before="120" w:beforeLines="50" w:after="50"/>
        <w:jc w:val="center"/>
        <w:rPr>
          <w:rFonts w:ascii="宋体" w:hAnsi="宋体" w:cs="宋体"/>
          <w:color w:val="auto"/>
          <w:sz w:val="32"/>
          <w:szCs w:val="32"/>
          <w:highlight w:val="none"/>
        </w:rPr>
      </w:pPr>
      <w:r>
        <w:rPr>
          <w:rFonts w:hint="eastAsia" w:ascii="宋体" w:hAnsi="宋体" w:cs="宋体"/>
          <w:color w:val="auto"/>
          <w:sz w:val="32"/>
          <w:szCs w:val="32"/>
          <w:highlight w:val="none"/>
        </w:rPr>
        <w:t>年    月    日</w:t>
      </w:r>
    </w:p>
    <w:p w14:paraId="17A72703">
      <w:pPr>
        <w:snapToGrid w:val="0"/>
        <w:spacing w:before="120" w:beforeLines="50" w:after="50" w:line="400" w:lineRule="exact"/>
        <w:jc w:val="center"/>
        <w:rPr>
          <w:rFonts w:ascii="宋体" w:hAnsi="宋体" w:cs="宋体"/>
          <w:b/>
          <w:bCs/>
          <w:color w:val="auto"/>
          <w:sz w:val="32"/>
          <w:szCs w:val="32"/>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报价文件目录</w:t>
      </w:r>
    </w:p>
    <w:p w14:paraId="53FA7010">
      <w:pPr>
        <w:rPr>
          <w:rFonts w:ascii="宋体" w:hAnsi="宋体" w:cs="宋体"/>
          <w:color w:val="auto"/>
          <w:highlight w:val="none"/>
        </w:rPr>
      </w:pPr>
    </w:p>
    <w:p w14:paraId="61F38A42">
      <w:pPr>
        <w:rPr>
          <w:rFonts w:ascii="宋体" w:hAnsi="宋体" w:cs="宋体"/>
          <w:color w:val="auto"/>
          <w:kern w:val="0"/>
          <w:sz w:val="24"/>
          <w:highlight w:val="none"/>
        </w:rPr>
      </w:pPr>
      <w:r>
        <w:rPr>
          <w:rFonts w:hint="eastAsia" w:ascii="宋体" w:hAnsi="宋体" w:cs="宋体"/>
          <w:color w:val="auto"/>
          <w:kern w:val="0"/>
          <w:sz w:val="24"/>
          <w:highlight w:val="none"/>
        </w:rPr>
        <w:t>一、响应函………………………………………………………（页码）</w:t>
      </w:r>
    </w:p>
    <w:p w14:paraId="1215EB38">
      <w:pPr>
        <w:rPr>
          <w:rFonts w:ascii="宋体" w:hAnsi="宋体" w:cs="宋体"/>
          <w:color w:val="auto"/>
          <w:kern w:val="0"/>
          <w:sz w:val="24"/>
          <w:highlight w:val="none"/>
        </w:rPr>
      </w:pPr>
      <w:r>
        <w:rPr>
          <w:rFonts w:hint="eastAsia" w:ascii="宋体" w:hAnsi="宋体" w:cs="宋体"/>
          <w:color w:val="auto"/>
          <w:kern w:val="0"/>
          <w:sz w:val="24"/>
          <w:highlight w:val="none"/>
        </w:rPr>
        <w:t>二、响应报价表…………………………………………………（页码）</w:t>
      </w:r>
    </w:p>
    <w:p w14:paraId="69344531">
      <w:pP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三、已标价工程量清单</w:t>
      </w:r>
      <w:r>
        <w:rPr>
          <w:rFonts w:hint="eastAsia" w:ascii="宋体" w:hAnsi="宋体" w:eastAsia="宋体" w:cs="宋体"/>
          <w:color w:val="auto"/>
          <w:kern w:val="0"/>
          <w:sz w:val="24"/>
          <w:highlight w:val="none"/>
        </w:rPr>
        <w:t>………………………………………（页码）</w:t>
      </w:r>
    </w:p>
    <w:p w14:paraId="19914AD9">
      <w:pPr>
        <w:snapToGrid w:val="0"/>
        <w:spacing w:before="120" w:beforeLines="50" w:after="50" w:line="360" w:lineRule="auto"/>
        <w:ind w:left="142" w:firstLine="480" w:firstLineChars="200"/>
        <w:jc w:val="left"/>
        <w:rPr>
          <w:rFonts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32"/>
          <w:szCs w:val="32"/>
          <w:highlight w:val="none"/>
        </w:rPr>
        <w:t>一、响应函</w:t>
      </w:r>
    </w:p>
    <w:p w14:paraId="275367E0">
      <w:pPr>
        <w:pStyle w:val="15"/>
        <w:spacing w:line="500" w:lineRule="exact"/>
        <w:jc w:val="center"/>
        <w:rPr>
          <w:rFonts w:hAnsi="宋体" w:cs="宋体"/>
          <w:b/>
          <w:bCs/>
          <w:color w:val="auto"/>
          <w:sz w:val="30"/>
          <w:szCs w:val="30"/>
          <w:highlight w:val="none"/>
        </w:rPr>
      </w:pPr>
      <w:r>
        <w:rPr>
          <w:rFonts w:hint="eastAsia" w:hAnsi="宋体" w:cs="宋体"/>
          <w:b/>
          <w:bCs/>
          <w:color w:val="auto"/>
          <w:sz w:val="30"/>
          <w:szCs w:val="30"/>
          <w:highlight w:val="none"/>
        </w:rPr>
        <w:t>响应函</w:t>
      </w:r>
    </w:p>
    <w:p w14:paraId="07B09E73">
      <w:pPr>
        <w:pStyle w:val="15"/>
        <w:spacing w:line="360" w:lineRule="auto"/>
        <w:rPr>
          <w:rFonts w:hAnsi="宋体" w:cs="宋体"/>
          <w:color w:val="auto"/>
          <w:sz w:val="21"/>
          <w:szCs w:val="21"/>
          <w:highlight w:val="none"/>
        </w:rPr>
      </w:pPr>
      <w:r>
        <w:rPr>
          <w:rFonts w:hint="eastAsia" w:hAnsi="宋体" w:cs="宋体"/>
          <w:color w:val="auto"/>
          <w:sz w:val="21"/>
          <w:szCs w:val="21"/>
          <w:highlight w:val="none"/>
        </w:rPr>
        <w:t>致：</w:t>
      </w:r>
      <w:r>
        <w:rPr>
          <w:rFonts w:hint="eastAsia" w:hAnsi="宋体" w:cs="宋体"/>
          <w:color w:val="auto"/>
          <w:sz w:val="21"/>
          <w:szCs w:val="21"/>
          <w:highlight w:val="none"/>
          <w:u w:val="single"/>
        </w:rPr>
        <w:t xml:space="preserve"> </w:t>
      </w:r>
      <w:bookmarkStart w:id="88" w:name="PO_3000001868_PM031_4"/>
      <w:r>
        <w:rPr>
          <w:rFonts w:hint="eastAsia" w:hAnsi="宋体" w:cs="宋体"/>
          <w:color w:val="auto"/>
          <w:sz w:val="21"/>
          <w:szCs w:val="21"/>
          <w:highlight w:val="none"/>
          <w:u w:val="single"/>
        </w:rPr>
        <w:t>[</w:t>
      </w:r>
      <w:r>
        <w:rPr>
          <w:rFonts w:hint="eastAsia" w:hAnsi="宋体" w:cs="宋体"/>
          <w:color w:val="auto"/>
          <w:sz w:val="21"/>
          <w:szCs w:val="21"/>
          <w:highlight w:val="none"/>
          <w:u w:val="single"/>
          <w:lang w:val="en-US" w:eastAsia="zh-CN"/>
        </w:rPr>
        <w:t>采购人或采购代理机构</w:t>
      </w:r>
      <w:r>
        <w:rPr>
          <w:rFonts w:hint="eastAsia" w:hAnsi="宋体" w:cs="宋体"/>
          <w:color w:val="auto"/>
          <w:sz w:val="21"/>
          <w:szCs w:val="21"/>
          <w:highlight w:val="none"/>
          <w:u w:val="single"/>
        </w:rPr>
        <w:t>]</w:t>
      </w:r>
      <w:bookmarkEnd w:id="88"/>
      <w:r>
        <w:rPr>
          <w:rFonts w:hint="eastAsia" w:hAnsi="宋体" w:cs="宋体"/>
          <w:color w:val="auto"/>
          <w:sz w:val="21"/>
          <w:szCs w:val="21"/>
          <w:highlight w:val="none"/>
          <w:u w:val="single"/>
        </w:rPr>
        <w:t xml:space="preserve"> </w:t>
      </w:r>
    </w:p>
    <w:p w14:paraId="678089CB">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我方已仔细阅读了贵方组织的</w:t>
      </w:r>
      <w:r>
        <w:rPr>
          <w:rFonts w:hint="eastAsia" w:hAnsi="宋体" w:cs="宋体"/>
          <w:color w:val="auto"/>
          <w:sz w:val="21"/>
          <w:szCs w:val="21"/>
          <w:highlight w:val="none"/>
          <w:u w:val="single"/>
        </w:rPr>
        <w:t xml:space="preserve"> </w:t>
      </w:r>
      <w:bookmarkStart w:id="89" w:name="PO_3000001868_PM002_10"/>
      <w:r>
        <w:rPr>
          <w:rFonts w:hint="eastAsia" w:hAnsi="宋体" w:cs="宋体"/>
          <w:color w:val="auto"/>
          <w:sz w:val="21"/>
          <w:szCs w:val="21"/>
          <w:highlight w:val="none"/>
          <w:u w:val="single"/>
        </w:rPr>
        <w:t>[项目名称]</w:t>
      </w:r>
      <w:bookmarkEnd w:id="89"/>
      <w:r>
        <w:rPr>
          <w:rFonts w:hint="eastAsia" w:hAnsi="宋体" w:cs="宋体"/>
          <w:color w:val="auto"/>
          <w:sz w:val="21"/>
          <w:szCs w:val="21"/>
          <w:highlight w:val="none"/>
          <w:u w:val="single"/>
        </w:rPr>
        <w:t xml:space="preserve">  </w:t>
      </w:r>
      <w:r>
        <w:rPr>
          <w:rFonts w:hint="eastAsia" w:hAnsi="宋体" w:cs="宋体"/>
          <w:color w:val="auto"/>
          <w:sz w:val="21"/>
          <w:szCs w:val="21"/>
          <w:highlight w:val="none"/>
        </w:rPr>
        <w:t>项目（项目编号：</w:t>
      </w:r>
      <w:r>
        <w:rPr>
          <w:rFonts w:hint="eastAsia" w:hAnsi="宋体" w:cs="宋体"/>
          <w:color w:val="auto"/>
          <w:sz w:val="21"/>
          <w:szCs w:val="21"/>
          <w:highlight w:val="none"/>
          <w:u w:val="single"/>
        </w:rPr>
        <w:t xml:space="preserve">  </w:t>
      </w:r>
      <w:bookmarkStart w:id="90" w:name="PO_3000001868_PM001_10"/>
      <w:r>
        <w:rPr>
          <w:rFonts w:hint="eastAsia" w:hAnsi="宋体" w:cs="宋体"/>
          <w:color w:val="auto"/>
          <w:sz w:val="21"/>
          <w:szCs w:val="21"/>
          <w:highlight w:val="none"/>
          <w:u w:val="single"/>
        </w:rPr>
        <w:t>[项目编号]</w:t>
      </w:r>
      <w:bookmarkEnd w:id="90"/>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）的竞争性磋商采购文件的全部内容，现正式递交下述文件参加贵方组织的本次政府采购活动： </w:t>
      </w:r>
    </w:p>
    <w:p w14:paraId="5540207E">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一、首次报价文件电子版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w:t>
      </w:r>
    </w:p>
    <w:p w14:paraId="4D035C89">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二、技术文件电子版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供应商须知”提交的全部文件）；商务文件电子版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份（包含按“第三章 供应商须知”提交的全部文件）；（商务技术文件已合并装订成册）；</w:t>
      </w:r>
    </w:p>
    <w:p w14:paraId="2C0E7845">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三、资格证明文件电子版（包含按“第三章供应商须知”提交的全部文件）；</w:t>
      </w:r>
    </w:p>
    <w:p w14:paraId="26466CF0">
      <w:pPr>
        <w:pStyle w:val="15"/>
        <w:spacing w:line="360" w:lineRule="auto"/>
        <w:ind w:firstLine="420" w:firstLineChars="200"/>
        <w:rPr>
          <w:rFonts w:hAnsi="宋体" w:cs="宋体"/>
          <w:color w:val="auto"/>
          <w:sz w:val="21"/>
          <w:szCs w:val="21"/>
          <w:highlight w:val="none"/>
        </w:rPr>
      </w:pPr>
      <w:r>
        <w:rPr>
          <w:rFonts w:hint="eastAsia" w:hAnsi="宋体" w:cs="宋体"/>
          <w:color w:val="auto"/>
          <w:sz w:val="21"/>
          <w:szCs w:val="21"/>
          <w:highlight w:val="none"/>
        </w:rPr>
        <w:t>据此函，签字人兹宣布：</w:t>
      </w:r>
    </w:p>
    <w:p w14:paraId="51947E0E">
      <w:pPr>
        <w:pStyle w:val="15"/>
        <w:numPr>
          <w:ilvl w:val="0"/>
          <w:numId w:val="3"/>
        </w:numPr>
        <w:spacing w:line="360" w:lineRule="auto"/>
        <w:ind w:firstLine="482"/>
        <w:rPr>
          <w:rFonts w:hint="eastAsia" w:hAnsi="宋体" w:cs="宋体"/>
          <w:color w:val="auto"/>
          <w:sz w:val="21"/>
          <w:szCs w:val="21"/>
          <w:highlight w:val="none"/>
          <w:lang w:eastAsia="zh-CN"/>
        </w:rPr>
      </w:pPr>
      <w:r>
        <w:rPr>
          <w:rFonts w:hint="eastAsia" w:hAnsi="宋体" w:cs="宋体"/>
          <w:color w:val="auto"/>
          <w:sz w:val="21"/>
          <w:szCs w:val="21"/>
          <w:highlight w:val="none"/>
        </w:rPr>
        <w:t>我方愿意以</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val="en-US" w:eastAsia="zh-CN"/>
        </w:rPr>
        <w:t>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u w:val="single"/>
          <w:lang w:eastAsia="zh-CN"/>
        </w:rPr>
        <w:t>（￥</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rPr>
        <w:t>的</w:t>
      </w:r>
      <w:r>
        <w:rPr>
          <w:rFonts w:hint="eastAsia" w:hAnsi="宋体" w:cs="宋体"/>
          <w:color w:val="auto"/>
          <w:sz w:val="21"/>
          <w:szCs w:val="21"/>
          <w:highlight w:val="none"/>
          <w:lang w:val="en-US" w:eastAsia="zh-CN"/>
        </w:rPr>
        <w:t>磋商总</w:t>
      </w:r>
      <w:r>
        <w:rPr>
          <w:rFonts w:hint="eastAsia" w:hAnsi="宋体" w:cs="宋体"/>
          <w:color w:val="auto"/>
          <w:sz w:val="21"/>
          <w:szCs w:val="21"/>
          <w:highlight w:val="none"/>
        </w:rPr>
        <w:t>报价，</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（无分标时填写）：</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r>
        <w:rPr>
          <w:rFonts w:hint="eastAsia" w:hAnsi="宋体" w:cs="宋体"/>
          <w:color w:val="auto"/>
          <w:sz w:val="21"/>
          <w:szCs w:val="21"/>
          <w:highlight w:val="none"/>
          <w:lang w:val="en-US" w:eastAsia="zh-CN"/>
        </w:rPr>
        <w:t>工程质量：</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，安全目标：</w:t>
      </w:r>
      <w:r>
        <w:rPr>
          <w:rFonts w:hint="eastAsia" w:hAnsi="宋体" w:cs="宋体"/>
          <w:color w:val="auto"/>
          <w:sz w:val="21"/>
          <w:szCs w:val="21"/>
          <w:highlight w:val="none"/>
          <w:u w:val="single"/>
          <w:lang w:val="en-US" w:eastAsia="zh-CN"/>
        </w:rPr>
        <w:t xml:space="preserve">        </w:t>
      </w:r>
      <w:r>
        <w:rPr>
          <w:rFonts w:hint="eastAsia" w:hAnsi="宋体" w:cs="宋体"/>
          <w:color w:val="auto"/>
          <w:sz w:val="21"/>
          <w:szCs w:val="21"/>
          <w:highlight w:val="none"/>
          <w:u w:val="none"/>
          <w:lang w:val="en-US" w:eastAsia="zh-CN"/>
        </w:rPr>
        <w:t>，</w:t>
      </w:r>
      <w:r>
        <w:rPr>
          <w:rFonts w:hint="eastAsia" w:hAnsi="宋体" w:cs="宋体"/>
          <w:color w:val="auto"/>
          <w:sz w:val="21"/>
          <w:szCs w:val="21"/>
          <w:highlight w:val="none"/>
        </w:rPr>
        <w:t>提供本项目竞争性磋商采购文件第二章“服务需求一览表”中相应的采购内容</w:t>
      </w:r>
      <w:r>
        <w:rPr>
          <w:rFonts w:hint="eastAsia" w:hAnsi="宋体" w:cs="宋体"/>
          <w:color w:val="auto"/>
          <w:sz w:val="21"/>
          <w:szCs w:val="21"/>
          <w:highlight w:val="none"/>
          <w:lang w:eastAsia="zh-CN"/>
        </w:rPr>
        <w:t>，</w:t>
      </w:r>
      <w:r>
        <w:rPr>
          <w:rFonts w:hint="eastAsia" w:hAnsi="宋体" w:cs="宋体"/>
          <w:color w:val="auto"/>
          <w:sz w:val="21"/>
          <w:szCs w:val="21"/>
          <w:highlight w:val="none"/>
          <w:lang w:val="en-US" w:eastAsia="zh-CN"/>
        </w:rPr>
        <w:t>并</w:t>
      </w:r>
      <w:r>
        <w:rPr>
          <w:rFonts w:hint="eastAsia" w:hAnsi="宋体" w:cs="宋体"/>
          <w:color w:val="auto"/>
          <w:sz w:val="21"/>
          <w:szCs w:val="21"/>
          <w:highlight w:val="none"/>
          <w:lang w:eastAsia="zh-CN"/>
        </w:rPr>
        <w:t>按合同约定实施和完成承包工程，修补工程中的任何缺陷。</w:t>
      </w:r>
    </w:p>
    <w:p w14:paraId="060BE9B5">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其中（有分标时填写）：</w:t>
      </w:r>
    </w:p>
    <w:p w14:paraId="592B084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7253DDE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29BCF914">
      <w:pPr>
        <w:pStyle w:val="15"/>
        <w:spacing w:line="360" w:lineRule="auto"/>
        <w:ind w:firstLine="482"/>
        <w:rPr>
          <w:rFonts w:hint="eastAsia" w:hAnsi="宋体" w:cs="宋体"/>
          <w:color w:val="auto"/>
          <w:sz w:val="21"/>
          <w:szCs w:val="21"/>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59F1DB7">
      <w:pPr>
        <w:pStyle w:val="15"/>
        <w:spacing w:line="360" w:lineRule="auto"/>
        <w:ind w:firstLine="482"/>
        <w:rPr>
          <w:color w:val="auto"/>
          <w:highlight w:val="none"/>
        </w:rPr>
      </w:pP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分标报价为（大写）人民币</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元)，</w:t>
      </w:r>
      <w:r>
        <w:rPr>
          <w:rFonts w:hint="eastAsia" w:hAnsi="宋体" w:cs="宋体"/>
          <w:color w:val="auto"/>
          <w:sz w:val="21"/>
          <w:szCs w:val="21"/>
          <w:highlight w:val="none"/>
          <w:lang w:val="en-US" w:eastAsia="zh-CN"/>
        </w:rPr>
        <w:t>工期</w:t>
      </w:r>
      <w:r>
        <w:rPr>
          <w:rFonts w:hint="eastAsia" w:hAnsi="宋体" w:cs="宋体"/>
          <w:color w:val="auto"/>
          <w:sz w:val="21"/>
          <w:szCs w:val="21"/>
          <w:highlight w:val="none"/>
        </w:rPr>
        <w:t>：</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w:t>
      </w:r>
    </w:p>
    <w:p w14:paraId="14B8E1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2、我方同意自本项目竞争性磋商采购文件采购公告规定的递交响应文件截止时间起遵循本响应函，并承诺在“第三章 供应商须知”规定的响应有效期内不修改、撤销响应文件。</w:t>
      </w:r>
    </w:p>
    <w:p w14:paraId="5743F63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3、我方在此声明，所递交的响应文件及有关资料内容完整、真实和准确。</w:t>
      </w:r>
    </w:p>
    <w:p w14:paraId="2B6FFA51">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4、如本项目采购内容涉及须符合国家强制规定的，我方承诺我方本次竞标均符合国家有关强制规定。</w:t>
      </w:r>
    </w:p>
    <w:p w14:paraId="0FB592AF">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5、如我方成交，我方承诺在收到成交通知书后，在成交通知书规定的期限内，根据竞争性磋商采购文件、我方的响应文件及有关澄清承诺书的要求按第六章“合同文本”与采购人订立书面合同，并按照合同约定承担完成合同的责任和义务。</w:t>
      </w:r>
    </w:p>
    <w:p w14:paraId="0AA515B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6、我方已详细审核竞争性磋商采购文件，我方知道必须放弃提出含糊不清或误解问题的权利。</w:t>
      </w:r>
    </w:p>
    <w:p w14:paraId="416F1997">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7、我方承诺满足竞争性磋商采购文件第六章“合同文本”的条款，承担完成合同的责任和义务。</w:t>
      </w:r>
    </w:p>
    <w:p w14:paraId="7474F08C">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8、我方同意应贵方要求提供与本竞标有关的任何数据或资料。若贵方需要，我方愿意提供我方作出的一切承诺的证明材料。</w:t>
      </w:r>
    </w:p>
    <w:p w14:paraId="54F6786A">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9、我方完全理解贵方不一定接受响应报价最低的竞标人为成交供应商的行为。</w:t>
      </w:r>
    </w:p>
    <w:p w14:paraId="4C6323F8">
      <w:pPr>
        <w:pStyle w:val="15"/>
        <w:spacing w:line="360" w:lineRule="auto"/>
        <w:ind w:firstLine="482"/>
        <w:rPr>
          <w:rFonts w:hAnsi="宋体" w:cs="宋体"/>
          <w:color w:val="auto"/>
          <w:sz w:val="21"/>
          <w:szCs w:val="21"/>
          <w:highlight w:val="none"/>
        </w:rPr>
      </w:pPr>
      <w:r>
        <w:rPr>
          <w:rFonts w:hint="eastAsia" w:hAnsi="宋体" w:cs="宋体"/>
          <w:color w:val="auto"/>
          <w:sz w:val="21"/>
          <w:szCs w:val="21"/>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1CA98D">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提供虚假材料谋取中标、成交的；</w:t>
      </w:r>
    </w:p>
    <w:p w14:paraId="58B4DB06">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采取不正当手段诋毁、排挤其他供应商的；</w:t>
      </w:r>
    </w:p>
    <w:p w14:paraId="4042A0D2">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与采购人、其他供应商或者采购代理机构恶意串通的；</w:t>
      </w:r>
    </w:p>
    <w:p w14:paraId="10B95B00">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向采购人、采购代理机构行贿或者提供其他不正当利益的；</w:t>
      </w:r>
    </w:p>
    <w:p w14:paraId="1C67007F">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在采购过程中与采购人进行协商谈判的；</w:t>
      </w:r>
    </w:p>
    <w:p w14:paraId="1BA5889C">
      <w:pPr>
        <w:pStyle w:val="15"/>
        <w:numPr>
          <w:ilvl w:val="0"/>
          <w:numId w:val="4"/>
        </w:numPr>
        <w:tabs>
          <w:tab w:val="left" w:pos="945"/>
        </w:tabs>
        <w:spacing w:line="360" w:lineRule="auto"/>
        <w:rPr>
          <w:rFonts w:hAnsi="宋体" w:cs="宋体"/>
          <w:color w:val="auto"/>
          <w:sz w:val="21"/>
          <w:szCs w:val="21"/>
          <w:highlight w:val="none"/>
        </w:rPr>
      </w:pPr>
      <w:r>
        <w:rPr>
          <w:rFonts w:hint="eastAsia" w:hAnsi="宋体" w:cs="宋体"/>
          <w:color w:val="auto"/>
          <w:sz w:val="21"/>
          <w:szCs w:val="21"/>
          <w:highlight w:val="none"/>
        </w:rPr>
        <w:t>拒绝有关部门监督检查或提供虚假情况的。</w:t>
      </w:r>
    </w:p>
    <w:p w14:paraId="29957F1B">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11.与本磋商有关的一切正式往来信函请寄：</w:t>
      </w:r>
    </w:p>
    <w:p w14:paraId="74A41332">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地址：</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 xml:space="preserve"> </w:t>
      </w:r>
    </w:p>
    <w:p w14:paraId="1AFBF7C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电话：</w:t>
      </w:r>
      <w:r>
        <w:rPr>
          <w:rFonts w:hint="eastAsia" w:hAnsi="宋体" w:cs="宋体"/>
          <w:color w:val="auto"/>
          <w:sz w:val="21"/>
          <w:szCs w:val="21"/>
          <w:highlight w:val="none"/>
          <w:u w:val="single"/>
        </w:rPr>
        <w:t xml:space="preserve">                                      　　　　　　　　　</w:t>
      </w:r>
    </w:p>
    <w:p w14:paraId="63D70748">
      <w:pPr>
        <w:pStyle w:val="15"/>
        <w:spacing w:line="360" w:lineRule="auto"/>
        <w:ind w:firstLine="420"/>
        <w:rPr>
          <w:rFonts w:hAnsi="宋体" w:cs="宋体"/>
          <w:color w:val="auto"/>
          <w:sz w:val="21"/>
          <w:szCs w:val="21"/>
          <w:highlight w:val="none"/>
        </w:rPr>
      </w:pPr>
      <w:r>
        <w:rPr>
          <w:rFonts w:hint="eastAsia" w:hAnsi="宋体" w:cs="宋体"/>
          <w:color w:val="auto"/>
          <w:sz w:val="21"/>
          <w:szCs w:val="21"/>
          <w:highlight w:val="none"/>
        </w:rPr>
        <w:t>传真：</w:t>
      </w:r>
      <w:r>
        <w:rPr>
          <w:rFonts w:hint="eastAsia" w:hAnsi="宋体" w:cs="宋体"/>
          <w:color w:val="auto"/>
          <w:sz w:val="21"/>
          <w:szCs w:val="21"/>
          <w:highlight w:val="none"/>
          <w:u w:val="single"/>
        </w:rPr>
        <w:t>　　　　　　　　　　　　　　　　　　　　　　　　　　　　</w:t>
      </w:r>
    </w:p>
    <w:p w14:paraId="757FF7C3">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邮政编码：</w:t>
      </w:r>
      <w:r>
        <w:rPr>
          <w:rFonts w:hint="eastAsia" w:hAnsi="宋体" w:cs="宋体"/>
          <w:color w:val="auto"/>
          <w:sz w:val="21"/>
          <w:szCs w:val="21"/>
          <w:highlight w:val="none"/>
          <w:u w:val="single"/>
        </w:rPr>
        <w:t xml:space="preserve">                                                    </w:t>
      </w:r>
    </w:p>
    <w:p w14:paraId="3C617004">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开户名称：</w:t>
      </w:r>
      <w:r>
        <w:rPr>
          <w:rFonts w:hint="eastAsia" w:hAnsi="宋体" w:cs="宋体"/>
          <w:color w:val="auto"/>
          <w:sz w:val="21"/>
          <w:szCs w:val="21"/>
          <w:highlight w:val="none"/>
          <w:u w:val="single"/>
        </w:rPr>
        <w:t xml:space="preserve">                                                    </w:t>
      </w:r>
    </w:p>
    <w:p w14:paraId="2FD11976">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开户银行：</w:t>
      </w:r>
      <w:r>
        <w:rPr>
          <w:rFonts w:hint="eastAsia" w:hAnsi="宋体" w:cs="宋体"/>
          <w:color w:val="auto"/>
          <w:sz w:val="21"/>
          <w:szCs w:val="21"/>
          <w:highlight w:val="none"/>
          <w:u w:val="single"/>
        </w:rPr>
        <w:t xml:space="preserve">                                                    </w:t>
      </w:r>
    </w:p>
    <w:p w14:paraId="01A5E678">
      <w:pPr>
        <w:pStyle w:val="15"/>
        <w:spacing w:line="360" w:lineRule="auto"/>
        <w:ind w:firstLine="420"/>
        <w:rPr>
          <w:rFonts w:hAnsi="宋体" w:cs="宋体"/>
          <w:color w:val="auto"/>
          <w:sz w:val="21"/>
          <w:szCs w:val="21"/>
          <w:highlight w:val="none"/>
          <w:u w:val="single"/>
        </w:rPr>
      </w:pPr>
      <w:r>
        <w:rPr>
          <w:rFonts w:hint="eastAsia" w:hAnsi="宋体" w:cs="宋体"/>
          <w:color w:val="auto"/>
          <w:sz w:val="21"/>
          <w:szCs w:val="21"/>
          <w:highlight w:val="none"/>
        </w:rPr>
        <w:t>银行账号：</w:t>
      </w:r>
      <w:r>
        <w:rPr>
          <w:rFonts w:hint="eastAsia" w:hAnsi="宋体" w:cs="宋体"/>
          <w:color w:val="auto"/>
          <w:sz w:val="21"/>
          <w:szCs w:val="21"/>
          <w:highlight w:val="none"/>
          <w:u w:val="single"/>
        </w:rPr>
        <w:t xml:space="preserve">                                                    </w:t>
      </w:r>
    </w:p>
    <w:p w14:paraId="57792856">
      <w:pPr>
        <w:pStyle w:val="13"/>
        <w:tabs>
          <w:tab w:val="left" w:pos="939"/>
        </w:tabs>
        <w:spacing w:line="360" w:lineRule="auto"/>
        <w:ind w:left="141" w:leftChars="67" w:firstLine="315" w:firstLineChars="150"/>
        <w:rPr>
          <w:rFonts w:ascii="宋体" w:hAnsi="宋体" w:cs="宋体"/>
          <w:color w:val="auto"/>
          <w:sz w:val="21"/>
          <w:szCs w:val="21"/>
          <w:highlight w:val="none"/>
        </w:rPr>
      </w:pPr>
      <w:r>
        <w:rPr>
          <w:rFonts w:hint="eastAsia" w:ascii="宋体" w:hAnsi="宋体" w:cs="宋体"/>
          <w:color w:val="auto"/>
          <w:sz w:val="21"/>
          <w:szCs w:val="21"/>
          <w:highlight w:val="none"/>
        </w:rPr>
        <w:t>特此承诺。</w:t>
      </w:r>
    </w:p>
    <w:p w14:paraId="72891655">
      <w:pPr>
        <w:spacing w:line="360" w:lineRule="auto"/>
        <w:jc w:val="left"/>
        <w:rPr>
          <w:rFonts w:ascii="宋体" w:hAnsi="宋体" w:cs="宋体"/>
          <w:color w:val="auto"/>
          <w:sz w:val="21"/>
          <w:szCs w:val="21"/>
          <w:highlight w:val="none"/>
        </w:rPr>
      </w:pPr>
    </w:p>
    <w:p w14:paraId="189F3616">
      <w:pPr>
        <w:autoSpaceDE w:val="0"/>
        <w:autoSpaceDN w:val="0"/>
        <w:spacing w:line="360" w:lineRule="auto"/>
        <w:ind w:left="4305" w:leftChars="1950" w:hanging="210" w:hangingChars="100"/>
        <w:rPr>
          <w:rFonts w:ascii="宋体" w:hAnsi="宋体" w:cs="宋体"/>
          <w:color w:val="auto"/>
          <w:kern w:val="0"/>
          <w:sz w:val="21"/>
          <w:szCs w:val="21"/>
          <w:highlight w:val="none"/>
        </w:rPr>
      </w:pPr>
      <w:r>
        <w:rPr>
          <w:rFonts w:hint="eastAsia" w:ascii="宋体" w:hAnsi="宋体" w:cs="宋体"/>
          <w:color w:val="auto"/>
          <w:kern w:val="0"/>
          <w:sz w:val="21"/>
          <w:szCs w:val="21"/>
          <w:highlight w:val="none"/>
        </w:rPr>
        <w:t>供应商名称（电子签章）：</w:t>
      </w:r>
    </w:p>
    <w:p w14:paraId="17EB2622">
      <w:pPr>
        <w:autoSpaceDE w:val="0"/>
        <w:autoSpaceDN w:val="0"/>
        <w:spacing w:line="360" w:lineRule="auto"/>
        <w:ind w:firstLine="5670" w:firstLineChars="2700"/>
        <w:rPr>
          <w:rFonts w:ascii="宋体" w:hAnsi="宋体" w:cs="宋体"/>
          <w:color w:val="auto"/>
          <w:kern w:val="0"/>
          <w:sz w:val="21"/>
          <w:szCs w:val="21"/>
          <w:highlight w:val="none"/>
          <w:lang w:val="zh-CN"/>
        </w:rPr>
      </w:pPr>
      <w:r>
        <w:rPr>
          <w:rFonts w:hint="eastAsia" w:ascii="宋体" w:hAnsi="宋体" w:cs="宋体"/>
          <w:color w:val="auto"/>
          <w:kern w:val="0"/>
          <w:sz w:val="21"/>
          <w:szCs w:val="21"/>
          <w:highlight w:val="none"/>
          <w:lang w:val="zh-CN"/>
        </w:rPr>
        <w:t>日期：  年  月   日</w:t>
      </w:r>
    </w:p>
    <w:p w14:paraId="32965081">
      <w:pPr>
        <w:widowControl/>
        <w:spacing w:line="360" w:lineRule="auto"/>
        <w:jc w:val="left"/>
        <w:rPr>
          <w:rFonts w:ascii="宋体" w:hAnsi="宋体" w:cs="宋体"/>
          <w:color w:val="auto"/>
          <w:kern w:val="0"/>
          <w:sz w:val="21"/>
          <w:szCs w:val="21"/>
          <w:highlight w:val="none"/>
          <w:lang w:val="zh-CN"/>
        </w:rPr>
        <w:sectPr>
          <w:pgSz w:w="11910" w:h="16840"/>
          <w:pgMar w:top="1340" w:right="1500" w:bottom="280" w:left="1680" w:header="720" w:footer="720" w:gutter="0"/>
          <w:cols w:space="720" w:num="1"/>
        </w:sectPr>
      </w:pPr>
    </w:p>
    <w:p w14:paraId="0103A7D6">
      <w:pPr>
        <w:autoSpaceDE w:val="0"/>
        <w:autoSpaceDN w:val="0"/>
        <w:spacing w:line="360" w:lineRule="auto"/>
        <w:ind w:firstLine="6480" w:firstLineChars="2700"/>
        <w:rPr>
          <w:rFonts w:ascii="宋体" w:hAnsi="宋体" w:cs="宋体"/>
          <w:color w:val="auto"/>
          <w:kern w:val="0"/>
          <w:sz w:val="24"/>
          <w:highlight w:val="none"/>
          <w:lang w:val="zh-CN"/>
        </w:rPr>
      </w:pPr>
    </w:p>
    <w:p w14:paraId="4AC7D38B">
      <w:pPr>
        <w:spacing w:line="520" w:lineRule="exact"/>
        <w:ind w:firstLine="643" w:firstLineChars="200"/>
        <w:rPr>
          <w:rFonts w:ascii="宋体" w:hAnsi="宋体" w:cs="宋体"/>
          <w:b/>
          <w:bCs/>
          <w:color w:val="auto"/>
          <w:sz w:val="32"/>
          <w:szCs w:val="32"/>
          <w:highlight w:val="none"/>
        </w:rPr>
      </w:pPr>
      <w:r>
        <w:rPr>
          <w:rFonts w:hint="eastAsia" w:ascii="宋体" w:hAnsi="宋体" w:cs="宋体"/>
          <w:b/>
          <w:bCs/>
          <w:color w:val="auto"/>
          <w:sz w:val="32"/>
          <w:szCs w:val="32"/>
          <w:highlight w:val="none"/>
        </w:rPr>
        <w:t>二、响应报价表</w:t>
      </w:r>
    </w:p>
    <w:p w14:paraId="72FE5A16">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bookmarkStart w:id="91" w:name="PO_3000001868_PM002_11"/>
      <w:r>
        <w:rPr>
          <w:rFonts w:hint="eastAsia" w:ascii="宋体" w:hAnsi="宋体" w:cs="宋体"/>
          <w:color w:val="auto"/>
          <w:sz w:val="24"/>
          <w:highlight w:val="none"/>
          <w:u w:val="single"/>
        </w:rPr>
        <w:t>[项目名称]</w:t>
      </w:r>
      <w:bookmarkEnd w:id="91"/>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项目编号：</w:t>
      </w:r>
      <w:r>
        <w:rPr>
          <w:rFonts w:hint="eastAsia" w:ascii="宋体" w:hAnsi="宋体" w:cs="宋体"/>
          <w:color w:val="auto"/>
          <w:sz w:val="24"/>
          <w:highlight w:val="none"/>
          <w:u w:val="single"/>
        </w:rPr>
        <w:t xml:space="preserve">  </w:t>
      </w:r>
      <w:bookmarkStart w:id="92" w:name="PO_3000001868_PM001_11"/>
      <w:r>
        <w:rPr>
          <w:rFonts w:hint="eastAsia" w:ascii="宋体" w:hAnsi="宋体" w:cs="宋体"/>
          <w:color w:val="auto"/>
          <w:sz w:val="24"/>
          <w:highlight w:val="none"/>
          <w:u w:val="single"/>
        </w:rPr>
        <w:t>[项目编号]</w:t>
      </w:r>
      <w:bookmarkEnd w:id="92"/>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0F17DFA7">
      <w:pPr>
        <w:snapToGrid w:val="0"/>
        <w:spacing w:before="50" w:after="50" w:line="360" w:lineRule="auto"/>
        <w:rPr>
          <w:rFonts w:ascii="宋体" w:hAnsi="宋体" w:cs="宋体"/>
          <w:color w:val="auto"/>
          <w:sz w:val="24"/>
          <w:highlight w:val="none"/>
          <w:u w:val="singl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6"/>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4820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E403B5D">
            <w:pPr>
              <w:rPr>
                <w:rFonts w:ascii="宋体" w:hAnsi="宋体" w:cs="宋体"/>
                <w:color w:val="auto"/>
                <w:szCs w:val="22"/>
                <w:highlight w:val="none"/>
              </w:rPr>
            </w:pPr>
            <w:r>
              <w:rPr>
                <w:rFonts w:hint="eastAsia" w:ascii="宋体" w:hAnsi="宋体" w:cs="宋体"/>
                <w:color w:val="auto"/>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1A730D58">
            <w:pP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3C0C6B38">
            <w:pPr>
              <w:jc w:val="center"/>
              <w:rPr>
                <w:rFonts w:ascii="宋体" w:hAnsi="宋体" w:cs="宋体"/>
                <w:color w:val="auto"/>
                <w:szCs w:val="22"/>
                <w:highlight w:val="none"/>
              </w:rPr>
            </w:pPr>
            <w:r>
              <w:rPr>
                <w:rFonts w:hint="eastAsia" w:ascii="宋体" w:hAnsi="宋体" w:cs="宋体"/>
                <w:color w:val="auto"/>
                <w:szCs w:val="22"/>
                <w:highlight w:val="none"/>
                <w:lang w:val="en-US" w:eastAsia="zh-CN"/>
              </w:rPr>
              <w:t>工程</w:t>
            </w:r>
            <w:r>
              <w:rPr>
                <w:rFonts w:hint="eastAsia" w:ascii="宋体" w:hAnsi="宋体" w:cs="宋体"/>
                <w:color w:val="auto"/>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1EE108D0">
            <w:pPr>
              <w:jc w:val="center"/>
              <w:rPr>
                <w:rFonts w:ascii="宋体" w:hAnsi="宋体" w:cs="宋体"/>
                <w:color w:val="auto"/>
                <w:szCs w:val="22"/>
                <w:highlight w:val="none"/>
              </w:rPr>
            </w:pPr>
            <w:r>
              <w:rPr>
                <w:rFonts w:hint="eastAsia" w:ascii="宋体" w:hAnsi="宋体" w:cs="宋体"/>
                <w:color w:val="auto"/>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6708BFE">
            <w:pPr>
              <w:jc w:val="center"/>
              <w:rPr>
                <w:rFonts w:hint="default" w:ascii="宋体" w:hAnsi="宋体" w:eastAsia="宋体" w:cs="宋体"/>
                <w:color w:val="auto"/>
                <w:szCs w:val="22"/>
                <w:highlight w:val="none"/>
                <w:lang w:val="en-US" w:eastAsia="zh-CN"/>
              </w:rPr>
            </w:pPr>
            <w:r>
              <w:rPr>
                <w:rFonts w:hint="eastAsia" w:ascii="宋体" w:hAnsi="宋体" w:cs="宋体"/>
                <w:color w:val="auto"/>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2D262965">
            <w:pPr>
              <w:jc w:val="center"/>
              <w:rPr>
                <w:rFonts w:hint="eastAsia" w:ascii="宋体" w:hAnsi="宋体" w:cs="宋体"/>
                <w:color w:val="auto"/>
                <w:szCs w:val="22"/>
                <w:highlight w:val="none"/>
              </w:rPr>
            </w:pPr>
            <w:r>
              <w:rPr>
                <w:rFonts w:hint="eastAsia" w:ascii="宋体" w:hAnsi="宋体" w:cs="宋体"/>
                <w:color w:val="auto"/>
                <w:szCs w:val="22"/>
                <w:highlight w:val="none"/>
              </w:rPr>
              <w:t>磋商</w:t>
            </w:r>
            <w:r>
              <w:rPr>
                <w:rFonts w:hint="eastAsia" w:ascii="宋体" w:hAnsi="宋体" w:cs="宋体"/>
                <w:color w:val="auto"/>
                <w:szCs w:val="22"/>
                <w:highlight w:val="none"/>
                <w:lang w:val="en-US" w:eastAsia="zh-CN"/>
              </w:rPr>
              <w:t>总</w:t>
            </w:r>
            <w:r>
              <w:rPr>
                <w:rFonts w:hint="eastAsia" w:ascii="宋体" w:hAnsi="宋体" w:cs="宋体"/>
                <w:color w:val="auto"/>
                <w:szCs w:val="22"/>
                <w:highlight w:val="none"/>
              </w:rPr>
              <w:t>报价</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0A2E6291">
            <w:pPr>
              <w:spacing w:line="360" w:lineRule="auto"/>
              <w:jc w:val="center"/>
              <w:rPr>
                <w:rFonts w:hint="eastAsia" w:ascii="宋体" w:hAnsi="宋体" w:eastAsia="宋体" w:cs="宋体"/>
                <w:color w:val="auto"/>
                <w:szCs w:val="22"/>
                <w:highlight w:val="none"/>
                <w:lang w:eastAsia="zh-CN"/>
              </w:rPr>
            </w:pPr>
            <w:r>
              <w:rPr>
                <w:rFonts w:hint="eastAsia" w:ascii="宋体" w:hAnsi="宋体" w:cs="宋体"/>
                <w:color w:val="auto"/>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928093B">
            <w:pPr>
              <w:rPr>
                <w:rFonts w:ascii="宋体" w:hAnsi="宋体" w:cs="宋体"/>
                <w:color w:val="auto"/>
                <w:szCs w:val="22"/>
                <w:highlight w:val="none"/>
              </w:rPr>
            </w:pPr>
            <w:r>
              <w:rPr>
                <w:rFonts w:hint="eastAsia" w:ascii="宋体" w:hAnsi="宋体" w:cs="宋体"/>
                <w:color w:val="auto"/>
                <w:szCs w:val="22"/>
                <w:highlight w:val="none"/>
              </w:rPr>
              <w:t>备注</w:t>
            </w:r>
          </w:p>
        </w:tc>
      </w:tr>
      <w:tr w14:paraId="5536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4CCA2C9">
            <w:pPr>
              <w:rPr>
                <w:rFonts w:ascii="宋体" w:hAnsi="宋体" w:cs="宋体"/>
                <w:color w:val="auto"/>
                <w:szCs w:val="22"/>
                <w:highlight w:val="none"/>
              </w:rPr>
            </w:pPr>
            <w:r>
              <w:rPr>
                <w:rFonts w:hint="eastAsia" w:ascii="宋体" w:hAnsi="宋体" w:cs="宋体"/>
                <w:color w:val="auto"/>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709DC279">
            <w:pPr>
              <w:rPr>
                <w:rFonts w:ascii="宋体" w:hAnsi="宋体" w:cs="宋体"/>
                <w:color w:val="auto"/>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15D9B636">
            <w:pPr>
              <w:rPr>
                <w:rFonts w:ascii="宋体" w:hAnsi="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vAlign w:val="center"/>
          </w:tcPr>
          <w:p w14:paraId="14B95A31">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89" w:type="dxa"/>
            <w:tcBorders>
              <w:top w:val="single" w:color="auto" w:sz="4" w:space="0"/>
              <w:left w:val="single" w:color="auto" w:sz="4" w:space="0"/>
              <w:bottom w:val="single" w:color="auto" w:sz="4" w:space="0"/>
              <w:right w:val="single" w:color="auto" w:sz="4" w:space="0"/>
            </w:tcBorders>
            <w:vAlign w:val="center"/>
          </w:tcPr>
          <w:p w14:paraId="4CC43642">
            <w:pPr>
              <w:rPr>
                <w:rFonts w:ascii="宋体" w:hAnsi="宋体" w:cs="宋体"/>
                <w:color w:val="auto"/>
                <w:szCs w:val="22"/>
                <w:highlight w:val="none"/>
              </w:rPr>
            </w:pPr>
            <w:r>
              <w:rPr>
                <w:rFonts w:hint="eastAsia" w:ascii="宋体" w:hAnsi="宋体" w:cs="宋体"/>
                <w:color w:val="auto"/>
                <w:szCs w:val="22"/>
                <w:highlight w:val="none"/>
                <w:lang w:val="en-US" w:eastAsia="zh-CN"/>
              </w:rPr>
              <w:t>详见已标价工程量清单</w:t>
            </w:r>
            <w:r>
              <w:rPr>
                <w:rFonts w:ascii="宋体" w:hAnsi="宋体" w:cs="宋体"/>
                <w:color w:val="auto"/>
                <w:szCs w:val="22"/>
                <w:highlight w:val="none"/>
              </w:rPr>
              <w:t xml:space="preserve">  </w:t>
            </w:r>
          </w:p>
        </w:tc>
        <w:tc>
          <w:tcPr>
            <w:tcW w:w="1290" w:type="dxa"/>
            <w:tcBorders>
              <w:top w:val="single" w:color="auto" w:sz="4" w:space="0"/>
              <w:left w:val="single" w:color="auto" w:sz="4" w:space="0"/>
              <w:bottom w:val="single" w:color="auto" w:sz="4" w:space="0"/>
              <w:right w:val="single" w:color="auto" w:sz="4" w:space="0"/>
            </w:tcBorders>
            <w:vAlign w:val="center"/>
          </w:tcPr>
          <w:p w14:paraId="3EC85FF1">
            <w:pPr>
              <w:rPr>
                <w:rFonts w:hint="eastAsia" w:ascii="宋体" w:hAnsi="宋体" w:cs="宋体"/>
                <w:color w:val="auto"/>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642C17B3">
            <w:pPr>
              <w:rPr>
                <w:rFonts w:ascii="宋体" w:hAnsi="宋体" w:cs="宋体"/>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0A82B515">
            <w:pPr>
              <w:rPr>
                <w:rFonts w:ascii="宋体" w:hAnsi="宋体" w:cs="宋体"/>
                <w:color w:val="auto"/>
                <w:szCs w:val="22"/>
                <w:highlight w:val="none"/>
              </w:rPr>
            </w:pPr>
          </w:p>
        </w:tc>
      </w:tr>
      <w:tr w14:paraId="2B4A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6655997">
            <w:pPr>
              <w:rPr>
                <w:rFonts w:ascii="宋体" w:hAnsi="宋体" w:cs="宋体"/>
                <w:color w:val="auto"/>
                <w:szCs w:val="22"/>
                <w:highlight w:val="none"/>
              </w:rPr>
            </w:pPr>
            <w:r>
              <w:rPr>
                <w:rFonts w:hint="eastAsia" w:ascii="宋体" w:hAnsi="宋体" w:cs="宋体"/>
                <w:color w:val="auto"/>
                <w:szCs w:val="22"/>
                <w:highlight w:val="none"/>
              </w:rPr>
              <w:t>报价合计（包含税费等所有费用）：</w:t>
            </w:r>
            <w:r>
              <w:rPr>
                <w:rFonts w:hint="eastAsia" w:ascii="宋体" w:hAnsi="宋体" w:cs="宋体"/>
                <w:color w:val="auto"/>
                <w:szCs w:val="22"/>
                <w:highlight w:val="none"/>
                <w:lang w:val="en-US" w:eastAsia="zh-CN"/>
              </w:rPr>
              <w:t>（大写）人民币         （￥       ）</w:t>
            </w:r>
            <w:r>
              <w:rPr>
                <w:rFonts w:hint="eastAsia" w:ascii="宋体" w:hAnsi="宋体" w:cs="宋体"/>
                <w:color w:val="auto"/>
                <w:szCs w:val="22"/>
                <w:highlight w:val="none"/>
              </w:rPr>
              <w:t xml:space="preserve">                               </w:t>
            </w:r>
          </w:p>
        </w:tc>
      </w:tr>
      <w:tr w14:paraId="5EB91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6E99CF6E">
            <w:pPr>
              <w:rPr>
                <w:rFonts w:ascii="宋体" w:hAnsi="宋体" w:cs="宋体"/>
                <w:color w:val="auto"/>
                <w:szCs w:val="22"/>
                <w:highlight w:val="none"/>
              </w:rPr>
            </w:pPr>
            <w:r>
              <w:rPr>
                <w:rFonts w:hint="eastAsia" w:ascii="宋体" w:hAnsi="宋体" w:cs="宋体"/>
                <w:color w:val="auto"/>
                <w:szCs w:val="21"/>
                <w:highlight w:val="none"/>
                <w:u w:val="single"/>
              </w:rPr>
              <w:t>　</w:t>
            </w:r>
            <w:r>
              <w:rPr>
                <w:rFonts w:hint="eastAsia" w:ascii="宋体" w:hAnsi="宋体" w:cs="宋体"/>
                <w:color w:val="auto"/>
                <w:szCs w:val="21"/>
                <w:highlight w:val="none"/>
                <w:u w:val="single"/>
                <w:lang w:val="en-US" w:eastAsia="zh-CN"/>
              </w:rPr>
              <w:t>无</w:t>
            </w:r>
            <w:r>
              <w:rPr>
                <w:rFonts w:hint="eastAsia" w:ascii="宋体" w:hAnsi="宋体" w:cs="宋体"/>
                <w:color w:val="auto"/>
                <w:szCs w:val="21"/>
                <w:highlight w:val="none"/>
                <w:u w:val="single"/>
              </w:rPr>
              <w:t>　</w:t>
            </w:r>
            <w:r>
              <w:rPr>
                <w:rFonts w:hint="eastAsia" w:ascii="宋体" w:hAnsi="宋体" w:cs="宋体"/>
                <w:color w:val="auto"/>
                <w:szCs w:val="21"/>
                <w:highlight w:val="none"/>
              </w:rPr>
              <w:t>分标（此处有分标时填写具体分标号，无分标时填写“无”）</w:t>
            </w:r>
          </w:p>
        </w:tc>
      </w:tr>
      <w:tr w14:paraId="4D36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35B88E32">
            <w:pPr>
              <w:rPr>
                <w:rFonts w:hint="eastAsia" w:ascii="宋体" w:hAnsi="宋体" w:eastAsia="宋体" w:cs="宋体"/>
                <w:color w:val="auto"/>
                <w:szCs w:val="22"/>
                <w:highlight w:val="none"/>
                <w:lang w:val="en-US" w:eastAsia="zh-CN"/>
              </w:rPr>
            </w:pPr>
            <w:r>
              <w:rPr>
                <w:rFonts w:hint="eastAsia" w:ascii="宋体" w:hAnsi="宋体" w:cs="宋体"/>
                <w:color w:val="auto"/>
                <w:szCs w:val="22"/>
                <w:highlight w:val="none"/>
              </w:rPr>
              <w:t>验收标准：</w:t>
            </w:r>
          </w:p>
        </w:tc>
      </w:tr>
      <w:tr w14:paraId="09F7E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4565B06F">
            <w:pPr>
              <w:rPr>
                <w:rFonts w:ascii="宋体" w:hAnsi="宋体" w:cs="宋体"/>
                <w:color w:val="auto"/>
                <w:szCs w:val="22"/>
                <w:highlight w:val="none"/>
              </w:rPr>
            </w:pPr>
            <w:r>
              <w:rPr>
                <w:rFonts w:hint="eastAsia" w:ascii="宋体" w:hAnsi="宋体" w:cs="宋体"/>
                <w:color w:val="auto"/>
                <w:szCs w:val="22"/>
                <w:highlight w:val="none"/>
              </w:rPr>
              <w:t>优惠及其它</w:t>
            </w:r>
            <w:r>
              <w:rPr>
                <w:rFonts w:hint="eastAsia" w:ascii="宋体" w:hAnsi="宋体" w:cs="宋体"/>
                <w:color w:val="auto"/>
                <w:szCs w:val="22"/>
                <w:highlight w:val="none"/>
                <w:lang w:eastAsia="zh-CN"/>
              </w:rPr>
              <w:t>（</w:t>
            </w:r>
            <w:r>
              <w:rPr>
                <w:rFonts w:hint="eastAsia" w:ascii="宋体" w:hAnsi="宋体" w:cs="宋体"/>
                <w:color w:val="auto"/>
                <w:szCs w:val="22"/>
                <w:highlight w:val="none"/>
                <w:lang w:val="en-US" w:eastAsia="zh-CN"/>
              </w:rPr>
              <w:t>如有，没有写无）</w:t>
            </w:r>
            <w:r>
              <w:rPr>
                <w:rFonts w:hint="eastAsia" w:ascii="宋体" w:hAnsi="宋体" w:cs="宋体"/>
                <w:color w:val="auto"/>
                <w:szCs w:val="22"/>
                <w:highlight w:val="none"/>
              </w:rPr>
              <w:t>：</w:t>
            </w:r>
          </w:p>
        </w:tc>
      </w:tr>
    </w:tbl>
    <w:p w14:paraId="14E43166">
      <w:pPr>
        <w:snapToGrid w:val="0"/>
        <w:spacing w:before="50" w:after="50"/>
        <w:ind w:firstLine="480" w:firstLineChars="200"/>
        <w:jc w:val="left"/>
        <w:rPr>
          <w:rFonts w:hint="eastAsia" w:ascii="宋体" w:hAnsi="宋体" w:cs="宋体"/>
          <w:color w:val="auto"/>
          <w:kern w:val="0"/>
          <w:sz w:val="24"/>
          <w:highlight w:val="none"/>
          <w:lang w:val="zh-CN"/>
        </w:rPr>
      </w:pPr>
    </w:p>
    <w:p w14:paraId="126DE727">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26FB6CA2">
      <w:pPr>
        <w:snapToGrid w:val="0"/>
        <w:spacing w:before="50" w:after="5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 供应商需按本表格式填写，不得自行更改，也不得留空, 如有多分标，按分标分别提供响应报价表</w:t>
      </w:r>
      <w:r>
        <w:rPr>
          <w:rFonts w:hint="eastAsia" w:ascii="宋体" w:hAnsi="宋体" w:cs="宋体"/>
          <w:b/>
          <w:color w:val="auto"/>
          <w:kern w:val="0"/>
          <w:sz w:val="24"/>
          <w:highlight w:val="none"/>
          <w:lang w:val="zh-CN"/>
        </w:rPr>
        <w:t>。</w:t>
      </w:r>
    </w:p>
    <w:p w14:paraId="085498FD">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否则其响应作无效响应处理。</w:t>
      </w:r>
    </w:p>
    <w:p w14:paraId="12A72FC5">
      <w:pPr>
        <w:snapToGrid w:val="0"/>
        <w:spacing w:before="50" w:after="50"/>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3、以上表格要求细分项目及报价，在“具体服务内容”一栏中，填写具体服务范围、服务标准。</w:t>
      </w:r>
    </w:p>
    <w:p w14:paraId="32C9DBF4">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4、特别提示：采购机构将对项目名称和项目编号，成交供应商名称、地址和成交金额，主要成交标的的名称、服务范围、服务要求、服务时间、服务标准等予以公示。</w:t>
      </w:r>
    </w:p>
    <w:p w14:paraId="0ABA5835">
      <w:pPr>
        <w:snapToGrid w:val="0"/>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szCs w:val="22"/>
          <w:highlight w:val="none"/>
          <w:lang w:val="zh-CN"/>
        </w:rPr>
        <w:t>5、</w:t>
      </w:r>
      <w:r>
        <w:rPr>
          <w:rFonts w:hint="eastAsia" w:ascii="宋体" w:hAnsi="宋体" w:cs="宋体"/>
          <w:color w:val="auto"/>
          <w:kern w:val="0"/>
          <w:sz w:val="24"/>
          <w:highlight w:val="none"/>
          <w:lang w:val="zh-CN"/>
        </w:rPr>
        <w:t>符合采购文件中列明的可享受中小企业扶持政策的供应商，请填写中小企业声明函。注：供应商提供的中小企业声明函内容不实的，属于提供虚假材料谋取中标、成交，依照《中华人民共和国政府采购法》等国家有关规定追究相应责任。</w:t>
      </w:r>
    </w:p>
    <w:p w14:paraId="22B27B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E8D94FA">
      <w:pPr>
        <w:pStyle w:val="15"/>
        <w:spacing w:line="500" w:lineRule="exact"/>
        <w:ind w:firstLine="6360" w:firstLineChars="2650"/>
        <w:rPr>
          <w:rFonts w:hAnsi="宋体" w:cs="宋体"/>
          <w:color w:val="auto"/>
          <w:sz w:val="24"/>
          <w:highlight w:val="none"/>
          <w:lang w:val="zh-CN"/>
        </w:rPr>
      </w:pPr>
      <w:r>
        <w:rPr>
          <w:rFonts w:hint="eastAsia" w:hAnsi="宋体" w:cs="宋体"/>
          <w:color w:val="auto"/>
          <w:sz w:val="24"/>
          <w:highlight w:val="none"/>
          <w:lang w:val="zh-CN"/>
        </w:rPr>
        <w:t>日期：  年  月   日</w:t>
      </w:r>
    </w:p>
    <w:p w14:paraId="2DE3E686">
      <w:pPr>
        <w:widowControl/>
        <w:jc w:val="left"/>
        <w:rPr>
          <w:rFonts w:ascii="宋体" w:hAnsi="宋体" w:cs="宋体"/>
          <w:color w:val="auto"/>
          <w:kern w:val="0"/>
          <w:sz w:val="24"/>
          <w:szCs w:val="21"/>
          <w:highlight w:val="none"/>
          <w:lang w:val="zh-CN"/>
        </w:rPr>
      </w:pPr>
    </w:p>
    <w:p w14:paraId="6CCC7493">
      <w:pPr>
        <w:numPr>
          <w:ilvl w:val="0"/>
          <w:numId w:val="5"/>
        </w:numPr>
        <w:spacing w:line="520" w:lineRule="exact"/>
        <w:ind w:firstLine="643" w:firstLineChars="200"/>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已标价工程量清单</w:t>
      </w:r>
    </w:p>
    <w:p w14:paraId="2452D375">
      <w:pPr>
        <w:bidi w:val="0"/>
        <w:rPr>
          <w:rFonts w:hint="eastAsia"/>
          <w:color w:val="auto"/>
          <w:highlight w:val="none"/>
        </w:rPr>
      </w:pPr>
      <w:bookmarkStart w:id="93" w:name="_Toc44229899"/>
      <w:bookmarkEnd w:id="93"/>
      <w:bookmarkStart w:id="94" w:name="_Toc31728084"/>
      <w:bookmarkEnd w:id="94"/>
      <w:bookmarkStart w:id="95" w:name="_Toc31723070"/>
      <w:bookmarkEnd w:id="95"/>
      <w:bookmarkStart w:id="96" w:name="_Toc35611438"/>
      <w:bookmarkEnd w:id="96"/>
      <w:bookmarkStart w:id="97" w:name="_Toc35611516"/>
      <w:bookmarkEnd w:id="97"/>
      <w:bookmarkStart w:id="98" w:name="_Toc15428"/>
      <w:bookmarkStart w:id="99" w:name="_Toc80205942"/>
      <w:r>
        <w:rPr>
          <w:rFonts w:hint="eastAsia"/>
          <w:color w:val="auto"/>
          <w:highlight w:val="none"/>
        </w:rPr>
        <w:t>供应商应按照第</w:t>
      </w:r>
      <w:r>
        <w:rPr>
          <w:rFonts w:hint="eastAsia"/>
          <w:color w:val="auto"/>
          <w:highlight w:val="none"/>
          <w:lang w:eastAsia="zh-CN"/>
        </w:rPr>
        <w:t>七</w:t>
      </w:r>
      <w:r>
        <w:rPr>
          <w:rFonts w:hint="eastAsia"/>
          <w:color w:val="auto"/>
          <w:highlight w:val="none"/>
        </w:rPr>
        <w:t>章“工程量清单、图纸”的要求逐项填报工程量清单，包括工程量清单说明、投标报价说明、计日工说明、其他说明及工程量清单各项表格。</w:t>
      </w:r>
    </w:p>
    <w:p w14:paraId="3C7E95B0">
      <w:pPr>
        <w:bidi w:val="0"/>
        <w:jc w:val="right"/>
        <w:rPr>
          <w:rFonts w:hint="eastAsia"/>
          <w:color w:val="auto"/>
          <w:highlight w:val="none"/>
        </w:rPr>
      </w:pPr>
      <w:r>
        <w:rPr>
          <w:rFonts w:hint="eastAsia" w:ascii="宋体" w:hAnsi="宋体" w:cs="宋体"/>
          <w:color w:val="auto"/>
          <w:kern w:val="0"/>
          <w:sz w:val="24"/>
          <w:highlight w:val="none"/>
        </w:rPr>
        <w:t>供应商名称（电子签章）：</w:t>
      </w:r>
    </w:p>
    <w:bookmarkEnd w:id="98"/>
    <w:bookmarkEnd w:id="99"/>
    <w:p w14:paraId="2AD71D77">
      <w:pPr>
        <w:spacing w:line="520" w:lineRule="exact"/>
        <w:jc w:val="center"/>
        <w:rPr>
          <w:rFonts w:ascii="宋体" w:hAnsi="宋体" w:cs="宋体"/>
          <w:color w:val="auto"/>
          <w:sz w:val="24"/>
          <w:highlight w:val="none"/>
        </w:rPr>
      </w:pPr>
    </w:p>
    <w:p w14:paraId="797F99CB">
      <w:pPr>
        <w:spacing w:line="520" w:lineRule="exact"/>
        <w:jc w:val="center"/>
        <w:rPr>
          <w:rFonts w:ascii="宋体" w:hAnsi="宋体" w:cs="宋体"/>
          <w:color w:val="auto"/>
          <w:sz w:val="24"/>
          <w:highlight w:val="none"/>
        </w:rPr>
      </w:pPr>
    </w:p>
    <w:p w14:paraId="44B9C141">
      <w:pPr>
        <w:spacing w:line="520" w:lineRule="exact"/>
        <w:jc w:val="center"/>
        <w:rPr>
          <w:rFonts w:ascii="宋体" w:hAnsi="宋体" w:cs="宋体"/>
          <w:color w:val="auto"/>
          <w:sz w:val="24"/>
          <w:highlight w:val="none"/>
        </w:rPr>
      </w:pPr>
    </w:p>
    <w:p w14:paraId="415E4111">
      <w:pPr>
        <w:spacing w:line="520" w:lineRule="exact"/>
        <w:jc w:val="center"/>
        <w:rPr>
          <w:rFonts w:ascii="宋体" w:hAnsi="宋体" w:cs="宋体"/>
          <w:color w:val="auto"/>
          <w:sz w:val="24"/>
          <w:highlight w:val="none"/>
        </w:rPr>
      </w:pPr>
    </w:p>
    <w:p w14:paraId="77A608C6">
      <w:pPr>
        <w:spacing w:line="520" w:lineRule="exact"/>
        <w:jc w:val="center"/>
        <w:rPr>
          <w:rFonts w:ascii="宋体" w:hAnsi="宋体" w:cs="宋体"/>
          <w:color w:val="auto"/>
          <w:sz w:val="24"/>
          <w:highlight w:val="none"/>
        </w:rPr>
      </w:pPr>
    </w:p>
    <w:p w14:paraId="79810BA5">
      <w:pPr>
        <w:pStyle w:val="2"/>
        <w:jc w:val="center"/>
        <w:rPr>
          <w:rFonts w:ascii="宋体" w:hAnsi="宋体" w:cs="宋体"/>
          <w:b w:val="0"/>
          <w:bCs w:val="0"/>
          <w:color w:val="auto"/>
          <w:highlight w:val="none"/>
        </w:rPr>
      </w:pPr>
      <w:bookmarkStart w:id="100" w:name="_Toc10609"/>
      <w:r>
        <w:rPr>
          <w:rFonts w:hint="eastAsia" w:ascii="宋体" w:hAnsi="宋体" w:cs="宋体"/>
          <w:b w:val="0"/>
          <w:bCs w:val="0"/>
          <w:color w:val="auto"/>
          <w:highlight w:val="none"/>
        </w:rPr>
        <w:t>第六章  合同文本</w:t>
      </w:r>
      <w:r>
        <w:rPr>
          <w:rFonts w:hint="eastAsia" w:ascii="宋体" w:hAnsi="宋体" w:cs="宋体"/>
          <w:b w:val="0"/>
          <w:bCs w:val="0"/>
          <w:color w:val="auto"/>
          <w:highlight w:val="none"/>
        </w:rPr>
        <w:br w:type="page"/>
      </w:r>
      <w:bookmarkEnd w:id="100"/>
    </w:p>
    <w:p w14:paraId="5BE3280A">
      <w:pPr>
        <w:rPr>
          <w:rFonts w:ascii="宋体" w:hAnsi="宋体" w:cs="宋体"/>
          <w:b/>
          <w:bCs/>
          <w:color w:val="auto"/>
          <w:highlight w:val="none"/>
        </w:rPr>
      </w:pPr>
      <w:r>
        <w:rPr>
          <w:rFonts w:hint="eastAsia" w:ascii="宋体" w:hAnsi="宋体" w:cs="宋体"/>
          <w:color w:val="auto"/>
          <w:sz w:val="24"/>
          <w:highlight w:val="none"/>
        </w:rPr>
        <w:t>“广西政府采购云平台”平台合同编号：</w:t>
      </w:r>
    </w:p>
    <w:p w14:paraId="5E395FAA">
      <w:pPr>
        <w:spacing w:line="360" w:lineRule="auto"/>
        <w:ind w:firstLine="420" w:firstLineChars="200"/>
        <w:rPr>
          <w:rFonts w:hint="eastAsia" w:ascii="宋体" w:hAnsi="宋体" w:cs="宋体"/>
          <w:color w:val="auto"/>
          <w:highlight w:val="none"/>
          <w:lang w:val="en-US" w:eastAsia="zh-CN"/>
        </w:rPr>
      </w:pPr>
      <w:r>
        <w:rPr>
          <w:rFonts w:hint="eastAsia" w:ascii="宋体" w:hAnsi="宋体" w:cs="宋体"/>
          <w:color w:val="auto"/>
          <w:highlight w:val="none"/>
          <w:lang w:val="en-US" w:eastAsia="zh-CN"/>
        </w:rPr>
        <w:t xml:space="preserve"> </w:t>
      </w:r>
    </w:p>
    <w:p w14:paraId="2BC9BB51">
      <w:pPr>
        <w:spacing w:line="360" w:lineRule="auto"/>
        <w:ind w:firstLine="420" w:firstLineChars="200"/>
        <w:rPr>
          <w:rFonts w:hint="eastAsia" w:ascii="宋体" w:hAnsi="宋体" w:cs="宋体"/>
          <w:color w:val="auto"/>
          <w:highlight w:val="none"/>
          <w:lang w:val="en-US" w:eastAsia="zh-CN"/>
        </w:rPr>
      </w:pPr>
    </w:p>
    <w:p w14:paraId="7EF60780">
      <w:pPr>
        <w:spacing w:line="360" w:lineRule="auto"/>
        <w:ind w:firstLine="420" w:firstLineChars="200"/>
        <w:rPr>
          <w:rFonts w:hint="eastAsia" w:ascii="宋体" w:hAnsi="宋体" w:cs="宋体"/>
          <w:color w:val="auto"/>
          <w:highlight w:val="none"/>
          <w:lang w:val="en-US" w:eastAsia="zh-CN"/>
        </w:rPr>
      </w:pPr>
    </w:p>
    <w:p w14:paraId="536CA060">
      <w:pPr>
        <w:spacing w:line="360" w:lineRule="auto"/>
        <w:ind w:firstLine="420" w:firstLineChars="200"/>
        <w:rPr>
          <w:rFonts w:hint="eastAsia" w:ascii="宋体" w:hAnsi="宋体" w:cs="宋体"/>
          <w:color w:val="auto"/>
          <w:highlight w:val="none"/>
          <w:lang w:val="en-US" w:eastAsia="zh-CN"/>
        </w:rPr>
      </w:pPr>
    </w:p>
    <w:p w14:paraId="28BCD44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                                                 </w:t>
      </w:r>
    </w:p>
    <w:p w14:paraId="484670FE">
      <w:pPr>
        <w:spacing w:line="360" w:lineRule="auto"/>
        <w:jc w:val="center"/>
        <w:rPr>
          <w:rFonts w:ascii="宋体" w:hAnsi="宋体" w:cs="宋体"/>
          <w:b/>
          <w:bCs/>
          <w:color w:val="auto"/>
          <w:sz w:val="44"/>
          <w:highlight w:val="none"/>
        </w:rPr>
      </w:pPr>
      <w:r>
        <w:rPr>
          <w:rFonts w:hint="eastAsia" w:ascii="宋体" w:hAnsi="宋体" w:cs="宋体"/>
          <w:b/>
          <w:bCs/>
          <w:color w:val="auto"/>
          <w:sz w:val="44"/>
          <w:highlight w:val="none"/>
          <w:u w:val="single"/>
        </w:rPr>
        <w:t xml:space="preserve"> </w:t>
      </w:r>
      <w:bookmarkStart w:id="101" w:name="PO_3000001868_PM002_15"/>
      <w:r>
        <w:rPr>
          <w:rFonts w:hint="eastAsia" w:ascii="宋体" w:hAnsi="宋体" w:cs="宋体"/>
          <w:b/>
          <w:bCs/>
          <w:color w:val="auto"/>
          <w:sz w:val="44"/>
          <w:highlight w:val="none"/>
          <w:u w:val="single"/>
        </w:rPr>
        <w:t>[项目名称]</w:t>
      </w:r>
      <w:bookmarkEnd w:id="101"/>
      <w:r>
        <w:rPr>
          <w:rFonts w:hint="eastAsia" w:ascii="宋体" w:hAnsi="宋体" w:cs="宋体"/>
          <w:b/>
          <w:bCs/>
          <w:color w:val="auto"/>
          <w:sz w:val="44"/>
          <w:highlight w:val="none"/>
        </w:rPr>
        <w:t>合同</w:t>
      </w:r>
    </w:p>
    <w:p w14:paraId="56D13E92">
      <w:pPr>
        <w:spacing w:line="360" w:lineRule="auto"/>
        <w:jc w:val="center"/>
        <w:rPr>
          <w:rFonts w:ascii="宋体" w:hAnsi="宋体" w:cs="宋体"/>
          <w:b/>
          <w:bCs/>
          <w:color w:val="auto"/>
          <w:sz w:val="44"/>
          <w:highlight w:val="none"/>
        </w:rPr>
      </w:pPr>
    </w:p>
    <w:p w14:paraId="1E638BC0">
      <w:pPr>
        <w:spacing w:line="360" w:lineRule="auto"/>
        <w:ind w:firstLine="3507" w:firstLineChars="794"/>
        <w:rPr>
          <w:rFonts w:ascii="宋体" w:hAnsi="宋体" w:cs="宋体"/>
          <w:b/>
          <w:bCs/>
          <w:color w:val="auto"/>
          <w:sz w:val="44"/>
          <w:highlight w:val="none"/>
        </w:rPr>
      </w:pPr>
    </w:p>
    <w:p w14:paraId="703E6C84">
      <w:pPr>
        <w:spacing w:line="360" w:lineRule="auto"/>
        <w:ind w:firstLine="3507" w:firstLineChars="794"/>
        <w:rPr>
          <w:rFonts w:ascii="宋体" w:hAnsi="宋体" w:cs="宋体"/>
          <w:b/>
          <w:bCs/>
          <w:color w:val="auto"/>
          <w:sz w:val="44"/>
          <w:highlight w:val="none"/>
        </w:rPr>
      </w:pPr>
    </w:p>
    <w:p w14:paraId="61F12F23">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采购项目编号：</w:t>
      </w:r>
      <w:r>
        <w:rPr>
          <w:rFonts w:hint="eastAsia" w:ascii="宋体" w:hAnsi="宋体" w:cs="宋体"/>
          <w:b/>
          <w:color w:val="auto"/>
          <w:sz w:val="36"/>
          <w:szCs w:val="36"/>
          <w:highlight w:val="none"/>
          <w:u w:val="single"/>
        </w:rPr>
        <w:t xml:space="preserve"> </w:t>
      </w:r>
    </w:p>
    <w:p w14:paraId="79FB0DCF">
      <w:pPr>
        <w:ind w:firstLine="1995" w:firstLineChars="552"/>
        <w:rPr>
          <w:rFonts w:ascii="宋体" w:hAnsi="宋体" w:cs="宋体"/>
          <w:b/>
          <w:color w:val="auto"/>
          <w:sz w:val="36"/>
          <w:szCs w:val="36"/>
          <w:highlight w:val="none"/>
        </w:rPr>
      </w:pPr>
      <w:r>
        <w:rPr>
          <w:rFonts w:hint="eastAsia" w:ascii="宋体" w:hAnsi="宋体" w:cs="宋体"/>
          <w:b/>
          <w:color w:val="auto"/>
          <w:sz w:val="36"/>
          <w:szCs w:val="36"/>
          <w:highlight w:val="none"/>
        </w:rPr>
        <w:t>采购计划编号：</w:t>
      </w:r>
      <w:r>
        <w:rPr>
          <w:rFonts w:hint="eastAsia" w:ascii="宋体" w:hAnsi="宋体" w:cs="宋体"/>
          <w:b/>
          <w:color w:val="auto"/>
          <w:sz w:val="36"/>
          <w:szCs w:val="36"/>
          <w:highlight w:val="none"/>
          <w:u w:val="single"/>
        </w:rPr>
        <w:t xml:space="preserve"> </w:t>
      </w:r>
    </w:p>
    <w:p w14:paraId="32D41C31">
      <w:pPr>
        <w:ind w:firstLine="1308" w:firstLineChars="545"/>
        <w:rPr>
          <w:rFonts w:ascii="宋体" w:hAnsi="宋体" w:cs="宋体"/>
          <w:color w:val="auto"/>
          <w:sz w:val="24"/>
          <w:highlight w:val="none"/>
        </w:rPr>
      </w:pPr>
    </w:p>
    <w:p w14:paraId="77344E32">
      <w:pPr>
        <w:ind w:firstLine="1995" w:firstLineChars="552"/>
        <w:rPr>
          <w:rFonts w:ascii="宋体" w:hAnsi="宋体" w:cs="宋体"/>
          <w:b/>
          <w:color w:val="auto"/>
          <w:sz w:val="36"/>
          <w:szCs w:val="36"/>
          <w:highlight w:val="none"/>
          <w:u w:val="single"/>
        </w:rPr>
      </w:pPr>
    </w:p>
    <w:p w14:paraId="3188D612">
      <w:pPr>
        <w:ind w:firstLine="1995" w:firstLineChars="552"/>
        <w:rPr>
          <w:rFonts w:ascii="宋体" w:hAnsi="宋体" w:cs="宋体"/>
          <w:b/>
          <w:color w:val="auto"/>
          <w:sz w:val="36"/>
          <w:szCs w:val="36"/>
          <w:highlight w:val="none"/>
          <w:u w:val="single"/>
        </w:rPr>
      </w:pPr>
    </w:p>
    <w:p w14:paraId="2434987F">
      <w:pPr>
        <w:tabs>
          <w:tab w:val="left" w:pos="7200"/>
        </w:tabs>
        <w:spacing w:line="360" w:lineRule="auto"/>
        <w:ind w:firstLine="1995" w:firstLineChars="552"/>
        <w:rPr>
          <w:rFonts w:hint="eastAsia" w:ascii="宋体" w:hAnsi="宋体" w:cs="宋体"/>
          <w:b/>
          <w:color w:val="auto"/>
          <w:sz w:val="36"/>
          <w:szCs w:val="36"/>
          <w:highlight w:val="none"/>
          <w:u w:val="single"/>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u w:val="single"/>
        </w:rPr>
        <w:t xml:space="preserve"> </w:t>
      </w:r>
      <w:bookmarkStart w:id="102" w:name="PO_3000001868_PM026_4"/>
      <w:r>
        <w:rPr>
          <w:rFonts w:hint="eastAsia" w:ascii="宋体" w:hAnsi="宋体" w:cs="宋体"/>
          <w:b/>
          <w:color w:val="auto"/>
          <w:sz w:val="36"/>
          <w:szCs w:val="36"/>
          <w:highlight w:val="none"/>
          <w:u w:val="single"/>
        </w:rPr>
        <w:t>[采购人]</w:t>
      </w:r>
      <w:bookmarkEnd w:id="102"/>
      <w:r>
        <w:rPr>
          <w:rFonts w:hint="eastAsia" w:ascii="宋体" w:hAnsi="宋体" w:cs="宋体"/>
          <w:b/>
          <w:color w:val="auto"/>
          <w:sz w:val="36"/>
          <w:szCs w:val="36"/>
          <w:highlight w:val="none"/>
          <w:u w:val="single"/>
        </w:rPr>
        <w:t xml:space="preserve"> </w:t>
      </w:r>
      <w:r>
        <w:rPr>
          <w:rFonts w:hint="eastAsia" w:ascii="宋体" w:hAnsi="宋体" w:cs="宋体"/>
          <w:b/>
          <w:color w:val="auto"/>
          <w:sz w:val="36"/>
          <w:szCs w:val="36"/>
          <w:highlight w:val="none"/>
          <w:u w:val="single"/>
          <w:lang w:val="en-US" w:eastAsia="zh-CN"/>
        </w:rPr>
        <w:t xml:space="preserve">             </w:t>
      </w:r>
      <w:r>
        <w:rPr>
          <w:rFonts w:hint="eastAsia" w:ascii="宋体" w:hAnsi="宋体" w:cs="宋体"/>
          <w:b/>
          <w:color w:val="auto"/>
          <w:sz w:val="36"/>
          <w:szCs w:val="36"/>
          <w:highlight w:val="none"/>
          <w:u w:val="single"/>
        </w:rPr>
        <w:t xml:space="preserve"> </w:t>
      </w:r>
    </w:p>
    <w:p w14:paraId="4317EFB7">
      <w:pPr>
        <w:tabs>
          <w:tab w:val="left" w:pos="7380"/>
        </w:tabs>
        <w:spacing w:line="360" w:lineRule="auto"/>
        <w:ind w:firstLine="1995" w:firstLineChars="552"/>
        <w:rPr>
          <w:rFonts w:ascii="宋体" w:hAnsi="宋体" w:cs="宋体"/>
          <w:b/>
          <w:bCs/>
          <w:color w:val="auto"/>
          <w:sz w:val="44"/>
          <w:highlight w:val="none"/>
        </w:rPr>
      </w:pPr>
      <w:r>
        <w:rPr>
          <w:rFonts w:hint="eastAsia" w:ascii="宋体" w:hAnsi="宋体" w:cs="宋体"/>
          <w:b/>
          <w:color w:val="auto"/>
          <w:sz w:val="36"/>
          <w:szCs w:val="36"/>
          <w:highlight w:val="none"/>
        </w:rPr>
        <w:t>中标</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lang w:val="en-US" w:eastAsia="zh-CN"/>
        </w:rPr>
        <w:t>成交</w:t>
      </w:r>
      <w:r>
        <w:rPr>
          <w:rFonts w:hint="eastAsia" w:ascii="宋体" w:hAnsi="宋体" w:cs="宋体"/>
          <w:b/>
          <w:color w:val="auto"/>
          <w:sz w:val="36"/>
          <w:szCs w:val="36"/>
          <w:highlight w:val="none"/>
          <w:lang w:eastAsia="zh-CN"/>
        </w:rPr>
        <w:t>）</w:t>
      </w:r>
      <w:r>
        <w:rPr>
          <w:rFonts w:hint="eastAsia" w:ascii="宋体" w:hAnsi="宋体" w:cs="宋体"/>
          <w:b/>
          <w:color w:val="auto"/>
          <w:sz w:val="36"/>
          <w:szCs w:val="36"/>
          <w:highlight w:val="none"/>
        </w:rPr>
        <w:t>供应商：</w:t>
      </w:r>
      <w:r>
        <w:rPr>
          <w:rFonts w:hint="eastAsia" w:ascii="宋体" w:hAnsi="宋体" w:cs="宋体"/>
          <w:b/>
          <w:color w:val="auto"/>
          <w:sz w:val="36"/>
          <w:szCs w:val="36"/>
          <w:highlight w:val="none"/>
          <w:u w:val="single"/>
        </w:rPr>
        <w:t xml:space="preserve">                   </w:t>
      </w:r>
    </w:p>
    <w:p w14:paraId="5C55F5E9">
      <w:pPr>
        <w:tabs>
          <w:tab w:val="left" w:pos="7380"/>
        </w:tabs>
        <w:spacing w:line="360" w:lineRule="auto"/>
        <w:rPr>
          <w:rFonts w:ascii="宋体" w:hAnsi="宋体" w:cs="宋体"/>
          <w:b/>
          <w:bCs/>
          <w:color w:val="auto"/>
          <w:sz w:val="44"/>
          <w:highlight w:val="none"/>
        </w:rPr>
      </w:pPr>
    </w:p>
    <w:p w14:paraId="41DE94E3">
      <w:pPr>
        <w:tabs>
          <w:tab w:val="left" w:pos="7380"/>
        </w:tabs>
        <w:spacing w:line="360" w:lineRule="auto"/>
        <w:rPr>
          <w:rFonts w:ascii="宋体" w:hAnsi="宋体" w:cs="宋体"/>
          <w:b/>
          <w:bCs/>
          <w:color w:val="auto"/>
          <w:sz w:val="44"/>
          <w:highlight w:val="none"/>
        </w:rPr>
      </w:pPr>
    </w:p>
    <w:p w14:paraId="0AD53B48">
      <w:pPr>
        <w:tabs>
          <w:tab w:val="left" w:pos="7380"/>
        </w:tabs>
        <w:spacing w:line="360" w:lineRule="auto"/>
        <w:rPr>
          <w:rFonts w:ascii="宋体" w:hAnsi="宋体" w:cs="宋体"/>
          <w:b/>
          <w:bCs/>
          <w:color w:val="auto"/>
          <w:sz w:val="44"/>
          <w:highlight w:val="none"/>
        </w:rPr>
      </w:pPr>
    </w:p>
    <w:p w14:paraId="16037D27">
      <w:pPr>
        <w:tabs>
          <w:tab w:val="left" w:pos="7380"/>
        </w:tabs>
        <w:spacing w:line="360" w:lineRule="auto"/>
        <w:ind w:firstLine="3360" w:firstLineChars="1400"/>
        <w:rPr>
          <w:rFonts w:ascii="宋体" w:hAnsi="宋体" w:cs="宋体"/>
          <w:color w:val="auto"/>
          <w:sz w:val="24"/>
          <w:highlight w:val="none"/>
          <w:lang w:val="zh-CN"/>
        </w:rPr>
      </w:pPr>
      <w:r>
        <w:rPr>
          <w:rFonts w:hint="eastAsia" w:ascii="宋体" w:hAnsi="宋体" w:cs="宋体"/>
          <w:color w:val="auto"/>
          <w:sz w:val="24"/>
          <w:highlight w:val="none"/>
          <w:lang w:val="zh-CN"/>
        </w:rPr>
        <w:t>签订时间：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p>
    <w:p w14:paraId="32131B01">
      <w:pPr>
        <w:snapToGrid w:val="0"/>
        <w:spacing w:line="360" w:lineRule="auto"/>
        <w:rPr>
          <w:rFonts w:hint="eastAsia" w:ascii="宋体" w:hAnsi="宋体" w:cs="宋体"/>
          <w:b/>
          <w:bCs/>
          <w:color w:val="auto"/>
          <w:sz w:val="44"/>
          <w:highlight w:val="none"/>
        </w:rPr>
      </w:pPr>
      <w:r>
        <w:rPr>
          <w:rFonts w:hint="eastAsia" w:ascii="宋体" w:hAnsi="宋体" w:cs="宋体"/>
          <w:b/>
          <w:bCs/>
          <w:color w:val="auto"/>
          <w:sz w:val="44"/>
          <w:highlight w:val="none"/>
        </w:rPr>
        <w:br w:type="page"/>
      </w:r>
    </w:p>
    <w:p w14:paraId="004EF04A">
      <w:pPr>
        <w:snapToGrid w:val="0"/>
        <w:spacing w:line="360" w:lineRule="auto"/>
        <w:rPr>
          <w:rFonts w:hint="eastAsia" w:ascii="宋体" w:hAnsi="宋体" w:cs="宋体"/>
          <w:b/>
          <w:bCs/>
          <w:color w:val="auto"/>
          <w:sz w:val="44"/>
          <w:highlight w:val="none"/>
        </w:rPr>
      </w:pPr>
    </w:p>
    <w:p w14:paraId="002DC788">
      <w:pPr>
        <w:snapToGrid w:val="0"/>
        <w:spacing w:line="360" w:lineRule="auto"/>
        <w:rPr>
          <w:rFonts w:hint="eastAsia" w:ascii="宋体" w:hAnsi="宋体" w:cs="宋体"/>
          <w:b/>
          <w:bCs/>
          <w:color w:val="auto"/>
          <w:sz w:val="44"/>
          <w:highlight w:val="none"/>
        </w:rPr>
      </w:pPr>
    </w:p>
    <w:p w14:paraId="2D4D429B">
      <w:pPr>
        <w:snapToGrid w:val="0"/>
        <w:spacing w:line="360" w:lineRule="auto"/>
        <w:rPr>
          <w:rFonts w:hint="eastAsia" w:ascii="宋体" w:hAnsi="宋体" w:cs="宋体"/>
          <w:b/>
          <w:bCs/>
          <w:color w:val="auto"/>
          <w:sz w:val="44"/>
          <w:highlight w:val="none"/>
        </w:rPr>
      </w:pPr>
    </w:p>
    <w:p w14:paraId="53A546AC">
      <w:pPr>
        <w:snapToGrid w:val="0"/>
        <w:spacing w:line="360" w:lineRule="auto"/>
        <w:rPr>
          <w:rFonts w:hint="eastAsia" w:ascii="宋体" w:hAnsi="宋体" w:cs="宋体"/>
          <w:b/>
          <w:bCs/>
          <w:color w:val="auto"/>
          <w:sz w:val="44"/>
          <w:highlight w:val="none"/>
        </w:rPr>
      </w:pPr>
    </w:p>
    <w:p w14:paraId="6BF8CE95">
      <w:pPr>
        <w:snapToGrid w:val="0"/>
        <w:spacing w:line="360" w:lineRule="auto"/>
        <w:jc w:val="center"/>
        <w:rPr>
          <w:rFonts w:ascii="宋体" w:hAnsi="宋体" w:cs="宋体"/>
          <w:color w:val="auto"/>
          <w:kern w:val="0"/>
          <w:sz w:val="24"/>
          <w:highlight w:val="none"/>
        </w:rPr>
      </w:pPr>
      <w:r>
        <w:rPr>
          <w:rFonts w:hint="eastAsia" w:ascii="宋体" w:hAnsi="宋体" w:eastAsia="宋体" w:cs="宋体"/>
          <w:b/>
          <w:color w:val="auto"/>
          <w:sz w:val="56"/>
          <w:szCs w:val="56"/>
          <w:highlight w:val="none"/>
        </w:rPr>
        <w:t>公路工程施工合同</w:t>
      </w:r>
    </w:p>
    <w:p w14:paraId="6DBDE096">
      <w:pPr>
        <w:snapToGrid w:val="0"/>
        <w:spacing w:line="360" w:lineRule="auto"/>
        <w:rPr>
          <w:rFonts w:ascii="宋体" w:hAnsi="宋体" w:cs="宋体"/>
          <w:color w:val="auto"/>
          <w:kern w:val="0"/>
          <w:sz w:val="24"/>
          <w:highlight w:val="none"/>
        </w:rPr>
      </w:pPr>
    </w:p>
    <w:p w14:paraId="74FA5546">
      <w:pPr>
        <w:widowControl/>
        <w:jc w:val="left"/>
        <w:rPr>
          <w:rFonts w:ascii="宋体" w:hAnsi="宋体" w:cs="宋体"/>
          <w:color w:val="auto"/>
          <w:kern w:val="0"/>
          <w:sz w:val="32"/>
          <w:szCs w:val="20"/>
          <w:highlight w:val="none"/>
        </w:rPr>
        <w:sectPr>
          <w:pgSz w:w="11906" w:h="16838"/>
          <w:pgMar w:top="1134" w:right="1134" w:bottom="1134" w:left="1134" w:header="720" w:footer="720" w:gutter="0"/>
          <w:cols w:space="720" w:num="1"/>
          <w:docGrid w:type="lines" w:linePitch="331" w:charSpace="0"/>
        </w:sectPr>
      </w:pPr>
    </w:p>
    <w:p w14:paraId="368362E4">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bookmarkStart w:id="103" w:name="_Toc511595186"/>
      <w:bookmarkStart w:id="104" w:name="_Toc2532"/>
      <w:bookmarkStart w:id="105" w:name="_Toc394929411"/>
      <w:bookmarkStart w:id="106" w:name="_Toc367270683"/>
      <w:bookmarkStart w:id="107" w:name="_Toc517163145"/>
      <w:bookmarkStart w:id="108" w:name="_Toc508779702"/>
      <w:bookmarkStart w:id="109" w:name="_Toc514759025"/>
      <w:r>
        <w:rPr>
          <w:rFonts w:hint="eastAsia" w:ascii="宋体" w:hAnsi="宋体" w:eastAsia="宋体" w:cs="宋体"/>
          <w:b/>
          <w:bCs/>
          <w:color w:val="auto"/>
          <w:sz w:val="28"/>
          <w:szCs w:val="28"/>
          <w:highlight w:val="none"/>
        </w:rPr>
        <w:t>合 同 协 议 书</w:t>
      </w:r>
    </w:p>
    <w:p w14:paraId="1BC3CB24">
      <w:pPr>
        <w:pStyle w:val="45"/>
        <w:pageBreakBefore w:val="0"/>
        <w:shd w:val="clear" w:color="auto" w:fill="auto"/>
        <w:tabs>
          <w:tab w:val="left" w:leader="underscore" w:pos="1756"/>
          <w:tab w:val="left" w:leader="underscore" w:pos="8354"/>
        </w:tabs>
        <w:kinsoku/>
        <w:wordWrap w:val="0"/>
        <w:overflowPunct/>
        <w:topLinePunct w:val="0"/>
        <w:autoSpaceDE/>
        <w:autoSpaceDN/>
        <w:bidi w:val="0"/>
        <w:spacing w:before="0" w:line="360" w:lineRule="auto"/>
        <w:ind w:firstLine="750" w:firstLineChars="300"/>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u w:val="single"/>
        </w:rPr>
        <w:t>(发包人名称，以下简称“发包人”）</w:t>
      </w:r>
      <w:r>
        <w:rPr>
          <w:rStyle w:val="46"/>
          <w:rFonts w:hint="eastAsia" w:ascii="宋体" w:hAnsi="宋体" w:eastAsia="宋体" w:cs="宋体"/>
          <w:color w:val="auto"/>
          <w:sz w:val="21"/>
          <w:szCs w:val="21"/>
          <w:highlight w:val="none"/>
        </w:rPr>
        <w:t>为实施</w:t>
      </w:r>
      <w:r>
        <w:rPr>
          <w:rStyle w:val="46"/>
          <w:rFonts w:hint="eastAsia" w:ascii="宋体" w:hAnsi="宋体" w:eastAsia="宋体" w:cs="宋体"/>
          <w:color w:val="auto"/>
          <w:sz w:val="21"/>
          <w:szCs w:val="21"/>
          <w:highlight w:val="none"/>
          <w:u w:val="single"/>
        </w:rPr>
        <w:t>(项目名称)</w:t>
      </w:r>
      <w:r>
        <w:rPr>
          <w:rStyle w:val="46"/>
          <w:rFonts w:hint="eastAsia" w:ascii="宋体" w:hAnsi="宋体" w:eastAsia="宋体" w:cs="宋体"/>
          <w:color w:val="auto"/>
          <w:sz w:val="21"/>
          <w:szCs w:val="21"/>
          <w:highlight w:val="none"/>
        </w:rPr>
        <w:t>，已接受</w:t>
      </w:r>
      <w:r>
        <w:rPr>
          <w:rStyle w:val="46"/>
          <w:rFonts w:hint="eastAsia" w:ascii="宋体" w:hAnsi="宋体" w:eastAsia="宋体" w:cs="宋体"/>
          <w:color w:val="auto"/>
          <w:sz w:val="21"/>
          <w:szCs w:val="21"/>
          <w:highlight w:val="none"/>
          <w:u w:val="single"/>
        </w:rPr>
        <w:t>(承包人名称，以下简称“承包人”）</w:t>
      </w:r>
      <w:r>
        <w:rPr>
          <w:rStyle w:val="46"/>
          <w:rFonts w:hint="eastAsia" w:ascii="宋体" w:hAnsi="宋体" w:eastAsia="宋体" w:cs="宋体"/>
          <w:color w:val="auto"/>
          <w:sz w:val="21"/>
          <w:szCs w:val="21"/>
          <w:highlight w:val="none"/>
        </w:rPr>
        <w:t>对该项目</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u w:val="single"/>
        </w:rPr>
        <w:t>标段</w:t>
      </w:r>
      <w:r>
        <w:rPr>
          <w:rStyle w:val="46"/>
          <w:rFonts w:hint="eastAsia" w:ascii="宋体" w:hAnsi="宋体" w:eastAsia="宋体" w:cs="宋体"/>
          <w:color w:val="auto"/>
          <w:sz w:val="21"/>
          <w:szCs w:val="21"/>
          <w:highlight w:val="none"/>
        </w:rPr>
        <w:t>施工的投标。发包人和承包人共同达成如下协议。</w:t>
      </w:r>
    </w:p>
    <w:p w14:paraId="457455A5">
      <w:pPr>
        <w:pStyle w:val="45"/>
        <w:pageBreakBefore w:val="0"/>
        <w:shd w:val="clear" w:color="auto" w:fill="auto"/>
        <w:tabs>
          <w:tab w:val="left" w:pos="1074"/>
        </w:tabs>
        <w:kinsoku/>
        <w:wordWrap w:val="0"/>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1．建设内容：</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w:t>
      </w:r>
    </w:p>
    <w:p w14:paraId="41F2000B">
      <w:pPr>
        <w:pStyle w:val="45"/>
        <w:pageBreakBefore w:val="0"/>
        <w:shd w:val="clear" w:color="auto" w:fill="auto"/>
        <w:tabs>
          <w:tab w:val="left" w:pos="1098"/>
        </w:tabs>
        <w:kinsoku/>
        <w:overflowPunct/>
        <w:topLinePunct w:val="0"/>
        <w:autoSpaceDE/>
        <w:autoSpaceDN/>
        <w:bidi w:val="0"/>
        <w:spacing w:before="0" w:line="360" w:lineRule="auto"/>
        <w:ind w:firstLine="420" w:firstLineChars="2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2．下列文件应视为构成合同文件的组成部分：</w:t>
      </w:r>
    </w:p>
    <w:p w14:paraId="4B5B98CA">
      <w:pPr>
        <w:pStyle w:val="45"/>
        <w:pageBreakBefore w:val="0"/>
        <w:shd w:val="clear" w:color="auto" w:fill="auto"/>
        <w:tabs>
          <w:tab w:val="left" w:pos="1373"/>
        </w:tabs>
        <w:kinsoku/>
        <w:overflowPunct/>
        <w:topLinePunct w:val="0"/>
        <w:autoSpaceDE/>
        <w:autoSpaceDN/>
        <w:bidi w:val="0"/>
        <w:spacing w:before="0" w:line="360" w:lineRule="auto"/>
        <w:jc w:val="left"/>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（1）本协议书及各种合同附件（含评标期间和合同谈判过程中的澄清文件和补充资料）；</w:t>
      </w:r>
    </w:p>
    <w:p w14:paraId="3708FA0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（2）成交通知书；</w:t>
      </w:r>
    </w:p>
    <w:p w14:paraId="38DE822C">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（3）项目专用合同条款；</w:t>
      </w:r>
    </w:p>
    <w:p w14:paraId="1AF08D0F">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4</w:t>
      </w:r>
      <w:r>
        <w:rPr>
          <w:rStyle w:val="46"/>
          <w:rFonts w:hint="eastAsia" w:ascii="宋体" w:hAnsi="宋体" w:eastAsia="宋体" w:cs="宋体"/>
          <w:color w:val="auto"/>
          <w:sz w:val="21"/>
          <w:szCs w:val="21"/>
          <w:highlight w:val="none"/>
        </w:rPr>
        <w:t>）公路工程专用合同条款；</w:t>
      </w:r>
    </w:p>
    <w:p w14:paraId="6A2E1108">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）通用合同条款；</w:t>
      </w:r>
    </w:p>
    <w:p w14:paraId="3E11377A">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）工程量清单计量规则；</w:t>
      </w:r>
    </w:p>
    <w:p w14:paraId="33510746">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7</w:t>
      </w:r>
      <w:r>
        <w:rPr>
          <w:rStyle w:val="46"/>
          <w:rFonts w:hint="eastAsia" w:ascii="宋体" w:hAnsi="宋体" w:eastAsia="宋体" w:cs="宋体"/>
          <w:color w:val="auto"/>
          <w:sz w:val="21"/>
          <w:szCs w:val="21"/>
          <w:highlight w:val="none"/>
        </w:rPr>
        <w:t>）技术规范；</w:t>
      </w:r>
    </w:p>
    <w:p w14:paraId="78B5BA50">
      <w:pPr>
        <w:pStyle w:val="45"/>
        <w:pageBreakBefore w:val="0"/>
        <w:shd w:val="clear" w:color="auto" w:fill="auto"/>
        <w:tabs>
          <w:tab w:val="left" w:pos="138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）图纸；</w:t>
      </w:r>
    </w:p>
    <w:p w14:paraId="7AE999B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w:t>
      </w:r>
      <w:r>
        <w:rPr>
          <w:rStyle w:val="46"/>
          <w:rFonts w:hint="eastAsia" w:ascii="宋体" w:hAnsi="宋体" w:eastAsia="宋体" w:cs="宋体"/>
          <w:color w:val="auto"/>
          <w:sz w:val="21"/>
          <w:szCs w:val="21"/>
          <w:highlight w:val="none"/>
          <w:lang w:val="en-US"/>
        </w:rPr>
        <w:t>9</w:t>
      </w:r>
      <w:r>
        <w:rPr>
          <w:rStyle w:val="46"/>
          <w:rFonts w:hint="eastAsia" w:ascii="宋体" w:hAnsi="宋体" w:eastAsia="宋体" w:cs="宋体"/>
          <w:color w:val="auto"/>
          <w:sz w:val="21"/>
          <w:szCs w:val="21"/>
          <w:highlight w:val="none"/>
        </w:rPr>
        <w:t>）已标价工程量清单；</w:t>
      </w:r>
    </w:p>
    <w:p w14:paraId="300E1B9C">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0</w:t>
      </w:r>
      <w:r>
        <w:rPr>
          <w:rStyle w:val="46"/>
          <w:rFonts w:hint="eastAsia" w:ascii="宋体" w:hAnsi="宋体" w:eastAsia="宋体" w:cs="宋体"/>
          <w:color w:val="auto"/>
          <w:sz w:val="21"/>
          <w:szCs w:val="21"/>
          <w:highlight w:val="none"/>
        </w:rPr>
        <w:t>）承包人有关人员、设备投入的承诺及响应文件中的施工组织设计；</w:t>
      </w:r>
    </w:p>
    <w:p w14:paraId="43F889E3">
      <w:pPr>
        <w:pStyle w:val="45"/>
        <w:pageBreakBefore w:val="0"/>
        <w:shd w:val="clear" w:color="auto" w:fill="auto"/>
        <w:tabs>
          <w:tab w:val="left" w:pos="1506"/>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1</w:t>
      </w:r>
      <w:r>
        <w:rPr>
          <w:rStyle w:val="46"/>
          <w:rFonts w:hint="eastAsia" w:ascii="宋体" w:hAnsi="宋体" w:eastAsia="宋体" w:cs="宋体"/>
          <w:color w:val="auto"/>
          <w:sz w:val="21"/>
          <w:szCs w:val="21"/>
          <w:highlight w:val="none"/>
        </w:rPr>
        <w:t>）其他合同文件。</w:t>
      </w:r>
    </w:p>
    <w:p w14:paraId="3525C771">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上述合同文件互相补充和解释。如果合同文件之间存在矛盾或不一致之处，</w:t>
      </w:r>
    </w:p>
    <w:p w14:paraId="1B9A2025">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以上述文件的排列顺序在先者为准。</w:t>
      </w:r>
    </w:p>
    <w:p w14:paraId="7620D5C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3.</w:t>
      </w:r>
      <w:r>
        <w:rPr>
          <w:rStyle w:val="46"/>
          <w:rFonts w:hint="eastAsia" w:ascii="宋体" w:hAnsi="宋体" w:eastAsia="宋体" w:cs="宋体"/>
          <w:color w:val="auto"/>
          <w:sz w:val="21"/>
          <w:szCs w:val="21"/>
          <w:highlight w:val="none"/>
        </w:rPr>
        <w:t>根据工程量清单所列的预计数量和单价或总额价计算的签约合同价：人民币（大写）</w:t>
      </w:r>
      <w:r>
        <w:rPr>
          <w:rStyle w:val="46"/>
          <w:rFonts w:hint="eastAsia" w:ascii="宋体" w:hAnsi="宋体" w:eastAsia="宋体" w:cs="宋体"/>
          <w:color w:val="auto"/>
          <w:sz w:val="21"/>
          <w:szCs w:val="21"/>
          <w:highlight w:val="none"/>
          <w:u w:val="single"/>
        </w:rPr>
        <w:t xml:space="preserve">  （¥     </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rPr>
        <w:t>）</w:t>
      </w:r>
      <w:r>
        <w:rPr>
          <w:rStyle w:val="46"/>
          <w:rFonts w:hint="eastAsia" w:ascii="宋体" w:hAnsi="宋体" w:eastAsia="宋体" w:cs="宋体"/>
          <w:color w:val="auto"/>
          <w:sz w:val="21"/>
          <w:szCs w:val="21"/>
          <w:highlight w:val="none"/>
        </w:rPr>
        <w:t>。</w:t>
      </w:r>
    </w:p>
    <w:p w14:paraId="40A8F581">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4.合同价格形式：综合单价合同。</w:t>
      </w:r>
    </w:p>
    <w:p w14:paraId="06766A04">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Style w:val="46"/>
          <w:rFonts w:hint="eastAsia" w:ascii="宋体" w:hAnsi="宋体" w:eastAsia="宋体" w:cs="宋体"/>
          <w:color w:val="auto"/>
          <w:sz w:val="21"/>
          <w:szCs w:val="21"/>
          <w:highlight w:val="none"/>
        </w:rPr>
      </w:pPr>
      <w:r>
        <w:rPr>
          <w:rStyle w:val="46"/>
          <w:rFonts w:hint="eastAsia" w:ascii="宋体" w:hAnsi="宋体" w:eastAsia="宋体" w:cs="宋体"/>
          <w:color w:val="auto"/>
          <w:sz w:val="21"/>
          <w:szCs w:val="21"/>
          <w:highlight w:val="none"/>
          <w:lang w:val="en-US"/>
        </w:rPr>
        <w:t>5</w:t>
      </w:r>
      <w:r>
        <w:rPr>
          <w:rStyle w:val="46"/>
          <w:rFonts w:hint="eastAsia" w:ascii="宋体" w:hAnsi="宋体" w:eastAsia="宋体" w:cs="宋体"/>
          <w:color w:val="auto"/>
          <w:sz w:val="21"/>
          <w:szCs w:val="21"/>
          <w:highlight w:val="none"/>
        </w:rPr>
        <w:t>．承包人项目经理：</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 xml:space="preserve"> 。承包人项目总工：</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lang w:val="en-US"/>
        </w:rPr>
        <w:t xml:space="preserve"> </w:t>
      </w:r>
      <w:r>
        <w:rPr>
          <w:rStyle w:val="46"/>
          <w:rFonts w:hint="eastAsia" w:ascii="宋体" w:hAnsi="宋体" w:eastAsia="宋体" w:cs="宋体"/>
          <w:color w:val="auto"/>
          <w:sz w:val="21"/>
          <w:szCs w:val="21"/>
          <w:highlight w:val="none"/>
        </w:rPr>
        <w:t>。</w:t>
      </w:r>
    </w:p>
    <w:p w14:paraId="14031410">
      <w:pPr>
        <w:pStyle w:val="45"/>
        <w:pageBreakBefore w:val="0"/>
        <w:shd w:val="clear" w:color="auto" w:fill="auto"/>
        <w:tabs>
          <w:tab w:val="left" w:pos="1098"/>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6</w:t>
      </w:r>
      <w:r>
        <w:rPr>
          <w:rStyle w:val="46"/>
          <w:rFonts w:hint="eastAsia" w:ascii="宋体" w:hAnsi="宋体" w:eastAsia="宋体" w:cs="宋体"/>
          <w:color w:val="auto"/>
          <w:sz w:val="21"/>
          <w:szCs w:val="21"/>
          <w:highlight w:val="none"/>
        </w:rPr>
        <w:t>．工程质量符合</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标准。工程安全目标</w:t>
      </w:r>
      <w:r>
        <w:rPr>
          <w:rStyle w:val="46"/>
          <w:rFonts w:hint="eastAsia" w:ascii="宋体" w:hAnsi="宋体" w:eastAsia="宋体" w:cs="宋体"/>
          <w:color w:val="auto"/>
          <w:sz w:val="21"/>
          <w:szCs w:val="21"/>
          <w:highlight w:val="none"/>
          <w:u w:val="none"/>
        </w:rPr>
        <w:t>：</w:t>
      </w:r>
      <w:r>
        <w:rPr>
          <w:rStyle w:val="46"/>
          <w:rFonts w:hint="eastAsia" w:ascii="宋体" w:hAnsi="宋体" w:eastAsia="宋体" w:cs="宋体"/>
          <w:color w:val="auto"/>
          <w:sz w:val="21"/>
          <w:szCs w:val="21"/>
          <w:highlight w:val="none"/>
          <w:u w:val="single"/>
        </w:rPr>
        <w:tab/>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w:t>
      </w:r>
    </w:p>
    <w:p w14:paraId="0A7FD8B8">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7</w:t>
      </w:r>
      <w:r>
        <w:rPr>
          <w:rStyle w:val="46"/>
          <w:rFonts w:hint="eastAsia" w:ascii="宋体" w:hAnsi="宋体" w:eastAsia="宋体" w:cs="宋体"/>
          <w:color w:val="auto"/>
          <w:sz w:val="21"/>
          <w:szCs w:val="21"/>
          <w:highlight w:val="none"/>
        </w:rPr>
        <w:t>．承包人承诺按合同约定承担工程的实施、完成及缺陷修复。</w:t>
      </w:r>
    </w:p>
    <w:p w14:paraId="569B736A">
      <w:pPr>
        <w:pStyle w:val="45"/>
        <w:pageBreakBefore w:val="0"/>
        <w:shd w:val="clear" w:color="auto" w:fill="auto"/>
        <w:tabs>
          <w:tab w:val="left" w:pos="1101"/>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8</w:t>
      </w:r>
      <w:r>
        <w:rPr>
          <w:rStyle w:val="46"/>
          <w:rFonts w:hint="eastAsia" w:ascii="宋体" w:hAnsi="宋体" w:eastAsia="宋体" w:cs="宋体"/>
          <w:color w:val="auto"/>
          <w:sz w:val="21"/>
          <w:szCs w:val="21"/>
          <w:highlight w:val="none"/>
        </w:rPr>
        <w:t>．发包人承诺按合同约定的条件、时间和方式向承包人支付合同价款。</w:t>
      </w:r>
    </w:p>
    <w:p w14:paraId="63AA3753">
      <w:pPr>
        <w:pStyle w:val="45"/>
        <w:pageBreakBefore w:val="0"/>
        <w:shd w:val="clear" w:color="auto" w:fill="auto"/>
        <w:tabs>
          <w:tab w:val="left" w:pos="1109"/>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9</w:t>
      </w:r>
      <w:r>
        <w:rPr>
          <w:rStyle w:val="46"/>
          <w:rFonts w:hint="eastAsia" w:ascii="宋体" w:hAnsi="宋体" w:eastAsia="宋体" w:cs="宋体"/>
          <w:color w:val="auto"/>
          <w:sz w:val="21"/>
          <w:szCs w:val="21"/>
          <w:highlight w:val="none"/>
        </w:rPr>
        <w:t>．承包人应按照发包人指示开工，工期为_</w:t>
      </w:r>
      <w:r>
        <w:rPr>
          <w:rStyle w:val="46"/>
          <w:rFonts w:hint="eastAsia" w:ascii="宋体" w:hAnsi="宋体" w:eastAsia="宋体" w:cs="宋体"/>
          <w:color w:val="auto"/>
          <w:sz w:val="21"/>
          <w:szCs w:val="21"/>
          <w:highlight w:val="none"/>
          <w:u w:val="single"/>
        </w:rPr>
        <w:t xml:space="preserve">   </w:t>
      </w:r>
      <w:r>
        <w:rPr>
          <w:rStyle w:val="46"/>
          <w:rFonts w:hint="eastAsia" w:ascii="宋体" w:hAnsi="宋体" w:eastAsia="宋体" w:cs="宋体"/>
          <w:color w:val="auto"/>
          <w:sz w:val="21"/>
          <w:szCs w:val="21"/>
          <w:highlight w:val="none"/>
        </w:rPr>
        <w:t>日历天。</w:t>
      </w:r>
    </w:p>
    <w:p w14:paraId="57B19DBB">
      <w:pPr>
        <w:pStyle w:val="45"/>
        <w:pageBreakBefore w:val="0"/>
        <w:shd w:val="clear" w:color="auto" w:fill="auto"/>
        <w:tabs>
          <w:tab w:val="left" w:pos="104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lang w:val="en-US"/>
        </w:rPr>
        <w:t>10</w:t>
      </w:r>
      <w:r>
        <w:rPr>
          <w:rStyle w:val="46"/>
          <w:rFonts w:hint="eastAsia" w:ascii="宋体" w:hAnsi="宋体" w:eastAsia="宋体" w:cs="宋体"/>
          <w:color w:val="auto"/>
          <w:sz w:val="21"/>
          <w:szCs w:val="21"/>
          <w:highlight w:val="none"/>
        </w:rPr>
        <w:t>．本协议书在承包人提供履约保证金后，由双方法定代表人或其委托代理人签署并加盖单位章后生效。全部工程完工后经交工验收合格、缺陷责任期满签发缺 陷责任终止证书后失效。</w:t>
      </w:r>
    </w:p>
    <w:p w14:paraId="03A8F031">
      <w:pPr>
        <w:pStyle w:val="45"/>
        <w:pageBreakBefore w:val="0"/>
        <w:shd w:val="clear" w:color="auto" w:fill="auto"/>
        <w:tabs>
          <w:tab w:val="left" w:leader="underscore" w:pos="4168"/>
          <w:tab w:val="left" w:leader="underscore" w:pos="8283"/>
        </w:tabs>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1</w:t>
      </w:r>
      <w:r>
        <w:rPr>
          <w:rStyle w:val="46"/>
          <w:rFonts w:hint="eastAsia" w:ascii="宋体" w:hAnsi="宋体" w:eastAsia="宋体" w:cs="宋体"/>
          <w:color w:val="auto"/>
          <w:sz w:val="21"/>
          <w:szCs w:val="21"/>
          <w:highlight w:val="none"/>
          <w:lang w:val="en-US"/>
        </w:rPr>
        <w:t>1</w:t>
      </w:r>
      <w:r>
        <w:rPr>
          <w:rStyle w:val="46"/>
          <w:rFonts w:hint="eastAsia" w:ascii="宋体" w:hAnsi="宋体" w:eastAsia="宋体" w:cs="宋体"/>
          <w:color w:val="auto"/>
          <w:sz w:val="21"/>
          <w:szCs w:val="21"/>
          <w:highlight w:val="none"/>
        </w:rPr>
        <w:t>．本协议书正本二份、副本</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份，合同双方各执正本一份，副本</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份，</w:t>
      </w:r>
    </w:p>
    <w:p w14:paraId="0933875B">
      <w:pPr>
        <w:pStyle w:val="45"/>
        <w:pageBreakBefore w:val="0"/>
        <w:shd w:val="clear" w:color="auto" w:fill="auto"/>
        <w:kinsoku/>
        <w:overflowPunct/>
        <w:topLinePunct w:val="0"/>
        <w:autoSpaceDE/>
        <w:autoSpaceDN/>
        <w:bidi w:val="0"/>
        <w:spacing w:before="0"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当正本与副本的内容不一致时，以正本为准。</w:t>
      </w:r>
    </w:p>
    <w:p w14:paraId="63A510B0">
      <w:pPr>
        <w:numPr>
          <w:ilvl w:val="0"/>
          <w:numId w:val="6"/>
        </w:numPr>
        <w:bidi w:val="0"/>
        <w:rPr>
          <w:rFonts w:hint="eastAsia"/>
          <w:color w:val="auto"/>
          <w:highlight w:val="none"/>
        </w:rPr>
      </w:pPr>
      <w:r>
        <w:rPr>
          <w:rFonts w:hint="eastAsia"/>
          <w:color w:val="auto"/>
          <w:highlight w:val="none"/>
        </w:rPr>
        <w:t>合同未尽事宜，双方另行签订补充协议。补充协议是合同的组成部分。</w:t>
      </w:r>
    </w:p>
    <w:p w14:paraId="54F5B713">
      <w:pPr>
        <w:bidi w:val="0"/>
        <w:rPr>
          <w:rFonts w:hint="eastAsia" w:ascii="宋体" w:hAnsi="宋体" w:eastAsia="宋体" w:cs="宋体"/>
          <w:color w:val="auto"/>
          <w:highlight w:val="none"/>
        </w:rPr>
      </w:pPr>
    </w:p>
    <w:p w14:paraId="70CE3035">
      <w:pPr>
        <w:bidi w:val="0"/>
        <w:rPr>
          <w:rFonts w:hint="eastAsia" w:ascii="宋体" w:hAnsi="宋体" w:eastAsia="宋体" w:cs="宋体"/>
          <w:color w:val="auto"/>
          <w:highlight w:val="none"/>
        </w:rPr>
      </w:pPr>
      <w:r>
        <w:rPr>
          <w:rFonts w:hint="eastAsia" w:ascii="宋体" w:hAnsi="宋体" w:eastAsia="宋体" w:cs="宋体"/>
          <w:color w:val="auto"/>
          <w:highlight w:val="none"/>
        </w:rPr>
        <w:t>发包人：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20349497">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0542D5CA">
      <w:pPr>
        <w:pageBreakBefore w:val="0"/>
        <w:kinsoku/>
        <w:overflowPunct/>
        <w:topLinePunct w:val="0"/>
        <w:autoSpaceDE/>
        <w:autoSpaceDN/>
        <w:bidi w:val="0"/>
        <w:spacing w:line="360" w:lineRule="auto"/>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经办人（签字或盖章）：                               经办人（签字或盖章）：</w:t>
      </w:r>
    </w:p>
    <w:p w14:paraId="5C44D738">
      <w:pPr>
        <w:pageBreakBefore w:val="0"/>
        <w:kinsoku/>
        <w:overflowPunct/>
        <w:topLinePunct w:val="0"/>
        <w:autoSpaceDE/>
        <w:autoSpaceDN/>
        <w:bidi w:val="0"/>
        <w:spacing w:line="360" w:lineRule="auto"/>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年  月  日</w:t>
      </w:r>
      <w:r>
        <w:rPr>
          <w:rFonts w:hint="eastAsia" w:ascii="宋体" w:hAnsi="宋体" w:eastAsia="宋体" w:cs="宋体"/>
          <w:color w:val="auto"/>
          <w:highlight w:val="none"/>
        </w:rPr>
        <w:tab/>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8F65DA">
      <w:pPr>
        <w:rPr>
          <w:rFonts w:hint="eastAsia" w:ascii="宋体" w:hAnsi="宋体" w:eastAsia="宋体" w:cs="宋体"/>
          <w:color w:val="auto"/>
          <w:highlight w:val="none"/>
        </w:rPr>
      </w:pPr>
    </w:p>
    <w:p w14:paraId="5C7DAD28">
      <w:pPr>
        <w:pStyle w:val="4"/>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第一节  通用合同条款</w:t>
      </w:r>
      <w:bookmarkEnd w:id="103"/>
      <w:bookmarkEnd w:id="104"/>
      <w:bookmarkEnd w:id="105"/>
      <w:bookmarkEnd w:id="106"/>
      <w:bookmarkEnd w:id="107"/>
      <w:bookmarkEnd w:id="108"/>
      <w:bookmarkEnd w:id="109"/>
    </w:p>
    <w:p w14:paraId="1014B2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10" w:name="_Toc122424184"/>
      <w:bookmarkStart w:id="111" w:name="_Toc27832"/>
      <w:bookmarkStart w:id="112" w:name="_Toc122424433"/>
      <w:r>
        <w:rPr>
          <w:rFonts w:hint="eastAsia" w:ascii="宋体" w:hAnsi="宋体" w:eastAsia="宋体" w:cs="宋体"/>
          <w:color w:val="auto"/>
          <w:highlight w:val="none"/>
        </w:rPr>
        <w:t>1. 一般约定</w:t>
      </w:r>
      <w:bookmarkEnd w:id="110"/>
      <w:bookmarkEnd w:id="111"/>
      <w:bookmarkEnd w:id="112"/>
    </w:p>
    <w:p w14:paraId="6F1A430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3" w:name="_Toc20252"/>
      <w:r>
        <w:rPr>
          <w:rFonts w:hint="eastAsia" w:ascii="宋体" w:hAnsi="宋体" w:eastAsia="宋体" w:cs="宋体"/>
          <w:color w:val="auto"/>
          <w:highlight w:val="none"/>
        </w:rPr>
        <w:t>1.1 词语定义</w:t>
      </w:r>
      <w:bookmarkEnd w:id="113"/>
    </w:p>
    <w:p w14:paraId="4A9475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通用合同条款、专用合同条款中的下列词语应具有本款所赋予的含义。</w:t>
      </w:r>
    </w:p>
    <w:p w14:paraId="1B9B6F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合同</w:t>
      </w:r>
    </w:p>
    <w:p w14:paraId="3E55CE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合同文件（或称合同）：指合同协议书、中标通知书、投标函及投标函附录、专用合同条款、通用合同条款、技术标准和要求、图纸、已标价工程量清单，以及其他合同文件。</w:t>
      </w:r>
    </w:p>
    <w:p w14:paraId="1090719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合同协议书：指第1.5款所指的合同协议书。</w:t>
      </w:r>
    </w:p>
    <w:p w14:paraId="565E48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中标通知书：指发包人通知承包人中标的函件。</w:t>
      </w:r>
    </w:p>
    <w:p w14:paraId="3FC38F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1.1.1.4 投标函：指构成合同文件组成部分的由承包人填写并签署的投标函。</w:t>
      </w:r>
    </w:p>
    <w:p w14:paraId="7925A7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1.1.1.5 投标函附录：指附在投标函后构成合同文件的投标函附录。</w:t>
      </w:r>
    </w:p>
    <w:p w14:paraId="425823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1.1.1.6 技术标准和要求：指构成合同文件组成部分的名为技术标准和要求的文件，包括合同双方当事人约定对其所作的修改或补充。</w:t>
      </w:r>
    </w:p>
    <w:p w14:paraId="73ACA47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1.1.1.7图纸：指包含在合同中的工程图纸，以及由发包人按合同约定提供的任何补充和修改的图纸，包括配套的说明。</w:t>
      </w:r>
    </w:p>
    <w:p w14:paraId="6428722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1.1.1.8 已标价工程量清单：指构成合同文件组成部分的由承包人按照规定的格式和要求填写并标明价格的工程量清单。</w:t>
      </w:r>
    </w:p>
    <w:p w14:paraId="2666F6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1.1.1.9 其他合同文件：指经合同双方当事人确认构成合同文件的其他文件。</w:t>
      </w:r>
    </w:p>
    <w:p w14:paraId="2A4E1F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 合同当事人和人员</w:t>
      </w:r>
    </w:p>
    <w:p w14:paraId="7FE691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合同当事人:指发包人和（或）承包人。</w:t>
      </w:r>
    </w:p>
    <w:p w14:paraId="26B7AD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发包人：指专用合同条款中指明并与承包人在合同协议书中签字的当事人。</w:t>
      </w:r>
    </w:p>
    <w:p w14:paraId="7ED60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1.1.2.3 承包人：指与发包人签订合同协议书的当事人。</w:t>
      </w:r>
    </w:p>
    <w:p w14:paraId="5A82E0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1.1.2.4 承包人项目经理：指承包人派驻施工场地的全权负责人。</w:t>
      </w:r>
    </w:p>
    <w:p w14:paraId="20BFE0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1.1.2.5 分包人：指从承包人处分包合同中某一部分工程，并与其签订分包合同的分包人。</w:t>
      </w:r>
    </w:p>
    <w:p w14:paraId="2AB94D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1.1.2.6 监理人：指在专用合同条款中指明的，受发包人委托对合同履行实施管理的法人或其他组织。</w:t>
      </w:r>
    </w:p>
    <w:p w14:paraId="4F62A2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1.1.2.7 总监理工程师（总监）：指由监理人委派常驻施工场地对合同履行实施管理的全权负责人。</w:t>
      </w:r>
    </w:p>
    <w:p w14:paraId="6CEB7D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 工程和设备</w:t>
      </w:r>
    </w:p>
    <w:p w14:paraId="2DE779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 工程：指永久工程和（或）临时工程。</w:t>
      </w:r>
    </w:p>
    <w:p w14:paraId="3564AF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1.1.3.2 永久工程：指按合同约定建造并移交给发包人的工程，包括工程设备。</w:t>
      </w:r>
    </w:p>
    <w:p w14:paraId="64BD14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1.1.3.3 临时工程：指为完成合同约定的永久工程所修建的各类临时性工程，不包括施工设备。</w:t>
      </w:r>
    </w:p>
    <w:p w14:paraId="4863B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1.1.3.4 单位工程：指专用合同条款中指明特定范围的永久工程。</w:t>
      </w:r>
    </w:p>
    <w:p w14:paraId="113AE1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1.1.3.5 工程设备：指构成或计划构成永久工程一部分的机电设备、金属结构设备、仪器装置及其他类似的设备和装置。</w:t>
      </w:r>
    </w:p>
    <w:p w14:paraId="59697B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1.1.3.6 施工设备：指为完成合同约定的各项工作所需的设备、器具和其他物品，不包括临时工程和材料。</w:t>
      </w:r>
    </w:p>
    <w:p w14:paraId="3698DF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1.1.3.7 临时设施：指为完成合同约定的各项工作所服务的临时性生产和生活设施。</w:t>
      </w:r>
    </w:p>
    <w:p w14:paraId="0AF8D68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1.1.3.8 承包人设备：指承包人自带的施工设备。</w:t>
      </w:r>
    </w:p>
    <w:p w14:paraId="09EBE6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1.1.3.9 施工场地（或称工地、现场）：指用于合同工程施工的场所，以及在合同中指定作为施工场地组成部分的其他场所，包括永久占地和临时占地。</w:t>
      </w:r>
    </w:p>
    <w:p w14:paraId="209B30B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1.1.3.10 永久占地：指专用合同条款中指明为实施合同工程需永久占用的土地。</w:t>
      </w:r>
    </w:p>
    <w:p w14:paraId="6D1057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1.1.3.11 临时占地：指专用合同条款中指明为实施合同工程需临时占用的土地。</w:t>
      </w:r>
    </w:p>
    <w:p w14:paraId="5F4C61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 日期</w:t>
      </w:r>
    </w:p>
    <w:p w14:paraId="2D0989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1.1.4.1 开工通知：指监理人按第11.1款通知承包人开工的函件。</w:t>
      </w:r>
    </w:p>
    <w:p w14:paraId="22A18F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1.1.4.2 开工日期：指监理人按第11.1款发出的开工通知中写明的开工日期。</w:t>
      </w:r>
    </w:p>
    <w:p w14:paraId="514702B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1.1.4.3工期：指承包人在投标函中承诺的完成合同工程所需的期限，包括按第11.3款、第11.4款和第11.6款约定所作的变更。</w:t>
      </w:r>
    </w:p>
    <w:p w14:paraId="4368A85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1.1.4.4 竣工日期：指第1.1.4.3目约定工期届满时的日期。实际竣工日期以工程接收证书中写明的日期为准。</w:t>
      </w:r>
    </w:p>
    <w:p w14:paraId="32F5479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1.1.4.5 缺陷责任期：指履行第19.2款约定的缺陷责任的期限，具体期限由专用合同条款约定，包括根据第19.3款约定所作的延长。</w:t>
      </w:r>
    </w:p>
    <w:p w14:paraId="6621CD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1.1.4.6 基准日期：指投标截止时间前28天的日期。</w:t>
      </w:r>
    </w:p>
    <w:p w14:paraId="64E5E1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1.1.4.7 天：除特别指明外，指日历天。合同中按天计算时间的，开始当天不计入，从次日开始计算。期限最后一天的截止时间为当天24:00。</w:t>
      </w:r>
    </w:p>
    <w:p w14:paraId="37A66B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 合同价格和费用</w:t>
      </w:r>
    </w:p>
    <w:p w14:paraId="693DA5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1.1.5.1 签约合同价：指签定合同时合同协议书中写明的，包括了暂列金额、暂估价的合同总金额。</w:t>
      </w:r>
    </w:p>
    <w:p w14:paraId="78465F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1.1.5.2 合同价格：指承包人按合同约定完成了包括缺陷责任期内的全部承包工作后，发包人应付给承包人的金额，包括在履行合同过程中按合同约定进行的变更和调整。</w:t>
      </w:r>
    </w:p>
    <w:p w14:paraId="0D82E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1.1.5.3 费用：指为履行合同所发生的或将要发生的所有合理开支，包括管理费和应分摊的其他费用，但不包括利润。</w:t>
      </w:r>
    </w:p>
    <w:p w14:paraId="23AC9F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1.1.5.4 暂列金额：指已标价工程量清单中所列的暂列金额，用于在签订协议书时尚未确定或不可预见变更的施工及其所需材料、工程设备、服务等的金额，包括以计日工方式支付的金额。</w:t>
      </w:r>
    </w:p>
    <w:p w14:paraId="2FC0CB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1.1.5.5暂估价：指发包人在工程量清单中给定的用于支付必然发生但暂时不能确定价格的材料、设备以及专业工程的金额。</w:t>
      </w:r>
    </w:p>
    <w:p w14:paraId="7FAF92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1.1.5.6 计日工：指对零星工作采取的一种计价方式，按合同中的计日工子目及其单价计价付款。</w:t>
      </w:r>
    </w:p>
    <w:p w14:paraId="624893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1.1.5.7 质量保证金（或称保留金）：指按第17.4.1项约定用于保证在缺陷责任期内履行缺陷修复义务的金额。</w:t>
      </w:r>
    </w:p>
    <w:p w14:paraId="514617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 其他</w:t>
      </w:r>
    </w:p>
    <w:p w14:paraId="17B5AC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1.1.6.1 书面形式：指合同文件、信函、电报、传真等可以有形地表现所载内容的形式。</w:t>
      </w:r>
    </w:p>
    <w:p w14:paraId="6ED416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4" w:name="_Toc15769"/>
      <w:r>
        <w:rPr>
          <w:rFonts w:hint="eastAsia" w:ascii="宋体" w:hAnsi="宋体" w:eastAsia="宋体" w:cs="宋体"/>
          <w:color w:val="auto"/>
          <w:highlight w:val="none"/>
        </w:rPr>
        <w:t>1.2 语言文字</w:t>
      </w:r>
      <w:bookmarkEnd w:id="114"/>
    </w:p>
    <w:p w14:paraId="5E120F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除专用术语外，合同使用的语言文字为中文。必要时专用术语应附有中文注释。</w:t>
      </w:r>
    </w:p>
    <w:p w14:paraId="367F6BA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5" w:name="_Toc11417"/>
      <w:r>
        <w:rPr>
          <w:rFonts w:hint="eastAsia" w:ascii="宋体" w:hAnsi="宋体" w:eastAsia="宋体" w:cs="宋体"/>
          <w:color w:val="auto"/>
          <w:highlight w:val="none"/>
        </w:rPr>
        <w:t>1.3 法律</w:t>
      </w:r>
      <w:bookmarkEnd w:id="115"/>
    </w:p>
    <w:p w14:paraId="6E94DE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适用于合同的法律包括中华人民共和国法律、行政法规、部门规章，以及工程所在地的地方法规、自治条例、单行条例和地方政府规章。</w:t>
      </w:r>
    </w:p>
    <w:p w14:paraId="2714FBD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6" w:name="_Toc32224"/>
      <w:r>
        <w:rPr>
          <w:rFonts w:hint="eastAsia" w:ascii="宋体" w:hAnsi="宋体" w:eastAsia="宋体" w:cs="宋体"/>
          <w:color w:val="auto"/>
          <w:highlight w:val="none"/>
        </w:rPr>
        <w:t>1.4 合同文件的优先顺序</w:t>
      </w:r>
      <w:bookmarkEnd w:id="116"/>
    </w:p>
    <w:p w14:paraId="31C65D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组成合同的各项文件应互相解释，互为说明。除专用合同条款另有约定外，解释合同文件的优先顺序如下：</w:t>
      </w:r>
    </w:p>
    <w:p w14:paraId="07A0B63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w:t>
      </w:r>
    </w:p>
    <w:p w14:paraId="770FB3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（2）中标通知书；</w:t>
      </w:r>
    </w:p>
    <w:p w14:paraId="6A13619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（3）投标函及投标函附录；</w:t>
      </w:r>
    </w:p>
    <w:p w14:paraId="05E858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（4）专用合同条款；</w:t>
      </w:r>
    </w:p>
    <w:p w14:paraId="2FD31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（5）通用合同条款；</w:t>
      </w:r>
    </w:p>
    <w:p w14:paraId="38CADE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（6）技术标准和要求；</w:t>
      </w:r>
    </w:p>
    <w:p w14:paraId="3C88F3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（7）图纸；</w:t>
      </w:r>
    </w:p>
    <w:p w14:paraId="17A7BB6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（8）已标价工程量清单；</w:t>
      </w:r>
    </w:p>
    <w:p w14:paraId="566D81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（9）其他合同文件。</w:t>
      </w:r>
    </w:p>
    <w:p w14:paraId="0F5853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7" w:name="_Toc1568"/>
      <w:r>
        <w:rPr>
          <w:rFonts w:hint="eastAsia" w:ascii="宋体" w:hAnsi="宋体" w:eastAsia="宋体" w:cs="宋体"/>
          <w:color w:val="auto"/>
          <w:highlight w:val="none"/>
        </w:rPr>
        <w:t>1.5 合同协议书</w:t>
      </w:r>
      <w:bookmarkEnd w:id="117"/>
    </w:p>
    <w:p w14:paraId="7C0E63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7FE3387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8" w:name="_Toc13393"/>
      <w:r>
        <w:rPr>
          <w:rFonts w:hint="eastAsia" w:ascii="宋体" w:hAnsi="宋体" w:eastAsia="宋体" w:cs="宋体"/>
          <w:color w:val="auto"/>
          <w:highlight w:val="none"/>
        </w:rPr>
        <w:t>1.6 图纸和承包人文件</w:t>
      </w:r>
      <w:bookmarkEnd w:id="118"/>
    </w:p>
    <w:p w14:paraId="1002F6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1.6.1图纸的提供</w:t>
      </w:r>
    </w:p>
    <w:p w14:paraId="4DDB32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除专用合同条款另有约定外，图纸应在合理的期限内按照合同约定的数量提供给承包人。由于发包人未按时提供图纸造成工期延误的，按第11.3款的约定办理。</w:t>
      </w:r>
    </w:p>
    <w:p w14:paraId="4611A2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1.6.2 承包人提供的文件</w:t>
      </w:r>
    </w:p>
    <w:p w14:paraId="422A19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按专用合同条款约定由承包人提供的文件，包括部分工程的大样图、加工图等，承包人应按约定的数量和期限报送监理人。监理人应在专用合同条款约定的期限内批复。</w:t>
      </w:r>
    </w:p>
    <w:p w14:paraId="29DFAD3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1.6.3 图纸的修改</w:t>
      </w:r>
    </w:p>
    <w:p w14:paraId="0A7E5A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图纸需要修改和补充的，应由监理人取得发包人同意后，在该工程或工程相应部位施工前的合理期限内签发图纸修改图给承包人，具体签发期限在专用合同条款中约定。承包人应按修改后的图纸施工。 </w:t>
      </w:r>
    </w:p>
    <w:p w14:paraId="375688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1.6.4 图纸的错误</w:t>
      </w:r>
    </w:p>
    <w:p w14:paraId="0BB6ED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承包人发现发包人提供的图纸存在明显错误或疏忽，应及时通知监理人。</w:t>
      </w:r>
    </w:p>
    <w:p w14:paraId="04A06C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1.6.5 图纸和承包人文件的保管</w:t>
      </w:r>
    </w:p>
    <w:p w14:paraId="6F7AF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监理人和承包人均应在施工场地各保存一套完整的包含第1.6.1项、第1.6.2项、第1.6.3项约定内容的图纸和承包人文件。</w:t>
      </w:r>
    </w:p>
    <w:p w14:paraId="40D3DDC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19" w:name="_Toc25436"/>
      <w:r>
        <w:rPr>
          <w:rFonts w:hint="eastAsia" w:ascii="宋体" w:hAnsi="宋体" w:eastAsia="宋体" w:cs="宋体"/>
          <w:color w:val="auto"/>
          <w:highlight w:val="none"/>
        </w:rPr>
        <w:t>1.7 联络</w:t>
      </w:r>
      <w:bookmarkEnd w:id="119"/>
    </w:p>
    <w:p w14:paraId="5D0445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 与合同有关的通知、批准、证明、证书、指示、要求、请求、同意、意见、确定和决定等，均应采用书面形式。</w:t>
      </w:r>
    </w:p>
    <w:p w14:paraId="401837E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 第1.7.1项中的通知、批准、证明、证书、指示、要求、请求、同意、意见、确定和决定等来往函件，均应在合同约定的期限内送达指定地点和接收人，并办理签收手续。</w:t>
      </w:r>
    </w:p>
    <w:p w14:paraId="43E0023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0" w:name="_Toc15893"/>
      <w:r>
        <w:rPr>
          <w:rFonts w:hint="eastAsia" w:ascii="宋体" w:hAnsi="宋体" w:eastAsia="宋体" w:cs="宋体"/>
          <w:color w:val="auto"/>
          <w:highlight w:val="none"/>
        </w:rPr>
        <w:t>1.8 转让</w:t>
      </w:r>
      <w:bookmarkEnd w:id="120"/>
    </w:p>
    <w:p w14:paraId="162A0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除合同另有约定外，未经对方当事人同意，一方当事人不得将合同权利全部或部分转让给第三人，也不得全部或部分转移合同义务。</w:t>
      </w:r>
    </w:p>
    <w:p w14:paraId="37CC35E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1" w:name="_Toc30802"/>
      <w:r>
        <w:rPr>
          <w:rFonts w:hint="eastAsia" w:ascii="宋体" w:hAnsi="宋体" w:eastAsia="宋体" w:cs="宋体"/>
          <w:color w:val="auto"/>
          <w:highlight w:val="none"/>
        </w:rPr>
        <w:t>1.9 严禁贿赂</w:t>
      </w:r>
      <w:bookmarkEnd w:id="121"/>
    </w:p>
    <w:p w14:paraId="7B351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合同双方当事人不得以贿赂或变相贿赂的方式，谋取不当利益或损害对方权益。因贿赂造成对方损失的，行为人应赔偿损失，并承担相应的法律责任。</w:t>
      </w:r>
    </w:p>
    <w:p w14:paraId="1EECDF8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2" w:name="_Toc9359"/>
      <w:r>
        <w:rPr>
          <w:rFonts w:hint="eastAsia" w:ascii="宋体" w:hAnsi="宋体" w:eastAsia="宋体" w:cs="宋体"/>
          <w:color w:val="auto"/>
          <w:highlight w:val="none"/>
        </w:rPr>
        <w:t>1.10 化石、文物</w:t>
      </w:r>
      <w:bookmarkEnd w:id="122"/>
    </w:p>
    <w:p w14:paraId="00215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3E12CD2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1.10.2 承包人发现文物后不及时报告或隐瞒不报，致使文物丢失或损坏的，应赔偿损失，并承担相应的法律责任。</w:t>
      </w:r>
    </w:p>
    <w:p w14:paraId="06B34F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 专利技术</w:t>
      </w:r>
    </w:p>
    <w:p w14:paraId="0AC527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451E7E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承包人在投标文件中采用专利技术的，专利技术的使用费包含在投标报价内。</w:t>
      </w:r>
    </w:p>
    <w:p w14:paraId="25B656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1.11.3 承包人的技术秘密和声明需要保密的资料和信息，发包人和监理人不得为合同以外的目的泄露给他人。</w:t>
      </w:r>
    </w:p>
    <w:p w14:paraId="6FBDC4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3" w:name="_Toc8296"/>
      <w:r>
        <w:rPr>
          <w:rFonts w:hint="eastAsia" w:ascii="宋体" w:hAnsi="宋体" w:eastAsia="宋体" w:cs="宋体"/>
          <w:color w:val="auto"/>
          <w:highlight w:val="none"/>
        </w:rPr>
        <w:t>1.12 图纸和文件的保密</w:t>
      </w:r>
      <w:bookmarkEnd w:id="123"/>
    </w:p>
    <w:p w14:paraId="61F1F9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1.12.1 发包人提供的图纸和文件，未经发包人同意，承包人不得为合同以外的目的泄露给他人或公开发表与引用。</w:t>
      </w:r>
    </w:p>
    <w:p w14:paraId="0AA696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1.12.2 承包人提供的文件，未经承包人同意，发包人和监理人不得为合同以外的目的泄露给他人或公开发表与引用。</w:t>
      </w:r>
    </w:p>
    <w:p w14:paraId="11B60628">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24" w:name="_Toc14047"/>
      <w:bookmarkStart w:id="125" w:name="_Toc122424185"/>
      <w:bookmarkStart w:id="126" w:name="_Toc122424434"/>
      <w:r>
        <w:rPr>
          <w:rFonts w:hint="eastAsia" w:ascii="宋体" w:hAnsi="宋体" w:eastAsia="宋体" w:cs="宋体"/>
          <w:color w:val="auto"/>
          <w:highlight w:val="none"/>
        </w:rPr>
        <w:t>2. 发包人义务</w:t>
      </w:r>
      <w:bookmarkEnd w:id="124"/>
      <w:bookmarkEnd w:id="125"/>
      <w:bookmarkEnd w:id="126"/>
    </w:p>
    <w:p w14:paraId="1DD2F6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7" w:name="_Toc29283"/>
      <w:r>
        <w:rPr>
          <w:rFonts w:hint="eastAsia" w:ascii="宋体" w:hAnsi="宋体" w:eastAsia="宋体" w:cs="宋体"/>
          <w:color w:val="auto"/>
          <w:highlight w:val="none"/>
        </w:rPr>
        <w:t>2.1 遵守法律</w:t>
      </w:r>
      <w:bookmarkEnd w:id="127"/>
    </w:p>
    <w:p w14:paraId="6AE9F4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发包人在履行合同过程中应遵守法律，并保证承包人免于承担因发包人违反法律而引起的任何责任。</w:t>
      </w:r>
    </w:p>
    <w:p w14:paraId="448B3D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8" w:name="_Toc11340"/>
      <w:r>
        <w:rPr>
          <w:rFonts w:hint="eastAsia" w:ascii="宋体" w:hAnsi="宋体" w:eastAsia="宋体" w:cs="宋体"/>
          <w:color w:val="auto"/>
          <w:highlight w:val="none"/>
        </w:rPr>
        <w:t>2.2 发出开工通知</w:t>
      </w:r>
      <w:bookmarkEnd w:id="128"/>
    </w:p>
    <w:p w14:paraId="3EAF46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发包人应委托监理人按第11.1款的约定向承包人发出开工通知。</w:t>
      </w:r>
    </w:p>
    <w:p w14:paraId="0B8C9E6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29" w:name="_Toc15775"/>
      <w:r>
        <w:rPr>
          <w:rFonts w:hint="eastAsia" w:ascii="宋体" w:hAnsi="宋体" w:eastAsia="宋体" w:cs="宋体"/>
          <w:color w:val="auto"/>
          <w:highlight w:val="none"/>
        </w:rPr>
        <w:t>2.3 提供施工场地</w:t>
      </w:r>
      <w:bookmarkEnd w:id="129"/>
    </w:p>
    <w:p w14:paraId="1718A3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发包人应按专用合同条款约定向承包人提供施工场地，以及施工场地内地下管线和地下设施等有关资料，并保证资料的真实、准确、完整。</w:t>
      </w:r>
    </w:p>
    <w:p w14:paraId="7D6073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0" w:name="_Toc32559"/>
      <w:r>
        <w:rPr>
          <w:rFonts w:hint="eastAsia" w:ascii="宋体" w:hAnsi="宋体" w:eastAsia="宋体" w:cs="宋体"/>
          <w:color w:val="auto"/>
          <w:highlight w:val="none"/>
        </w:rPr>
        <w:t>2.4 协助承包人办理证件和批件</w:t>
      </w:r>
      <w:bookmarkEnd w:id="130"/>
    </w:p>
    <w:p w14:paraId="164B43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发包人应协助承包人办理法律规定的有关施工证件和批件。</w:t>
      </w:r>
    </w:p>
    <w:p w14:paraId="408AE14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1" w:name="_Toc467"/>
      <w:r>
        <w:rPr>
          <w:rFonts w:hint="eastAsia" w:ascii="宋体" w:hAnsi="宋体" w:eastAsia="宋体" w:cs="宋体"/>
          <w:color w:val="auto"/>
          <w:highlight w:val="none"/>
        </w:rPr>
        <w:t>2.5 组织设计交底</w:t>
      </w:r>
      <w:bookmarkEnd w:id="131"/>
    </w:p>
    <w:p w14:paraId="60C768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发包人应根据合同进度计划，组织设计单位向承包人进行设计交底。</w:t>
      </w:r>
    </w:p>
    <w:p w14:paraId="12A2AC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2" w:name="_Toc27676"/>
      <w:r>
        <w:rPr>
          <w:rFonts w:hint="eastAsia" w:ascii="宋体" w:hAnsi="宋体" w:eastAsia="宋体" w:cs="宋体"/>
          <w:color w:val="auto"/>
          <w:highlight w:val="none"/>
        </w:rPr>
        <w:t>2.6 支付合同价款</w:t>
      </w:r>
      <w:bookmarkEnd w:id="132"/>
    </w:p>
    <w:p w14:paraId="15062B8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发包人应按合同约定向承包人及时支付合同价款。</w:t>
      </w:r>
    </w:p>
    <w:p w14:paraId="5284F75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3" w:name="_Toc15895"/>
      <w:r>
        <w:rPr>
          <w:rFonts w:hint="eastAsia" w:ascii="宋体" w:hAnsi="宋体" w:eastAsia="宋体" w:cs="宋体"/>
          <w:color w:val="auto"/>
          <w:highlight w:val="none"/>
        </w:rPr>
        <w:t>2.7 组织竣工验收</w:t>
      </w:r>
      <w:bookmarkEnd w:id="133"/>
    </w:p>
    <w:p w14:paraId="107D9E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发包人应按合同约定及时组织竣工验收。</w:t>
      </w:r>
    </w:p>
    <w:p w14:paraId="2F5EEF7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4" w:name="_Toc8017"/>
      <w:r>
        <w:rPr>
          <w:rFonts w:hint="eastAsia" w:ascii="宋体" w:hAnsi="宋体" w:eastAsia="宋体" w:cs="宋体"/>
          <w:color w:val="auto"/>
          <w:highlight w:val="none"/>
        </w:rPr>
        <w:t>2.8 其他义务</w:t>
      </w:r>
      <w:bookmarkEnd w:id="134"/>
    </w:p>
    <w:p w14:paraId="24C21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发包人应履行合同约定的其他义务。</w:t>
      </w:r>
    </w:p>
    <w:p w14:paraId="114B962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35" w:name="_Toc122424186"/>
      <w:bookmarkStart w:id="136" w:name="_Toc6416"/>
      <w:bookmarkStart w:id="137" w:name="_Toc122424435"/>
      <w:r>
        <w:rPr>
          <w:rFonts w:hint="eastAsia" w:ascii="宋体" w:hAnsi="宋体" w:eastAsia="宋体" w:cs="宋体"/>
          <w:color w:val="auto"/>
          <w:highlight w:val="none"/>
        </w:rPr>
        <w:t>3. 监理人</w:t>
      </w:r>
      <w:bookmarkEnd w:id="135"/>
      <w:bookmarkEnd w:id="136"/>
      <w:bookmarkEnd w:id="137"/>
    </w:p>
    <w:p w14:paraId="0EB657A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8" w:name="_Toc10941"/>
      <w:r>
        <w:rPr>
          <w:rFonts w:hint="eastAsia" w:ascii="宋体" w:hAnsi="宋体" w:eastAsia="宋体" w:cs="宋体"/>
          <w:color w:val="auto"/>
          <w:highlight w:val="none"/>
        </w:rPr>
        <w:t>3.1 监理人的职责和权力</w:t>
      </w:r>
      <w:bookmarkEnd w:id="138"/>
    </w:p>
    <w:p w14:paraId="557CC1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3.1.1 监理人受发包人委托，享有合同约定的权力。监理人在行使某项权力前需要经发包人事先批准而通用合同条款没有指明的，应在专用合同条款中指明。</w:t>
      </w:r>
    </w:p>
    <w:p w14:paraId="794871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3.1.2 监理人发出的任何指示应视为已得到发包人的批准，但监理人无权免除或变更合同约定的发包人和承包人的权利、义务和责任。</w:t>
      </w:r>
    </w:p>
    <w:p w14:paraId="4B9290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3.1.3 合同约定应由承包人承担的义务和责任，不因监理人对承包人提交文件的审查或批准，对工程、材料和设备的检查和检验，以及为实施监理作出的指示等职务行为而减轻或解除。</w:t>
      </w:r>
    </w:p>
    <w:p w14:paraId="2020176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39" w:name="_Toc13155"/>
      <w:r>
        <w:rPr>
          <w:rFonts w:hint="eastAsia" w:ascii="宋体" w:hAnsi="宋体" w:eastAsia="宋体" w:cs="宋体"/>
          <w:color w:val="auto"/>
          <w:highlight w:val="none"/>
        </w:rPr>
        <w:t>3.2 总监理工程师</w:t>
      </w:r>
      <w:bookmarkEnd w:id="139"/>
    </w:p>
    <w:p w14:paraId="4347B2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06034A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3.3 监理人员</w:t>
      </w:r>
    </w:p>
    <w:p w14:paraId="02D374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287FA85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3DC53F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3.3.3 承包人对总监理工程师授权的监理人员发出的指示有疑问的，可向总监理工程师提出书面异议，总监理工程师应在48小时内对该指示予以确认、更改或撤销。</w:t>
      </w:r>
    </w:p>
    <w:p w14:paraId="48D5E5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3.3.4 除专用合同条款另有约定外，总监理工程师不应将第3.5款约定应由总监理工程师作出确定的权力授权或委托给其他监理人员。</w:t>
      </w:r>
    </w:p>
    <w:p w14:paraId="3B0AA55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0" w:name="_Toc16098"/>
      <w:r>
        <w:rPr>
          <w:rFonts w:hint="eastAsia" w:ascii="宋体" w:hAnsi="宋体" w:eastAsia="宋体" w:cs="宋体"/>
          <w:color w:val="auto"/>
          <w:highlight w:val="none"/>
        </w:rPr>
        <w:t>3.4 监理人的指示</w:t>
      </w:r>
      <w:bookmarkEnd w:id="140"/>
    </w:p>
    <w:p w14:paraId="623F36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3.4.1 监理人应按第3.1款的约定向承包人发出指示，监理人的指示应盖有监理人授权的施工场地机构章，并由总监理工程师或总监理工程师按第3.3.1项约定授权的监理人员签字。</w:t>
      </w:r>
    </w:p>
    <w:p w14:paraId="5DC20A8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3.4.2 承包人收到监理人按第3.4.1项作出的指示后应遵照执行。指示构成变更的，应按第15条处理。</w:t>
      </w:r>
    </w:p>
    <w:p w14:paraId="063BCEC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1595201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3.4.4 除合同另有约定外，承包人只从总监理工程师或按第3.3.1项被授权的监理人员处取得指示。</w:t>
      </w:r>
    </w:p>
    <w:p w14:paraId="2B3EA6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3.4.5 由于监理人未能按合同约定发出指示、指示延误或指示错误而导致承包人费用增加和（或）工期延误的，由发包人承担赔偿责任。 </w:t>
      </w:r>
    </w:p>
    <w:p w14:paraId="18F12F1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1" w:name="_Toc22256"/>
      <w:r>
        <w:rPr>
          <w:rFonts w:hint="eastAsia" w:ascii="宋体" w:hAnsi="宋体" w:eastAsia="宋体" w:cs="宋体"/>
          <w:color w:val="auto"/>
          <w:highlight w:val="none"/>
        </w:rPr>
        <w:t>3.5 商定或确定</w:t>
      </w:r>
      <w:bookmarkEnd w:id="141"/>
    </w:p>
    <w:p w14:paraId="0633685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3.5.1合同约定总监理工程师应按照本款对任何事项进行商定或确定时，总监理工程师应与合同当事人协商，尽量达成一致。不能达成一致的，总监理工程师应认真研究后审慎确定。</w:t>
      </w:r>
    </w:p>
    <w:p w14:paraId="0BA524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6894A4E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42" w:name="_Toc122424436"/>
      <w:bookmarkStart w:id="143" w:name="_Toc2069"/>
      <w:bookmarkStart w:id="144" w:name="_Toc122424187"/>
      <w:r>
        <w:rPr>
          <w:rFonts w:hint="eastAsia" w:ascii="宋体" w:hAnsi="宋体" w:eastAsia="宋体" w:cs="宋体"/>
          <w:color w:val="auto"/>
          <w:highlight w:val="none"/>
        </w:rPr>
        <w:t>4. 承包人</w:t>
      </w:r>
      <w:bookmarkEnd w:id="142"/>
      <w:bookmarkEnd w:id="143"/>
      <w:bookmarkEnd w:id="144"/>
    </w:p>
    <w:p w14:paraId="5729F53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5" w:name="_Toc20588"/>
      <w:r>
        <w:rPr>
          <w:rFonts w:hint="eastAsia" w:ascii="宋体" w:hAnsi="宋体" w:eastAsia="宋体" w:cs="宋体"/>
          <w:color w:val="auto"/>
          <w:highlight w:val="none"/>
        </w:rPr>
        <w:t>4.1 承包人的一般义务</w:t>
      </w:r>
      <w:bookmarkEnd w:id="145"/>
    </w:p>
    <w:p w14:paraId="3CB960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 遵守法律</w:t>
      </w:r>
    </w:p>
    <w:p w14:paraId="017A8B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承包人在履行合同过程中应遵守法律，并保证发包人免于承担因承包人违反法律而引起的任何责任。</w:t>
      </w:r>
    </w:p>
    <w:p w14:paraId="05B819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4.1.2 依法纳税</w:t>
      </w:r>
    </w:p>
    <w:p w14:paraId="4963EB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承包人应按有关法律规定纳税，应缴纳的税金包括在合同价格内。</w:t>
      </w:r>
    </w:p>
    <w:p w14:paraId="7293A1F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4.1.3 完成各项承包工作</w:t>
      </w:r>
    </w:p>
    <w:p w14:paraId="52255B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3F9575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4.1.4 对施工作业和施工方法的完备性负责</w:t>
      </w:r>
    </w:p>
    <w:p w14:paraId="5EE94F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承包人应按合同约定的工作内容和施工进度要求，编制施工组织设计和施工措施计划，并对所有施工作业和施工方法的完备性和安全可靠性负责。</w:t>
      </w:r>
    </w:p>
    <w:p w14:paraId="23AFF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4.1.5 保证工程施工和人员的安全</w:t>
      </w:r>
    </w:p>
    <w:p w14:paraId="39F810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承包人应按第9.2款约定采取施工安全措施，确保工程及其人员、材料、设备和设施的安全，防止因工程施工造成的人身伤害和财产损失。</w:t>
      </w:r>
    </w:p>
    <w:p w14:paraId="6B7E4E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4.1.6 负责施工场地及其周边环境与生态的保护工作</w:t>
      </w:r>
    </w:p>
    <w:p w14:paraId="49F0E0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承包人应按照第9.4款约定负责施工场地及其周边环境与生态的保护工作。</w:t>
      </w:r>
    </w:p>
    <w:p w14:paraId="48986E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4.1.7 避免施工对公众与他人的利益造成损害</w:t>
      </w:r>
    </w:p>
    <w:p w14:paraId="0B4698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1C271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4.1.8 为他人提供方便</w:t>
      </w:r>
    </w:p>
    <w:p w14:paraId="34DEA5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55D9C6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4.1.9 工程的维护和照管</w:t>
      </w:r>
    </w:p>
    <w:p w14:paraId="654D7B4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工程接收证书颁发前，承包人应负责照管和维护工程。工程接收证书颁发时尚有部分未竣工工程的，承包人还应负责该未竣工工程的照管和维护工作，直至竣工后移交给发包人为止。</w:t>
      </w:r>
    </w:p>
    <w:p w14:paraId="649433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4.1.10 其他义务</w:t>
      </w:r>
    </w:p>
    <w:p w14:paraId="10162D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承包人应履行合同约定的其他义务。</w:t>
      </w:r>
    </w:p>
    <w:p w14:paraId="046E452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6" w:name="_Toc19718"/>
      <w:r>
        <w:rPr>
          <w:rFonts w:hint="eastAsia" w:ascii="宋体" w:hAnsi="宋体" w:eastAsia="宋体" w:cs="宋体"/>
          <w:color w:val="auto"/>
          <w:highlight w:val="none"/>
        </w:rPr>
        <w:t>4.2 履约担保</w:t>
      </w:r>
      <w:bookmarkEnd w:id="146"/>
    </w:p>
    <w:p w14:paraId="641056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承包人应保证其履约担保在发包人颁发工程接收证书前一直有效。发包人应在工程接收证书颁发后28天内把履约担保退还给承包人。</w:t>
      </w:r>
    </w:p>
    <w:p w14:paraId="64034F0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7" w:name="_Toc23431"/>
      <w:r>
        <w:rPr>
          <w:rFonts w:hint="eastAsia" w:ascii="宋体" w:hAnsi="宋体" w:eastAsia="宋体" w:cs="宋体"/>
          <w:color w:val="auto"/>
          <w:highlight w:val="none"/>
        </w:rPr>
        <w:t>4.3 分包</w:t>
      </w:r>
      <w:bookmarkEnd w:id="147"/>
    </w:p>
    <w:p w14:paraId="7C62F3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4.3.1 承包人不得将其承包的全部工程转包给第三人，或将其承包的全部工程肢解后以分包的名义转包给第三人。</w:t>
      </w:r>
    </w:p>
    <w:p w14:paraId="413A172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 承包人不得将工程主体、关键性工作分包给第三人。除专用合同条款另有约定外，未经发包人同意，承包人不得将工程的其他部分或工作分包给第三人。</w:t>
      </w:r>
    </w:p>
    <w:p w14:paraId="2D50DD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4.3.3 分包人的资格能力应与其分包工程的标准和规模相适应。</w:t>
      </w:r>
    </w:p>
    <w:p w14:paraId="351AAA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4.3.4 按投标函附录约定分包工程的，承包人应向发包人和监理人提交分包合同副本。</w:t>
      </w:r>
    </w:p>
    <w:p w14:paraId="0499B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4.3.5 承包人应与分包人就分包工程向发包人承担连带责任。</w:t>
      </w:r>
    </w:p>
    <w:p w14:paraId="1E02B9F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8" w:name="_Toc21376"/>
      <w:r>
        <w:rPr>
          <w:rFonts w:hint="eastAsia" w:ascii="宋体" w:hAnsi="宋体" w:eastAsia="宋体" w:cs="宋体"/>
          <w:color w:val="auto"/>
          <w:highlight w:val="none"/>
        </w:rPr>
        <w:t>4.4 联合体</w:t>
      </w:r>
      <w:bookmarkEnd w:id="148"/>
    </w:p>
    <w:p w14:paraId="20EDB6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4.4.1 联合体各方应共同与发包人签订合同协议书。联合体各方应为履行合同承担连带责任。</w:t>
      </w:r>
    </w:p>
    <w:p w14:paraId="6F19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4.4.2 联合体协议经发包人确认后作为合同附件。在履行合同过程中，未经发包人同意，不得修改联合体协议。</w:t>
      </w:r>
    </w:p>
    <w:p w14:paraId="4E2EF3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4.4.3 联合体牵头人负责与发包人和监理人联系，并接受指示，负责组织联合体各成员全面履行合同。</w:t>
      </w:r>
    </w:p>
    <w:p w14:paraId="432F5BE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4.5 承包人项目经理</w:t>
      </w:r>
    </w:p>
    <w:p w14:paraId="165587B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DC661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3BE03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4.5.3承包人为履行合同发出的一切函件均应盖有承包人授权的施工场地管理机构章，并由承包人项目经理或其授权代表签字。</w:t>
      </w:r>
    </w:p>
    <w:p w14:paraId="17D057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4.5.4 承包人项目经理可以授权其下属人员履行其某项职责，但事先应将这些人员的姓名和授权范围通知监理人。</w:t>
      </w:r>
    </w:p>
    <w:p w14:paraId="56622A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49" w:name="_Toc538"/>
      <w:r>
        <w:rPr>
          <w:rFonts w:hint="eastAsia" w:ascii="宋体" w:hAnsi="宋体" w:eastAsia="宋体" w:cs="宋体"/>
          <w:color w:val="auto"/>
          <w:highlight w:val="none"/>
        </w:rPr>
        <w:t>4.6 承包人人员的管理</w:t>
      </w:r>
      <w:bookmarkEnd w:id="149"/>
    </w:p>
    <w:p w14:paraId="2DD9D6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374207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4.6.2 为完成合同约定的各项工作，承包人应向施工场地派遣或雇佣足够数量的下列人员：</w:t>
      </w:r>
    </w:p>
    <w:p w14:paraId="1ED493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（1）具有相应资格的专业技工和合格的普工；</w:t>
      </w:r>
    </w:p>
    <w:p w14:paraId="471EBC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（2）具有相应施工经验的技术人员；</w:t>
      </w:r>
    </w:p>
    <w:p w14:paraId="603ED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（3）具有相应岗位资格的各级管理人员。</w:t>
      </w:r>
    </w:p>
    <w:p w14:paraId="3034DA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4.6.3 承包人安排在施工场地的主要管理人员和技术骨干应相对稳定。承包人更换主要管理人员和技术骨干时，应取得监理人的同意。</w:t>
      </w:r>
    </w:p>
    <w:p w14:paraId="2160AD9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4.6.4 特殊岗位的工作人员均应持有相应的资格证明，监理人有权随时检查。监理人认为有必要时，可进行现场考核。</w:t>
      </w:r>
    </w:p>
    <w:p w14:paraId="23D7AA9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0" w:name="_Toc31168"/>
      <w:r>
        <w:rPr>
          <w:rFonts w:hint="eastAsia" w:ascii="宋体" w:hAnsi="宋体" w:eastAsia="宋体" w:cs="宋体"/>
          <w:color w:val="auto"/>
          <w:highlight w:val="none"/>
        </w:rPr>
        <w:t>4.7 撤换承包人项目经理和其他人员</w:t>
      </w:r>
      <w:bookmarkEnd w:id="150"/>
    </w:p>
    <w:p w14:paraId="035EE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承包人应对其项目经理和其他人员进行有效管理。监理人要求撤换不能胜任本职工作、行为不端或玩忽职守的承包人项目经理和其他人员的，承包人应予以撤换。</w:t>
      </w:r>
    </w:p>
    <w:p w14:paraId="6D4BE50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1" w:name="_Toc6851"/>
      <w:r>
        <w:rPr>
          <w:rFonts w:hint="eastAsia" w:ascii="宋体" w:hAnsi="宋体" w:eastAsia="宋体" w:cs="宋体"/>
          <w:color w:val="auto"/>
          <w:highlight w:val="none"/>
        </w:rPr>
        <w:t>4.8 保障承包人人员的合法权益</w:t>
      </w:r>
      <w:bookmarkEnd w:id="151"/>
    </w:p>
    <w:p w14:paraId="73F99CD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4.8.1 承包人应与其雇佣的人员签订劳动合同，并按时发放工资。</w:t>
      </w:r>
    </w:p>
    <w:p w14:paraId="2D30E32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772E16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4.8.3 承包人应为其雇佣人员提供必要的食宿条件，以及符合环境保护和卫生要求的生活环境，在远离城镇的施工场地，还应配备必要的伤病防治和急救的医务人员与医疗设施。</w:t>
      </w:r>
    </w:p>
    <w:p w14:paraId="710806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4462A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4.8.5 承包人应按有关法律规定和合同约定，为其雇佣人员办理保险。</w:t>
      </w:r>
    </w:p>
    <w:p w14:paraId="232C0A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4.8.6 承包人应负责处理其雇佣人员因工伤亡事故的善后事宜。</w:t>
      </w:r>
    </w:p>
    <w:p w14:paraId="679945E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2" w:name="_Toc25993"/>
      <w:r>
        <w:rPr>
          <w:rFonts w:hint="eastAsia" w:ascii="宋体" w:hAnsi="宋体" w:eastAsia="宋体" w:cs="宋体"/>
          <w:color w:val="auto"/>
          <w:highlight w:val="none"/>
        </w:rPr>
        <w:t>4.9 工程价款应专款专用</w:t>
      </w:r>
      <w:bookmarkEnd w:id="152"/>
    </w:p>
    <w:p w14:paraId="127951D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w:t>
      </w:r>
    </w:p>
    <w:p w14:paraId="76CE471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3" w:name="_Toc27321"/>
      <w:r>
        <w:rPr>
          <w:rFonts w:hint="eastAsia" w:ascii="宋体" w:hAnsi="宋体" w:eastAsia="宋体" w:cs="宋体"/>
          <w:color w:val="auto"/>
          <w:highlight w:val="none"/>
        </w:rPr>
        <w:t>4.10 承包人现场查勘</w:t>
      </w:r>
      <w:bookmarkEnd w:id="153"/>
    </w:p>
    <w:p w14:paraId="2C38BB4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4.10.1 发包人应将其持有的现场地质勘探资料、水文气象资料提供给承包人，并对其准确性负责。但承包人应对其阅读上述有关资料后所作出的解释和推断负责。</w:t>
      </w:r>
    </w:p>
    <w:p w14:paraId="34FDA6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04EFAB9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4" w:name="_Toc7633"/>
      <w:r>
        <w:rPr>
          <w:rFonts w:hint="eastAsia" w:ascii="宋体" w:hAnsi="宋体" w:eastAsia="宋体" w:cs="宋体"/>
          <w:color w:val="auto"/>
          <w:highlight w:val="none"/>
        </w:rPr>
        <w:t>4.11 不利物质条件</w:t>
      </w:r>
      <w:bookmarkEnd w:id="154"/>
    </w:p>
    <w:p w14:paraId="622708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4.11.1 不利物质条件，除专用合同条款另有约定外，是指承包人在施工场地遇到的不可预见的自然物质条件、非自然的物质障碍和污染物，包括地下和水文条件，但不包括气候条件。</w:t>
      </w:r>
    </w:p>
    <w:p w14:paraId="520E78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5679EAA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55" w:name="_Toc122424188"/>
      <w:bookmarkStart w:id="156" w:name="_Toc122424437"/>
      <w:r>
        <w:rPr>
          <w:rFonts w:hint="eastAsia" w:ascii="宋体" w:hAnsi="宋体" w:eastAsia="宋体" w:cs="宋体"/>
          <w:color w:val="auto"/>
          <w:highlight w:val="none"/>
        </w:rPr>
        <w:t>5. 材料和工程设备</w:t>
      </w:r>
      <w:bookmarkEnd w:id="155"/>
      <w:bookmarkEnd w:id="156"/>
    </w:p>
    <w:p w14:paraId="2A11A0C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7" w:name="_Toc17580"/>
      <w:r>
        <w:rPr>
          <w:rFonts w:hint="eastAsia" w:ascii="宋体" w:hAnsi="宋体" w:eastAsia="宋体" w:cs="宋体"/>
          <w:color w:val="auto"/>
          <w:highlight w:val="none"/>
        </w:rPr>
        <w:t>5.1 承包人提供的材料和工程设备</w:t>
      </w:r>
      <w:bookmarkEnd w:id="157"/>
    </w:p>
    <w:p w14:paraId="789F7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5.1.1 除专用合同条款另有约定外，承包人提供的材料和工程设备均由承包人负责采购、运输和保管。承包人应对其采购的材料和工程设备负责。</w:t>
      </w:r>
    </w:p>
    <w:p w14:paraId="4454D2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4535C9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67D667C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8" w:name="_Toc26086"/>
      <w:r>
        <w:rPr>
          <w:rFonts w:hint="eastAsia" w:ascii="宋体" w:hAnsi="宋体" w:eastAsia="宋体" w:cs="宋体"/>
          <w:color w:val="auto"/>
          <w:highlight w:val="none"/>
        </w:rPr>
        <w:t>5.2 发包人提供的材料和工程设备</w:t>
      </w:r>
      <w:bookmarkEnd w:id="158"/>
    </w:p>
    <w:p w14:paraId="13E72B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5.2.1 发包人提供的材料和工程设备，应在专用合同条款中写明材料和工程设备的名称、规格、数量、价格、交货方式、交货地点和计划交货日期等。</w:t>
      </w:r>
    </w:p>
    <w:p w14:paraId="155F991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5.2.2 承包人应根据合同进度计划的安排，向监理人报送要求发包人交货的日期计划。发包人应按照监理人与合同双方当事人商定的交货日期，向承包人提交材料和工程设备。</w:t>
      </w:r>
    </w:p>
    <w:p w14:paraId="05AC6F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3F7669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5.2.4 发包人要求向承包人提前交货的，承包人不得拒绝，但发包人应承担承包人由此增加的费用。 </w:t>
      </w:r>
    </w:p>
    <w:p w14:paraId="6F9C00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5.2.5 承包人要求更改交货日期或地点的，应事先报请监理人批准。由于承包人要求更改交货时间或地点所增加的费用和（或）工期延误由承包人承担。 </w:t>
      </w:r>
    </w:p>
    <w:p w14:paraId="2A5A041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769F7DD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59" w:name="_Toc25028"/>
      <w:r>
        <w:rPr>
          <w:rFonts w:hint="eastAsia" w:ascii="宋体" w:hAnsi="宋体" w:eastAsia="宋体" w:cs="宋体"/>
          <w:color w:val="auto"/>
          <w:highlight w:val="none"/>
        </w:rPr>
        <w:t>5.3 材料和工程设备专用于合同工程</w:t>
      </w:r>
      <w:bookmarkEnd w:id="159"/>
    </w:p>
    <w:p w14:paraId="05D38E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5.3.1运入施工场地的材料、工程设备，包括备品备件、安装专用工器具与随机资料，必须专用于合同工程，未经监理人同意，承包人不得运出施工场地或挪作他用。</w:t>
      </w:r>
    </w:p>
    <w:p w14:paraId="514328B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7625D60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0" w:name="_Toc14583"/>
      <w:r>
        <w:rPr>
          <w:rFonts w:hint="eastAsia" w:ascii="宋体" w:hAnsi="宋体" w:eastAsia="宋体" w:cs="宋体"/>
          <w:color w:val="auto"/>
          <w:highlight w:val="none"/>
        </w:rPr>
        <w:t>5.4 禁止使用不合格的材料和工程设备</w:t>
      </w:r>
      <w:bookmarkEnd w:id="160"/>
    </w:p>
    <w:p w14:paraId="251AFFE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5.4.1 监理人有权拒绝承包人提供的不合格材料或工程设备，并要求承包人立即进行更换。监理人应在更换后再次进行检查和检验，由此增加的费用和（或）工期延误由承包人承担。</w:t>
      </w:r>
    </w:p>
    <w:p w14:paraId="507830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5.4.2 监理人发现承包人使用了不合格的材料和工程设备，应即时发出指示要求承包人立即改正，并禁止在工程中继续使用不合格的材料和工程设备。</w:t>
      </w:r>
    </w:p>
    <w:p w14:paraId="020B97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5.4.3 发包人提供的材料或工程设备不符合合同要求的，承包人有权拒绝，并可要求发包人更换，由此增加的费用和（或）工期延误由发包人承担。</w:t>
      </w:r>
    </w:p>
    <w:p w14:paraId="5CD08D8D">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1" w:name="_Toc22183"/>
      <w:bookmarkStart w:id="162" w:name="_Toc122424438"/>
      <w:bookmarkStart w:id="163" w:name="_Toc122424189"/>
      <w:r>
        <w:rPr>
          <w:rFonts w:hint="eastAsia" w:ascii="宋体" w:hAnsi="宋体" w:eastAsia="宋体" w:cs="宋体"/>
          <w:color w:val="auto"/>
          <w:highlight w:val="none"/>
        </w:rPr>
        <w:t>6. 施工设备和临时设施</w:t>
      </w:r>
      <w:bookmarkEnd w:id="161"/>
      <w:bookmarkEnd w:id="162"/>
      <w:bookmarkEnd w:id="163"/>
    </w:p>
    <w:p w14:paraId="6ACCE8F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4" w:name="_Toc18606"/>
      <w:r>
        <w:rPr>
          <w:rFonts w:hint="eastAsia" w:ascii="宋体" w:hAnsi="宋体" w:eastAsia="宋体" w:cs="宋体"/>
          <w:color w:val="auto"/>
          <w:highlight w:val="none"/>
        </w:rPr>
        <w:t>6.1 承包人提供的施工设备和临时设施</w:t>
      </w:r>
      <w:bookmarkEnd w:id="164"/>
    </w:p>
    <w:p w14:paraId="612836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2F3927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6.1.2除专用合同条款另有约定外，承包人应自行承担修建临时设施的费用，需要临时占地的，应由发包人办理申请手续并承担相应费用。</w:t>
      </w:r>
    </w:p>
    <w:p w14:paraId="4C72682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5" w:name="_Toc12933"/>
      <w:r>
        <w:rPr>
          <w:rFonts w:hint="eastAsia" w:ascii="宋体" w:hAnsi="宋体" w:eastAsia="宋体" w:cs="宋体"/>
          <w:color w:val="auto"/>
          <w:highlight w:val="none"/>
        </w:rPr>
        <w:t>6.2 发包人提供的施工设备和临时设施</w:t>
      </w:r>
      <w:bookmarkEnd w:id="165"/>
    </w:p>
    <w:p w14:paraId="1D3F531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发包人提供的施工设备或临时设施在专用合同条款中约定。</w:t>
      </w:r>
    </w:p>
    <w:p w14:paraId="51BD06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6" w:name="_Toc4522"/>
      <w:r>
        <w:rPr>
          <w:rFonts w:hint="eastAsia" w:ascii="宋体" w:hAnsi="宋体" w:eastAsia="宋体" w:cs="宋体"/>
          <w:color w:val="auto"/>
          <w:highlight w:val="none"/>
        </w:rPr>
        <w:t>6.3 要求承包人增加或更换施工设备</w:t>
      </w:r>
      <w:bookmarkEnd w:id="166"/>
    </w:p>
    <w:p w14:paraId="477E9E6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承包人使用的施工设备不能满足合同进度计划和（或）质量要求时，监理人有权要求承包人增加或更换施工设备，承包人应及时增加或更换，由此增加的费用和（或）工期延误由承包人承担。</w:t>
      </w:r>
    </w:p>
    <w:p w14:paraId="2522304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67" w:name="_Toc18668"/>
      <w:r>
        <w:rPr>
          <w:rFonts w:hint="eastAsia" w:ascii="宋体" w:hAnsi="宋体" w:eastAsia="宋体" w:cs="宋体"/>
          <w:color w:val="auto"/>
          <w:highlight w:val="none"/>
        </w:rPr>
        <w:t>6.4 施工设备和临时设施专用于合同工程</w:t>
      </w:r>
      <w:bookmarkEnd w:id="167"/>
    </w:p>
    <w:p w14:paraId="1D04F6F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3219C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6.4.2 经监理人同意，承包人可根据合同进度计划撤走闲置的施工设备。</w:t>
      </w:r>
    </w:p>
    <w:p w14:paraId="61F0E382">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68" w:name="_Toc122424190"/>
      <w:bookmarkStart w:id="169" w:name="_Toc122424439"/>
      <w:bookmarkStart w:id="170" w:name="_Toc25865"/>
      <w:r>
        <w:rPr>
          <w:rFonts w:hint="eastAsia" w:ascii="宋体" w:hAnsi="宋体" w:eastAsia="宋体" w:cs="宋体"/>
          <w:color w:val="auto"/>
          <w:highlight w:val="none"/>
        </w:rPr>
        <w:t>7. 交通运输</w:t>
      </w:r>
      <w:bookmarkEnd w:id="168"/>
      <w:bookmarkEnd w:id="169"/>
      <w:bookmarkEnd w:id="170"/>
    </w:p>
    <w:p w14:paraId="4F5346D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1" w:name="_Toc19258"/>
      <w:r>
        <w:rPr>
          <w:rFonts w:hint="eastAsia" w:ascii="宋体" w:hAnsi="宋体" w:eastAsia="宋体" w:cs="宋体"/>
          <w:color w:val="auto"/>
          <w:highlight w:val="none"/>
        </w:rPr>
        <w:t>7.1 道路通行权和场外设施</w:t>
      </w:r>
      <w:bookmarkEnd w:id="171"/>
    </w:p>
    <w:p w14:paraId="00C190B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13F7EBA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2" w:name="_Toc10364"/>
      <w:r>
        <w:rPr>
          <w:rFonts w:hint="eastAsia" w:ascii="宋体" w:hAnsi="宋体" w:eastAsia="宋体" w:cs="宋体"/>
          <w:color w:val="auto"/>
          <w:highlight w:val="none"/>
        </w:rPr>
        <w:t>7.2 场内施工道路</w:t>
      </w:r>
      <w:bookmarkEnd w:id="172"/>
    </w:p>
    <w:p w14:paraId="240F92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7.2.1 除专用合同条款另有约定外，承包人应负责修建、维修、养护和管理施工所需的临时道路和交通设施，包括维修、养护和管理发包人提供的道路和交通设施，并承担相应费用。</w:t>
      </w:r>
    </w:p>
    <w:p w14:paraId="0BB27F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7.2.2 除专用合同条款另有约定外，承包人修建的临时道路和交通设施应免费提供发包人和监理人使用。</w:t>
      </w:r>
    </w:p>
    <w:p w14:paraId="4C08735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3" w:name="_Toc25319"/>
      <w:r>
        <w:rPr>
          <w:rFonts w:hint="eastAsia" w:ascii="宋体" w:hAnsi="宋体" w:eastAsia="宋体" w:cs="宋体"/>
          <w:color w:val="auto"/>
          <w:highlight w:val="none"/>
        </w:rPr>
        <w:t>7.3 场外交通</w:t>
      </w:r>
      <w:bookmarkEnd w:id="173"/>
    </w:p>
    <w:p w14:paraId="19ECE3C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7.3.1 承包人车辆外出行驶所需的场外公共道路的通行费、养路费和税款等由承包人承担。</w:t>
      </w:r>
    </w:p>
    <w:p w14:paraId="26762D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7.3.2 承包人应遵守有关交通法规，严格按照道路和桥梁的限制荷重安全行驶，并服从交通管理部门的检查和监督。</w:t>
      </w:r>
    </w:p>
    <w:p w14:paraId="58E9048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7.4 超大件和超重件的运输</w:t>
      </w:r>
    </w:p>
    <w:p w14:paraId="3F6187F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5B5D9F0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4" w:name="_Toc31442"/>
      <w:r>
        <w:rPr>
          <w:rFonts w:hint="eastAsia" w:ascii="宋体" w:hAnsi="宋体" w:eastAsia="宋体" w:cs="宋体"/>
          <w:color w:val="auto"/>
          <w:highlight w:val="none"/>
        </w:rPr>
        <w:t>7.5 道路和桥梁的损坏责任</w:t>
      </w:r>
      <w:bookmarkEnd w:id="174"/>
    </w:p>
    <w:p w14:paraId="6FF306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因承包人运输造成施工场地内外公共道路和桥梁损坏的，由承包人承担修复损坏的全部费用和可能引起的赔偿。</w:t>
      </w:r>
    </w:p>
    <w:p w14:paraId="7955DF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5" w:name="_Toc15978"/>
      <w:r>
        <w:rPr>
          <w:rFonts w:hint="eastAsia" w:ascii="宋体" w:hAnsi="宋体" w:eastAsia="宋体" w:cs="宋体"/>
          <w:color w:val="auto"/>
          <w:highlight w:val="none"/>
        </w:rPr>
        <w:t>7.6 水路和航空运输</w:t>
      </w:r>
      <w:bookmarkEnd w:id="175"/>
    </w:p>
    <w:p w14:paraId="6CF0CA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本条上述各款的内容适用于水路运输和航空运输，其中“道路”一词的涵义包括河道、航线、船闸、机场、码头、堤防以及水路或航空运输中其他相似结构物；“车辆”一词的涵义包括船舶和飞机等。 </w:t>
      </w:r>
    </w:p>
    <w:p w14:paraId="14F3900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76" w:name="_Toc122424440"/>
      <w:bookmarkStart w:id="177" w:name="_Toc122424191"/>
      <w:bookmarkStart w:id="178" w:name="_Toc6195"/>
      <w:r>
        <w:rPr>
          <w:rFonts w:hint="eastAsia" w:ascii="宋体" w:hAnsi="宋体" w:eastAsia="宋体" w:cs="宋体"/>
          <w:color w:val="auto"/>
          <w:highlight w:val="none"/>
        </w:rPr>
        <w:t>8. 测量放线</w:t>
      </w:r>
      <w:bookmarkEnd w:id="176"/>
      <w:bookmarkEnd w:id="177"/>
      <w:bookmarkEnd w:id="178"/>
    </w:p>
    <w:p w14:paraId="4285415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79" w:name="_Toc17175"/>
      <w:r>
        <w:rPr>
          <w:rFonts w:hint="eastAsia" w:ascii="宋体" w:hAnsi="宋体" w:eastAsia="宋体" w:cs="宋体"/>
          <w:color w:val="auto"/>
          <w:highlight w:val="none"/>
        </w:rPr>
        <w:t>8.1 施工控制网</w:t>
      </w:r>
      <w:bookmarkEnd w:id="179"/>
    </w:p>
    <w:p w14:paraId="036D13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3487C7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8.1.2承包人应负责管理施工控制网点。施工控制网点丢失或损坏的，承包人应及时修复。承包人应承担施工控制网点的管理与修复费用，并在工程竣工后将施工控制网点移交发包人。</w:t>
      </w:r>
    </w:p>
    <w:p w14:paraId="102EE25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0" w:name="_Toc26593"/>
      <w:r>
        <w:rPr>
          <w:rFonts w:hint="eastAsia" w:ascii="宋体" w:hAnsi="宋体" w:eastAsia="宋体" w:cs="宋体"/>
          <w:color w:val="auto"/>
          <w:highlight w:val="none"/>
        </w:rPr>
        <w:t>8.2 施工测量</w:t>
      </w:r>
      <w:bookmarkEnd w:id="180"/>
    </w:p>
    <w:p w14:paraId="540056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8.2.1承包人应负责施工过程中的全部施工测量放线工作，并配置合格的人员、仪器、设备和其他物品。</w:t>
      </w:r>
    </w:p>
    <w:p w14:paraId="70DB8E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8.2.2监理人可以指示承包人进行抽样复测，当复测中发现错误或出现超过合同约定的误差时，承包人应按监理人指示进行修正或补测，并承担相应的复测费用。</w:t>
      </w:r>
    </w:p>
    <w:p w14:paraId="1A04ACF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1" w:name="_Toc24208"/>
      <w:r>
        <w:rPr>
          <w:rFonts w:hint="eastAsia" w:ascii="宋体" w:hAnsi="宋体" w:eastAsia="宋体" w:cs="宋体"/>
          <w:color w:val="auto"/>
          <w:highlight w:val="none"/>
        </w:rPr>
        <w:t>8.3 基准资料错误的责任</w:t>
      </w:r>
      <w:bookmarkEnd w:id="181"/>
    </w:p>
    <w:p w14:paraId="096364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02800B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2" w:name="_Toc2830"/>
      <w:r>
        <w:rPr>
          <w:rFonts w:hint="eastAsia" w:ascii="宋体" w:hAnsi="宋体" w:eastAsia="宋体" w:cs="宋体"/>
          <w:color w:val="auto"/>
          <w:highlight w:val="none"/>
        </w:rPr>
        <w:t>8.4 监理人使用施工控制网</w:t>
      </w:r>
      <w:bookmarkEnd w:id="182"/>
    </w:p>
    <w:p w14:paraId="3C130A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监理人需要使用施工控制网的，承包人应提供必要的协助，发包人不再为此支付费用。</w:t>
      </w:r>
    </w:p>
    <w:p w14:paraId="69C73C5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83" w:name="_Toc122424192"/>
      <w:bookmarkStart w:id="184" w:name="_Toc21731"/>
      <w:bookmarkStart w:id="185" w:name="_Toc122424441"/>
      <w:r>
        <w:rPr>
          <w:rFonts w:hint="eastAsia" w:ascii="宋体" w:hAnsi="宋体" w:eastAsia="宋体" w:cs="宋体"/>
          <w:color w:val="auto"/>
          <w:highlight w:val="none"/>
        </w:rPr>
        <w:t>9. 施工安全、治安保卫和环境保护</w:t>
      </w:r>
      <w:bookmarkEnd w:id="183"/>
      <w:bookmarkEnd w:id="184"/>
      <w:bookmarkEnd w:id="185"/>
    </w:p>
    <w:p w14:paraId="3D3C032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6" w:name="_Toc18091"/>
      <w:r>
        <w:rPr>
          <w:rFonts w:hint="eastAsia" w:ascii="宋体" w:hAnsi="宋体" w:eastAsia="宋体" w:cs="宋体"/>
          <w:color w:val="auto"/>
          <w:highlight w:val="none"/>
        </w:rPr>
        <w:t>9.1 发包人的施工安全责任</w:t>
      </w:r>
      <w:bookmarkEnd w:id="186"/>
    </w:p>
    <w:p w14:paraId="5F54E2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9.1.1 发包人应按合同约定履行安全职责，授权监理人按合同约定的安全工作内容监督、检查承包人安全工作的实施，组织承包人和有关单位进行安全检查。</w:t>
      </w:r>
    </w:p>
    <w:p w14:paraId="13DEB8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9.1.2 发包人应对其现场机构雇佣的全部人员的工伤事故承担责任，但由于承包人原因造成发包人人员工伤的，应由承包人承担责任。</w:t>
      </w:r>
    </w:p>
    <w:p w14:paraId="2607B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9.1.3 发包人应负责赔偿以下各种情况造成的第三者人身伤亡和财产损失：</w:t>
      </w:r>
    </w:p>
    <w:p w14:paraId="30AF85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 工程或工程的任何部分对土地的占用所造成的第三者财产损失；</w:t>
      </w:r>
    </w:p>
    <w:p w14:paraId="7413AEB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 由于发包人原因在施工场地及其毗邻地带造成的第三者人身伤亡和财产损失。</w:t>
      </w:r>
    </w:p>
    <w:p w14:paraId="58F1747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7" w:name="_Toc3052"/>
      <w:r>
        <w:rPr>
          <w:rFonts w:hint="eastAsia" w:ascii="宋体" w:hAnsi="宋体" w:eastAsia="宋体" w:cs="宋体"/>
          <w:color w:val="auto"/>
          <w:highlight w:val="none"/>
        </w:rPr>
        <w:t>9.2 承包人的施工安全责任</w:t>
      </w:r>
      <w:bookmarkEnd w:id="187"/>
    </w:p>
    <w:p w14:paraId="346428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 承包人应按合同约定履行安全职责,执行监理人有关安全工作的指示,并在专用合同条款约定的期限内，按合同约定的安全工作内容，编制施工安全措施计划报送监理人审批。</w:t>
      </w:r>
    </w:p>
    <w:p w14:paraId="39F6B64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9.2.2 承包人应加强施工作业安全管理，特别应加强易燃、易爆材料、火工器材、有毒与腐蚀性材料和其他危险品的管理，以及对爆破作业和地下工程施工等危险作业的管理。</w:t>
      </w:r>
    </w:p>
    <w:p w14:paraId="3D103D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9.2.3 承包人应严格按照国家安全标准制定施工安全操作规程，配备必要的安全生产和劳动保护设施，加强对承包人人员的安全教育，并发放安全工作手册和劳动保护用具。</w:t>
      </w:r>
    </w:p>
    <w:p w14:paraId="40D72B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9.2.4 承包人应按监理人的指示制定应对灾害的紧急预案，报送监理人审批。承包人还应按预案做好安全检查，配置必要的救助物资和器材，切实保护好有关人员的人身和财产安全。</w:t>
      </w:r>
    </w:p>
    <w:p w14:paraId="354FC1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13E204A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9.2.6 承包人应对其履行合同所雇佣的全部人员，包括分包人人员的工伤事故承担责任，但由于发包人原因造成承包人人员工伤事故的，应由发包人承担责任。</w:t>
      </w:r>
    </w:p>
    <w:p w14:paraId="21D00B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9.2.7 由于承包人原因在施工场地内及其毗邻地带造成的第三者人员伤亡和财产损失，由承包人负责赔偿。</w:t>
      </w:r>
    </w:p>
    <w:p w14:paraId="220E5D4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8" w:name="_Toc4874"/>
      <w:r>
        <w:rPr>
          <w:rFonts w:hint="eastAsia" w:ascii="宋体" w:hAnsi="宋体" w:eastAsia="宋体" w:cs="宋体"/>
          <w:color w:val="auto"/>
          <w:highlight w:val="none"/>
        </w:rPr>
        <w:t>9.3 治安保卫</w:t>
      </w:r>
      <w:bookmarkEnd w:id="188"/>
    </w:p>
    <w:p w14:paraId="4DEB64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9.3.1 除合同另有约定外，发包人应与当地公安部门协商，在现场建立治安管理机构或联防组织，统一管理施工场地的治安保卫事项，履行合同工程的治安保卫职责。</w:t>
      </w:r>
    </w:p>
    <w:p w14:paraId="2AB8CB9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9.3.2 发包人和承包人除应协助现场治安管理机构或联防组织维护施工场地的社会治安外，还应做好包括生活区在内的各自管辖区的治安保卫工作。</w:t>
      </w:r>
    </w:p>
    <w:p w14:paraId="0D853F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09ABB8A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89" w:name="_Toc17658"/>
      <w:r>
        <w:rPr>
          <w:rFonts w:hint="eastAsia" w:ascii="宋体" w:hAnsi="宋体" w:eastAsia="宋体" w:cs="宋体"/>
          <w:color w:val="auto"/>
          <w:highlight w:val="none"/>
        </w:rPr>
        <w:t>9.4 环境保护</w:t>
      </w:r>
      <w:bookmarkEnd w:id="189"/>
    </w:p>
    <w:p w14:paraId="3C5E3E0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 承包人在施工过程中，应遵守有关环境保护的法律，履行合同约定的环境保护义务，并对违反法律和合同约定义务所造成的环境破坏、人身伤害和财产损失负责。</w:t>
      </w:r>
    </w:p>
    <w:p w14:paraId="2E710A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9.4.2 承包人应按合同约定的环保工作内容，编制施工环保措施计划，报送监理人审批。</w:t>
      </w:r>
    </w:p>
    <w:p w14:paraId="7C7BFC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4C4BE8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9.4.4 承包人应按合同约定采取有效措施，对施工开挖的边坡及时进行支护,维护排水设施，并进行水土保护，避免因施工造成的地质灾害。</w:t>
      </w:r>
    </w:p>
    <w:p w14:paraId="4B8446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9.4.5 承包人应按国家饮用水管理标准定期对饮用水源进行监测，防止施工活动污染饮用水源。</w:t>
      </w:r>
    </w:p>
    <w:p w14:paraId="52468C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9.4.6 承包人应按合同约定，加强对噪声、粉尘、废气、废水和废油的控制，努力降低噪声，控制粉尘和废气浓度，做好废水和废油的治理和排放。</w:t>
      </w:r>
    </w:p>
    <w:p w14:paraId="4B9A41E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0" w:name="_Toc13694"/>
      <w:r>
        <w:rPr>
          <w:rFonts w:hint="eastAsia" w:ascii="宋体" w:hAnsi="宋体" w:eastAsia="宋体" w:cs="宋体"/>
          <w:color w:val="auto"/>
          <w:highlight w:val="none"/>
        </w:rPr>
        <w:t>9.5 事故处理</w:t>
      </w:r>
      <w:bookmarkEnd w:id="190"/>
    </w:p>
    <w:p w14:paraId="35E6EE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0583DCDF">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1" w:name="_Toc122424193"/>
      <w:bookmarkStart w:id="192" w:name="_Toc31845"/>
      <w:bookmarkStart w:id="193" w:name="_Toc122424442"/>
      <w:r>
        <w:rPr>
          <w:rFonts w:hint="eastAsia" w:ascii="宋体" w:hAnsi="宋体" w:eastAsia="宋体" w:cs="宋体"/>
          <w:color w:val="auto"/>
          <w:highlight w:val="none"/>
        </w:rPr>
        <w:t>10. 进度计划</w:t>
      </w:r>
      <w:bookmarkEnd w:id="191"/>
      <w:bookmarkEnd w:id="192"/>
      <w:bookmarkEnd w:id="193"/>
    </w:p>
    <w:p w14:paraId="0809C87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4" w:name="_Toc7174"/>
      <w:r>
        <w:rPr>
          <w:rFonts w:hint="eastAsia" w:ascii="宋体" w:hAnsi="宋体" w:eastAsia="宋体" w:cs="宋体"/>
          <w:color w:val="auto"/>
          <w:highlight w:val="none"/>
        </w:rPr>
        <w:t>10.1 合同进度计划</w:t>
      </w:r>
      <w:bookmarkEnd w:id="194"/>
    </w:p>
    <w:p w14:paraId="737410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39A27D9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5" w:name="_Toc26389"/>
      <w:r>
        <w:rPr>
          <w:rFonts w:hint="eastAsia" w:ascii="宋体" w:hAnsi="宋体" w:eastAsia="宋体" w:cs="宋体"/>
          <w:color w:val="auto"/>
          <w:highlight w:val="none"/>
        </w:rPr>
        <w:t>10.2 合同进度计划的修订</w:t>
      </w:r>
      <w:bookmarkEnd w:id="195"/>
    </w:p>
    <w:p w14:paraId="57DE056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36C409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196" w:name="_Toc122424194"/>
      <w:bookmarkStart w:id="197" w:name="_Toc13126"/>
      <w:bookmarkStart w:id="198" w:name="_Toc122424443"/>
      <w:r>
        <w:rPr>
          <w:rFonts w:hint="eastAsia" w:ascii="宋体" w:hAnsi="宋体" w:eastAsia="宋体" w:cs="宋体"/>
          <w:color w:val="auto"/>
          <w:highlight w:val="none"/>
        </w:rPr>
        <w:t>11. 开工和竣工</w:t>
      </w:r>
      <w:bookmarkEnd w:id="196"/>
      <w:bookmarkEnd w:id="197"/>
      <w:bookmarkEnd w:id="198"/>
    </w:p>
    <w:p w14:paraId="6522B83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199" w:name="_Toc1292"/>
      <w:r>
        <w:rPr>
          <w:rFonts w:hint="eastAsia" w:ascii="宋体" w:hAnsi="宋体" w:eastAsia="宋体" w:cs="宋体"/>
          <w:color w:val="auto"/>
          <w:highlight w:val="none"/>
        </w:rPr>
        <w:t>11.1 开工</w:t>
      </w:r>
      <w:bookmarkEnd w:id="199"/>
    </w:p>
    <w:p w14:paraId="70E342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5C6329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55C99D8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0" w:name="_Toc29021"/>
      <w:r>
        <w:rPr>
          <w:rFonts w:hint="eastAsia" w:ascii="宋体" w:hAnsi="宋体" w:eastAsia="宋体" w:cs="宋体"/>
          <w:color w:val="auto"/>
          <w:highlight w:val="none"/>
        </w:rPr>
        <w:t>11.2 竣工</w:t>
      </w:r>
      <w:bookmarkEnd w:id="200"/>
    </w:p>
    <w:p w14:paraId="70B372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承包人应在第1.1.4.3目约定的期限内完成合同工程。实际竣工日期在接收证书中写明。</w:t>
      </w:r>
    </w:p>
    <w:p w14:paraId="5E842B4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1" w:name="_Toc14703"/>
      <w:r>
        <w:rPr>
          <w:rFonts w:hint="eastAsia" w:ascii="宋体" w:hAnsi="宋体" w:eastAsia="宋体" w:cs="宋体"/>
          <w:color w:val="auto"/>
          <w:highlight w:val="none"/>
        </w:rPr>
        <w:t>11.3 发包人的工期延误</w:t>
      </w:r>
      <w:bookmarkEnd w:id="201"/>
    </w:p>
    <w:p w14:paraId="5CCA30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在履行合同过程中，由于发包人的下列原因造成工期延误的，承包人有权要求发包人延长工期和（或）增加费用，并支付合理利润。需要修订合同进度计划的，按照第10.2款的约定办理。</w:t>
      </w:r>
    </w:p>
    <w:p w14:paraId="2E6581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（1）增加合同工作内容；</w:t>
      </w:r>
    </w:p>
    <w:p w14:paraId="099E8B5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（2）改变合同中任何一项工作的质量要求或其他特性；</w:t>
      </w:r>
    </w:p>
    <w:p w14:paraId="08ED2B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（3）发包人迟延提供材料、工程设备或变更交货地点的；</w:t>
      </w:r>
    </w:p>
    <w:p w14:paraId="676E062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（4）因发包人原因导致的暂停施工；</w:t>
      </w:r>
    </w:p>
    <w:p w14:paraId="08041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（5）提供图纸延误；</w:t>
      </w:r>
    </w:p>
    <w:p w14:paraId="58FE38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（6）未按合同约定及时支付预付款、进度款；</w:t>
      </w:r>
    </w:p>
    <w:p w14:paraId="79C2B0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（7）发包人造成工期延误的其他原因。</w:t>
      </w:r>
    </w:p>
    <w:p w14:paraId="1B50630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2" w:name="_Toc25691"/>
      <w:r>
        <w:rPr>
          <w:rFonts w:hint="eastAsia" w:ascii="宋体" w:hAnsi="宋体" w:eastAsia="宋体" w:cs="宋体"/>
          <w:color w:val="auto"/>
          <w:highlight w:val="none"/>
        </w:rPr>
        <w:t>11.4 异常恶劣的气候条件</w:t>
      </w:r>
      <w:bookmarkEnd w:id="202"/>
    </w:p>
    <w:p w14:paraId="78427B1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由于出现专用合同条款规定的异常恶劣气候的条件导致工期延误的，承包人有权要求发包人延长工期。</w:t>
      </w:r>
    </w:p>
    <w:p w14:paraId="1C0BE6D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3" w:name="_Toc7073"/>
      <w:r>
        <w:rPr>
          <w:rFonts w:hint="eastAsia" w:ascii="宋体" w:hAnsi="宋体" w:eastAsia="宋体" w:cs="宋体"/>
          <w:color w:val="auto"/>
          <w:highlight w:val="none"/>
        </w:rPr>
        <w:t>11.5 承包人的工期延误</w:t>
      </w:r>
      <w:bookmarkEnd w:id="203"/>
    </w:p>
    <w:p w14:paraId="57C121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7E99784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4" w:name="_Toc18781"/>
      <w:r>
        <w:rPr>
          <w:rFonts w:hint="eastAsia" w:ascii="宋体" w:hAnsi="宋体" w:eastAsia="宋体" w:cs="宋体"/>
          <w:color w:val="auto"/>
          <w:highlight w:val="none"/>
        </w:rPr>
        <w:t>11.6 工期提前</w:t>
      </w:r>
      <w:bookmarkEnd w:id="204"/>
    </w:p>
    <w:p w14:paraId="7358DB6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 </w:t>
      </w:r>
    </w:p>
    <w:p w14:paraId="46A3EB33">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05" w:name="_Toc4718"/>
      <w:bookmarkStart w:id="206" w:name="_Toc122424444"/>
      <w:bookmarkStart w:id="207" w:name="_Toc122424195"/>
      <w:r>
        <w:rPr>
          <w:rFonts w:hint="eastAsia" w:ascii="宋体" w:hAnsi="宋体" w:eastAsia="宋体" w:cs="宋体"/>
          <w:color w:val="auto"/>
          <w:highlight w:val="none"/>
        </w:rPr>
        <w:t>12. 暂停施工</w:t>
      </w:r>
      <w:bookmarkEnd w:id="205"/>
      <w:bookmarkEnd w:id="206"/>
      <w:bookmarkEnd w:id="207"/>
    </w:p>
    <w:p w14:paraId="3DC0A596">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8" w:name="_Toc6557"/>
      <w:r>
        <w:rPr>
          <w:rFonts w:hint="eastAsia" w:ascii="宋体" w:hAnsi="宋体" w:eastAsia="宋体" w:cs="宋体"/>
          <w:color w:val="auto"/>
          <w:highlight w:val="none"/>
        </w:rPr>
        <w:t>12.1 承包人暂停施工的责任</w:t>
      </w:r>
      <w:bookmarkEnd w:id="208"/>
    </w:p>
    <w:p w14:paraId="5E35B57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因下列暂停施工增加的费用和（或）工期延误由承包人承担：</w:t>
      </w:r>
    </w:p>
    <w:p w14:paraId="1EB9CD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（1）承包人违约引起的暂停施工；</w:t>
      </w:r>
    </w:p>
    <w:p w14:paraId="35EA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（2）由于承包人原因为工程合理施工和安全保障所必需的暂停施工；</w:t>
      </w:r>
    </w:p>
    <w:p w14:paraId="09C8F7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（3）承包人擅自暂停施工；</w:t>
      </w:r>
    </w:p>
    <w:p w14:paraId="4C5D33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（4）承包人其他原因引起的暂停施工；</w:t>
      </w:r>
    </w:p>
    <w:p w14:paraId="569456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（5）专用合同条款约定由承包人承担的其他暂停施工。</w:t>
      </w:r>
    </w:p>
    <w:p w14:paraId="1B7764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09" w:name="_Toc4441"/>
      <w:r>
        <w:rPr>
          <w:rFonts w:hint="eastAsia" w:ascii="宋体" w:hAnsi="宋体" w:eastAsia="宋体" w:cs="宋体"/>
          <w:color w:val="auto"/>
          <w:highlight w:val="none"/>
        </w:rPr>
        <w:t>12.2 发包人暂停施工的责任</w:t>
      </w:r>
      <w:bookmarkEnd w:id="209"/>
    </w:p>
    <w:p w14:paraId="4425657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由于发包人原因引起的暂停施工造成工期延误的，承包人有权要求发包人延长工期和（或）增加费用，并支付合理利润。</w:t>
      </w:r>
    </w:p>
    <w:p w14:paraId="1B418B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0" w:name="_Toc9467"/>
      <w:r>
        <w:rPr>
          <w:rFonts w:hint="eastAsia" w:ascii="宋体" w:hAnsi="宋体" w:eastAsia="宋体" w:cs="宋体"/>
          <w:color w:val="auto"/>
          <w:highlight w:val="none"/>
        </w:rPr>
        <w:t>12.3 监理人暂停施工指示</w:t>
      </w:r>
      <w:bookmarkEnd w:id="210"/>
    </w:p>
    <w:p w14:paraId="72F1B9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5488A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4CAFCC3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1" w:name="_Toc20870"/>
      <w:r>
        <w:rPr>
          <w:rFonts w:hint="eastAsia" w:ascii="宋体" w:hAnsi="宋体" w:eastAsia="宋体" w:cs="宋体"/>
          <w:color w:val="auto"/>
          <w:highlight w:val="none"/>
        </w:rPr>
        <w:t>12.4 暂停施工后的复工</w:t>
      </w:r>
      <w:bookmarkEnd w:id="211"/>
    </w:p>
    <w:p w14:paraId="72DEE60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0C91C1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12.4.2 承包人无故拖延和拒绝复工的，由此增加的费用和工期延误由承包人承担；因发包人原因无法按时复工的，承包人有权要求发包人延长工期和（或）增加费用，并支付合理利润。</w:t>
      </w:r>
    </w:p>
    <w:p w14:paraId="64D732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2" w:name="_Toc19907"/>
      <w:r>
        <w:rPr>
          <w:rFonts w:hint="eastAsia" w:ascii="宋体" w:hAnsi="宋体" w:eastAsia="宋体" w:cs="宋体"/>
          <w:color w:val="auto"/>
          <w:highlight w:val="none"/>
        </w:rPr>
        <w:t>12.5 暂停施工持续56天以上</w:t>
      </w:r>
      <w:bookmarkEnd w:id="212"/>
    </w:p>
    <w:p w14:paraId="7F6A09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4DCEE3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12.5.2 由于承包人责任引起的暂停施工，如承包人在收到监理人暂停施工指示后56天内不认真采取有效的复工措施，造成工期延误，可视为承包人违约，应按第22.1款的规定办理。</w:t>
      </w:r>
    </w:p>
    <w:p w14:paraId="49DB6B8C">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13" w:name="_Toc27358"/>
      <w:bookmarkStart w:id="214" w:name="_Toc122424196"/>
      <w:bookmarkStart w:id="215" w:name="_Toc122424445"/>
      <w:r>
        <w:rPr>
          <w:rFonts w:hint="eastAsia" w:ascii="宋体" w:hAnsi="宋体" w:eastAsia="宋体" w:cs="宋体"/>
          <w:color w:val="auto"/>
          <w:highlight w:val="none"/>
        </w:rPr>
        <w:t>13. 工程质量</w:t>
      </w:r>
      <w:bookmarkEnd w:id="213"/>
      <w:bookmarkEnd w:id="214"/>
      <w:bookmarkEnd w:id="215"/>
    </w:p>
    <w:p w14:paraId="7AC6EAE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6" w:name="_Toc22468"/>
      <w:r>
        <w:rPr>
          <w:rFonts w:hint="eastAsia" w:ascii="宋体" w:hAnsi="宋体" w:eastAsia="宋体" w:cs="宋体"/>
          <w:color w:val="auto"/>
          <w:highlight w:val="none"/>
        </w:rPr>
        <w:t>13.1 工程质量要求</w:t>
      </w:r>
      <w:bookmarkEnd w:id="216"/>
    </w:p>
    <w:p w14:paraId="6C0890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13.1.1 工程质量验收按合同约定验收标准执行。</w:t>
      </w:r>
    </w:p>
    <w:p w14:paraId="6851D4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13.1.2 因承包人原因造成工程质量达不到合同约定验收标准的，监理人有权要求承包人返工直至符合合同要求为止，由此造成的费用增加和（或）工期延误由承包人承担。</w:t>
      </w:r>
    </w:p>
    <w:p w14:paraId="1F5F13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13.1.3 因发包人原因造成工程质量达不到合同约定验收标准的，发包人应承担由于承包人返工造成的费用增加和（或）工期延误，并支付承包人合理利润。</w:t>
      </w:r>
    </w:p>
    <w:p w14:paraId="6F7699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7" w:name="_Toc5979"/>
      <w:r>
        <w:rPr>
          <w:rFonts w:hint="eastAsia" w:ascii="宋体" w:hAnsi="宋体" w:eastAsia="宋体" w:cs="宋体"/>
          <w:color w:val="auto"/>
          <w:highlight w:val="none"/>
        </w:rPr>
        <w:t>13.2 承包人的质量管理</w:t>
      </w:r>
      <w:bookmarkEnd w:id="217"/>
    </w:p>
    <w:p w14:paraId="414745C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6E83E1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13.2.2 承包人应加强对施工人员的质量教育和技术培训，定期考核施工人员的劳动技能，严格执行规范和操作规程。</w:t>
      </w:r>
    </w:p>
    <w:p w14:paraId="51F1CF0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8" w:name="_Toc3312"/>
      <w:r>
        <w:rPr>
          <w:rFonts w:hint="eastAsia" w:ascii="宋体" w:hAnsi="宋体" w:eastAsia="宋体" w:cs="宋体"/>
          <w:color w:val="auto"/>
          <w:highlight w:val="none"/>
        </w:rPr>
        <w:t>13.3 承包人的质量检查</w:t>
      </w:r>
      <w:bookmarkEnd w:id="218"/>
    </w:p>
    <w:p w14:paraId="2AD426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承包人应按合同约定对材料、工程设备以及工程的所有部位及其施工工艺进行全过程的质量检查和检验，并作详细记录，编制工程质量报表，报送监理人审查。</w:t>
      </w:r>
    </w:p>
    <w:p w14:paraId="50B567C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19" w:name="_Toc31128"/>
      <w:r>
        <w:rPr>
          <w:rFonts w:hint="eastAsia" w:ascii="宋体" w:hAnsi="宋体" w:eastAsia="宋体" w:cs="宋体"/>
          <w:color w:val="auto"/>
          <w:highlight w:val="none"/>
        </w:rPr>
        <w:t>13.4 监理人的质量检查</w:t>
      </w:r>
      <w:bookmarkEnd w:id="219"/>
    </w:p>
    <w:p w14:paraId="2FF61A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6DE26CC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0" w:name="_Toc19479"/>
      <w:r>
        <w:rPr>
          <w:rFonts w:hint="eastAsia" w:ascii="宋体" w:hAnsi="宋体" w:eastAsia="宋体" w:cs="宋体"/>
          <w:color w:val="auto"/>
          <w:highlight w:val="none"/>
        </w:rPr>
        <w:t>13.5 工程隐蔽部位覆盖前的检查</w:t>
      </w:r>
      <w:bookmarkEnd w:id="220"/>
    </w:p>
    <w:p w14:paraId="6389F3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13.5.1 通知监理人检查</w:t>
      </w:r>
    </w:p>
    <w:p w14:paraId="144524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058BC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13.5.2 监理人未到场检查</w:t>
      </w:r>
    </w:p>
    <w:p w14:paraId="2C451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76A70F1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13.5.3 监理人重新检查</w:t>
      </w:r>
    </w:p>
    <w:p w14:paraId="2BE8453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25DB8C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13.5.4 承包人私自覆盖</w:t>
      </w:r>
    </w:p>
    <w:p w14:paraId="2CA9E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承包人未通知监理人到场检查，私自将工程隐蔽部位覆盖的，监理人有权指示承包人钻孔探测或揭开检查，由此增加的费用和（或）工期延误由承包人承担。</w:t>
      </w:r>
    </w:p>
    <w:p w14:paraId="398960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1" w:name="_Toc18725"/>
      <w:r>
        <w:rPr>
          <w:rFonts w:hint="eastAsia" w:ascii="宋体" w:hAnsi="宋体" w:eastAsia="宋体" w:cs="宋体"/>
          <w:color w:val="auto"/>
          <w:highlight w:val="none"/>
        </w:rPr>
        <w:t>13.6 清除不合格工程</w:t>
      </w:r>
      <w:bookmarkEnd w:id="221"/>
    </w:p>
    <w:p w14:paraId="78BFF9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79F8D2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13.6.2 由于发包人提供的材料或工程设备不合格造成的工程不合格，需要承包人采取措施补救的，发包人应承担由此增加的费用和（或）工期延误，并支付承包人合理利润。</w:t>
      </w:r>
    </w:p>
    <w:p w14:paraId="492C3DD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2" w:name="_Toc31367"/>
      <w:bookmarkStart w:id="223" w:name="_Toc122424197"/>
      <w:bookmarkStart w:id="224" w:name="_Toc122424446"/>
      <w:r>
        <w:rPr>
          <w:rFonts w:hint="eastAsia" w:ascii="宋体" w:hAnsi="宋体" w:eastAsia="宋体" w:cs="宋体"/>
          <w:color w:val="auto"/>
          <w:highlight w:val="none"/>
        </w:rPr>
        <w:t>14. 试验和检验</w:t>
      </w:r>
      <w:bookmarkEnd w:id="222"/>
      <w:bookmarkEnd w:id="223"/>
      <w:bookmarkEnd w:id="224"/>
    </w:p>
    <w:p w14:paraId="1C997D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5" w:name="_Toc6699"/>
      <w:r>
        <w:rPr>
          <w:rFonts w:hint="eastAsia" w:ascii="宋体" w:hAnsi="宋体" w:eastAsia="宋体" w:cs="宋体"/>
          <w:color w:val="auto"/>
          <w:highlight w:val="none"/>
        </w:rPr>
        <w:t>14.1 材料、工程设备和工程的试验和检验</w:t>
      </w:r>
      <w:bookmarkEnd w:id="225"/>
    </w:p>
    <w:p w14:paraId="692645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755518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14.1.2 监理人未按合同约定派员参加试验和检验的，除监理人另有指示外，承包人可自行试验和检验，并应立即将试验和检验结果报送监理人，监理人应签字确认。</w:t>
      </w:r>
    </w:p>
    <w:p w14:paraId="3CE529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DE5806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6" w:name="_Toc22418"/>
      <w:r>
        <w:rPr>
          <w:rFonts w:hint="eastAsia" w:ascii="宋体" w:hAnsi="宋体" w:eastAsia="宋体" w:cs="宋体"/>
          <w:color w:val="auto"/>
          <w:highlight w:val="none"/>
        </w:rPr>
        <w:t>14.2 现场材料试验</w:t>
      </w:r>
      <w:bookmarkEnd w:id="226"/>
    </w:p>
    <w:p w14:paraId="16FA81D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14.2.1 承包人根据合同约定或监理人指示进行的现场材料试验，应由承包人提供试验场所、试验人员、试验设备器材以及其他必要的试验条件。</w:t>
      </w:r>
    </w:p>
    <w:p w14:paraId="60EC7C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14.2.2 监理人在必要时可以使用承包人的试验场所、试验设备器材以及其他试验条件，进行以工程质量检查为目的的复核性材料试验，承包人应予以协助。</w:t>
      </w:r>
    </w:p>
    <w:p w14:paraId="3251CCA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27" w:name="_Toc25433"/>
      <w:r>
        <w:rPr>
          <w:rFonts w:hint="eastAsia" w:ascii="宋体" w:hAnsi="宋体" w:eastAsia="宋体" w:cs="宋体"/>
          <w:color w:val="auto"/>
          <w:highlight w:val="none"/>
        </w:rPr>
        <w:t>14.3 现场工艺试验</w:t>
      </w:r>
      <w:bookmarkEnd w:id="227"/>
    </w:p>
    <w:p w14:paraId="68A9893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2E2DBC0">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28" w:name="_Toc122424447"/>
      <w:bookmarkStart w:id="229" w:name="_Toc26945"/>
      <w:bookmarkStart w:id="230" w:name="_Toc122424198"/>
      <w:r>
        <w:rPr>
          <w:rFonts w:hint="eastAsia" w:ascii="宋体" w:hAnsi="宋体" w:eastAsia="宋体" w:cs="宋体"/>
          <w:color w:val="auto"/>
          <w:highlight w:val="none"/>
        </w:rPr>
        <w:t>15. 变更</w:t>
      </w:r>
      <w:bookmarkEnd w:id="228"/>
      <w:bookmarkEnd w:id="229"/>
      <w:bookmarkEnd w:id="230"/>
    </w:p>
    <w:p w14:paraId="2626B62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1" w:name="_Toc15425"/>
      <w:r>
        <w:rPr>
          <w:rFonts w:hint="eastAsia" w:ascii="宋体" w:hAnsi="宋体" w:eastAsia="宋体" w:cs="宋体"/>
          <w:color w:val="auto"/>
          <w:highlight w:val="none"/>
        </w:rPr>
        <w:t>15.1 变更的范围和内容</w:t>
      </w:r>
      <w:bookmarkEnd w:id="231"/>
    </w:p>
    <w:p w14:paraId="5CE7C8C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除专用合同条款另有约定外，在履行合同中发生以下情形之一，应按照本条规定进行变更。</w:t>
      </w:r>
    </w:p>
    <w:p w14:paraId="2ED7E8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（1）取消合同中任何一项工作，但被取消的工作不能转由发包人或其他人实施；</w:t>
      </w:r>
    </w:p>
    <w:p w14:paraId="7205C5A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（2）改变合同中任何一项工作的质量或其他特性；</w:t>
      </w:r>
    </w:p>
    <w:p w14:paraId="28FD97D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（3）改变合同工程的基线、标高、位置或尺寸；</w:t>
      </w:r>
    </w:p>
    <w:p w14:paraId="7BF221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（4）改变合同中任何一项工作的施工时间或改变已批准的施工工艺或顺序；</w:t>
      </w:r>
    </w:p>
    <w:p w14:paraId="68BF6A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（5）为完成工程需要追加的额外工作。</w:t>
      </w:r>
    </w:p>
    <w:p w14:paraId="4CD3F2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2" w:name="_Toc13258"/>
      <w:r>
        <w:rPr>
          <w:rFonts w:hint="eastAsia" w:ascii="宋体" w:hAnsi="宋体" w:eastAsia="宋体" w:cs="宋体"/>
          <w:color w:val="auto"/>
          <w:highlight w:val="none"/>
        </w:rPr>
        <w:t>15.2 变更权</w:t>
      </w:r>
      <w:bookmarkEnd w:id="232"/>
    </w:p>
    <w:p w14:paraId="35F97E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在履行合同过程中，经发包人同意，监理人可按第15.3款约定的变更程序向承包人作出变更指示，承包人应遵照执行。没有监理人的变更指示，承包人不得擅自变更。</w:t>
      </w:r>
    </w:p>
    <w:p w14:paraId="0964B45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3" w:name="_Toc24454"/>
      <w:r>
        <w:rPr>
          <w:rFonts w:hint="eastAsia" w:ascii="宋体" w:hAnsi="宋体" w:eastAsia="宋体" w:cs="宋体"/>
          <w:color w:val="auto"/>
          <w:highlight w:val="none"/>
        </w:rPr>
        <w:t>15.3 变更程序</w:t>
      </w:r>
      <w:bookmarkEnd w:id="233"/>
    </w:p>
    <w:p w14:paraId="4096C9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15.3.1 变更的提出</w:t>
      </w:r>
    </w:p>
    <w:p w14:paraId="5199B9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 </w:t>
      </w:r>
    </w:p>
    <w:p w14:paraId="1B5EF1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（2）在合同履行过程中，发生第15.1款约定情形的，监理人应按照第15.3.3项约定向承包人发出变更指示。</w:t>
      </w:r>
    </w:p>
    <w:p w14:paraId="1C7053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551DF42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（4）若承包人收到监理人的变更意向书后认为难以实施此项变更，应立即通知监理人，说明原因并附详细依据。监理人与承包人和发包人协商后确定撤销、改变或不改变原变更意向书。</w:t>
      </w:r>
    </w:p>
    <w:p w14:paraId="328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15.3.2 变更估价</w:t>
      </w:r>
    </w:p>
    <w:p w14:paraId="0DCACB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2749B8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（2）变更工作影响工期的，承包人应提出调整工期的具体细节。监理人认为有必要时，可要求承包人提交要求提前或延长工期的施工进度计划及相应施工措施等详细资料。</w:t>
      </w:r>
    </w:p>
    <w:p w14:paraId="5430497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（3）除专用合同条款对期限另有约定外，监理人收到承包人变更报价书后的14天内，根据第15.4款约定的估价原则，按照第3.5款商定或确定变更价格。</w:t>
      </w:r>
    </w:p>
    <w:p w14:paraId="6BF929C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15.3.3 变更指示</w:t>
      </w:r>
    </w:p>
    <w:p w14:paraId="0C116D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（1）变更指示只能由监理人发出。</w:t>
      </w:r>
    </w:p>
    <w:p w14:paraId="267E49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（2）变更指示应说明变更的目的、范围、变更内容以及变更的工程量及其进度和技术要求，并附有关图纸和文件。承包人收到变更指示后，应按变更指示进行变更工作。</w:t>
      </w:r>
    </w:p>
    <w:p w14:paraId="1992BBB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4" w:name="_Toc14717"/>
      <w:r>
        <w:rPr>
          <w:rFonts w:hint="eastAsia" w:ascii="宋体" w:hAnsi="宋体" w:eastAsia="宋体" w:cs="宋体"/>
          <w:color w:val="auto"/>
          <w:highlight w:val="none"/>
        </w:rPr>
        <w:t>15.4 变更的估价原则</w:t>
      </w:r>
      <w:bookmarkEnd w:id="234"/>
    </w:p>
    <w:p w14:paraId="4CB9C0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除专用合同条款另有约定外，因变更引起的价格调整按照本款约定处理。</w:t>
      </w:r>
    </w:p>
    <w:p w14:paraId="0F75632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15.4.1 已标价工程量清单中有适用于变更工作的子目的，采用该子目的单价。</w:t>
      </w:r>
    </w:p>
    <w:p w14:paraId="3469DCB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15.4.2 已标价工程量清单中无适用于变更工作的子目，但有类似子目的，可在合理范围内参照类似子目的单价，由监理人按第3.5款商定或确定变更工作的单价。</w:t>
      </w:r>
    </w:p>
    <w:p w14:paraId="23F7EA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15.4.3 已标价工程量清单中无适用或类似子目的单价，可按照成本加利润的原则，由监理人按第3.5款商定或确定变更工作的单价。</w:t>
      </w:r>
    </w:p>
    <w:p w14:paraId="269AB58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5" w:name="_Toc6025"/>
      <w:r>
        <w:rPr>
          <w:rFonts w:hint="eastAsia" w:ascii="宋体" w:hAnsi="宋体" w:eastAsia="宋体" w:cs="宋体"/>
          <w:color w:val="auto"/>
          <w:highlight w:val="none"/>
        </w:rPr>
        <w:t>15.5 承包人的合理化建议</w:t>
      </w:r>
      <w:bookmarkEnd w:id="235"/>
    </w:p>
    <w:p w14:paraId="3C70EA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482EEC6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15.5.2 承包人提出的合理化建议降低了合同价格、缩短了工期或者提高了工程经济效益的，发包人可按国家有关规定在专用合同条款中约定给予奖励。</w:t>
      </w:r>
    </w:p>
    <w:p w14:paraId="4ECC13D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6" w:name="_Toc28479"/>
      <w:r>
        <w:rPr>
          <w:rFonts w:hint="eastAsia" w:ascii="宋体" w:hAnsi="宋体" w:eastAsia="宋体" w:cs="宋体"/>
          <w:color w:val="auto"/>
          <w:highlight w:val="none"/>
        </w:rPr>
        <w:t>15.6 暂列金额</w:t>
      </w:r>
      <w:bookmarkEnd w:id="236"/>
    </w:p>
    <w:p w14:paraId="6A1D73C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暂列金额只能按照监理人的指示使用，并对合同价格进行相应调整。</w:t>
      </w:r>
    </w:p>
    <w:p w14:paraId="2C500AF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7" w:name="_Toc12668"/>
      <w:r>
        <w:rPr>
          <w:rFonts w:hint="eastAsia" w:ascii="宋体" w:hAnsi="宋体" w:eastAsia="宋体" w:cs="宋体"/>
          <w:color w:val="auto"/>
          <w:highlight w:val="none"/>
        </w:rPr>
        <w:t>15.7 计日工</w:t>
      </w:r>
      <w:bookmarkEnd w:id="237"/>
    </w:p>
    <w:p w14:paraId="40E2D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15.7.1 发包人认为有必要时，由监理人通知承包人以计日工方式实施变更的零星工作。其价款按列入已标价工程量清单中的计日工计价子目及其单价进行计算。</w:t>
      </w:r>
    </w:p>
    <w:p w14:paraId="7AB67A2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15.7.2 采用计日工计价的任何一项变更工作，应从暂列金额中支付，承包人应在该项变更的实施过程中，每天提交以下报表和有关凭证报送监理人审批：</w:t>
      </w:r>
    </w:p>
    <w:p w14:paraId="07F43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（1）工作名称、内容和数量；</w:t>
      </w:r>
    </w:p>
    <w:p w14:paraId="75389B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（2）投入该工作所有人员的姓名、工种、级别和耗用工时；</w:t>
      </w:r>
    </w:p>
    <w:p w14:paraId="6913CE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（3）投入该工作的材料类别和数量；</w:t>
      </w:r>
    </w:p>
    <w:p w14:paraId="1725D7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（4）投入该工作的施工设备型号、台数和耗用台时；</w:t>
      </w:r>
    </w:p>
    <w:p w14:paraId="1FF414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（5）监理人要求提交的其他资料和凭证。</w:t>
      </w:r>
    </w:p>
    <w:p w14:paraId="0EABBB4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15.7.3 计日工由承包人汇总后，按第17.3.2项的约定列入进度付款申请单，由监理人复核并经发包人同意后列入进度付款。</w:t>
      </w:r>
    </w:p>
    <w:p w14:paraId="3F1AD62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38" w:name="_Toc29143"/>
      <w:r>
        <w:rPr>
          <w:rFonts w:hint="eastAsia" w:ascii="宋体" w:hAnsi="宋体" w:eastAsia="宋体" w:cs="宋体"/>
          <w:color w:val="auto"/>
          <w:highlight w:val="none"/>
        </w:rPr>
        <w:t>15.8 暂估价</w:t>
      </w:r>
      <w:bookmarkEnd w:id="238"/>
    </w:p>
    <w:p w14:paraId="624F210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793D9DC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320166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6F652849">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39" w:name="_Toc122424199"/>
      <w:bookmarkStart w:id="240" w:name="_Toc12800"/>
      <w:bookmarkStart w:id="241" w:name="_Toc122424448"/>
      <w:r>
        <w:rPr>
          <w:rFonts w:hint="eastAsia" w:ascii="宋体" w:hAnsi="宋体" w:eastAsia="宋体" w:cs="宋体"/>
          <w:color w:val="auto"/>
          <w:highlight w:val="none"/>
        </w:rPr>
        <w:t>16. 价格调整</w:t>
      </w:r>
      <w:bookmarkEnd w:id="239"/>
      <w:bookmarkEnd w:id="240"/>
      <w:bookmarkEnd w:id="241"/>
    </w:p>
    <w:p w14:paraId="60D6F64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2" w:name="_Toc27279"/>
      <w:r>
        <w:rPr>
          <w:rFonts w:hint="eastAsia" w:ascii="宋体" w:hAnsi="宋体" w:eastAsia="宋体" w:cs="宋体"/>
          <w:color w:val="auto"/>
          <w:highlight w:val="none"/>
        </w:rPr>
        <w:t>16.1 物价波动引起的价格调整</w:t>
      </w:r>
      <w:bookmarkEnd w:id="242"/>
    </w:p>
    <w:p w14:paraId="4F9423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除专用合同条款另有约定外，因物价波动引起的价格调整按照本款约定处理。</w:t>
      </w:r>
    </w:p>
    <w:p w14:paraId="2C4D6D7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 采用价格指数调整价格差额</w:t>
      </w:r>
    </w:p>
    <w:p w14:paraId="6D4FF9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16.1.1.1 价格调整公式</w:t>
      </w:r>
    </w:p>
    <w:p w14:paraId="4E6BD8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因人工、材料和设备等价格波动影响合同价格时，根据投标函附录中的价格指数和权重表约定的数据，按以下公式计算差额并调整合同价格。</w:t>
      </w:r>
    </w:p>
    <w:p w14:paraId="492F5D59">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position w:val="-34"/>
          <w:sz w:val="24"/>
          <w:highlight w:val="none"/>
        </w:rPr>
        <w:object>
          <v:shape id="_x0000_i1025" o:spt="75" type="#_x0000_t75" style="height:40.5pt;width:306pt;" o:ole="t" filled="f" o:preferrelative="t" stroked="f" coordsize="21600,21600">
            <v:path/>
            <v:fill on="f" focussize="0,0"/>
            <v:stroke on="f"/>
            <v:imagedata r:id="rId15" o:title=""/>
            <o:lock v:ext="edit" aspectratio="t"/>
            <w10:wrap type="none"/>
            <w10:anchorlock/>
          </v:shape>
          <o:OLEObject Type="Embed" ProgID="Equation.3" ShapeID="_x0000_i1025" DrawAspect="Content" ObjectID="_1468075725" r:id="rId14">
            <o:LockedField>false</o:LockedField>
          </o:OLEObject>
        </w:object>
      </w:r>
    </w:p>
    <w:p w14:paraId="40F95E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式中： △P -- 需调整的价格差额；</w:t>
      </w:r>
    </w:p>
    <w:p w14:paraId="22B862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P0 -- 第17.3.3项、第17.5.2项和第17.6.2项约定的付款证书中承包人应得到的已完成工程量的金额。此项金额应不包括价格调整、不计质量保证金的扣留和支付、预付款的支付和扣回。第15条约定的变更及其他金额已按现行价格计价的，也不计在内；</w:t>
      </w:r>
    </w:p>
    <w:p w14:paraId="0E4663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A -- 定值权重（即不调部分的权重）；</w:t>
      </w:r>
    </w:p>
    <w:p w14:paraId="592077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B1; B2 ;B3·····Bn -- 各可调因子的变值权重（即可调部分的权重）为各可调因子在投标函投标总报价中所占的比例；</w:t>
      </w:r>
    </w:p>
    <w:p w14:paraId="77682A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Ft1 ;Ft2 ;Ft3·····Ftn -- 各可调因子的现行价格指数，指第17.3.3项、第17.5.2项和第17.6.2项约定的付款证书相关周期最后一天的前42天的各可调因子的价格指数；</w:t>
      </w:r>
    </w:p>
    <w:p w14:paraId="20EE381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Fo1; Fo2; Fo3·····Fon -- 各可调因子的基本价格指数，指基准日期的各可调因子的价格指数。</w:t>
      </w:r>
    </w:p>
    <w:p w14:paraId="53BE14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244291F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16.1.1.2 暂时确定调整差额</w:t>
      </w:r>
    </w:p>
    <w:p w14:paraId="6FC48CD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在计算调整差额时得不到现行价格指数的，可暂用上一次价格指数计算，并在以后的付款中再按实际价格指数进行调整。</w:t>
      </w:r>
    </w:p>
    <w:p w14:paraId="06C8978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16.1.1.3 权重的调整</w:t>
      </w:r>
    </w:p>
    <w:p w14:paraId="3F1C27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按第15.1款约定的变更导致原定合同中的权重不合理时，由监理人与承包人和发包人协商后进行调整。</w:t>
      </w:r>
    </w:p>
    <w:p w14:paraId="620B31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16.1.1.4 承包人工期延误后的价格调整</w:t>
      </w:r>
    </w:p>
    <w:p w14:paraId="768F6EB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由于承包人原因未在约定的工期内竣工的，则对原约定竣工日期后继续施工的工程，在使用第16.1.1.1目价格调整公式时，应采用原约定竣工日期与实际竣工日期的两个价格指数中较低的一个作为现行价格指数。</w:t>
      </w:r>
    </w:p>
    <w:p w14:paraId="5E0F90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16.1.2 采用造价信息调整价格差额</w:t>
      </w:r>
    </w:p>
    <w:p w14:paraId="4D8555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60250F1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3" w:name="_Toc8116"/>
      <w:r>
        <w:rPr>
          <w:rFonts w:hint="eastAsia" w:ascii="宋体" w:hAnsi="宋体" w:eastAsia="宋体" w:cs="宋体"/>
          <w:color w:val="auto"/>
          <w:highlight w:val="none"/>
        </w:rPr>
        <w:t>16.2 法律变化引起的价格调整</w:t>
      </w:r>
      <w:bookmarkEnd w:id="243"/>
    </w:p>
    <w:p w14:paraId="51E7AA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50D0CEF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44" w:name="_Toc122424449"/>
      <w:bookmarkStart w:id="245" w:name="_Toc17915"/>
      <w:bookmarkStart w:id="246" w:name="_Toc122424200"/>
      <w:r>
        <w:rPr>
          <w:rFonts w:hint="eastAsia" w:ascii="宋体" w:hAnsi="宋体" w:eastAsia="宋体" w:cs="宋体"/>
          <w:color w:val="auto"/>
          <w:highlight w:val="none"/>
        </w:rPr>
        <w:t>17. 计量与支付</w:t>
      </w:r>
      <w:bookmarkEnd w:id="244"/>
      <w:bookmarkEnd w:id="245"/>
      <w:bookmarkEnd w:id="246"/>
    </w:p>
    <w:p w14:paraId="3BA0006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7" w:name="_Toc7023"/>
      <w:r>
        <w:rPr>
          <w:rFonts w:hint="eastAsia" w:ascii="宋体" w:hAnsi="宋体" w:eastAsia="宋体" w:cs="宋体"/>
          <w:color w:val="auto"/>
          <w:highlight w:val="none"/>
        </w:rPr>
        <w:t>17.1 计量</w:t>
      </w:r>
      <w:bookmarkEnd w:id="247"/>
    </w:p>
    <w:p w14:paraId="07C1ED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17.1.1 计量单位</w:t>
      </w:r>
    </w:p>
    <w:p w14:paraId="39F609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计量采用国家法定的计量单位。</w:t>
      </w:r>
    </w:p>
    <w:p w14:paraId="31D015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17.1.2 计量方法</w:t>
      </w:r>
    </w:p>
    <w:p w14:paraId="679C73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工程量清单中的工程量计算规则应按有关国家标准、行业标准的规定，并在合同中约定执行。</w:t>
      </w:r>
    </w:p>
    <w:p w14:paraId="2826D19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17.1.3 计量周期</w:t>
      </w:r>
    </w:p>
    <w:p w14:paraId="62832F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除专用合同条款另有约定外，单价子目已完成工程量按月计量，总价子目的计量周期按批准的支付分解报告确定。</w:t>
      </w:r>
    </w:p>
    <w:p w14:paraId="4626A0A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17.1.4 单价子目的计量</w:t>
      </w:r>
    </w:p>
    <w:p w14:paraId="62081B8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（1）已标价工程量清单中的单价子目工程量为估算工程量。结算工程量是承包人实际完成的，并按合同约定的计量方法进行计量的工程量。</w:t>
      </w:r>
    </w:p>
    <w:p w14:paraId="2CB31D0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（2）承包人对已完成的工程进行计量，向监理人提交进度付款申请单、已完成工程量报表和有关计量资料。</w:t>
      </w:r>
    </w:p>
    <w:p w14:paraId="2508EC4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100C6E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（4）监理人认为有必要时，可通知承包人共同进行联合测量、计量，承包人应遵照执行。</w:t>
      </w:r>
    </w:p>
    <w:p w14:paraId="252755E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4DD933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（6）监理人应在收到承包人提交的工程量报表后的7天内进行复核，监理人未在约定时间内复核的，承包人提交的工程量报表中的工程量视为承包人实际完成的工程量，据此计算工程价款。</w:t>
      </w:r>
    </w:p>
    <w:p w14:paraId="1F8627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17.1.5 总价子目的计量</w:t>
      </w:r>
    </w:p>
    <w:p w14:paraId="7AED0F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除专用合同条款另有约定外，总价子目的分解和计量按照下述约定进行。</w:t>
      </w:r>
    </w:p>
    <w:p w14:paraId="3AD34A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（1）总价子目的计量和支付应以总价为基础，不因第16.1款中的因素而进行调整。承包人实际完成的工程量，是进行工程目标管理和控制进度支付的依据。</w:t>
      </w:r>
    </w:p>
    <w:p w14:paraId="2648997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778BBAA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（3）监理人对承包人提交的上述资料进行复核，以确定分阶段实际完成的工程量和工程形象目标。对其有异议的，可要求承包人按第8.2款约定进行共同复核和抽样复测。</w:t>
      </w:r>
    </w:p>
    <w:p w14:paraId="7253C9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（4）除按照第15条约定的变更外，总价子目的工程量是承包人用于结算的最终工程量。 </w:t>
      </w:r>
    </w:p>
    <w:p w14:paraId="0143B37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8" w:name="_Toc13801"/>
      <w:r>
        <w:rPr>
          <w:rFonts w:hint="eastAsia" w:ascii="宋体" w:hAnsi="宋体" w:eastAsia="宋体" w:cs="宋体"/>
          <w:color w:val="auto"/>
          <w:highlight w:val="none"/>
        </w:rPr>
        <w:t>17.2 预付款</w:t>
      </w:r>
      <w:bookmarkEnd w:id="248"/>
    </w:p>
    <w:p w14:paraId="0FA74DC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17.2.1 预付款</w:t>
      </w:r>
    </w:p>
    <w:p w14:paraId="545A55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32B246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17.2.2 预付款保函</w:t>
      </w:r>
    </w:p>
    <w:p w14:paraId="6EAADBD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7BB35C5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17.2.3 预付款的扣回与还清</w:t>
      </w:r>
    </w:p>
    <w:p w14:paraId="3B47630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115EFF8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49" w:name="_Toc31468"/>
      <w:r>
        <w:rPr>
          <w:rFonts w:hint="eastAsia" w:ascii="宋体" w:hAnsi="宋体" w:eastAsia="宋体" w:cs="宋体"/>
          <w:color w:val="auto"/>
          <w:highlight w:val="none"/>
        </w:rPr>
        <w:t>17.3 工程进度付款</w:t>
      </w:r>
      <w:bookmarkEnd w:id="249"/>
    </w:p>
    <w:p w14:paraId="78EDC58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17.3.1 付款周期</w:t>
      </w:r>
    </w:p>
    <w:p w14:paraId="5B51696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付款周期同计量周期。</w:t>
      </w:r>
    </w:p>
    <w:p w14:paraId="6275F8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17.3.2 进度付款申请单</w:t>
      </w:r>
    </w:p>
    <w:p w14:paraId="089A74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01DEE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（1）截至本次付款周期末已实施工程的价款；</w:t>
      </w:r>
    </w:p>
    <w:p w14:paraId="762DD16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（2）根据第15条应增加和扣减的变更金额；</w:t>
      </w:r>
    </w:p>
    <w:p w14:paraId="59B0B6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（3）根据第23条应增加和扣减的索赔金额；</w:t>
      </w:r>
    </w:p>
    <w:p w14:paraId="5AC3CB4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（4）根据第17.2款约定应支付的预付款和扣减的返还预付款；</w:t>
      </w:r>
    </w:p>
    <w:p w14:paraId="3BF81F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（5）根据第17.4.1项约定应扣减的质量保证金；</w:t>
      </w:r>
    </w:p>
    <w:p w14:paraId="062A54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（6）根据合同应增加和扣减的其他金额。</w:t>
      </w:r>
    </w:p>
    <w:p w14:paraId="59E1B0F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17.3.3 进度付款证书和支付时间</w:t>
      </w:r>
    </w:p>
    <w:p w14:paraId="035DC30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5C9725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（2）发包人应在监理人收到进度付款申请单后的28天内，将进度应付款支付给承包人。发包人不按期支付的，按专用合同条款的约定支付逾期付款违约金。</w:t>
      </w:r>
    </w:p>
    <w:p w14:paraId="29CFD38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（3）监理人出具进度付款证书，不应视为监理人已同意、批准或接受了承包人完成的该部分工作。</w:t>
      </w:r>
    </w:p>
    <w:p w14:paraId="2E757F9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（4）进度付款涉及政府投资资金的，按照国库集中支付等国家相关规定和专用合同条款的约定办理。</w:t>
      </w:r>
    </w:p>
    <w:p w14:paraId="687EDB4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17.3.4 工程进度付款的修正</w:t>
      </w:r>
    </w:p>
    <w:p w14:paraId="2B6C3C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7F42DF8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0" w:name="_Toc32700"/>
      <w:r>
        <w:rPr>
          <w:rFonts w:hint="eastAsia" w:ascii="宋体" w:hAnsi="宋体" w:eastAsia="宋体" w:cs="宋体"/>
          <w:color w:val="auto"/>
          <w:highlight w:val="none"/>
        </w:rPr>
        <w:t>17.4 质量保证金</w:t>
      </w:r>
      <w:bookmarkEnd w:id="250"/>
    </w:p>
    <w:p w14:paraId="5461F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3E279DF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29A458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17.4.3 在第1.1.4.5目约定的缺陷责任期满时，承包人没有完成缺陷责任的，发包人有权扣留与未履行责任剩余工作所需金额相应的质量保证金余额，并有权根据第19.3款约定要求延长缺陷责任期，直至完成剩余工作为止。 </w:t>
      </w:r>
    </w:p>
    <w:p w14:paraId="5ABFBAC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1" w:name="_Toc564"/>
      <w:r>
        <w:rPr>
          <w:rFonts w:hint="eastAsia" w:ascii="宋体" w:hAnsi="宋体" w:eastAsia="宋体" w:cs="宋体"/>
          <w:color w:val="auto"/>
          <w:highlight w:val="none"/>
        </w:rPr>
        <w:t>17.5 竣工结算</w:t>
      </w:r>
      <w:bookmarkEnd w:id="251"/>
    </w:p>
    <w:p w14:paraId="1895413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17.5.1 竣工付款申请单</w:t>
      </w:r>
    </w:p>
    <w:p w14:paraId="0C46B9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2B3FFB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（2）监理人对竣工付款申请单有异议的，有权要求承包人进行修正和提供补充资料。经监理人和承包人协商后，由承包人向监理人提交修正后的竣工付款申请单。</w:t>
      </w:r>
    </w:p>
    <w:p w14:paraId="3A5FE7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17.5.2 竣工付款证书及支付时间</w:t>
      </w:r>
    </w:p>
    <w:p w14:paraId="11C3E72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1699071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（2）发包人应在监理人出具竣工付款证书后的14天内，将应支付款支付给承包人。发包人不按期支付的，按第17.3.3（2）目的约定，将逾期付款违约金支付给承包人。</w:t>
      </w:r>
    </w:p>
    <w:p w14:paraId="2030D3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（3）承包人对发包人签认的竣工付款证书有异议的，发包人可出具竣工付款申请单中承包人已同意部分的临时付款证书。存在争议的部分，按第24条的约定办理。</w:t>
      </w:r>
    </w:p>
    <w:p w14:paraId="30C16E0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（4）竣工付款涉及政府投资资金的，按第17.3.3（４）目的约定办理。</w:t>
      </w:r>
    </w:p>
    <w:p w14:paraId="23E659B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2" w:name="_Toc25285"/>
      <w:r>
        <w:rPr>
          <w:rFonts w:hint="eastAsia" w:ascii="宋体" w:hAnsi="宋体" w:eastAsia="宋体" w:cs="宋体"/>
          <w:color w:val="auto"/>
          <w:highlight w:val="none"/>
        </w:rPr>
        <w:t>17.6 最终结清</w:t>
      </w:r>
      <w:bookmarkEnd w:id="252"/>
    </w:p>
    <w:p w14:paraId="70C196C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17.6.1 最终结清申请单</w:t>
      </w:r>
    </w:p>
    <w:p w14:paraId="4658B2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（1）缺陷责任期终止证书签发后，承包人可按专用合同条款约定的份数和期限向监理人提交最终结清申请单，并提供相关证明材料。</w:t>
      </w:r>
    </w:p>
    <w:p w14:paraId="75C6DE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（2）发包人对最终结清申请单内容有异议的，有权要求承包人进行修正和提供补充资料，由承包人向监理人提交修正后的最终结清申请单。</w:t>
      </w:r>
    </w:p>
    <w:p w14:paraId="4326487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17.6.2 最终结清证书和支付时间</w:t>
      </w:r>
    </w:p>
    <w:p w14:paraId="7020D63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79D6DB3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（2）发包人应在监理人出具最终结清证书后的14天内，将应支付款支付给承包人。发包人不按期支付的，按第17.3.3（2）目的约定，将逾期付款违约金支付给承包人。</w:t>
      </w:r>
    </w:p>
    <w:p w14:paraId="136DA7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（3）承包人对发包人签认的最终结清证书有异议的，按第24条的约定办理。</w:t>
      </w:r>
    </w:p>
    <w:p w14:paraId="02872C4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（4）最终结清付款涉及政府投资资金的，按第17.3.3（４）目的约定办理。</w:t>
      </w:r>
    </w:p>
    <w:p w14:paraId="4B41E211">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53" w:name="_Toc122424450"/>
      <w:bookmarkStart w:id="254" w:name="_Toc30994"/>
      <w:bookmarkStart w:id="255" w:name="_Toc122424201"/>
      <w:r>
        <w:rPr>
          <w:rFonts w:hint="eastAsia" w:ascii="宋体" w:hAnsi="宋体" w:eastAsia="宋体" w:cs="宋体"/>
          <w:color w:val="auto"/>
          <w:highlight w:val="none"/>
        </w:rPr>
        <w:t>18. 竣工验收</w:t>
      </w:r>
      <w:bookmarkEnd w:id="253"/>
      <w:bookmarkEnd w:id="254"/>
      <w:bookmarkEnd w:id="255"/>
    </w:p>
    <w:p w14:paraId="268440B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6" w:name="_Toc32352"/>
      <w:r>
        <w:rPr>
          <w:rFonts w:hint="eastAsia" w:ascii="宋体" w:hAnsi="宋体" w:eastAsia="宋体" w:cs="宋体"/>
          <w:color w:val="auto"/>
          <w:highlight w:val="none"/>
        </w:rPr>
        <w:t>18.1 竣工验收的含义</w:t>
      </w:r>
      <w:bookmarkEnd w:id="256"/>
    </w:p>
    <w:p w14:paraId="75A3F3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18.1.1 竣工验收指承包人完成了全部合同工作后，发包人按合同要求进行的验收。</w:t>
      </w:r>
    </w:p>
    <w:p w14:paraId="1259CC3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18.1.2 国家验收是政府有关部门根据法律、规范、规程和政策要求，针对发包人全面组织实施的整个工程正式交付投运前的验收。</w:t>
      </w:r>
    </w:p>
    <w:p w14:paraId="40BCE69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18.1.3 需要进行国家验收的，竣工验收是国家验收的一部分。竣工验收所采用的各项验收和评定标准应符合国家验收标准。发包人和承包人为竣工验收提供的各项竣工验收资料应符合国家验收的要求。 </w:t>
      </w:r>
    </w:p>
    <w:p w14:paraId="7C981EA0">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7" w:name="_Toc1350"/>
      <w:r>
        <w:rPr>
          <w:rFonts w:hint="eastAsia" w:ascii="宋体" w:hAnsi="宋体" w:eastAsia="宋体" w:cs="宋体"/>
          <w:color w:val="auto"/>
          <w:highlight w:val="none"/>
        </w:rPr>
        <w:t>18.2 竣工验收申请报告</w:t>
      </w:r>
      <w:bookmarkEnd w:id="257"/>
    </w:p>
    <w:p w14:paraId="0F4E8F3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当工程具备以下条件时，承包人即可向监理人报送竣工验收申请报告：</w:t>
      </w:r>
    </w:p>
    <w:p w14:paraId="4319EE6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10818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（2）已按合同约定的内容和份数备齐了符合要求的竣工资料； </w:t>
      </w:r>
    </w:p>
    <w:p w14:paraId="26DF888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（3）已按监理人的要求编制了在缺陷责任期内完成的尾工（甩项）工程和缺陷修补工作清单以及相应施工计划；</w:t>
      </w:r>
    </w:p>
    <w:p w14:paraId="0844D22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（4）监理人要求在竣工验收前应完成的其他工作；</w:t>
      </w:r>
    </w:p>
    <w:p w14:paraId="6F6C7D9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（5）监理人要求提交的竣工验收资料清单。</w:t>
      </w:r>
    </w:p>
    <w:p w14:paraId="682422D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8" w:name="_Toc7634"/>
      <w:r>
        <w:rPr>
          <w:rFonts w:hint="eastAsia" w:ascii="宋体" w:hAnsi="宋体" w:eastAsia="宋体" w:cs="宋体"/>
          <w:color w:val="auto"/>
          <w:highlight w:val="none"/>
        </w:rPr>
        <w:t>18.3 验收</w:t>
      </w:r>
      <w:bookmarkEnd w:id="258"/>
    </w:p>
    <w:p w14:paraId="6E545B8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监理人收到承包人按第18.2款约定提交的竣工验收申请报告后，应审查申请报告的各项内容，并按以下不同情况进行处理。</w:t>
      </w:r>
    </w:p>
    <w:p w14:paraId="0830F6C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7EC1B8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18.3.2 监理人审查后认为已具备竣工验收条件的，应在收到竣工验收申请报告后的28天内提请发包人进行工程验收。</w:t>
      </w:r>
    </w:p>
    <w:p w14:paraId="241639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6310395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1B423E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18.3.5 除专用合同条款另有约定外，经验收合格工程的实际竣工日期，以提交竣工验收申请报告的日期为准，并在工程接收证书中写明。</w:t>
      </w:r>
    </w:p>
    <w:p w14:paraId="54F897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18.3.6 发包人在收到承包人竣工验收申请报告56天后未进行验收的，视为验收合格，实际竣工日期以提交竣工验收申请报告的日期为准，但发包人由于不可抗力不能进行验收的除外。</w:t>
      </w:r>
    </w:p>
    <w:p w14:paraId="4536A4F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59" w:name="_Toc14179"/>
      <w:r>
        <w:rPr>
          <w:rFonts w:hint="eastAsia" w:ascii="宋体" w:hAnsi="宋体" w:eastAsia="宋体" w:cs="宋体"/>
          <w:color w:val="auto"/>
          <w:highlight w:val="none"/>
        </w:rPr>
        <w:t>18.4 单位工程验收</w:t>
      </w:r>
      <w:bookmarkEnd w:id="259"/>
    </w:p>
    <w:p w14:paraId="1F85B1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DAAA40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18.4.2 发包人在全部工程竣工前，使用已接收的单位工程导致承包人费用增加的，发包人应承担由此增加的费用和（或）工期延误，并支付承包人合理利润。</w:t>
      </w:r>
    </w:p>
    <w:p w14:paraId="7E4A36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0" w:name="_Toc16446"/>
      <w:r>
        <w:rPr>
          <w:rFonts w:hint="eastAsia" w:ascii="宋体" w:hAnsi="宋体" w:eastAsia="宋体" w:cs="宋体"/>
          <w:color w:val="auto"/>
          <w:highlight w:val="none"/>
        </w:rPr>
        <w:t>18.5 施工期运行</w:t>
      </w:r>
      <w:bookmarkEnd w:id="260"/>
    </w:p>
    <w:p w14:paraId="6BF4D83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23197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18.5.2 在施工期运行中发现工程或工程设备损坏或存在缺陷的，由承包人按第19.2款约定进行修复。</w:t>
      </w:r>
    </w:p>
    <w:p w14:paraId="54A435A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1" w:name="_Toc26484"/>
      <w:r>
        <w:rPr>
          <w:rFonts w:hint="eastAsia" w:ascii="宋体" w:hAnsi="宋体" w:eastAsia="宋体" w:cs="宋体"/>
          <w:color w:val="auto"/>
          <w:highlight w:val="none"/>
        </w:rPr>
        <w:t>18.6 试运行</w:t>
      </w:r>
      <w:bookmarkEnd w:id="261"/>
    </w:p>
    <w:p w14:paraId="0D409D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18.6.1 除专用合同条款另有约定外，承包人应按专用合同条款约定进行工程及工程设备试运行，负责提供试运行所需的人员、器材和必要的条件，并承担全部试运行费用。</w:t>
      </w:r>
    </w:p>
    <w:p w14:paraId="6E15E4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2306CC8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2" w:name="_Toc9520"/>
      <w:r>
        <w:rPr>
          <w:rFonts w:hint="eastAsia" w:ascii="宋体" w:hAnsi="宋体" w:eastAsia="宋体" w:cs="宋体"/>
          <w:color w:val="auto"/>
          <w:highlight w:val="none"/>
        </w:rPr>
        <w:t>18.7 竣工清场</w:t>
      </w:r>
      <w:bookmarkEnd w:id="262"/>
    </w:p>
    <w:p w14:paraId="3354AAF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18.7.1 除合同另有约定外，工程接收证书颁发后，承包人应按以下要求对施工场地进行清理，直至监理人检验合格为止。竣工清场费用由承包人承担。</w:t>
      </w:r>
    </w:p>
    <w:p w14:paraId="1EF6D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（1）施工场地内残留的垃圾已全部清除出场；</w:t>
      </w:r>
    </w:p>
    <w:p w14:paraId="7E5DE42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（2）临时工程已拆除，场地已按合同要求进行清理、平整或复原；</w:t>
      </w:r>
    </w:p>
    <w:p w14:paraId="6B9C2DD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（3）按合同约定应撤离的承包人设备和剩余的材料，包括废弃的施工设备和材料，已按计划撤离施工场地；</w:t>
      </w:r>
    </w:p>
    <w:p w14:paraId="1B9EB99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（4）工程建筑物周边及其附近道路、河道的施工堆积物，已按监理人指示全部清理；</w:t>
      </w:r>
    </w:p>
    <w:p w14:paraId="349DC5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（5）监理人指示的其他场地清理工作已全部完成。</w:t>
      </w:r>
    </w:p>
    <w:p w14:paraId="2FD9253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18.7.2 承包人未按监理人的要求恢复临时占地，或者场地清理未达到合同约定的，发包人有权委托其他人恢复或清理，所发生的金额从拟支付给承包人的款项中扣除。</w:t>
      </w:r>
    </w:p>
    <w:p w14:paraId="73131C5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3" w:name="_Toc10196"/>
      <w:r>
        <w:rPr>
          <w:rFonts w:hint="eastAsia" w:ascii="宋体" w:hAnsi="宋体" w:eastAsia="宋体" w:cs="宋体"/>
          <w:color w:val="auto"/>
          <w:highlight w:val="none"/>
        </w:rPr>
        <w:t>18.8 施工队伍的撤离</w:t>
      </w:r>
      <w:bookmarkEnd w:id="263"/>
    </w:p>
    <w:p w14:paraId="411D32E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74717207">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64" w:name="_Toc122424451"/>
      <w:bookmarkStart w:id="265" w:name="_Toc10892"/>
      <w:bookmarkStart w:id="266" w:name="_Toc122424202"/>
      <w:r>
        <w:rPr>
          <w:rFonts w:hint="eastAsia" w:ascii="宋体" w:hAnsi="宋体" w:eastAsia="宋体" w:cs="宋体"/>
          <w:color w:val="auto"/>
          <w:highlight w:val="none"/>
        </w:rPr>
        <w:t>19. 缺陷责任与保修责任</w:t>
      </w:r>
      <w:bookmarkEnd w:id="264"/>
      <w:bookmarkEnd w:id="265"/>
      <w:bookmarkEnd w:id="266"/>
    </w:p>
    <w:p w14:paraId="045D8965">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7" w:name="_Toc2029"/>
      <w:r>
        <w:rPr>
          <w:rFonts w:hint="eastAsia" w:ascii="宋体" w:hAnsi="宋体" w:eastAsia="宋体" w:cs="宋体"/>
          <w:color w:val="auto"/>
          <w:highlight w:val="none"/>
        </w:rPr>
        <w:t>19.1 缺陷责任期的起算时间</w:t>
      </w:r>
      <w:bookmarkEnd w:id="267"/>
    </w:p>
    <w:p w14:paraId="3135EA0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缺陷责任期自实际竣工日期起计算。在全部工程竣工验收前，已经发包人提前验收的单位工程，其缺陷责任期的起算日期相应提前。</w:t>
      </w:r>
    </w:p>
    <w:p w14:paraId="79F708E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8" w:name="_Toc28384"/>
      <w:r>
        <w:rPr>
          <w:rFonts w:hint="eastAsia" w:ascii="宋体" w:hAnsi="宋体" w:eastAsia="宋体" w:cs="宋体"/>
          <w:color w:val="auto"/>
          <w:highlight w:val="none"/>
        </w:rPr>
        <w:t>19.2 缺陷责任</w:t>
      </w:r>
      <w:bookmarkEnd w:id="268"/>
    </w:p>
    <w:p w14:paraId="4C47305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19.2.1 承包人应在缺陷责任期内对已交付使用的工程承担缺陷责任。</w:t>
      </w:r>
    </w:p>
    <w:p w14:paraId="10402C6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5F9540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C4BB1C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19.2.4 承包人不能在合理时间内修复缺陷的，发包人可自行修复或委托其他人修复，所需费用和利润的承担，按第19.2.3项约定办理。</w:t>
      </w:r>
    </w:p>
    <w:p w14:paraId="133F5C9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69" w:name="_Toc28081"/>
      <w:r>
        <w:rPr>
          <w:rFonts w:hint="eastAsia" w:ascii="宋体" w:hAnsi="宋体" w:eastAsia="宋体" w:cs="宋体"/>
          <w:color w:val="auto"/>
          <w:highlight w:val="none"/>
        </w:rPr>
        <w:t>19.3 缺陷责任期的延长</w:t>
      </w:r>
      <w:bookmarkEnd w:id="269"/>
    </w:p>
    <w:p w14:paraId="6AEC63E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112B856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0" w:name="_Toc882"/>
      <w:r>
        <w:rPr>
          <w:rFonts w:hint="eastAsia" w:ascii="宋体" w:hAnsi="宋体" w:eastAsia="宋体" w:cs="宋体"/>
          <w:color w:val="auto"/>
          <w:highlight w:val="none"/>
        </w:rPr>
        <w:t>19.4 进一步试验和试运行</w:t>
      </w:r>
      <w:bookmarkEnd w:id="270"/>
    </w:p>
    <w:p w14:paraId="71DC025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任何一项缺陷或损坏修复后，经检查证明其影响了工程或工程设备的使用性能，承包人应重新进行合同约定的试验和试运行，试验和试运行的全部费用应由责任方承担。</w:t>
      </w:r>
    </w:p>
    <w:p w14:paraId="6BD5FFE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1" w:name="_Toc17413"/>
      <w:r>
        <w:rPr>
          <w:rFonts w:hint="eastAsia" w:ascii="宋体" w:hAnsi="宋体" w:eastAsia="宋体" w:cs="宋体"/>
          <w:color w:val="auto"/>
          <w:highlight w:val="none"/>
        </w:rPr>
        <w:t>19.5 承包人的进入权</w:t>
      </w:r>
      <w:bookmarkEnd w:id="271"/>
    </w:p>
    <w:p w14:paraId="4E0DCB8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缺陷责任期内承包人为缺陷修复工作需要，有权进入工程现场，但应遵守发包人的保安和保密规定。</w:t>
      </w:r>
    </w:p>
    <w:p w14:paraId="3D425E5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2" w:name="_Toc4985"/>
      <w:r>
        <w:rPr>
          <w:rFonts w:hint="eastAsia" w:ascii="宋体" w:hAnsi="宋体" w:eastAsia="宋体" w:cs="宋体"/>
          <w:color w:val="auto"/>
          <w:highlight w:val="none"/>
        </w:rPr>
        <w:t>19.6 缺陷责任期终止证书</w:t>
      </w:r>
      <w:bookmarkEnd w:id="272"/>
    </w:p>
    <w:p w14:paraId="45DF839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在第1.1.4.5目约定的缺陷责任期，包括根据第19.3款延长的期限终止后14天内，由监理人向承包人出具经发包人签认的缺陷责任期终止证书，并退还剩余的质量保证金。</w:t>
      </w:r>
    </w:p>
    <w:p w14:paraId="335073B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3" w:name="_Toc28036"/>
      <w:r>
        <w:rPr>
          <w:rFonts w:hint="eastAsia" w:ascii="宋体" w:hAnsi="宋体" w:eastAsia="宋体" w:cs="宋体"/>
          <w:color w:val="auto"/>
          <w:highlight w:val="none"/>
        </w:rPr>
        <w:t>19.7 保修责任</w:t>
      </w:r>
      <w:bookmarkEnd w:id="273"/>
    </w:p>
    <w:p w14:paraId="32E946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48F832EA">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74" w:name="_Toc122424452"/>
      <w:bookmarkStart w:id="275" w:name="_Toc122424203"/>
      <w:bookmarkStart w:id="276" w:name="_Toc21090"/>
      <w:r>
        <w:rPr>
          <w:rFonts w:hint="eastAsia" w:ascii="宋体" w:hAnsi="宋体" w:eastAsia="宋体" w:cs="宋体"/>
          <w:color w:val="auto"/>
          <w:highlight w:val="none"/>
        </w:rPr>
        <w:t>20. 保险</w:t>
      </w:r>
      <w:bookmarkEnd w:id="274"/>
      <w:bookmarkEnd w:id="275"/>
      <w:bookmarkEnd w:id="276"/>
    </w:p>
    <w:p w14:paraId="622F66B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7" w:name="_Toc9782"/>
      <w:r>
        <w:rPr>
          <w:rFonts w:hint="eastAsia" w:ascii="宋体" w:hAnsi="宋体" w:eastAsia="宋体" w:cs="宋体"/>
          <w:color w:val="auto"/>
          <w:highlight w:val="none"/>
        </w:rPr>
        <w:t>20.1 工程保险</w:t>
      </w:r>
      <w:bookmarkEnd w:id="277"/>
    </w:p>
    <w:p w14:paraId="14280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07D57F38">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8" w:name="_Toc20764"/>
      <w:r>
        <w:rPr>
          <w:rFonts w:hint="eastAsia" w:ascii="宋体" w:hAnsi="宋体" w:eastAsia="宋体" w:cs="宋体"/>
          <w:color w:val="auto"/>
          <w:highlight w:val="none"/>
        </w:rPr>
        <w:t>20.2 人员工伤事故的保险</w:t>
      </w:r>
      <w:bookmarkEnd w:id="278"/>
    </w:p>
    <w:p w14:paraId="1E34B9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20.2.1 承包人员工伤事故的保险</w:t>
      </w:r>
    </w:p>
    <w:p w14:paraId="522711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承包人应依照有关法律规定参加工伤保险，为其履行合同所雇佣的全部人员，缴纳工伤保险费，并要求其分包人也进行此项保险。</w:t>
      </w:r>
    </w:p>
    <w:p w14:paraId="3074CF8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20.2.2 发包人员工伤事故的保险</w:t>
      </w:r>
    </w:p>
    <w:p w14:paraId="4702A77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发包人应依照有关法律规定参加工伤保险，为其现场机构雇佣的全部人员，缴纳工伤保险费，并要求其监理人也进行此项保险。</w:t>
      </w:r>
    </w:p>
    <w:p w14:paraId="7EA3F9DA">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79" w:name="_Toc5176"/>
      <w:r>
        <w:rPr>
          <w:rFonts w:hint="eastAsia" w:ascii="宋体" w:hAnsi="宋体" w:eastAsia="宋体" w:cs="宋体"/>
          <w:color w:val="auto"/>
          <w:highlight w:val="none"/>
        </w:rPr>
        <w:t>20.3 人身意外伤害险</w:t>
      </w:r>
      <w:bookmarkEnd w:id="279"/>
    </w:p>
    <w:p w14:paraId="4F05DB7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20.3.1 发包人应在整个施工期间为其现场机构雇用的全部人员，投保人身意外伤害险，缴纳保险费，并要求其监理人也进行此项保险。</w:t>
      </w:r>
    </w:p>
    <w:p w14:paraId="54843D1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20.3.2 承包人应在整个施工期间为其现场机构雇用的全部人员，投保人身意外伤害险，缴纳保险费，并要求其分包人也进行此项保险。</w:t>
      </w:r>
    </w:p>
    <w:p w14:paraId="4BAD1A3F">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0" w:name="_Toc6828"/>
      <w:r>
        <w:rPr>
          <w:rFonts w:hint="eastAsia" w:ascii="宋体" w:hAnsi="宋体" w:eastAsia="宋体" w:cs="宋体"/>
          <w:color w:val="auto"/>
          <w:highlight w:val="none"/>
        </w:rPr>
        <w:t>20.4 第三者责任险</w:t>
      </w:r>
      <w:bookmarkEnd w:id="280"/>
    </w:p>
    <w:p w14:paraId="3826835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33DEDF5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20.4.2 在缺陷责任期终止证书颁发前，承包人应以承包人和发包人的共同名义，投保第20.4.1项约定的第三者责任险，其保险费率、保险金额等有关内容在专用合同条款中约定。</w:t>
      </w:r>
    </w:p>
    <w:p w14:paraId="2F4355ED">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1" w:name="_Toc1637"/>
      <w:r>
        <w:rPr>
          <w:rFonts w:hint="eastAsia" w:ascii="宋体" w:hAnsi="宋体" w:eastAsia="宋体" w:cs="宋体"/>
          <w:color w:val="auto"/>
          <w:highlight w:val="none"/>
        </w:rPr>
        <w:t>20.5 其他保险</w:t>
      </w:r>
      <w:bookmarkEnd w:id="281"/>
    </w:p>
    <w:p w14:paraId="5CF1C22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除专用合同条款另有约定外，承包人应为其施工设备、进场的材料和工程设备等办理保险。</w:t>
      </w:r>
    </w:p>
    <w:p w14:paraId="3571B3C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2" w:name="_Toc15017"/>
      <w:r>
        <w:rPr>
          <w:rFonts w:hint="eastAsia" w:ascii="宋体" w:hAnsi="宋体" w:eastAsia="宋体" w:cs="宋体"/>
          <w:color w:val="auto"/>
          <w:highlight w:val="none"/>
        </w:rPr>
        <w:t>20.6 对各项保险的一般要求</w:t>
      </w:r>
      <w:bookmarkEnd w:id="282"/>
    </w:p>
    <w:p w14:paraId="708D78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20.6.1 保险凭证</w:t>
      </w:r>
    </w:p>
    <w:p w14:paraId="0FFD9AD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承包人应在专用合同条款约定的期限内向发包人提交各项保险生效的证据和保险单副本，保险单必须与专用合同条款约定的条件保持一致。</w:t>
      </w:r>
    </w:p>
    <w:p w14:paraId="6F0E9D4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20.6.2 保险合同条款的变动</w:t>
      </w:r>
    </w:p>
    <w:p w14:paraId="65F1CAD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承包人需要变动保险合同条款时，应事先征得发包人同意，并通知监理人。保险人作出变动的，承包人应在收到保险人通知后立即通知发包人和监理人。</w:t>
      </w:r>
    </w:p>
    <w:p w14:paraId="234879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20.6.3 持续保险</w:t>
      </w:r>
    </w:p>
    <w:p w14:paraId="41FA50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承包人应与保险人保持联系，使保险人能够随时了解工程实施中的变动，并确保按保险合同条款要求持续保险。</w:t>
      </w:r>
    </w:p>
    <w:p w14:paraId="260DCF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20.6.4 保险金不足的补偿</w:t>
      </w:r>
    </w:p>
    <w:p w14:paraId="01F5DDA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保险金不足以补偿损失的，应由承包人和（或）发包人按合同约定负责补偿。</w:t>
      </w:r>
    </w:p>
    <w:p w14:paraId="280CA0B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20.6.5 未按约定投保的补救</w:t>
      </w:r>
    </w:p>
    <w:p w14:paraId="5E5375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（1）由于负有投保义务的一方当事人未按合同约定办理保险，或未能使保险持续有效的，另一方当事人可代为办理，所需费用由对方当事人承担。</w:t>
      </w:r>
    </w:p>
    <w:p w14:paraId="57E563E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（2）由于负有投保义务的一方当事人未按合同约定办理某项保险，导致受益人未能得到保险人的赔偿，原应从该项保险得到的保险金应由负有投保义务的一方当事人支付。</w:t>
      </w:r>
    </w:p>
    <w:p w14:paraId="3AC94C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20.6.6 报告义务</w:t>
      </w:r>
    </w:p>
    <w:p w14:paraId="3DB1570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当保险事故发生时，投保人应按照保险单规定的条件和期限及时向保险人报告。</w:t>
      </w:r>
    </w:p>
    <w:p w14:paraId="4417B72E">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3" w:name="_Toc6526"/>
      <w:bookmarkStart w:id="284" w:name="_Toc122424204"/>
      <w:bookmarkStart w:id="285" w:name="_Toc122424453"/>
      <w:r>
        <w:rPr>
          <w:rFonts w:hint="eastAsia" w:ascii="宋体" w:hAnsi="宋体" w:eastAsia="宋体" w:cs="宋体"/>
          <w:color w:val="auto"/>
          <w:highlight w:val="none"/>
        </w:rPr>
        <w:t>21. 不可抗力</w:t>
      </w:r>
      <w:bookmarkEnd w:id="283"/>
      <w:bookmarkEnd w:id="284"/>
      <w:bookmarkEnd w:id="285"/>
    </w:p>
    <w:p w14:paraId="26BFEDE4">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6" w:name="_Toc9293"/>
      <w:r>
        <w:rPr>
          <w:rFonts w:hint="eastAsia" w:ascii="宋体" w:hAnsi="宋体" w:eastAsia="宋体" w:cs="宋体"/>
          <w:color w:val="auto"/>
          <w:highlight w:val="none"/>
        </w:rPr>
        <w:t>21.1 不可抗力的确认</w:t>
      </w:r>
      <w:bookmarkEnd w:id="286"/>
    </w:p>
    <w:p w14:paraId="7FDDBAF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0C2AE85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79973012">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7" w:name="_Toc32615"/>
      <w:r>
        <w:rPr>
          <w:rFonts w:hint="eastAsia" w:ascii="宋体" w:hAnsi="宋体" w:eastAsia="宋体" w:cs="宋体"/>
          <w:color w:val="auto"/>
          <w:highlight w:val="none"/>
        </w:rPr>
        <w:t>21.2 不可抗力的通知</w:t>
      </w:r>
      <w:bookmarkEnd w:id="287"/>
    </w:p>
    <w:p w14:paraId="31DFAC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21.2.1 合同一方当事人遇到不可抗力事件，使其履行合同义务受到阻碍时，应立即通知合同另一方当事人和监理人，书面说明不可抗力和受阻碍的详细情况，并提供必要的证明。</w:t>
      </w:r>
    </w:p>
    <w:p w14:paraId="0C4D5CF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2BA91043">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88" w:name="_Toc26419"/>
      <w:r>
        <w:rPr>
          <w:rFonts w:hint="eastAsia" w:ascii="宋体" w:hAnsi="宋体" w:eastAsia="宋体" w:cs="宋体"/>
          <w:color w:val="auto"/>
          <w:highlight w:val="none"/>
        </w:rPr>
        <w:t>21.3 不可抗力后果及其处理</w:t>
      </w:r>
      <w:bookmarkEnd w:id="288"/>
    </w:p>
    <w:p w14:paraId="63790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21.3.1 不可抗力造成损害的责任</w:t>
      </w:r>
    </w:p>
    <w:p w14:paraId="2C8CFB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除专用合同条款另有约定外，不可抗力导致的人员伤亡、财产损失、费用增加和（或）工期延误等后果，由合同双方按以下原则承担：</w:t>
      </w:r>
    </w:p>
    <w:p w14:paraId="5C9E0CE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（1）永久工程，包括已运至施工场地的材料和工程设备的损害，以及因工程损害造成的第三者人员伤亡和财产损失由发包人承担；</w:t>
      </w:r>
    </w:p>
    <w:p w14:paraId="20A7ECF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（2）承包人设备的损坏由承包人承担；</w:t>
      </w:r>
    </w:p>
    <w:p w14:paraId="162F631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（3）发包人和承包人各自承担其人员伤亡和其他财产损失及其相关费用；</w:t>
      </w:r>
    </w:p>
    <w:p w14:paraId="5EDA2BE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（4）承包人的停工损失由承包人承担，但停工期间应监理人要求照管工程和清理、修复工程的金额由发包人承担；</w:t>
      </w:r>
    </w:p>
    <w:p w14:paraId="5F86E23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（5）不能按期竣工的，应合理延长工期，承包人不需支付逾期竣工违约金。发包人要求赶工的，承包人应采取赶工措施，赶工费用由发包人承担。</w:t>
      </w:r>
    </w:p>
    <w:p w14:paraId="7EEBF7B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21.3.2 延迟履行期间发生的不可抗力</w:t>
      </w:r>
    </w:p>
    <w:p w14:paraId="487AAA8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合同一方当事人延迟履行，在延迟履行期间发生不可抗力的，不免除其责任。</w:t>
      </w:r>
    </w:p>
    <w:p w14:paraId="77CA31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21.3.3 避免和减少不可抗力损失</w:t>
      </w:r>
    </w:p>
    <w:p w14:paraId="086A20B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不可抗力发生后，发包人和承包人均应采取措施尽量避免和减少损失的扩大，任何一方没有采取有效措施导致损失扩大的，应对扩大的损失承担责任。</w:t>
      </w:r>
    </w:p>
    <w:p w14:paraId="241F2E2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21.3.4 因不可抗力解除合同</w:t>
      </w:r>
    </w:p>
    <w:p w14:paraId="0B7A30A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04FC300B">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89" w:name="_Toc16752"/>
      <w:bookmarkStart w:id="290" w:name="_Toc122424205"/>
      <w:bookmarkStart w:id="291" w:name="_Toc122424454"/>
      <w:r>
        <w:rPr>
          <w:rFonts w:hint="eastAsia" w:ascii="宋体" w:hAnsi="宋体" w:eastAsia="宋体" w:cs="宋体"/>
          <w:color w:val="auto"/>
          <w:highlight w:val="none"/>
        </w:rPr>
        <w:t>22. 违约</w:t>
      </w:r>
      <w:bookmarkEnd w:id="289"/>
      <w:bookmarkEnd w:id="290"/>
      <w:bookmarkEnd w:id="291"/>
    </w:p>
    <w:p w14:paraId="7062D5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2" w:name="_Toc18184"/>
      <w:r>
        <w:rPr>
          <w:rFonts w:hint="eastAsia" w:ascii="宋体" w:hAnsi="宋体" w:eastAsia="宋体" w:cs="宋体"/>
          <w:color w:val="auto"/>
          <w:highlight w:val="none"/>
        </w:rPr>
        <w:t>22.1 承包人违约</w:t>
      </w:r>
      <w:bookmarkEnd w:id="292"/>
    </w:p>
    <w:p w14:paraId="4AB708D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22.1.1 承包人违约的情形</w:t>
      </w:r>
    </w:p>
    <w:p w14:paraId="4BC0657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在履行合同过程中发生的下列情况属承包人违约：</w:t>
      </w:r>
    </w:p>
    <w:p w14:paraId="73CA36A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（1）承包人违反第1.8款或第4.3款的约定，私自将合同的全部或部分权利转让给其他人，或私自将合同的全部或部分义务转移给其他人；</w:t>
      </w:r>
    </w:p>
    <w:p w14:paraId="32C657E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（2）承包人违反第5.3款或第6.4款的约定，未经监理人批准，私自将已按合同约定进入施工场地的施工设备、临时设施或材料撤离施工场地；</w:t>
      </w:r>
    </w:p>
    <w:p w14:paraId="785430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（3）承包人违反第5.4款的约定使用了不合格材料或工程设备，工程质量达不到标准要求，又拒绝清除不合格工程；</w:t>
      </w:r>
    </w:p>
    <w:p w14:paraId="09B467D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（4）承包人未能按合同进度计划及时完成合同约定的工作，已造成或预期造成工期延误；</w:t>
      </w:r>
    </w:p>
    <w:p w14:paraId="1BDC0B4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（5）承包人在缺陷责任期内，未能对工程接收证书所列的缺陷清单的内容或缺陷责任期内发生的缺陷进行修复，而又拒绝按监理人指示再进行修补；</w:t>
      </w:r>
    </w:p>
    <w:p w14:paraId="1AF1BC3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（6）承包人无法继续履行或明确表示不履行或实质上已停止履行合同；</w:t>
      </w:r>
    </w:p>
    <w:p w14:paraId="45785D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（7）承包人不按合同约定履行义务的其他情况。</w:t>
      </w:r>
    </w:p>
    <w:p w14:paraId="41FF8C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22.1.2 对承包人违约的处理</w:t>
      </w:r>
    </w:p>
    <w:p w14:paraId="3E873A5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（1）承包人发生第22.1.1（6）目约定的违约情况时，发包人可通知承包人立即解除合同，并按有关法律处理。</w:t>
      </w:r>
    </w:p>
    <w:p w14:paraId="377FB13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（2）承包人发生除第22.1.1（6）目约定以外的其他违约情况时，监理人可向承包人发出整改通知，要求其在指定的期限内改正。承包人应承担其违约所引起的费用增加和（或）工期延误。</w:t>
      </w:r>
    </w:p>
    <w:p w14:paraId="2BC3D5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（3）经检查证明承包人已采取了有效措施纠正违约行为，具备复工条件的，可由监理人签发复工通知复工。</w:t>
      </w:r>
    </w:p>
    <w:p w14:paraId="29E58C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22.1.3 承包人违约解除合同</w:t>
      </w:r>
    </w:p>
    <w:p w14:paraId="21F635A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234B6DA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22.1.4 合同解除后的估价、付款和结清</w:t>
      </w:r>
    </w:p>
    <w:p w14:paraId="13F47E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（1）合同解除后，监理人按第3.5款商定或确定承包人实际完成工作的价值，以及承包人已提供的材料、施工设备、工程设备和临时工程等的价值。 </w:t>
      </w:r>
    </w:p>
    <w:p w14:paraId="7F1AD21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（2）合同解除后，发包人应暂停对承包人的一切付款，查清各项付款和已扣款金额，包括承包人应支付的违约金。 </w:t>
      </w:r>
    </w:p>
    <w:p w14:paraId="29DAD40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（3）合同解除后，发包人应按第23.4款的约定向承包人索赔由于解除合同给发包人造成的损失。</w:t>
      </w:r>
    </w:p>
    <w:p w14:paraId="2CCB079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（4）合同双方确认上述往来款项后，出具最终结清付款证书，结清全部合同款项。</w:t>
      </w:r>
    </w:p>
    <w:p w14:paraId="60A8036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（5）发包人和承包人未能就解除合同后的结清达成一致而形成争议的，按第24条的约定办理。</w:t>
      </w:r>
    </w:p>
    <w:p w14:paraId="716A29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22.1.5 协议利益的转让</w:t>
      </w:r>
    </w:p>
    <w:p w14:paraId="697D72A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因承包人违约解除合同的，发包人有权要求承包人将其为实施合同而签订的材料和设备的订货协议或任何服务协议利益转让给发包人，并在解除合同后的14天内，依法办理转让手续。 </w:t>
      </w:r>
    </w:p>
    <w:p w14:paraId="469CC77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22.1.6 紧急情况下无能力或不愿进行抢救</w:t>
      </w:r>
    </w:p>
    <w:p w14:paraId="021A69C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3DB807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3" w:name="_Toc24004"/>
      <w:r>
        <w:rPr>
          <w:rFonts w:hint="eastAsia" w:ascii="宋体" w:hAnsi="宋体" w:eastAsia="宋体" w:cs="宋体"/>
          <w:color w:val="auto"/>
          <w:highlight w:val="none"/>
        </w:rPr>
        <w:t>22.2 发包人违约</w:t>
      </w:r>
      <w:bookmarkEnd w:id="293"/>
    </w:p>
    <w:p w14:paraId="2DB79D7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22.2.1 发包人违约的情形</w:t>
      </w:r>
    </w:p>
    <w:p w14:paraId="0EB1FD8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在履行合同过程中发生的下列情形，属发包人违约：</w:t>
      </w:r>
    </w:p>
    <w:p w14:paraId="530B544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（1）发包人未能按合同约定支付预付款或合同价款，或拖延、拒绝批准付款申请和支付凭证，导致付款延误的；</w:t>
      </w:r>
    </w:p>
    <w:p w14:paraId="6289823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（2）发包人原因造成停工的；</w:t>
      </w:r>
    </w:p>
    <w:p w14:paraId="4CAD895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（3）监理人无正当理由没有在约定期限内发出复工指示，导致承包人无法复工的；</w:t>
      </w:r>
    </w:p>
    <w:p w14:paraId="2D262C7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（4）发包人无法继续履行或明确表示不履行或实质上已停止履行合同的；</w:t>
      </w:r>
    </w:p>
    <w:p w14:paraId="42B712AB">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（5）发包人不履行合同约定其他义务的。</w:t>
      </w:r>
    </w:p>
    <w:p w14:paraId="60F6ED6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22.2.2 承包人有权暂停施工</w:t>
      </w:r>
    </w:p>
    <w:p w14:paraId="45A05DA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发生除第22.2.1（4）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5F0F10C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22.2.3 发包人违约解除合同 </w:t>
      </w:r>
    </w:p>
    <w:p w14:paraId="61AAFC6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（1）发生第22.2.1（4）目的违约情况时，承包人可书面通知发包人解除合同。   </w:t>
      </w:r>
    </w:p>
    <w:p w14:paraId="1A8EE7F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7E9E7D4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22.2.4 解除合同后的付款</w:t>
      </w:r>
    </w:p>
    <w:p w14:paraId="66069909">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因发包人违约解除合同的，发包人应在解除合同后28天内向承包人支付下列金额，承包人应在此期限内及时向发包人提交要求支付下列金额的有关资料和凭证：</w:t>
      </w:r>
    </w:p>
    <w:p w14:paraId="1F7C576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（1）合同解除日以前所完成工作的价款；</w:t>
      </w:r>
    </w:p>
    <w:p w14:paraId="26EEEB5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（2）承包人为该工程施工订购并已付款的材料、工程设备和其他物品的金额。发包人付还后，该材料、工程设备和其他物品归发包人所有；</w:t>
      </w:r>
    </w:p>
    <w:p w14:paraId="7CA8C36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（3）承包人为完成工程所发生的，而发包人未支付的金额；</w:t>
      </w:r>
    </w:p>
    <w:p w14:paraId="53862ACA">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（4）承包人撤离施工场地以及遣散承包人人员的金额；</w:t>
      </w:r>
    </w:p>
    <w:p w14:paraId="193C3D5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（5）由于解除合同应赔偿的承包人损失；</w:t>
      </w:r>
    </w:p>
    <w:p w14:paraId="1D29092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（6）按合同约定在合同解除日前应支付给承包人的其他金额。</w:t>
      </w:r>
    </w:p>
    <w:p w14:paraId="37D6F2B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发包人应按本项约定支付上述金额并退还质量保证金和履约担保，但有权要求承包人支付应偿还给发包人的各项金额。</w:t>
      </w:r>
    </w:p>
    <w:p w14:paraId="0FF8F2FC">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22.2.5 解除合同后的承包人撤离</w:t>
      </w:r>
    </w:p>
    <w:p w14:paraId="3BFE38E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0F42F761">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4" w:name="_Toc13746"/>
      <w:r>
        <w:rPr>
          <w:rFonts w:hint="eastAsia" w:ascii="宋体" w:hAnsi="宋体" w:eastAsia="宋体" w:cs="宋体"/>
          <w:color w:val="auto"/>
          <w:highlight w:val="none"/>
        </w:rPr>
        <w:t>22.3 第三人造成的违约</w:t>
      </w:r>
      <w:bookmarkEnd w:id="294"/>
    </w:p>
    <w:p w14:paraId="418803A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在履行合同过程中，一方当事人因第三人的原因造成违约的，应当向对方当事人承担违约责任。一方当事人和第三人之间的纠纷，依照法律规定或者按照约定解决。</w:t>
      </w:r>
    </w:p>
    <w:p w14:paraId="1BCF29B5">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295" w:name="_Toc122424206"/>
      <w:bookmarkStart w:id="296" w:name="_Toc24948"/>
      <w:bookmarkStart w:id="297" w:name="_Toc122424455"/>
      <w:r>
        <w:rPr>
          <w:rFonts w:hint="eastAsia" w:ascii="宋体" w:hAnsi="宋体" w:eastAsia="宋体" w:cs="宋体"/>
          <w:color w:val="auto"/>
          <w:highlight w:val="none"/>
        </w:rPr>
        <w:t>23. 索赔</w:t>
      </w:r>
      <w:bookmarkEnd w:id="295"/>
      <w:bookmarkEnd w:id="296"/>
      <w:bookmarkEnd w:id="297"/>
    </w:p>
    <w:p w14:paraId="729F9019">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8" w:name="_Toc27577"/>
      <w:r>
        <w:rPr>
          <w:rFonts w:hint="eastAsia" w:ascii="宋体" w:hAnsi="宋体" w:eastAsia="宋体" w:cs="宋体"/>
          <w:color w:val="auto"/>
          <w:highlight w:val="none"/>
        </w:rPr>
        <w:t>23.1 承包人索赔的提出</w:t>
      </w:r>
      <w:bookmarkEnd w:id="298"/>
    </w:p>
    <w:p w14:paraId="5B4D9C1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根据合同约定，承包人认为有权得到追加付款和（或）延长工期的，应按以下程序向发包人提出索赔：</w:t>
      </w:r>
    </w:p>
    <w:p w14:paraId="2093CEA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00611D2D">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（2）承包人应在发出索赔意向通知书后28天内，向监理人正式递交索赔通知书。索赔通知书应详细说明索赔理由以及要求追加的付款金额和（或）延长的工期，并附必要的记录和证明材料；</w:t>
      </w:r>
    </w:p>
    <w:p w14:paraId="045635D4">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（3）索赔事件具有连续影响的，承包人应按合理时间间隔继续递交延续索赔通知，说明连续影响的实际情况和记录，列出累计的追加付款金额和（或）工期延长天数；</w:t>
      </w:r>
    </w:p>
    <w:p w14:paraId="243EB60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（4）在索赔事件影响结束后的28天内，承包人应向监理人递交最终索赔通知书，说明最终要求索赔的追加付款金额和延长的工期，并附必要的记录和证明材料。</w:t>
      </w:r>
    </w:p>
    <w:p w14:paraId="2D77D9AB">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299" w:name="_Toc27579"/>
      <w:r>
        <w:rPr>
          <w:rFonts w:hint="eastAsia" w:ascii="宋体" w:hAnsi="宋体" w:eastAsia="宋体" w:cs="宋体"/>
          <w:color w:val="auto"/>
          <w:highlight w:val="none"/>
        </w:rPr>
        <w:t>23.2 承包人索赔处理程序</w:t>
      </w:r>
      <w:bookmarkEnd w:id="299"/>
    </w:p>
    <w:p w14:paraId="4189A34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（1）监理人收到承包人提交的索赔通知书后，应及时审查索赔通知书的内容、查验承包人的记录和证明材料，必要时监理人可要求承包人提交全部原始记录副本。</w:t>
      </w:r>
    </w:p>
    <w:p w14:paraId="7CCE1FFF">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（2）监理人应按第3.5款商定或确定追加的付款和（或）延长的工期，并在收到上述索赔通知书或有关索赔的进一步证明材料后的42天内，将索赔处理结果答复承包人。</w:t>
      </w:r>
    </w:p>
    <w:p w14:paraId="055D42A5">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（3）承包人接受索赔处理结果的，发包人应在作出索赔处理结果答复后28天内完成赔付。承包人不接受索赔处理结果的，按第24条的约定办理。</w:t>
      </w:r>
    </w:p>
    <w:p w14:paraId="37906B1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0" w:name="_Toc30968"/>
      <w:r>
        <w:rPr>
          <w:rFonts w:hint="eastAsia" w:ascii="宋体" w:hAnsi="宋体" w:eastAsia="宋体" w:cs="宋体"/>
          <w:color w:val="auto"/>
          <w:highlight w:val="none"/>
        </w:rPr>
        <w:t>23.3 承包人提出索赔的期限</w:t>
      </w:r>
      <w:bookmarkEnd w:id="300"/>
    </w:p>
    <w:p w14:paraId="1918ECD2">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23.3.1 承包人按第17.5款的约定接受了竣工付款证书后，应被认为已无权再提出在合同工程接收证书颁发前所发生的任何索赔。</w:t>
      </w:r>
    </w:p>
    <w:p w14:paraId="175E6193">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23.3.2 承包人按第17.6款的约定提交的最终结清申请单中，只限于提出工程接收证书颁发后发生的索赔。提出索赔的期限自接受最终结清证书时终止。 </w:t>
      </w:r>
    </w:p>
    <w:p w14:paraId="1D6334D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1" w:name="_Toc11364"/>
      <w:r>
        <w:rPr>
          <w:rFonts w:hint="eastAsia" w:ascii="宋体" w:hAnsi="宋体" w:eastAsia="宋体" w:cs="宋体"/>
          <w:color w:val="auto"/>
          <w:highlight w:val="none"/>
        </w:rPr>
        <w:t>23.4 发包人的索赔</w:t>
      </w:r>
      <w:bookmarkEnd w:id="301"/>
    </w:p>
    <w:p w14:paraId="413EBF2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4D763EB8">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3F1A43D4">
      <w:pPr>
        <w:pStyle w:val="4"/>
        <w:pageBreakBefore w:val="0"/>
        <w:kinsoku/>
        <w:wordWrap/>
        <w:overflowPunct/>
        <w:topLinePunct w:val="0"/>
        <w:autoSpaceDE/>
        <w:autoSpaceDN/>
        <w:bidi w:val="0"/>
        <w:adjustRightInd/>
        <w:snapToGrid/>
        <w:spacing w:before="0" w:after="0" w:line="360" w:lineRule="auto"/>
        <w:textAlignment w:val="auto"/>
        <w:rPr>
          <w:rFonts w:hint="eastAsia" w:ascii="宋体" w:hAnsi="宋体" w:eastAsia="宋体" w:cs="宋体"/>
          <w:color w:val="auto"/>
          <w:highlight w:val="none"/>
        </w:rPr>
      </w:pPr>
      <w:bookmarkStart w:id="302" w:name="_Toc122424456"/>
      <w:bookmarkStart w:id="303" w:name="_Toc14309"/>
      <w:bookmarkStart w:id="304" w:name="_Toc122424207"/>
      <w:r>
        <w:rPr>
          <w:rFonts w:hint="eastAsia" w:ascii="宋体" w:hAnsi="宋体" w:eastAsia="宋体" w:cs="宋体"/>
          <w:color w:val="auto"/>
          <w:highlight w:val="none"/>
        </w:rPr>
        <w:t>24. 争议的解决</w:t>
      </w:r>
      <w:bookmarkEnd w:id="302"/>
      <w:bookmarkEnd w:id="303"/>
      <w:bookmarkEnd w:id="304"/>
    </w:p>
    <w:p w14:paraId="297E667C">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5" w:name="_Toc16006"/>
      <w:r>
        <w:rPr>
          <w:rFonts w:hint="eastAsia" w:ascii="宋体" w:hAnsi="宋体" w:eastAsia="宋体" w:cs="宋体"/>
          <w:color w:val="auto"/>
          <w:highlight w:val="none"/>
        </w:rPr>
        <w:t>24.1 争议的解决方式</w:t>
      </w:r>
      <w:bookmarkEnd w:id="305"/>
    </w:p>
    <w:p w14:paraId="762ACCC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7FB359D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（1）向约定的仲裁委员会申请仲裁；</w:t>
      </w:r>
    </w:p>
    <w:p w14:paraId="2CA137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29747A87">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6" w:name="_Toc8167"/>
      <w:r>
        <w:rPr>
          <w:rFonts w:hint="eastAsia" w:ascii="宋体" w:hAnsi="宋体" w:eastAsia="宋体" w:cs="宋体"/>
          <w:color w:val="auto"/>
          <w:highlight w:val="none"/>
        </w:rPr>
        <w:t>24.2 友好解决</w:t>
      </w:r>
      <w:bookmarkEnd w:id="306"/>
    </w:p>
    <w:p w14:paraId="415790E7">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在提请争议评审、仲裁或者诉讼前，以及在争议评审、仲裁或诉讼过程中，发包人和承包人均可共同努力友好协商解决争议。</w:t>
      </w:r>
    </w:p>
    <w:p w14:paraId="5E11902E">
      <w:pPr>
        <w:pStyle w:val="5"/>
        <w:pageBreakBefore w:val="0"/>
        <w:kinsoku/>
        <w:wordWrap/>
        <w:overflowPunct/>
        <w:topLinePunct w:val="0"/>
        <w:autoSpaceDE/>
        <w:autoSpaceDN/>
        <w:bidi w:val="0"/>
        <w:adjustRightInd/>
        <w:snapToGrid/>
        <w:spacing w:line="360" w:lineRule="auto"/>
        <w:ind w:left="0" w:leftChars="0" w:firstLine="560" w:firstLineChars="200"/>
        <w:textAlignment w:val="auto"/>
        <w:rPr>
          <w:rFonts w:hint="eastAsia" w:ascii="宋体" w:hAnsi="宋体" w:eastAsia="宋体" w:cs="宋体"/>
          <w:color w:val="auto"/>
          <w:highlight w:val="none"/>
        </w:rPr>
      </w:pPr>
      <w:bookmarkStart w:id="307" w:name="_Toc2540"/>
      <w:r>
        <w:rPr>
          <w:rFonts w:hint="eastAsia" w:ascii="宋体" w:hAnsi="宋体" w:eastAsia="宋体" w:cs="宋体"/>
          <w:color w:val="auto"/>
          <w:highlight w:val="none"/>
        </w:rPr>
        <w:t>24.3 争议评审</w:t>
      </w:r>
      <w:bookmarkEnd w:id="307"/>
    </w:p>
    <w:p w14:paraId="469038D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24.3.1 采用争议评审的，发包人和承包人应在开工日后的28天内或在争议发生后，协商成立争议评审组。争议评审组由有合同管理和工程实践经验的专家组成。</w:t>
      </w:r>
    </w:p>
    <w:p w14:paraId="3153644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24.3.2 合同双方的争议，应首先由申请人向争议评审组提交一份详细的评审申请报告，并附必要的文件、图纸和证明材料，申请人还应将上述报告的副本同时提交给被申请人和监理人。</w:t>
      </w:r>
    </w:p>
    <w:p w14:paraId="3BB31381">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24.3.3 被申请人在收到申请人评审申请报告副本后的28天内，向争议评审组提交一份答辩报告，并附证明材料。被申请人应将答辩报告的副本同时提交给申请人和监理人。</w:t>
      </w:r>
    </w:p>
    <w:p w14:paraId="15F83F4E">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D74EA06">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3D916300">
      <w:pPr>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24.3.6 发包人和承包人接受评审意见的，由监理人根据评审意见拟定执行协议，经争议双方签字后作为合同的补充文件，并遵照执行。</w:t>
      </w:r>
    </w:p>
    <w:p w14:paraId="35150D3A">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bookmarkStart w:id="308" w:name="_Toc511595187"/>
      <w:bookmarkStart w:id="309" w:name="_Toc394929412"/>
      <w:bookmarkStart w:id="310" w:name="_Toc15755"/>
      <w:bookmarkStart w:id="311" w:name="_Toc514759026"/>
      <w:bookmarkStart w:id="312" w:name="_Toc508779703"/>
      <w:bookmarkStart w:id="313" w:name="_Toc517163146"/>
    </w:p>
    <w:p w14:paraId="66E1D25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4D577B7">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FB72A50">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E710C0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EDC2CD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07A2A4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9D0DDD5">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2BBC6D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5959549A">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733E7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66A2C794">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FE437CB">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3074CF19">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DF583D2">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3A3B728">
      <w:pPr>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53853">
      <w:pPr>
        <w:pStyle w:val="4"/>
        <w:pageBreakBefore w:val="0"/>
        <w:kinsoku/>
        <w:wordWrap/>
        <w:overflowPunct/>
        <w:topLinePunct w:val="0"/>
        <w:autoSpaceDE/>
        <w:autoSpaceDN/>
        <w:bidi w:val="0"/>
        <w:spacing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第二节  专用合同条款</w:t>
      </w:r>
      <w:bookmarkEnd w:id="308"/>
      <w:bookmarkEnd w:id="309"/>
      <w:bookmarkEnd w:id="310"/>
      <w:bookmarkEnd w:id="311"/>
      <w:bookmarkEnd w:id="312"/>
      <w:bookmarkEnd w:id="313"/>
    </w:p>
    <w:p w14:paraId="72C7ECB5">
      <w:pPr>
        <w:keepNext/>
        <w:keepLines/>
        <w:pageBreakBefore w:val="0"/>
        <w:kinsoku/>
        <w:wordWrap/>
        <w:overflowPunct/>
        <w:topLinePunct w:val="0"/>
        <w:autoSpaceDE/>
        <w:autoSpaceDN/>
        <w:bidi w:val="0"/>
        <w:spacing w:line="360" w:lineRule="auto"/>
        <w:jc w:val="center"/>
        <w:textAlignment w:val="auto"/>
        <w:outlineLvl w:val="1"/>
        <w:rPr>
          <w:rFonts w:hint="eastAsia" w:ascii="宋体" w:hAnsi="宋体" w:eastAsia="宋体" w:cs="宋体"/>
          <w:b/>
          <w:bCs/>
          <w:color w:val="auto"/>
          <w:sz w:val="32"/>
          <w:szCs w:val="32"/>
          <w:highlight w:val="none"/>
        </w:rPr>
      </w:pPr>
      <w:bookmarkStart w:id="314" w:name="_Toc122424209"/>
      <w:bookmarkStart w:id="315" w:name="_Toc26847"/>
      <w:bookmarkStart w:id="316" w:name="_Toc25648"/>
      <w:bookmarkStart w:id="317" w:name="_Toc122424458"/>
      <w:r>
        <w:rPr>
          <w:rFonts w:hint="eastAsia" w:ascii="宋体" w:hAnsi="宋体" w:eastAsia="宋体" w:cs="宋体"/>
          <w:b/>
          <w:bCs/>
          <w:color w:val="auto"/>
          <w:sz w:val="32"/>
          <w:szCs w:val="32"/>
          <w:highlight w:val="none"/>
        </w:rPr>
        <w:t>A.公路工程专用合同条款</w:t>
      </w:r>
      <w:bookmarkEnd w:id="314"/>
      <w:bookmarkEnd w:id="315"/>
      <w:bookmarkEnd w:id="316"/>
      <w:bookmarkEnd w:id="317"/>
    </w:p>
    <w:p w14:paraId="7C85188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18" w:name="_Toc122424210"/>
      <w:bookmarkStart w:id="319" w:name="_Toc122424459"/>
      <w:bookmarkStart w:id="320" w:name="_Toc11744"/>
      <w:r>
        <w:rPr>
          <w:rFonts w:hint="eastAsia" w:ascii="宋体" w:hAnsi="宋体" w:eastAsia="宋体" w:cs="宋体"/>
          <w:b/>
          <w:bCs/>
          <w:color w:val="auto"/>
          <w:sz w:val="32"/>
          <w:szCs w:val="32"/>
          <w:highlight w:val="none"/>
        </w:rPr>
        <w:t>1.一般约定</w:t>
      </w:r>
      <w:bookmarkEnd w:id="318"/>
      <w:bookmarkEnd w:id="319"/>
      <w:bookmarkEnd w:id="320"/>
    </w:p>
    <w:p w14:paraId="2780B9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1" w:name="_Toc32051"/>
      <w:r>
        <w:rPr>
          <w:rFonts w:hint="eastAsia" w:ascii="宋体" w:hAnsi="宋体" w:eastAsia="宋体" w:cs="宋体"/>
          <w:b/>
          <w:bCs/>
          <w:color w:val="auto"/>
          <w:sz w:val="28"/>
          <w:szCs w:val="28"/>
          <w:highlight w:val="none"/>
        </w:rPr>
        <w:t>1.1词语定义</w:t>
      </w:r>
      <w:bookmarkEnd w:id="321"/>
    </w:p>
    <w:p w14:paraId="010BA67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1.1.1 合同</w:t>
      </w:r>
    </w:p>
    <w:p w14:paraId="6E9CB7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1.1.1.6 目细化为：</w:t>
      </w:r>
    </w:p>
    <w:p w14:paraId="38D5B6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技术规范：指本合同所约定的技术标准和要求，是合同文件的组成部分。通用合同条款中“技术标准和要求”一词具有相同含义。</w:t>
      </w:r>
    </w:p>
    <w:p w14:paraId="768BE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1.1.1.8 目细化为：</w:t>
      </w:r>
    </w:p>
    <w:p w14:paraId="7D216CD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 5.1～表 5.5）。</w:t>
      </w:r>
    </w:p>
    <w:p w14:paraId="44BB1F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1.1.1.10 目：</w:t>
      </w:r>
    </w:p>
    <w:p w14:paraId="550FCC7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1.1.1.10 补遗书：指发出招标文件之后由招标人向已取得招标文件的投标人发出的、编号的对招标文件所作的澄清、修改书。</w:t>
      </w:r>
    </w:p>
    <w:p w14:paraId="3FAC6F1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1.1.2合同当事人和人员</w:t>
      </w:r>
    </w:p>
    <w:p w14:paraId="52A5D27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1.1.2.8 目：</w:t>
      </w:r>
    </w:p>
    <w:p w14:paraId="429A47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1.1.2.8 承包人项目总工：指由承包人书面委派常驻现场负责管理本合同工程的总工程师或技术总负责人。</w:t>
      </w:r>
    </w:p>
    <w:p w14:paraId="4308C0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1.1.3工程和设备</w:t>
      </w:r>
    </w:p>
    <w:p w14:paraId="22C93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1.1.3.4 目细化为：</w:t>
      </w:r>
    </w:p>
    <w:p w14:paraId="7E2C4D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单位工程：指在建设项目中，根据签订的合同，具有独立施工条件的工程。第 1.1.3.10 目细化为：</w:t>
      </w:r>
    </w:p>
    <w:p w14:paraId="4016DE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永久占地：指为实施本合同工程而需要的一切永久占用的土地，包括公路两侧路权范围内的用地。</w:t>
      </w:r>
    </w:p>
    <w:p w14:paraId="00B57B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1.1.3.11 目细化为：</w:t>
      </w:r>
    </w:p>
    <w:p w14:paraId="730C7D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临时占地：指为实施本合同工程而需要的一切临时占用的土地，包括施工所用的临时支线、便道、便桥和现场的临时出入通道，以及生产（办公）、生活等临时设施用地等。</w:t>
      </w:r>
    </w:p>
    <w:p w14:paraId="30E8DBB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1.1.3.12 目、第 1.1.3.13 目：</w:t>
      </w:r>
    </w:p>
    <w:p w14:paraId="26EB85C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1.1.3.12分部工程：指在单位工程中，按结构部位、路段长度及施工特点或施工任务划分的若干个工程。</w:t>
      </w:r>
    </w:p>
    <w:p w14:paraId="7320A2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1.1.3.13分项工程：指在分部工程中，按不同的施工方法、材料、工序及路段长度等划分的若干个工程。</w:t>
      </w:r>
    </w:p>
    <w:p w14:paraId="16270F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1.1.6 其他</w:t>
      </w:r>
    </w:p>
    <w:p w14:paraId="3FA50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本项补充第 1.1.6.2 目～第 1.1.6.9 目：</w:t>
      </w:r>
    </w:p>
    <w:p w14:paraId="513AF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1.1.6.2竣工验收：指《公路工程竣（交）工验收办法》中的竣工验收。通用合同条款中“国家验收”一词具有相同含义。</w:t>
      </w:r>
    </w:p>
    <w:p w14:paraId="1AED29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1.1.6.3交工：指《公路工程竣（交）工验收办法》中的交工。通用合同条款中“竣工”一词具有相同含义。</w:t>
      </w:r>
    </w:p>
    <w:p w14:paraId="068C0C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1.1.6.4交工验收：指《公路工程竣（交）工验收办法》中的交工验收。通用合同条款中“竣工验收”一词具有相同含义。</w:t>
      </w:r>
    </w:p>
    <w:p w14:paraId="732955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1.1.6.5交工验收证书：指《公路工程竣（交）工验收办法》中的交工验收证书。通用合同条款中“工程接收证书”一词具有相同含义。</w:t>
      </w:r>
    </w:p>
    <w:p w14:paraId="317230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1.1.6.6转包：指承包人违反法律和不履行合同规定的责任和义务，将中标工程全部委托或以专业分包的名义将中标工程肢解后全部委托给其他施工企业施工的行为。</w:t>
      </w:r>
    </w:p>
    <w:p w14:paraId="0AD815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1.1.6.7专业分包：指承包人与具有相应资格的施工企业签订专业分包合同，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302497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75196B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1.1.6.9雇用民工：指承包人与具有相应劳动能力的自然人签订劳动合同，由承包人统一组织管理，从事分项工程施工或配套工程施工的行为。</w:t>
      </w:r>
    </w:p>
    <w:p w14:paraId="5A576B9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2" w:name="_Toc6501"/>
      <w:r>
        <w:rPr>
          <w:rFonts w:hint="eastAsia" w:ascii="宋体" w:hAnsi="宋体" w:eastAsia="宋体" w:cs="宋体"/>
          <w:b/>
          <w:bCs/>
          <w:color w:val="auto"/>
          <w:sz w:val="28"/>
          <w:szCs w:val="28"/>
          <w:highlight w:val="none"/>
        </w:rPr>
        <w:t>1.4合同文件的优先顺序</w:t>
      </w:r>
      <w:bookmarkEnd w:id="322"/>
    </w:p>
    <w:p w14:paraId="6D9597C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2CD665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组成合同的各项文件应互相解释，互为说明。除项目专用合同条款另有约定外，解释合同文件的优先顺序如下：</w:t>
      </w:r>
    </w:p>
    <w:p w14:paraId="6DBF05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（1）合同协议书及各种合同附件（含评标期间和合同谈判过程中的澄清文件和补充资料）；</w:t>
      </w:r>
    </w:p>
    <w:p w14:paraId="4CEBA6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w:t>
      </w:r>
    </w:p>
    <w:p w14:paraId="657731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投标函</w:t>
      </w:r>
      <w:r>
        <w:rPr>
          <w:rFonts w:hint="eastAsia" w:ascii="宋体" w:hAnsi="宋体" w:eastAsia="宋体" w:cs="宋体"/>
          <w:color w:val="auto"/>
          <w:highlight w:val="none"/>
        </w:rPr>
        <w:t>及投标函附录</w:t>
      </w:r>
      <w:r>
        <w:rPr>
          <w:rFonts w:hint="eastAsia" w:ascii="宋体" w:hAnsi="宋体" w:cs="宋体"/>
          <w:color w:val="auto"/>
          <w:highlight w:val="none"/>
          <w:lang w:val="en-US" w:eastAsia="zh-CN"/>
        </w:rPr>
        <w:t>(响应函）</w:t>
      </w:r>
      <w:r>
        <w:rPr>
          <w:rFonts w:hint="eastAsia" w:ascii="宋体" w:hAnsi="宋体" w:eastAsia="宋体" w:cs="宋体"/>
          <w:color w:val="auto"/>
          <w:highlight w:val="none"/>
        </w:rPr>
        <w:t>；</w:t>
      </w:r>
    </w:p>
    <w:p w14:paraId="2DA9C6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（4）项目专用合同条款；</w:t>
      </w:r>
    </w:p>
    <w:p w14:paraId="586F1C7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（5）公路工程专用合同条款；</w:t>
      </w:r>
    </w:p>
    <w:p w14:paraId="72B154E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（6）通用合同条款；</w:t>
      </w:r>
    </w:p>
    <w:p w14:paraId="7661CCE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（7）工程量清单计量规则；</w:t>
      </w:r>
    </w:p>
    <w:p w14:paraId="2AF2F95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（8）技术规范；</w:t>
      </w:r>
    </w:p>
    <w:p w14:paraId="310148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（9）图纸；</w:t>
      </w:r>
    </w:p>
    <w:p w14:paraId="04ACB4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（10）已标价工程量清单；</w:t>
      </w:r>
    </w:p>
    <w:p w14:paraId="1B82F2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（11）承包人有关人员、设备投入的承诺及投标（响应）文件中的施工组织设计；</w:t>
      </w:r>
    </w:p>
    <w:p w14:paraId="5CB5A9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（12）其他合同文件。</w:t>
      </w:r>
    </w:p>
    <w:p w14:paraId="5DFF3DA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3" w:name="_Toc14018"/>
      <w:r>
        <w:rPr>
          <w:rFonts w:hint="eastAsia" w:ascii="宋体" w:hAnsi="宋体" w:eastAsia="宋体" w:cs="宋体"/>
          <w:b/>
          <w:bCs/>
          <w:color w:val="auto"/>
          <w:sz w:val="28"/>
          <w:szCs w:val="28"/>
          <w:highlight w:val="none"/>
        </w:rPr>
        <w:t>1.5合同协议书</w:t>
      </w:r>
      <w:bookmarkEnd w:id="323"/>
    </w:p>
    <w:p w14:paraId="0766A6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7D38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制备本合同文件的费用由发包人承担。在合同协议书签订并生效之前，投标函和中标通知书将对双方具有约束力。</w:t>
      </w:r>
    </w:p>
    <w:p w14:paraId="239C663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4" w:name="_Toc6014"/>
      <w:r>
        <w:rPr>
          <w:rFonts w:hint="eastAsia" w:ascii="宋体" w:hAnsi="宋体" w:eastAsia="宋体" w:cs="宋体"/>
          <w:b/>
          <w:bCs/>
          <w:color w:val="auto"/>
          <w:sz w:val="28"/>
          <w:szCs w:val="28"/>
          <w:highlight w:val="none"/>
        </w:rPr>
        <w:t>1.6图纸和承包人文件</w:t>
      </w:r>
      <w:bookmarkEnd w:id="324"/>
    </w:p>
    <w:p w14:paraId="54FBF74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1.6.1图纸的提供</w:t>
      </w:r>
    </w:p>
    <w:p w14:paraId="284585D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52218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监理人应在发出中标通知书之后 42 天内，向承包人免费提供由发包人或其委托的设计单位设计的施工图纸、技术规范和其他技术资料 2 份，并向承包人进行技术交底。承包人需要更多份数时，应自费复制。由于发包人未按时提供图纸造成工期延误的，按第 11.3 款的约定办理。</w:t>
      </w:r>
    </w:p>
    <w:p w14:paraId="4A19CEF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1.6.2承包人提供的文件</w:t>
      </w:r>
    </w:p>
    <w:p w14:paraId="27215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70086D5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有下列情形之一的，承包人应免费向监理人提交相关部分工程的施工图纸 3 份， 并附必要的计算书、技术资料，或施工工艺图、设备安装图及安装设备的使用和维护手册各 2 份供监理人批准。</w:t>
      </w:r>
    </w:p>
    <w:p w14:paraId="681295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（1）为使第 1.6.1 项所述的施工图纸适合于经施工测量后的纵、横断面；</w:t>
      </w:r>
    </w:p>
    <w:p w14:paraId="1454621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（2）为使第 1.6.1 项所述的施工图纸适合于现场具体地形；</w:t>
      </w:r>
    </w:p>
    <w:p w14:paraId="4E360F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（3）为使第 1.6.1 项所述的施工图纸适合于因尺寸与位置变化而引起局部变更；</w:t>
      </w:r>
    </w:p>
    <w:p w14:paraId="08CB43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（4）由于合同要求与施工需要。</w:t>
      </w:r>
    </w:p>
    <w:p w14:paraId="3F972F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此类图纸应按监理人规定的格式和图幅绘制。监理人在收到由承包人绘制的上述工程、工艺图纸、计算书和有关技术资料后 14 天内应予批准或提出修改要求，承包人应按监理人提出的要求作出修改，重新向监理人提交，监理人应在 7 天内批准或提出进一步的修改意见。</w:t>
      </w:r>
    </w:p>
    <w:p w14:paraId="47BFC85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1.6.4 图纸的错误</w:t>
      </w:r>
    </w:p>
    <w:p w14:paraId="15A3CB3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195E69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F1A79F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5" w:name="_Toc24253"/>
      <w:r>
        <w:rPr>
          <w:rFonts w:hint="eastAsia" w:ascii="宋体" w:hAnsi="宋体" w:eastAsia="宋体" w:cs="宋体"/>
          <w:b/>
          <w:bCs/>
          <w:color w:val="auto"/>
          <w:sz w:val="28"/>
          <w:szCs w:val="28"/>
          <w:highlight w:val="none"/>
        </w:rPr>
        <w:t>1.9 严禁贿赂</w:t>
      </w:r>
      <w:bookmarkEnd w:id="325"/>
    </w:p>
    <w:p w14:paraId="7AB6378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AD5A16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4DE765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26" w:name="_Toc20696"/>
      <w:bookmarkStart w:id="327" w:name="_Toc122424460"/>
      <w:bookmarkStart w:id="328" w:name="_Toc122424211"/>
      <w:r>
        <w:rPr>
          <w:rFonts w:hint="eastAsia" w:ascii="宋体" w:hAnsi="宋体" w:eastAsia="宋体" w:cs="宋体"/>
          <w:b/>
          <w:bCs/>
          <w:color w:val="auto"/>
          <w:sz w:val="32"/>
          <w:szCs w:val="32"/>
          <w:highlight w:val="none"/>
        </w:rPr>
        <w:t>2.发包人义务</w:t>
      </w:r>
      <w:bookmarkEnd w:id="326"/>
      <w:bookmarkEnd w:id="327"/>
      <w:bookmarkEnd w:id="328"/>
    </w:p>
    <w:p w14:paraId="0F22D06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29" w:name="_Toc22133"/>
      <w:r>
        <w:rPr>
          <w:rFonts w:hint="eastAsia" w:ascii="宋体" w:hAnsi="宋体" w:eastAsia="宋体" w:cs="宋体"/>
          <w:b/>
          <w:bCs/>
          <w:color w:val="auto"/>
          <w:sz w:val="28"/>
          <w:szCs w:val="28"/>
          <w:highlight w:val="none"/>
        </w:rPr>
        <w:t>2.3 提供施工场地</w:t>
      </w:r>
      <w:bookmarkEnd w:id="329"/>
    </w:p>
    <w:p w14:paraId="0F884F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753D55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发包人负责办理永久占地的征用及与之有关的拆迁赔偿手续并承担相关费用。承包人在按第 10 条规定提交施工进度计划的同时，应向监理人提交一份按施工先后次</w:t>
      </w:r>
    </w:p>
    <w:p w14:paraId="57B7E4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序所需的永久占地计划。监理人应在收到此计划后的 14 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 以使承包人能够连续不间断地施工。由于承包人施工考虑不周或措施不当等原因而造成的超计划占地或拆迁等所发生的征用和赔偿费用，应由承包人承担。</w:t>
      </w:r>
    </w:p>
    <w:p w14:paraId="43105D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99EC19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0" w:name="_Toc22405"/>
      <w:bookmarkStart w:id="331" w:name="_Toc122424212"/>
      <w:bookmarkStart w:id="332" w:name="_Toc122424461"/>
      <w:r>
        <w:rPr>
          <w:rFonts w:hint="eastAsia" w:ascii="宋体" w:hAnsi="宋体" w:eastAsia="宋体" w:cs="宋体"/>
          <w:b/>
          <w:bCs/>
          <w:color w:val="auto"/>
          <w:sz w:val="32"/>
          <w:szCs w:val="32"/>
          <w:highlight w:val="none"/>
        </w:rPr>
        <w:t>3.监理人</w:t>
      </w:r>
      <w:bookmarkEnd w:id="330"/>
      <w:bookmarkEnd w:id="331"/>
      <w:bookmarkEnd w:id="332"/>
    </w:p>
    <w:p w14:paraId="7EF3F1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3" w:name="_Toc28048"/>
      <w:r>
        <w:rPr>
          <w:rFonts w:hint="eastAsia" w:ascii="宋体" w:hAnsi="宋体" w:eastAsia="宋体" w:cs="宋体"/>
          <w:b/>
          <w:bCs/>
          <w:color w:val="auto"/>
          <w:sz w:val="28"/>
          <w:szCs w:val="28"/>
          <w:highlight w:val="none"/>
        </w:rPr>
        <w:t>3.1监理人的职责和权力</w:t>
      </w:r>
      <w:bookmarkEnd w:id="333"/>
    </w:p>
    <w:p w14:paraId="1CD885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3.1.1 项补充：</w:t>
      </w:r>
    </w:p>
    <w:p w14:paraId="3BF82D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监理人在行使下列权力前需要经发包人事先批准：</w:t>
      </w:r>
    </w:p>
    <w:p w14:paraId="78CEEC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（1）根据第 4.3 款，同意分包本工程的某些非关键性工作或者适合专业化队伍施工的专项工程；</w:t>
      </w:r>
    </w:p>
    <w:p w14:paraId="14CF26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（2）确定第 4.11 款下产生的费用增加额；</w:t>
      </w:r>
    </w:p>
    <w:p w14:paraId="22F42D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（3）根据第 11.1 款、第 12.3 款、第 12.4 款发布开工通知、暂停施工指示或复工通知；</w:t>
      </w:r>
    </w:p>
    <w:p w14:paraId="38FE91B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（4）决定第 11.3 款、第 11.4 款下的工期延长；</w:t>
      </w:r>
    </w:p>
    <w:p w14:paraId="2C2D271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（5）审查批准技术方案或设计的变更；</w:t>
      </w:r>
    </w:p>
    <w:p w14:paraId="07CFD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（6）根据第 15.3 款发出的变更指示，其单项工程变更或累计变更涉及的金额超过了项目专用合同条款数据表中规定的金额；</w:t>
      </w:r>
    </w:p>
    <w:p w14:paraId="00F0A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（7）确定第 15.4 款下变更工作的单价；</w:t>
      </w:r>
    </w:p>
    <w:p w14:paraId="76F7C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（8）按照第 15.6 款决定有关暂列金额的使用；</w:t>
      </w:r>
    </w:p>
    <w:p w14:paraId="5666A86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（9）确定第 15.8 款下的暂估价金额；</w:t>
      </w:r>
    </w:p>
    <w:p w14:paraId="10C865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（10）确定第 23.1 款下的索赔额。</w:t>
      </w:r>
    </w:p>
    <w:p w14:paraId="71990D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 3.5 款商定或确定。</w:t>
      </w:r>
    </w:p>
    <w:p w14:paraId="39ABE4C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4" w:name="_Toc13038"/>
      <w:r>
        <w:rPr>
          <w:rFonts w:hint="eastAsia" w:ascii="宋体" w:hAnsi="宋体" w:eastAsia="宋体" w:cs="宋体"/>
          <w:b/>
          <w:bCs/>
          <w:color w:val="auto"/>
          <w:sz w:val="28"/>
          <w:szCs w:val="28"/>
          <w:highlight w:val="none"/>
        </w:rPr>
        <w:t>3.5 商定或确定</w:t>
      </w:r>
      <w:bookmarkEnd w:id="334"/>
    </w:p>
    <w:p w14:paraId="0B97880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3.5.1 项补充：</w:t>
      </w:r>
    </w:p>
    <w:p w14:paraId="31D9815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如果这项商定或确定导致费用增加和（或）工期延长，或者涉及确定变更工程的价格，则总监理工程师在发出通知前，应征得发包人的同意。</w:t>
      </w:r>
    </w:p>
    <w:p w14:paraId="10BE506E">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35" w:name="_Toc122424462"/>
      <w:bookmarkStart w:id="336" w:name="_Toc122424213"/>
      <w:bookmarkStart w:id="337" w:name="_Toc4806"/>
      <w:r>
        <w:rPr>
          <w:rFonts w:hint="eastAsia" w:ascii="宋体" w:hAnsi="宋体" w:eastAsia="宋体" w:cs="宋体"/>
          <w:b/>
          <w:bCs/>
          <w:color w:val="auto"/>
          <w:sz w:val="32"/>
          <w:szCs w:val="32"/>
          <w:highlight w:val="none"/>
        </w:rPr>
        <w:t>4.承包人</w:t>
      </w:r>
      <w:bookmarkEnd w:id="335"/>
      <w:bookmarkEnd w:id="336"/>
      <w:bookmarkEnd w:id="337"/>
    </w:p>
    <w:p w14:paraId="4AED7C1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8" w:name="_Toc20501"/>
      <w:r>
        <w:rPr>
          <w:rFonts w:hint="eastAsia" w:ascii="宋体" w:hAnsi="宋体" w:eastAsia="宋体" w:cs="宋体"/>
          <w:b/>
          <w:bCs/>
          <w:color w:val="auto"/>
          <w:sz w:val="28"/>
          <w:szCs w:val="28"/>
          <w:highlight w:val="none"/>
        </w:rPr>
        <w:t>4.1承包人的一般义务</w:t>
      </w:r>
      <w:bookmarkEnd w:id="338"/>
    </w:p>
    <w:p w14:paraId="1D5F645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4.1.9工程的维护和照管</w:t>
      </w:r>
    </w:p>
    <w:p w14:paraId="5B1F88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3CA1574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ECCA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（2）在承包人负责照管与维护期间，如果本工程或材料、设备等发生损失或损害，除不可抗力原因之外，承包人均应自费弥补，并达到合同要求。承包人还应对按第 19 条规定而实施作业过程中由承包人造成的对工程的任何损失或损害负责。</w:t>
      </w:r>
    </w:p>
    <w:p w14:paraId="6392AC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4.1.10其他义务</w:t>
      </w:r>
    </w:p>
    <w:p w14:paraId="5AFBA38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6139BA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（1）临时占地由承包人向当地政府土地管理部门申请，并办理租用手续，承包人按有关规定直接支付其费用，发包人对此将予以协调。</w:t>
      </w:r>
    </w:p>
    <w:p w14:paraId="3D78576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 100 章中由承包人按总额报价。</w:t>
      </w:r>
    </w:p>
    <w:p w14:paraId="551905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05D7FE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13E4336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r>
        <w:rPr>
          <w:rFonts w:hint="eastAsia" w:ascii="宋体" w:hAnsi="宋体" w:eastAsia="宋体" w:cs="宋体"/>
          <w:color w:val="auto"/>
          <w:highlight w:val="none"/>
          <w:lang w:val="en-US" w:eastAsia="zh-CN"/>
        </w:rPr>
        <w:t xml:space="preserve">  </w:t>
      </w:r>
    </w:p>
    <w:p w14:paraId="1169A2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5963FC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工资支付表应如实记录支付单位、支付时间、支付对象、支付数额、支付对象的身份证号和签字等信息。民工花名册和工资支付表应报监理人备查。</w:t>
      </w:r>
    </w:p>
    <w:p w14:paraId="5ECFA7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1D84FEB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（5）承包人应严格执行招标文件技术规范对施工标准化提出的具体要求，结合本单位施工能力和技术优势，积极采取有利于标准化施工的组织方式和工艺流程， 加强工地建设、工艺控制、人员管理和内业资料管理，强化对施工一线操作人员的培训，改善职工生产生活条件，与此相关的费用承包人应列入工程量清单第 100 章中。</w:t>
      </w:r>
    </w:p>
    <w:p w14:paraId="1B34DC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（6）承包人应履行项目专用合同条款约定的其他义务。</w:t>
      </w:r>
    </w:p>
    <w:p w14:paraId="2037D2B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39" w:name="_Toc31637"/>
      <w:r>
        <w:rPr>
          <w:rFonts w:hint="eastAsia" w:ascii="宋体" w:hAnsi="宋体" w:eastAsia="宋体" w:cs="宋体"/>
          <w:b/>
          <w:bCs/>
          <w:color w:val="auto"/>
          <w:sz w:val="28"/>
          <w:szCs w:val="28"/>
          <w:highlight w:val="none"/>
        </w:rPr>
        <w:t>4.2履约保证金</w:t>
      </w:r>
      <w:bookmarkEnd w:id="339"/>
    </w:p>
    <w:p w14:paraId="160532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84592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承包人应保证其履约保证金在发包人签发交工验收证书且承包人按照合同约定缴纳质量保证金前一直有效。发包人应在收到承包人缴纳的质量保证金后 28 天内将履约保证金退还给承包人。</w:t>
      </w:r>
    </w:p>
    <w:p w14:paraId="557ADAE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6F1734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0" w:name="_Toc8441"/>
      <w:r>
        <w:rPr>
          <w:rFonts w:hint="eastAsia" w:ascii="宋体" w:hAnsi="宋体" w:eastAsia="宋体" w:cs="宋体"/>
          <w:b/>
          <w:bCs/>
          <w:color w:val="auto"/>
          <w:sz w:val="28"/>
          <w:szCs w:val="28"/>
          <w:highlight w:val="none"/>
        </w:rPr>
        <w:t>4.3分包</w:t>
      </w:r>
      <w:bookmarkEnd w:id="340"/>
    </w:p>
    <w:p w14:paraId="377551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 4.3.2 项～第 4.3.4 项细化为：</w:t>
      </w:r>
    </w:p>
    <w:p w14:paraId="6C224D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4.3.2承包人不得将工程关键性工作分包给第三人。经发包人同意，承包人可将工程的其他部分或工作分包给第三人。分包包括专业分包和劳务分包。</w:t>
      </w:r>
    </w:p>
    <w:p w14:paraId="3BEB8E8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4.3.3专业分包</w:t>
      </w:r>
    </w:p>
    <w:p w14:paraId="0E17DDE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在工程施工过程中，承包人进行专业分包必须遵守以下规定：</w:t>
      </w:r>
    </w:p>
    <w:p w14:paraId="3AD24A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允许专业分包的工程范围仅限于非关键性工程或者适合专业化队伍施工的专项工程。未列入投标文件的专项工程，承包人不得分包。但因工程变更增加了有特殊性技术要求、特殊工艺或者涉及专利保护等的专项工程，且按规定无须再进行招标的，由承包人提出书面申请，经发包人书面同意，可以分包。</w:t>
      </w:r>
    </w:p>
    <w:p w14:paraId="14105E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（2）专业分包人的资格能力（含安全生产能力）应与其分包工程的标准和规模相适应，且应当具备如下条件：</w:t>
      </w:r>
    </w:p>
    <w:p w14:paraId="25DB1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a.具有经工商登记的法人资格；</w:t>
      </w:r>
    </w:p>
    <w:p w14:paraId="27B799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b.具有从事类似工程经验的管理与技术人员；</w:t>
      </w:r>
    </w:p>
    <w:p w14:paraId="7E240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c.具有（自有或租赁）分包工程所需的施工设备。</w:t>
      </w:r>
    </w:p>
    <w:p w14:paraId="53D604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承包人应向监理人提交专业分包人的资格能力证明材料，经监理人审查并报发包人批准后，可以将相应专业工程分包给该专业分包人。</w:t>
      </w:r>
    </w:p>
    <w:p w14:paraId="4BC2AF1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（3）专业分包工程不得再次分包。</w:t>
      </w:r>
    </w:p>
    <w:p w14:paraId="4205033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7BBC980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662EB0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承包人应当建立健全相关分包管理制度和台账，对专业分包工程的质量、安全、进度和专业分包人的行为等实施全过程管理，按照合同约定对专业分包工程的实施向发包人负责，并承担赔偿责任。专业分包合同不免除承包合同中规定的承包人的责任或者义务。</w:t>
      </w:r>
    </w:p>
    <w:p w14:paraId="6D2CA76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40A46D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CA43D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17B2D5E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4.3.4劳务分包</w:t>
      </w:r>
    </w:p>
    <w:p w14:paraId="2759CA2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在工程施工过程中，承包人进行劳务分包必须遵守以下规定：</w:t>
      </w:r>
    </w:p>
    <w:p w14:paraId="4A1EAC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（1）劳务分包人应具有施工劳务资质。</w:t>
      </w:r>
    </w:p>
    <w:p w14:paraId="608C2C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2A197D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08F254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（4）承包人应当对劳务分包人员进行安全培训和管理，劳务分包人不得将其分包的劳务作业再次分包。</w:t>
      </w:r>
    </w:p>
    <w:p w14:paraId="1372FFD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违反上述规定之一者属违规分包。</w:t>
      </w:r>
    </w:p>
    <w:p w14:paraId="78B5CF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4.3.6 项、第 4.3.7 项：</w:t>
      </w:r>
    </w:p>
    <w:p w14:paraId="42D8EF1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4.3.6发包人对承包人与分包人之间的法律与经济纠纷不承担任何责任和义务。</w:t>
      </w:r>
    </w:p>
    <w:p w14:paraId="25ED04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4.3.7本项目的各项分包工作均应遵守《公路工程施工分包管理办法》的有关规定。</w:t>
      </w:r>
    </w:p>
    <w:p w14:paraId="222BF94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1" w:name="_Toc660"/>
      <w:r>
        <w:rPr>
          <w:rFonts w:hint="eastAsia" w:ascii="宋体" w:hAnsi="宋体" w:eastAsia="宋体" w:cs="宋体"/>
          <w:b/>
          <w:bCs/>
          <w:color w:val="auto"/>
          <w:sz w:val="28"/>
          <w:szCs w:val="28"/>
          <w:highlight w:val="none"/>
        </w:rPr>
        <w:t>4.4联合体</w:t>
      </w:r>
      <w:bookmarkEnd w:id="341"/>
    </w:p>
    <w:p w14:paraId="32B0FF8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4.4.4 项：</w:t>
      </w:r>
    </w:p>
    <w:p w14:paraId="56A7E34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4.4.4 未经发包人事先同意，联合体的组成与结构不得变动。</w:t>
      </w:r>
    </w:p>
    <w:p w14:paraId="6AEFD60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2" w:name="_Toc19492"/>
      <w:r>
        <w:rPr>
          <w:rFonts w:hint="eastAsia" w:ascii="宋体" w:hAnsi="宋体" w:eastAsia="宋体" w:cs="宋体"/>
          <w:b/>
          <w:bCs/>
          <w:color w:val="auto"/>
          <w:sz w:val="28"/>
          <w:szCs w:val="28"/>
          <w:highlight w:val="none"/>
        </w:rPr>
        <w:t>4.6承包人人员的管理</w:t>
      </w:r>
      <w:bookmarkEnd w:id="342"/>
    </w:p>
    <w:p w14:paraId="7DF1E0D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4.6.3 项细化为：</w:t>
      </w:r>
    </w:p>
    <w:p w14:paraId="575B26D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12F6521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4.6.5 项：</w:t>
      </w:r>
    </w:p>
    <w:p w14:paraId="29DBD9F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4.6.5 尽管承包人已按承诺派遣了上述各类人员，但若这些人员仍不能满足合同进度计划和（或）质量要求时，监理人有权要求承包人继续增派或雇用这类人员， 并书面通知承包人和抄送发包人。承包人在接到上述通知后应立即执行监理人的上述指示，不得无故拖延，由此增加的费用和（或）工期延误由承包人承担。</w:t>
      </w:r>
    </w:p>
    <w:p w14:paraId="7EE506E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3" w:name="_Toc14658"/>
      <w:r>
        <w:rPr>
          <w:rFonts w:hint="eastAsia" w:ascii="宋体" w:hAnsi="宋体" w:eastAsia="宋体" w:cs="宋体"/>
          <w:b/>
          <w:bCs/>
          <w:color w:val="auto"/>
          <w:sz w:val="28"/>
          <w:szCs w:val="28"/>
          <w:highlight w:val="none"/>
        </w:rPr>
        <w:t>4.7撤换承包人项目经理和其他人员</w:t>
      </w:r>
      <w:bookmarkEnd w:id="343"/>
    </w:p>
    <w:p w14:paraId="58EBAC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r>
        <w:rPr>
          <w:rFonts w:hint="eastAsia" w:ascii="宋体" w:hAnsi="宋体" w:eastAsia="宋体" w:cs="宋体"/>
          <w:color w:val="auto"/>
          <w:highlight w:val="none"/>
          <w:u w:val="single"/>
        </w:rPr>
        <w:t>承包人应对其项目经理和其他人员进行有效管理。监理人要求撤换不能胜任本职工作、行为不端或玩忽职守的承包人项目经理和其他人员的，承包人应予以撤换， 同时委派经发包人与监理人同意的新的项目经理和其他人员。</w:t>
      </w:r>
    </w:p>
    <w:p w14:paraId="1C1B18C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4.7.1关于项目经理每月在施工现场的时间要求：</w:t>
      </w:r>
      <w:r>
        <w:rPr>
          <w:rFonts w:hint="eastAsia" w:ascii="宋体" w:hAnsi="宋体" w:cs="宋体"/>
          <w:color w:val="auto"/>
          <w:szCs w:val="21"/>
          <w:highlight w:val="none"/>
          <w:u w:val="single"/>
        </w:rPr>
        <w:t>每月</w:t>
      </w:r>
      <w:r>
        <w:rPr>
          <w:rFonts w:hint="eastAsia" w:ascii="宋体" w:hAnsi="宋体" w:cs="宋体"/>
          <w:color w:val="auto"/>
          <w:szCs w:val="21"/>
          <w:highlight w:val="none"/>
          <w:u w:val="single"/>
          <w:lang w:val="en-US" w:eastAsia="zh-CN"/>
        </w:rPr>
        <w:t>不少于</w:t>
      </w:r>
      <w:r>
        <w:rPr>
          <w:rFonts w:hint="eastAsia" w:ascii="宋体" w:hAnsi="宋体" w:cs="宋体"/>
          <w:color w:val="auto"/>
          <w:szCs w:val="21"/>
          <w:highlight w:val="none"/>
          <w:u w:val="single"/>
        </w:rPr>
        <w:t>22天</w:t>
      </w:r>
      <w:r>
        <w:rPr>
          <w:rFonts w:hint="eastAsia" w:ascii="宋体" w:hAnsi="宋体" w:cs="宋体"/>
          <w:color w:val="auto"/>
          <w:szCs w:val="21"/>
          <w:highlight w:val="none"/>
        </w:rPr>
        <w:t>____。</w:t>
      </w:r>
    </w:p>
    <w:p w14:paraId="1BD4AB58">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4.7.2承包人未提交劳动合同，以及没有为项目经理缴纳社会保险证明的违约责任：</w:t>
      </w:r>
      <w:r>
        <w:rPr>
          <w:rFonts w:hint="eastAsia" w:ascii="宋体" w:hAnsi="宋体" w:cs="宋体"/>
          <w:color w:val="auto"/>
          <w:szCs w:val="21"/>
          <w:highlight w:val="none"/>
          <w:u w:val="single"/>
        </w:rPr>
        <w:t>必须提交，否则不能担任本工程项目经理。</w:t>
      </w:r>
    </w:p>
    <w:p w14:paraId="54DEF175">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4.7.3项目经理未经批准，擅自离开施工现场的违约责任：未经发包人同意或正当理由，项目经理擅自离岗的，视为承包人违约，发包人有权处违约金</w:t>
      </w:r>
      <w:r>
        <w:rPr>
          <w:rFonts w:hint="eastAsia" w:ascii="宋体" w:hAnsi="宋体" w:cs="宋体"/>
          <w:color w:val="auto"/>
          <w:szCs w:val="21"/>
          <w:highlight w:val="none"/>
          <w:u w:val="single"/>
        </w:rPr>
        <w:t>1</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u w:val="single"/>
        </w:rPr>
        <w:t>00</w:t>
      </w:r>
      <w:r>
        <w:rPr>
          <w:rFonts w:hint="eastAsia" w:ascii="宋体" w:hAnsi="宋体" w:cs="宋体"/>
          <w:color w:val="auto"/>
          <w:szCs w:val="21"/>
          <w:highlight w:val="none"/>
        </w:rPr>
        <w:t>元/人•次(人民币)。</w:t>
      </w:r>
    </w:p>
    <w:p w14:paraId="73BFC683">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4.7.4承包人擅自更换项目经理的违约责任：承包人项目经理必须与承包人投标时所承诺的人员一致，并在</w:t>
      </w:r>
      <w:r>
        <w:rPr>
          <w:rFonts w:hint="eastAsia" w:ascii="宋体" w:hAnsi="宋体" w:cs="宋体"/>
          <w:color w:val="auto"/>
          <w:szCs w:val="21"/>
          <w:highlight w:val="none"/>
          <w:u w:val="single"/>
        </w:rPr>
        <w:t>（开工日期）</w:t>
      </w:r>
      <w:r>
        <w:rPr>
          <w:rFonts w:hint="eastAsia" w:ascii="宋体" w:hAnsi="宋体" w:cs="宋体"/>
          <w:color w:val="auto"/>
          <w:szCs w:val="21"/>
          <w:highlight w:val="none"/>
        </w:rPr>
        <w:t>前到任。在监理人向承包人颁发</w:t>
      </w:r>
      <w:r>
        <w:rPr>
          <w:rFonts w:hint="eastAsia" w:ascii="宋体" w:hAnsi="宋体" w:cs="宋体"/>
          <w:color w:val="auto"/>
          <w:szCs w:val="21"/>
          <w:highlight w:val="none"/>
          <w:u w:val="single"/>
        </w:rPr>
        <w:t>（竣工证明材料名称）</w:t>
      </w:r>
      <w:r>
        <w:rPr>
          <w:rFonts w:hint="eastAsia" w:ascii="宋体" w:hAnsi="宋体" w:cs="宋体"/>
          <w:color w:val="auto"/>
          <w:szCs w:val="21"/>
          <w:highlight w:val="none"/>
        </w:rPr>
        <w:t>前，项目经理不得同时兼任其他任何项目的项目经理。未经发包人书面同意，承包人擅自更换项目经理的视为违约、违约金处</w:t>
      </w:r>
      <w:r>
        <w:rPr>
          <w:rFonts w:hint="eastAsia" w:ascii="宋体" w:hAnsi="宋体" w:cs="宋体"/>
          <w:color w:val="auto"/>
          <w:szCs w:val="21"/>
          <w:highlight w:val="none"/>
          <w:u w:val="single"/>
        </w:rPr>
        <w:t>合同价款的1%</w:t>
      </w:r>
      <w:r>
        <w:rPr>
          <w:rFonts w:hint="eastAsia" w:ascii="宋体" w:hAnsi="宋体" w:cs="宋体"/>
          <w:color w:val="auto"/>
          <w:szCs w:val="21"/>
          <w:highlight w:val="none"/>
        </w:rPr>
        <w:t>。</w:t>
      </w:r>
    </w:p>
    <w:p w14:paraId="7A3912E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4.7.5承包人无正当理由拒绝更换项目经理的违约责任：承包人项目经理因不称职，发包人要求调换而未及时调换的，视为承包人违约，必须向发包人交纳处罚金</w:t>
      </w:r>
      <w:r>
        <w:rPr>
          <w:rFonts w:hint="eastAsia" w:ascii="宋体" w:hAnsi="宋体" w:cs="宋体"/>
          <w:color w:val="auto"/>
          <w:szCs w:val="21"/>
          <w:highlight w:val="none"/>
          <w:u w:val="single"/>
        </w:rPr>
        <w:t>10000</w:t>
      </w:r>
      <w:r>
        <w:rPr>
          <w:rFonts w:hint="eastAsia" w:ascii="宋体" w:hAnsi="宋体" w:cs="宋体"/>
          <w:color w:val="auto"/>
          <w:szCs w:val="21"/>
          <w:highlight w:val="none"/>
        </w:rPr>
        <w:t>元/人•次(人民币)。</w:t>
      </w:r>
    </w:p>
    <w:p w14:paraId="4467F91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4.7.6承包人人员</w:t>
      </w:r>
    </w:p>
    <w:p w14:paraId="62ABADEC">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4.7.6.1 承包人提交项目管理机构及施工现场管理人员安排报告的期限：</w:t>
      </w:r>
      <w:r>
        <w:rPr>
          <w:rFonts w:hint="eastAsia" w:ascii="宋体" w:hAnsi="宋体" w:cs="宋体"/>
          <w:color w:val="auto"/>
          <w:szCs w:val="21"/>
          <w:highlight w:val="none"/>
          <w:u w:val="single"/>
        </w:rPr>
        <w:t>开工前7天</w:t>
      </w:r>
      <w:r>
        <w:rPr>
          <w:rFonts w:hint="eastAsia" w:ascii="宋体" w:hAnsi="宋体" w:cs="宋体"/>
          <w:color w:val="auto"/>
          <w:szCs w:val="21"/>
          <w:highlight w:val="none"/>
        </w:rPr>
        <w:t>。</w:t>
      </w:r>
    </w:p>
    <w:p w14:paraId="58E1EA8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4.7.6.2 承包人无正当理由拒绝撤换主要施工管理人员的违约责任：承包人主要施工管理人员因不称职，发包人要求调换而无正当理由拒绝撤换或未及时调换的，视为承包人违约，必须向发包人交纳处罚金，处罚标准：总工</w:t>
      </w:r>
      <w:r>
        <w:rPr>
          <w:rFonts w:hint="eastAsia" w:ascii="宋体" w:hAnsi="宋体" w:cs="宋体"/>
          <w:color w:val="auto"/>
          <w:szCs w:val="21"/>
          <w:highlight w:val="none"/>
          <w:u w:val="single"/>
        </w:rPr>
        <w:t>5000</w:t>
      </w:r>
      <w:r>
        <w:rPr>
          <w:rFonts w:hint="eastAsia" w:ascii="宋体" w:hAnsi="宋体" w:cs="宋体"/>
          <w:color w:val="auto"/>
          <w:szCs w:val="21"/>
          <w:highlight w:val="none"/>
        </w:rPr>
        <w:t>元/人•次(人民币)；专业工程师</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000</w:t>
      </w:r>
      <w:r>
        <w:rPr>
          <w:rFonts w:hint="eastAsia" w:ascii="宋体" w:hAnsi="宋体" w:cs="宋体"/>
          <w:color w:val="auto"/>
          <w:szCs w:val="21"/>
          <w:highlight w:val="none"/>
        </w:rPr>
        <w:t>元/人•次(人民币)。</w:t>
      </w:r>
    </w:p>
    <w:p w14:paraId="216BA890">
      <w:pPr>
        <w:wordWrap w:val="0"/>
        <w:topLinePunct/>
        <w:adjustRightInd w:val="0"/>
        <w:spacing w:line="360" w:lineRule="auto"/>
        <w:ind w:firstLine="420"/>
        <w:rPr>
          <w:rFonts w:ascii="宋体" w:hAnsi="宋体" w:cs="宋体"/>
          <w:color w:val="auto"/>
          <w:szCs w:val="21"/>
          <w:highlight w:val="none"/>
          <w:u w:val="single"/>
        </w:rPr>
      </w:pPr>
      <w:r>
        <w:rPr>
          <w:rFonts w:hint="eastAsia" w:ascii="宋体" w:hAnsi="宋体" w:cs="宋体"/>
          <w:color w:val="auto"/>
          <w:szCs w:val="21"/>
          <w:highlight w:val="none"/>
        </w:rPr>
        <w:t>4.7.6.3 承包人主要施工管理人员离开施工现场的批准要求：</w:t>
      </w:r>
      <w:r>
        <w:rPr>
          <w:rFonts w:hint="eastAsia" w:ascii="宋体" w:hAnsi="宋体" w:cs="宋体"/>
          <w:color w:val="auto"/>
          <w:szCs w:val="21"/>
          <w:highlight w:val="none"/>
          <w:u w:val="single"/>
        </w:rPr>
        <w:t>报总监办同意后再报业主代表批准</w:t>
      </w:r>
      <w:r>
        <w:rPr>
          <w:rFonts w:hint="eastAsia" w:ascii="宋体" w:hAnsi="宋体" w:cs="宋体"/>
          <w:color w:val="auto"/>
          <w:szCs w:val="21"/>
          <w:highlight w:val="none"/>
        </w:rPr>
        <w:t>。</w:t>
      </w:r>
    </w:p>
    <w:p w14:paraId="02138770">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4.7.6.4承包人擅自更换主要施工管理人员的违约责任：总工、专业工程师未经发包人书面同意不准擅自更换，擅自更换总工处</w:t>
      </w:r>
      <w:r>
        <w:rPr>
          <w:rFonts w:hint="eastAsia" w:ascii="宋体" w:hAnsi="宋体" w:cs="宋体"/>
          <w:color w:val="auto"/>
          <w:szCs w:val="21"/>
          <w:highlight w:val="none"/>
          <w:u w:val="single"/>
        </w:rPr>
        <w:t>合同价款0.5%</w:t>
      </w:r>
      <w:r>
        <w:rPr>
          <w:rFonts w:hint="eastAsia" w:ascii="宋体" w:hAnsi="宋体" w:cs="宋体"/>
          <w:color w:val="auto"/>
          <w:szCs w:val="21"/>
          <w:highlight w:val="none"/>
        </w:rPr>
        <w:t>违约金；擅自更换专业工程师处</w:t>
      </w:r>
      <w:r>
        <w:rPr>
          <w:rFonts w:hint="eastAsia" w:ascii="宋体" w:hAnsi="宋体" w:cs="宋体"/>
          <w:color w:val="auto"/>
          <w:szCs w:val="21"/>
          <w:highlight w:val="none"/>
          <w:u w:val="single"/>
        </w:rPr>
        <w:t>合同价款1‰</w:t>
      </w:r>
      <w:r>
        <w:rPr>
          <w:rFonts w:hint="eastAsia" w:ascii="宋体" w:hAnsi="宋体" w:cs="宋体"/>
          <w:color w:val="auto"/>
          <w:szCs w:val="21"/>
          <w:highlight w:val="none"/>
        </w:rPr>
        <w:t>违约金。</w:t>
      </w:r>
    </w:p>
    <w:p w14:paraId="5606F3F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4.7.6.5承包人主要施工管理人员擅自离开施工现场的违约责任：未经发包人同意，总工擅自离岗的，视为承包人违约，发包人有权处违约金</w:t>
      </w:r>
      <w:r>
        <w:rPr>
          <w:rFonts w:hint="eastAsia" w:ascii="宋体" w:hAnsi="宋体" w:cs="宋体"/>
          <w:color w:val="auto"/>
          <w:szCs w:val="21"/>
          <w:highlight w:val="none"/>
          <w:u w:val="single"/>
        </w:rPr>
        <w:t>1000</w:t>
      </w:r>
      <w:r>
        <w:rPr>
          <w:rFonts w:hint="eastAsia" w:ascii="宋体" w:hAnsi="宋体" w:cs="宋体"/>
          <w:color w:val="auto"/>
          <w:szCs w:val="21"/>
          <w:highlight w:val="none"/>
        </w:rPr>
        <w:t>元/人•次(人民币)；未经发包人同意，专业工程师擅自离岗的，视为承包人违约，发包人有权处违约金</w:t>
      </w:r>
      <w:r>
        <w:rPr>
          <w:rFonts w:hint="eastAsia" w:ascii="宋体" w:hAnsi="宋体" w:cs="宋体"/>
          <w:color w:val="auto"/>
          <w:szCs w:val="21"/>
          <w:highlight w:val="none"/>
          <w:u w:val="single"/>
        </w:rPr>
        <w:t>500</w:t>
      </w:r>
      <w:r>
        <w:rPr>
          <w:rFonts w:hint="eastAsia" w:ascii="宋体" w:hAnsi="宋体" w:cs="宋体"/>
          <w:color w:val="auto"/>
          <w:szCs w:val="21"/>
          <w:highlight w:val="none"/>
        </w:rPr>
        <w:t>元/人•次(人民币)。</w:t>
      </w:r>
    </w:p>
    <w:p w14:paraId="37C7D3C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49DFC1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4" w:name="_Toc5548"/>
      <w:r>
        <w:rPr>
          <w:rFonts w:hint="eastAsia" w:ascii="宋体" w:hAnsi="宋体" w:eastAsia="宋体" w:cs="宋体"/>
          <w:b/>
          <w:bCs/>
          <w:color w:val="auto"/>
          <w:sz w:val="28"/>
          <w:szCs w:val="28"/>
          <w:highlight w:val="none"/>
        </w:rPr>
        <w:t>4.9工程价款应专款专用</w:t>
      </w:r>
      <w:bookmarkEnd w:id="344"/>
    </w:p>
    <w:p w14:paraId="3BE1E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0B325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5009946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5" w:name="_Toc20880"/>
      <w:r>
        <w:rPr>
          <w:rFonts w:hint="eastAsia" w:ascii="宋体" w:hAnsi="宋体" w:eastAsia="宋体" w:cs="宋体"/>
          <w:b/>
          <w:bCs/>
          <w:color w:val="auto"/>
          <w:sz w:val="28"/>
          <w:szCs w:val="28"/>
          <w:highlight w:val="none"/>
        </w:rPr>
        <w:t>4.10承包人现场查勘</w:t>
      </w:r>
      <w:bookmarkEnd w:id="345"/>
    </w:p>
    <w:p w14:paraId="7EB300B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4.10.1 项细化为：</w:t>
      </w:r>
      <w:r>
        <w:rPr>
          <w:rFonts w:hint="eastAsia" w:ascii="宋体" w:hAnsi="宋体" w:eastAsia="宋体" w:cs="宋体"/>
          <w:b/>
          <w:bCs/>
          <w:color w:val="auto"/>
          <w:sz w:val="28"/>
          <w:szCs w:val="28"/>
          <w:highlight w:val="none"/>
          <w:vertAlign w:val="superscript"/>
        </w:rPr>
        <w:footnoteReference w:id="0"/>
      </w:r>
    </w:p>
    <w:p w14:paraId="1D38485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379413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6" w:name="_Toc13611"/>
      <w:r>
        <w:rPr>
          <w:rFonts w:hint="eastAsia" w:ascii="宋体" w:hAnsi="宋体" w:eastAsia="宋体" w:cs="宋体"/>
          <w:b/>
          <w:bCs/>
          <w:color w:val="auto"/>
          <w:sz w:val="28"/>
          <w:szCs w:val="28"/>
          <w:highlight w:val="none"/>
        </w:rPr>
        <w:t>4.11不利物质条件</w:t>
      </w:r>
      <w:bookmarkEnd w:id="346"/>
    </w:p>
    <w:p w14:paraId="746BBE1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4.11.2 项细化为：</w:t>
      </w:r>
    </w:p>
    <w:p w14:paraId="23F23A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4.11.2承包人遇到不可预见的不利物质条件时，应采取适应不利物质条件的合理措施继续施工，并及时通知监理人。监理人应当及时发出指示，指示构成变更的， 按第 15 条约定办理。监理人没有发出指示的，承包人因采取合理措施而增加的费用和（或）工期延误，由发包人承担。</w:t>
      </w:r>
    </w:p>
    <w:p w14:paraId="75BEA8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4.11.3 项：</w:t>
      </w:r>
    </w:p>
    <w:p w14:paraId="0DD58A4B">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4.11.3可预见的不利物质条件</w:t>
      </w:r>
    </w:p>
    <w:p w14:paraId="41B90E7A">
      <w:pPr>
        <w:pageBreakBefore w:val="0"/>
        <w:numPr>
          <w:ilvl w:val="0"/>
          <w:numId w:val="7"/>
        </w:numPr>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对于项目专用合同条款中已经明确指出的不利物质条件无论承包人是否有其经历和经验均视为承包人在接受合同时已预见其影响，并已在签约合同价中计入因其影响而可能发生的一切费用。</w:t>
      </w:r>
    </w:p>
    <w:p w14:paraId="227FF35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（2）对于项目专用合同条款未明确指出，但是在不利物质条件发生之前，监理人已经指示承包人有可能发生，但承包人未能及时采取有效措施，而导致的损失和后果均由承包人承担。</w:t>
      </w:r>
    </w:p>
    <w:p w14:paraId="0B1CB3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补充第 4.12 款、第 4.13 款：</w:t>
      </w:r>
    </w:p>
    <w:p w14:paraId="12C1FBA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7" w:name="_Toc25718"/>
      <w:r>
        <w:rPr>
          <w:rFonts w:hint="eastAsia" w:ascii="宋体" w:hAnsi="宋体" w:eastAsia="宋体" w:cs="宋体"/>
          <w:b/>
          <w:bCs/>
          <w:color w:val="auto"/>
          <w:sz w:val="28"/>
          <w:szCs w:val="28"/>
          <w:highlight w:val="none"/>
        </w:rPr>
        <w:t>4.12投标文件的完备性</w:t>
      </w:r>
      <w:bookmarkEnd w:id="347"/>
    </w:p>
    <w:p w14:paraId="7D5FA5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双方一致认为，承包人在递交投标文件前，对本合同工程的投标文件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B763D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48" w:name="_Toc10357"/>
      <w:r>
        <w:rPr>
          <w:rFonts w:hint="eastAsia" w:ascii="宋体" w:hAnsi="宋体" w:eastAsia="宋体" w:cs="宋体"/>
          <w:b/>
          <w:bCs/>
          <w:color w:val="auto"/>
          <w:sz w:val="28"/>
          <w:szCs w:val="28"/>
          <w:highlight w:val="none"/>
        </w:rPr>
        <w:t>4.13开展党建工作要求</w:t>
      </w:r>
      <w:bookmarkEnd w:id="348"/>
    </w:p>
    <w:p w14:paraId="6D63308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644EE2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6DB964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49" w:name="_Toc1605"/>
      <w:bookmarkStart w:id="350" w:name="_Toc122424463"/>
      <w:bookmarkStart w:id="351" w:name="_Toc122424214"/>
      <w:r>
        <w:rPr>
          <w:rFonts w:hint="eastAsia" w:ascii="宋体" w:hAnsi="宋体" w:eastAsia="宋体" w:cs="宋体"/>
          <w:b/>
          <w:bCs/>
          <w:color w:val="auto"/>
          <w:sz w:val="32"/>
          <w:szCs w:val="32"/>
          <w:highlight w:val="none"/>
        </w:rPr>
        <w:t>5.材料和工程设备</w:t>
      </w:r>
      <w:bookmarkEnd w:id="349"/>
      <w:bookmarkEnd w:id="350"/>
      <w:bookmarkEnd w:id="351"/>
    </w:p>
    <w:p w14:paraId="6261CD3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2" w:name="_Toc20766"/>
      <w:r>
        <w:rPr>
          <w:rFonts w:hint="eastAsia" w:ascii="宋体" w:hAnsi="宋体" w:eastAsia="宋体" w:cs="宋体"/>
          <w:b/>
          <w:bCs/>
          <w:color w:val="auto"/>
          <w:sz w:val="28"/>
          <w:szCs w:val="28"/>
          <w:highlight w:val="none"/>
        </w:rPr>
        <w:t>5.2 发包人提供的材料和工程设备</w:t>
      </w:r>
      <w:bookmarkEnd w:id="352"/>
    </w:p>
    <w:p w14:paraId="6BF94CE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5.2.3 项补充：</w:t>
      </w:r>
    </w:p>
    <w:p w14:paraId="2F919D5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611B5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3" w:name="_Toc24228"/>
      <w:bookmarkStart w:id="354" w:name="_Toc122424464"/>
      <w:bookmarkStart w:id="355" w:name="_Toc122424215"/>
      <w:r>
        <w:rPr>
          <w:rFonts w:hint="eastAsia" w:ascii="宋体" w:hAnsi="宋体" w:eastAsia="宋体" w:cs="宋体"/>
          <w:b/>
          <w:bCs/>
          <w:color w:val="auto"/>
          <w:sz w:val="32"/>
          <w:szCs w:val="32"/>
          <w:highlight w:val="none"/>
        </w:rPr>
        <w:t>6.施工设备和临时设施</w:t>
      </w:r>
      <w:bookmarkEnd w:id="353"/>
      <w:bookmarkEnd w:id="354"/>
      <w:bookmarkEnd w:id="355"/>
    </w:p>
    <w:p w14:paraId="11BF465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6" w:name="_Toc23309"/>
      <w:r>
        <w:rPr>
          <w:rFonts w:hint="eastAsia" w:ascii="宋体" w:hAnsi="宋体" w:eastAsia="宋体" w:cs="宋体"/>
          <w:b/>
          <w:bCs/>
          <w:color w:val="auto"/>
          <w:sz w:val="28"/>
          <w:szCs w:val="28"/>
          <w:highlight w:val="none"/>
        </w:rPr>
        <w:t>6.1承包人提供的施工设备和临时设施</w:t>
      </w:r>
      <w:bookmarkEnd w:id="356"/>
    </w:p>
    <w:p w14:paraId="46FE50E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6.1.2 项约定为：</w:t>
      </w:r>
    </w:p>
    <w:p w14:paraId="04A0F73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承包人应自行承担修建临时设施的费用，需要临时占地的，应由承包人按第4.1.10 项（1）目的规定办理。</w:t>
      </w:r>
    </w:p>
    <w:p w14:paraId="1A49AE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57" w:name="_Toc26966"/>
      <w:r>
        <w:rPr>
          <w:rFonts w:hint="eastAsia" w:ascii="宋体" w:hAnsi="宋体" w:eastAsia="宋体" w:cs="宋体"/>
          <w:b/>
          <w:bCs/>
          <w:color w:val="auto"/>
          <w:sz w:val="28"/>
          <w:szCs w:val="28"/>
          <w:highlight w:val="none"/>
        </w:rPr>
        <w:t>6.3 要求承包人增加或更换施工设备</w:t>
      </w:r>
      <w:bookmarkEnd w:id="357"/>
    </w:p>
    <w:p w14:paraId="25FA20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1D95DD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4FEA101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58" w:name="_Toc7330"/>
      <w:bookmarkStart w:id="359" w:name="_Toc122424216"/>
      <w:bookmarkStart w:id="360" w:name="_Toc122424465"/>
      <w:r>
        <w:rPr>
          <w:rFonts w:hint="eastAsia" w:ascii="宋体" w:hAnsi="宋体" w:eastAsia="宋体" w:cs="宋体"/>
          <w:b/>
          <w:bCs/>
          <w:color w:val="auto"/>
          <w:sz w:val="32"/>
          <w:szCs w:val="32"/>
          <w:highlight w:val="none"/>
        </w:rPr>
        <w:t>7.交通运输</w:t>
      </w:r>
      <w:bookmarkEnd w:id="358"/>
      <w:bookmarkEnd w:id="359"/>
      <w:bookmarkEnd w:id="360"/>
    </w:p>
    <w:p w14:paraId="3A477BE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1" w:name="_Toc28212"/>
      <w:r>
        <w:rPr>
          <w:rFonts w:hint="eastAsia" w:ascii="宋体" w:hAnsi="宋体" w:eastAsia="宋体" w:cs="宋体"/>
          <w:b/>
          <w:bCs/>
          <w:color w:val="auto"/>
          <w:sz w:val="28"/>
          <w:szCs w:val="28"/>
          <w:highlight w:val="none"/>
        </w:rPr>
        <w:t>7.1道路通行权和场外设施</w:t>
      </w:r>
      <w:bookmarkEnd w:id="361"/>
    </w:p>
    <w:p w14:paraId="5412499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16115A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785CD515">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本款补充</w:t>
      </w:r>
      <w:r>
        <w:rPr>
          <w:rFonts w:hint="eastAsia" w:ascii="宋体" w:hAnsi="宋体" w:eastAsia="宋体" w:cs="宋体"/>
          <w:color w:val="auto"/>
          <w:szCs w:val="21"/>
          <w:highlight w:val="none"/>
        </w:rPr>
        <w:t>：</w:t>
      </w:r>
    </w:p>
    <w:p w14:paraId="34923639">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旧路改建工程项目</w:t>
      </w:r>
    </w:p>
    <w:p w14:paraId="01D53964">
      <w:pPr>
        <w:wordWrap w:val="0"/>
        <w:topLinePunct/>
        <w:adjustRightInd w:val="0"/>
        <w:spacing w:line="360" w:lineRule="auto"/>
        <w:ind w:firstLine="42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(I)</w:t>
      </w:r>
      <w:r>
        <w:rPr>
          <w:rFonts w:hint="eastAsia" w:ascii="宋体" w:hAnsi="宋体" w:eastAsia="宋体" w:cs="宋体"/>
          <w:color w:val="auto"/>
          <w:szCs w:val="21"/>
          <w:highlight w:val="none"/>
        </w:rPr>
        <w:t>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047B5EC">
      <w:pPr>
        <w:numPr>
          <w:ilvl w:val="0"/>
          <w:numId w:val="0"/>
        </w:numPr>
        <w:wordWrap w:val="0"/>
        <w:topLinePunct/>
        <w:adjustRightInd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II</w:t>
      </w:r>
      <w:r>
        <w:rPr>
          <w:rFonts w:hint="eastAsia" w:ascii="宋体" w:hAnsi="宋体" w:eastAsia="宋体" w:cs="宋体"/>
          <w:color w:val="auto"/>
          <w:szCs w:val="21"/>
          <w:highlight w:val="none"/>
        </w:rPr>
        <w:t>)不得在道路上堆放材料或占道施工影响交通。</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路基、路面施工应避免出现晴天扬尘，雨天打滑影响安全与交通和影响群众生活、生产的现象。</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维持交通的路基施工应保证表面平整，保证通畅。</w:t>
      </w:r>
    </w:p>
    <w:p w14:paraId="1B19CB11">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2" w:name="_Toc25933"/>
      <w:bookmarkStart w:id="363" w:name="_Toc122424466"/>
      <w:bookmarkStart w:id="364" w:name="_Toc122424217"/>
      <w:r>
        <w:rPr>
          <w:rFonts w:hint="eastAsia" w:ascii="宋体" w:hAnsi="宋体" w:eastAsia="宋体" w:cs="宋体"/>
          <w:b/>
          <w:bCs/>
          <w:color w:val="auto"/>
          <w:sz w:val="32"/>
          <w:szCs w:val="32"/>
          <w:highlight w:val="none"/>
        </w:rPr>
        <w:t>8.测量放线</w:t>
      </w:r>
      <w:bookmarkEnd w:id="362"/>
      <w:bookmarkEnd w:id="363"/>
      <w:bookmarkEnd w:id="364"/>
    </w:p>
    <w:p w14:paraId="7FB6B2D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5" w:name="_Toc29191"/>
      <w:r>
        <w:rPr>
          <w:rFonts w:hint="eastAsia" w:ascii="宋体" w:hAnsi="宋体" w:eastAsia="宋体" w:cs="宋体"/>
          <w:b/>
          <w:bCs/>
          <w:color w:val="auto"/>
          <w:sz w:val="28"/>
          <w:szCs w:val="28"/>
          <w:highlight w:val="none"/>
        </w:rPr>
        <w:t>8.4 监理人使用施工控制网</w:t>
      </w:r>
      <w:bookmarkEnd w:id="365"/>
    </w:p>
    <w:p w14:paraId="54E3364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69CC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经监理人批准，其他相关承包人也可免费使用施工控制网。</w:t>
      </w:r>
    </w:p>
    <w:p w14:paraId="0AC814F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66" w:name="_Toc122424467"/>
      <w:bookmarkStart w:id="367" w:name="_Toc122424218"/>
      <w:bookmarkStart w:id="368" w:name="_Toc5499"/>
      <w:r>
        <w:rPr>
          <w:rFonts w:hint="eastAsia" w:ascii="宋体" w:hAnsi="宋体" w:eastAsia="宋体" w:cs="宋体"/>
          <w:b/>
          <w:bCs/>
          <w:color w:val="auto"/>
          <w:sz w:val="32"/>
          <w:szCs w:val="32"/>
          <w:highlight w:val="none"/>
        </w:rPr>
        <w:t>9.施工安全、治安保卫和环境保护</w:t>
      </w:r>
      <w:bookmarkEnd w:id="366"/>
      <w:bookmarkEnd w:id="367"/>
      <w:bookmarkEnd w:id="368"/>
    </w:p>
    <w:p w14:paraId="489EBAB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69" w:name="_Toc12070"/>
      <w:r>
        <w:rPr>
          <w:rFonts w:hint="eastAsia" w:ascii="宋体" w:hAnsi="宋体" w:eastAsia="宋体" w:cs="宋体"/>
          <w:b/>
          <w:bCs/>
          <w:color w:val="auto"/>
          <w:sz w:val="28"/>
          <w:szCs w:val="28"/>
          <w:highlight w:val="none"/>
        </w:rPr>
        <w:t>9.2承包人的施工安全责任</w:t>
      </w:r>
      <w:bookmarkEnd w:id="369"/>
    </w:p>
    <w:p w14:paraId="23B947F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9.2.1 项细化为：</w:t>
      </w:r>
    </w:p>
    <w:p w14:paraId="1D9610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3EB632A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35682BB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本项目需要编制专项施工方案的工程包括但不限于以下内容：</w:t>
      </w:r>
    </w:p>
    <w:p w14:paraId="5399BAB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（1）不良地质条件下有潜在危险性的土方、石方开挖；</w:t>
      </w:r>
    </w:p>
    <w:p w14:paraId="2E8383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（2）滑坡和高边坡处理；</w:t>
      </w:r>
    </w:p>
    <w:p w14:paraId="127F110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（3）桩基础、挡墙基础、深水基础及围堰工程；</w:t>
      </w:r>
    </w:p>
    <w:p w14:paraId="6AAE989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（4）桥梁工程中的梁、拱、柱等构件施工等；</w:t>
      </w:r>
    </w:p>
    <w:p w14:paraId="4938DAE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（5）隧道工程中的不良地质隧道、高瓦斯隧道等；</w:t>
      </w:r>
    </w:p>
    <w:p w14:paraId="4638236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（6）水上工程中的打桩船作业、施工船作业、外海孤岛作业、边通航边施工 作业等；</w:t>
      </w:r>
    </w:p>
    <w:p w14:paraId="0215C44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（7）水下工程中的水下焊接、混凝土浇筑、爆破工程等；</w:t>
      </w:r>
    </w:p>
    <w:p w14:paraId="1306FFA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（8）爆破工程；</w:t>
      </w:r>
    </w:p>
    <w:p w14:paraId="6F1211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（9）大型临时工程中的大型支架、模板、便桥的架设与拆除；桥梁、码头的加固与拆除；</w:t>
      </w:r>
    </w:p>
    <w:p w14:paraId="04ED50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（10）其他危险性较大的工程。</w:t>
      </w:r>
    </w:p>
    <w:p w14:paraId="0E89944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监理人和发包人在检查中发现有安全问题或有违反安全管理规章制度的情况时，可视为承包人违约，应按第 22.1 款的规定办理。</w:t>
      </w:r>
    </w:p>
    <w:p w14:paraId="1EECBA35">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9.2.5 项细化为：</w:t>
      </w:r>
    </w:p>
    <w:p w14:paraId="5796AE7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 3.5 款商定或确定。</w:t>
      </w:r>
    </w:p>
    <w:p w14:paraId="7AB4924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9.2.8 项~第 9.2.11 项：</w:t>
      </w:r>
    </w:p>
    <w:p w14:paraId="2043BCC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9.2.8承包人应充分关注和保障所有在现场工作的人员的安全，采取以下有效措施，使现场和本合同工程的实施保持有条不紊，以免使上述人员的安全受到威胁。</w:t>
      </w:r>
    </w:p>
    <w:p w14:paraId="521AE1A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（1）按《公路水运工程安全生产监督管理办法》规定的最低数量和资质条件配备专职安全生产管理人员；</w:t>
      </w:r>
    </w:p>
    <w:p w14:paraId="6DB329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（2）承包人的垂直运输机械作业人员、施工船舶作业人员、爆破作业人员、 安装拆卸工、起重信号工、电工、焊工等国家规定的特种作业人员，必须按照国家规定经过专门的安全作业培训，并取得特种作业操作资格证书后，方可上岗作业；</w:t>
      </w:r>
    </w:p>
    <w:p w14:paraId="39BFDE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（3）所有施工机具设备和高空作业设备均应定期检查，并有安全员的签字记录；</w:t>
      </w:r>
    </w:p>
    <w:p w14:paraId="7E842D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（4）根据本合同各单位工程的施工特点，严格执行《公路水运工程安全生产监督管理办法》《公路工程施工安全技术规范》等有关规定。</w:t>
      </w:r>
    </w:p>
    <w:p w14:paraId="378318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76632D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9.2.10在通航水域施工时，承包人应与当地主管部门取得联系，设置必要的导航标志，及时发布航行通告，确保施工水域安全。</w:t>
      </w:r>
    </w:p>
    <w:p w14:paraId="4464EB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1F2E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0" w:name="_Toc29507"/>
      <w:r>
        <w:rPr>
          <w:rFonts w:hint="eastAsia" w:ascii="宋体" w:hAnsi="宋体" w:eastAsia="宋体" w:cs="宋体"/>
          <w:b/>
          <w:bCs/>
          <w:color w:val="auto"/>
          <w:sz w:val="28"/>
          <w:szCs w:val="28"/>
          <w:highlight w:val="none"/>
        </w:rPr>
        <w:t>9.4 环境保护</w:t>
      </w:r>
      <w:bookmarkEnd w:id="370"/>
    </w:p>
    <w:p w14:paraId="61D7131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9.4.7 项~第 9.4.11 项：</w:t>
      </w:r>
    </w:p>
    <w:p w14:paraId="4EA0941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9.4.7承包人应切实执行技术规范中有关环境保护方面的条款和规定。</w:t>
      </w:r>
    </w:p>
    <w:p w14:paraId="3FCE0DB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 150m 以内的施工现场， 施工时间应加以控制。</w:t>
      </w:r>
    </w:p>
    <w:p w14:paraId="3898B4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（2）对于公路施工中粉尘污染的主要污染源――灰土拌和、施工车辆和筑路机械运行及运输产生的扬尘，应采取有效措施减轻其对施工现场的大气污染，保护人民健康，如：</w:t>
      </w:r>
    </w:p>
    <w:p w14:paraId="743535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a.拌和设备应有较好的密封，或有防尘设备。</w:t>
      </w:r>
    </w:p>
    <w:p w14:paraId="1A12EB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b.施工通道、沥青混凝土拌和站及灰土拌和站应经常进行洒水降尘。</w:t>
      </w:r>
    </w:p>
    <w:p w14:paraId="5C50DDF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c.路面施工应注意保持水分，以免扬尘。</w:t>
      </w:r>
    </w:p>
    <w:p w14:paraId="52CB96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d.隧道出渣和桥梁钻孔灌注桩施工时排出的泥浆要进行妥善处理，严禁向河流或农田排放。</w:t>
      </w:r>
    </w:p>
    <w:p w14:paraId="6C1985A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（3）采取可靠措施保证原有交通的正常通行，维持沿线村镇的居民饮水、农田灌溉、生产生活用电及通信等管线的正常使用。</w:t>
      </w:r>
    </w:p>
    <w:p w14:paraId="590743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7D1F55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9.4.9在施工期间，承包人应随时保持现场整洁，施工设备和材料、工程设备应整齐妥善存放和储存，废料与垃圾及不再需要的临时设施应及时从现场清除、拆除并运走。</w:t>
      </w:r>
    </w:p>
    <w:p w14:paraId="41CA346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2E0B844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 要完善施工中的临时排水系统，加强施工便道的管理。取（弃）土场必须先挡后弃， 严禁在指定的取（弃）土场以外的地方乱挖乱弃。</w:t>
      </w:r>
    </w:p>
    <w:p w14:paraId="240DA8AA">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1" w:name="_Toc122424219"/>
      <w:bookmarkStart w:id="372" w:name="_Toc23551"/>
      <w:bookmarkStart w:id="373" w:name="_Toc122424468"/>
      <w:r>
        <w:rPr>
          <w:rFonts w:hint="eastAsia" w:ascii="宋体" w:hAnsi="宋体" w:eastAsia="宋体" w:cs="宋体"/>
          <w:b/>
          <w:bCs/>
          <w:color w:val="auto"/>
          <w:sz w:val="32"/>
          <w:szCs w:val="32"/>
          <w:highlight w:val="none"/>
        </w:rPr>
        <w:t>10.进度计划</w:t>
      </w:r>
      <w:bookmarkEnd w:id="371"/>
      <w:bookmarkEnd w:id="372"/>
      <w:bookmarkEnd w:id="373"/>
    </w:p>
    <w:p w14:paraId="7CD2EEE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4" w:name="_Toc2371"/>
      <w:r>
        <w:rPr>
          <w:rFonts w:hint="eastAsia" w:ascii="宋体" w:hAnsi="宋体" w:eastAsia="宋体" w:cs="宋体"/>
          <w:b/>
          <w:bCs/>
          <w:color w:val="auto"/>
          <w:sz w:val="28"/>
          <w:szCs w:val="28"/>
          <w:highlight w:val="none"/>
        </w:rPr>
        <w:t>10.1合同进度计划</w:t>
      </w:r>
      <w:bookmarkEnd w:id="374"/>
    </w:p>
    <w:p w14:paraId="56EDC4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4DE8AF6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承包人编制施工方案说明的内容见项目专用合同条款。</w:t>
      </w:r>
    </w:p>
    <w:p w14:paraId="1192883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承包人向监理人报送施工进度计划和施工方案说明的期限：签订合同协议书后28 天之内。</w:t>
      </w:r>
    </w:p>
    <w:p w14:paraId="40FCC8C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监理人应在 14 天内对承包人施工进度计划和施工方案说明予以批复或提出修改意见。</w:t>
      </w:r>
    </w:p>
    <w:p w14:paraId="1CF39DB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合同进度计划应按照关键线路网络图和主要工作横道图两种形式分别编绘，并应包括每月预计完成的工作量和形象进度。</w:t>
      </w:r>
    </w:p>
    <w:p w14:paraId="468B3128">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5" w:name="_Toc30457"/>
      <w:r>
        <w:rPr>
          <w:rFonts w:hint="eastAsia" w:ascii="宋体" w:hAnsi="宋体" w:eastAsia="宋体" w:cs="宋体"/>
          <w:b/>
          <w:bCs/>
          <w:color w:val="auto"/>
          <w:sz w:val="28"/>
          <w:szCs w:val="28"/>
          <w:highlight w:val="none"/>
        </w:rPr>
        <w:t>10.2合同进度计划的修订</w:t>
      </w:r>
      <w:bookmarkEnd w:id="375"/>
    </w:p>
    <w:p w14:paraId="786CA4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A00B74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承包人提交合同进度计划修订申请报告，并附有关措施和相关资料的期限：实际进度发生滞后的当月 25 日前。</w:t>
      </w:r>
    </w:p>
    <w:p w14:paraId="59E54BB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监理人批复修订合同进度计划的期限：收到修订合同进度计划后 14 天内。</w:t>
      </w:r>
    </w:p>
    <w:p w14:paraId="694F571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10.3 款、第 10.4 款：</w:t>
      </w:r>
    </w:p>
    <w:p w14:paraId="03A3550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6" w:name="_Toc2437"/>
      <w:r>
        <w:rPr>
          <w:rFonts w:hint="eastAsia" w:ascii="宋体" w:hAnsi="宋体" w:eastAsia="宋体" w:cs="宋体"/>
          <w:b/>
          <w:bCs/>
          <w:color w:val="auto"/>
          <w:sz w:val="28"/>
          <w:szCs w:val="28"/>
          <w:highlight w:val="none"/>
        </w:rPr>
        <w:t>10.3年度施工计划</w:t>
      </w:r>
      <w:bookmarkEnd w:id="376"/>
    </w:p>
    <w:p w14:paraId="760FE8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承包人应在每年</w:t>
      </w:r>
      <w:r>
        <w:rPr>
          <w:rFonts w:hint="eastAsia" w:ascii="宋体" w:hAnsi="宋体" w:cs="宋体"/>
          <w:color w:val="auto"/>
          <w:highlight w:val="none"/>
          <w:lang w:val="en-US" w:eastAsia="zh-CN"/>
        </w:rPr>
        <w:t>11</w:t>
      </w:r>
      <w:r>
        <w:rPr>
          <w:rFonts w:hint="eastAsia" w:ascii="宋体" w:hAnsi="宋体" w:eastAsia="宋体" w:cs="宋体"/>
          <w:color w:val="auto"/>
          <w:highlight w:val="none"/>
        </w:rPr>
        <w:t>月底前，根据已同意的合同进度计划或其修订的计划，向监理人提交</w:t>
      </w:r>
      <w:r>
        <w:rPr>
          <w:rFonts w:hint="eastAsia" w:ascii="宋体" w:hAnsi="宋体" w:cs="宋体"/>
          <w:color w:val="auto"/>
          <w:highlight w:val="none"/>
          <w:lang w:val="en-US" w:eastAsia="zh-CN"/>
        </w:rPr>
        <w:t>2</w:t>
      </w:r>
      <w:r>
        <w:rPr>
          <w:rFonts w:hint="eastAsia" w:ascii="宋体" w:hAnsi="宋体" w:eastAsia="宋体" w:cs="宋体"/>
          <w:color w:val="auto"/>
          <w:highlight w:val="none"/>
        </w:rPr>
        <w:t>份格式和内容符合监理人合理规定的下一年度的施工计划，以供审查。该计划应包括本年度估计完成的和下一年度预计完成的分项工程数量和工作量，以及为实施此计划将采取的措施。</w:t>
      </w:r>
    </w:p>
    <w:p w14:paraId="5520676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77" w:name="_Toc19021"/>
      <w:r>
        <w:rPr>
          <w:rFonts w:hint="eastAsia" w:ascii="宋体" w:hAnsi="宋体" w:eastAsia="宋体" w:cs="宋体"/>
          <w:b/>
          <w:bCs/>
          <w:color w:val="auto"/>
          <w:sz w:val="28"/>
          <w:szCs w:val="28"/>
          <w:highlight w:val="none"/>
        </w:rPr>
        <w:t>10.4合同用款计划</w:t>
      </w:r>
      <w:bookmarkEnd w:id="377"/>
    </w:p>
    <w:p w14:paraId="1C022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承包人应在签订本合同协议书后 28 天之内，按磋商文件中规定的格式，向监理人提交 2 份按合同规定承包人有权得到支付的详细的季度合同用款计划，以备监理人查阅。如果监理人提出要求，承包人还应按季度提交修订的合同用款计划。</w:t>
      </w:r>
    </w:p>
    <w:p w14:paraId="41B684C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78" w:name="_Toc122424469"/>
      <w:bookmarkStart w:id="379" w:name="_Toc122424220"/>
      <w:bookmarkStart w:id="380" w:name="_Toc15458"/>
      <w:r>
        <w:rPr>
          <w:rFonts w:hint="eastAsia" w:ascii="宋体" w:hAnsi="宋体" w:eastAsia="宋体" w:cs="宋体"/>
          <w:b/>
          <w:bCs/>
          <w:color w:val="auto"/>
          <w:sz w:val="32"/>
          <w:szCs w:val="32"/>
          <w:highlight w:val="none"/>
        </w:rPr>
        <w:t>11.开工和交工</w:t>
      </w:r>
      <w:bookmarkEnd w:id="378"/>
      <w:bookmarkEnd w:id="379"/>
      <w:bookmarkEnd w:id="380"/>
    </w:p>
    <w:p w14:paraId="178BA60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1" w:name="_Toc12235"/>
      <w:r>
        <w:rPr>
          <w:rFonts w:hint="eastAsia" w:ascii="宋体" w:hAnsi="宋体" w:eastAsia="宋体" w:cs="宋体"/>
          <w:b/>
          <w:bCs/>
          <w:color w:val="auto"/>
          <w:sz w:val="28"/>
          <w:szCs w:val="28"/>
          <w:highlight w:val="none"/>
        </w:rPr>
        <w:t>11.1开工</w:t>
      </w:r>
      <w:bookmarkEnd w:id="381"/>
    </w:p>
    <w:p w14:paraId="52073B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11.1.2 项补充：</w:t>
      </w:r>
    </w:p>
    <w:p w14:paraId="7B3D62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承包人应在分部工程开工前 14 天向监理人提交分部工程开工报审表，若承包人的开工准备、工作计划和质量控制方法是可接受的且已获得批准，则经监理人书面同意，分部工程才能开工。</w:t>
      </w:r>
    </w:p>
    <w:p w14:paraId="1548CD96">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2" w:name="_Toc965"/>
      <w:r>
        <w:rPr>
          <w:rFonts w:hint="eastAsia" w:ascii="宋体" w:hAnsi="宋体" w:eastAsia="宋体" w:cs="宋体"/>
          <w:b/>
          <w:bCs/>
          <w:color w:val="auto"/>
          <w:sz w:val="28"/>
          <w:szCs w:val="28"/>
          <w:highlight w:val="none"/>
        </w:rPr>
        <w:t>11.3发包人的工期延误</w:t>
      </w:r>
      <w:bookmarkEnd w:id="382"/>
    </w:p>
    <w:p w14:paraId="5717EF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07C5D4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即使由于上述原因造成工期延误，如果受影响的工程并非处在工程施工进度网络计划的关键线路上，则承包人无权要求延长总工期。</w:t>
      </w:r>
    </w:p>
    <w:p w14:paraId="6C77A0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3" w:name="_Toc7080"/>
      <w:r>
        <w:rPr>
          <w:rFonts w:hint="eastAsia" w:ascii="宋体" w:hAnsi="宋体" w:eastAsia="宋体" w:cs="宋体"/>
          <w:b/>
          <w:bCs/>
          <w:color w:val="auto"/>
          <w:sz w:val="28"/>
          <w:szCs w:val="28"/>
          <w:highlight w:val="none"/>
        </w:rPr>
        <w:t>11.4异常恶劣的气候条件</w:t>
      </w:r>
      <w:bookmarkEnd w:id="383"/>
    </w:p>
    <w:p w14:paraId="0A8D9A9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697481A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异常气候是指项目所在地 30 年以上一遇的罕见气候现象（包括温度、降水、降雪、风等）。异常恶劣的气候条件在项目专用合同条款中作具体约定。</w:t>
      </w:r>
    </w:p>
    <w:p w14:paraId="10BC03A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4" w:name="_Toc32058"/>
      <w:r>
        <w:rPr>
          <w:rFonts w:hint="eastAsia" w:ascii="宋体" w:hAnsi="宋体" w:eastAsia="宋体" w:cs="宋体"/>
          <w:b/>
          <w:bCs/>
          <w:color w:val="auto"/>
          <w:sz w:val="28"/>
          <w:szCs w:val="28"/>
          <w:highlight w:val="none"/>
        </w:rPr>
        <w:t>11.5承包人的工期延误</w:t>
      </w:r>
      <w:bookmarkEnd w:id="384"/>
    </w:p>
    <w:p w14:paraId="466E260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3E871DF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（1）承包人应严格执行监理人批准的合同进度计划，对工作量计划和形象进度计划分别控制。除第 11.3 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1DFD34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（2）如果承包人在接到监理人通知后的 14 天内，未能采取加快工程进度的措施，致使实际工程进度进一步滞后，或承包人虽采取了一些措施，仍无法按预计工期交工时，监理人应立即通知发包人。发包人在向承包人发出书面警告通知 14 天后，发包人可按第 22.1 款终止对承包人的雇用，也可将本合同工程中的一部分工作交由其他承包人或其他分包人完成。在不解除本合同规定的承包人责任和义务的同时， 承包人应承担因此所增加的一切费用。</w:t>
      </w:r>
    </w:p>
    <w:p w14:paraId="79DC64D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由于承包人原因造成工期延误，承包人应支付逾期交工违约金。逾期交工违约金的计算方法在项目专用合同条款数据表中约定，时间自预定的交工日期起到交工验收证书为：每逾期一天支付1000元人民币（在项目专用合同条款中约定），时间自预定的竣工日期起到工程接收证书中写明的实际竣工日期止（扣除已批准的延长工期），按天计算。逾期竣工违约金累计金额最高不超过签约合同价的</w:t>
      </w:r>
      <w:r>
        <w:rPr>
          <w:rFonts w:hint="eastAsia" w:ascii="宋体" w:hAnsi="宋体" w:cs="宋体"/>
          <w:color w:val="auto"/>
          <w:highlight w:val="none"/>
          <w:lang w:val="en-US" w:eastAsia="zh-CN"/>
        </w:rPr>
        <w:t>10</w:t>
      </w:r>
      <w:r>
        <w:rPr>
          <w:rFonts w:hint="eastAsia" w:ascii="宋体" w:hAnsi="宋体" w:eastAsia="宋体" w:cs="宋体"/>
          <w:color w:val="auto"/>
          <w:highlight w:val="none"/>
        </w:rPr>
        <w:t>%。发包人可以从应付或到期应付给承包人的任何款项中或采用其他方法扣除此违约金。</w:t>
      </w:r>
    </w:p>
    <w:p w14:paraId="5EFDD0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（4）承包人支付逾期交工违约金，不免除承包人完成工程及修补缺陷的义务。</w:t>
      </w:r>
    </w:p>
    <w:p w14:paraId="202678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592BD09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5" w:name="_Toc28353"/>
      <w:r>
        <w:rPr>
          <w:rFonts w:hint="eastAsia" w:ascii="宋体" w:hAnsi="宋体" w:eastAsia="宋体" w:cs="宋体"/>
          <w:b/>
          <w:bCs/>
          <w:color w:val="auto"/>
          <w:sz w:val="28"/>
          <w:szCs w:val="28"/>
          <w:highlight w:val="none"/>
        </w:rPr>
        <w:t>11.6工期提前</w:t>
      </w:r>
      <w:bookmarkEnd w:id="385"/>
    </w:p>
    <w:p w14:paraId="4B2A906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5C0E24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发包人不得随意要求承包人提前交工，承包人也不得随意提出提前交工的建议。如遇特殊情况，确需将工期提前的，发包人和承包人必须采取有效措施，确保工程质量。</w:t>
      </w:r>
    </w:p>
    <w:p w14:paraId="17E224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510AC5E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11.7 款：</w:t>
      </w:r>
    </w:p>
    <w:p w14:paraId="5FF2075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86" w:name="_Toc24998"/>
      <w:r>
        <w:rPr>
          <w:rFonts w:hint="eastAsia" w:ascii="宋体" w:hAnsi="宋体" w:eastAsia="宋体" w:cs="宋体"/>
          <w:b/>
          <w:bCs/>
          <w:color w:val="auto"/>
          <w:sz w:val="28"/>
          <w:szCs w:val="28"/>
          <w:highlight w:val="none"/>
        </w:rPr>
        <w:t>11.7工作时间的限制</w:t>
      </w:r>
      <w:bookmarkEnd w:id="386"/>
    </w:p>
    <w:p w14:paraId="171C45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承包人在夜间或国家规定的节假日进行永久工程的施工，应向监理人报告，以便监理人履行监理职责和义务。</w:t>
      </w:r>
    </w:p>
    <w:p w14:paraId="2FCB7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但是，为了抢救生命或保护财产，或为了工程的安全、质量而不可避免地短暂作业，则不必事先向监理人报告。但承包人应在事后立即向监理人报告。</w:t>
      </w:r>
    </w:p>
    <w:p w14:paraId="05E60D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本款规定不适用于习惯上或施工本身要求实行连续生产的作业。</w:t>
      </w:r>
    </w:p>
    <w:p w14:paraId="2BCBFD3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87" w:name="_Toc122424221"/>
      <w:bookmarkStart w:id="388" w:name="_Toc21499"/>
      <w:bookmarkStart w:id="389" w:name="_Toc122424470"/>
      <w:r>
        <w:rPr>
          <w:rFonts w:hint="eastAsia" w:ascii="宋体" w:hAnsi="宋体" w:eastAsia="宋体" w:cs="宋体"/>
          <w:b/>
          <w:bCs/>
          <w:color w:val="auto"/>
          <w:sz w:val="32"/>
          <w:szCs w:val="32"/>
          <w:highlight w:val="none"/>
        </w:rPr>
        <w:t>12.暂停施工</w:t>
      </w:r>
      <w:bookmarkEnd w:id="387"/>
      <w:bookmarkEnd w:id="388"/>
      <w:bookmarkEnd w:id="389"/>
    </w:p>
    <w:p w14:paraId="29BB19B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0" w:name="_Toc30626"/>
      <w:r>
        <w:rPr>
          <w:rFonts w:hint="eastAsia" w:ascii="宋体" w:hAnsi="宋体" w:eastAsia="宋体" w:cs="宋体"/>
          <w:b/>
          <w:bCs/>
          <w:color w:val="auto"/>
          <w:sz w:val="28"/>
          <w:szCs w:val="28"/>
          <w:highlight w:val="none"/>
        </w:rPr>
        <w:t>12.1承包人暂停施工的责任</w:t>
      </w:r>
      <w:bookmarkEnd w:id="390"/>
    </w:p>
    <w:p w14:paraId="54A2F49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本款第（5）项细化为：</w:t>
      </w:r>
    </w:p>
    <w:p w14:paraId="766734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（5）现场气候条件导致的必要停工（第 11.4 款约定的异常恶劣的气候条件除外）；</w:t>
      </w:r>
    </w:p>
    <w:p w14:paraId="297A2FF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（6）项目专用合同条款可能约定的由承包人承担的其他暂停施工。</w:t>
      </w:r>
    </w:p>
    <w:p w14:paraId="7A431EF2">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1" w:name="_Toc18857"/>
      <w:bookmarkStart w:id="392" w:name="_Toc122424471"/>
      <w:bookmarkStart w:id="393" w:name="_Toc122424222"/>
      <w:r>
        <w:rPr>
          <w:rFonts w:hint="eastAsia" w:ascii="宋体" w:hAnsi="宋体" w:eastAsia="宋体" w:cs="宋体"/>
          <w:b/>
          <w:bCs/>
          <w:color w:val="auto"/>
          <w:sz w:val="32"/>
          <w:szCs w:val="32"/>
          <w:highlight w:val="none"/>
        </w:rPr>
        <w:t>13.工程质量</w:t>
      </w:r>
      <w:bookmarkEnd w:id="391"/>
      <w:bookmarkEnd w:id="392"/>
      <w:bookmarkEnd w:id="393"/>
    </w:p>
    <w:p w14:paraId="0E65F8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4" w:name="_Toc16161"/>
      <w:r>
        <w:rPr>
          <w:rFonts w:hint="eastAsia" w:ascii="宋体" w:hAnsi="宋体" w:eastAsia="宋体" w:cs="宋体"/>
          <w:b/>
          <w:bCs/>
          <w:color w:val="auto"/>
          <w:sz w:val="28"/>
          <w:szCs w:val="28"/>
          <w:highlight w:val="none"/>
        </w:rPr>
        <w:t>13.1工程质量要求</w:t>
      </w:r>
      <w:bookmarkEnd w:id="394"/>
    </w:p>
    <w:p w14:paraId="486327F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13.1.1 项约定为：</w:t>
      </w:r>
    </w:p>
    <w:p w14:paraId="25C7F8EB">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工程质量验收按技术规范及《公路工程质量检验评定标准》执行。</w:t>
      </w:r>
    </w:p>
    <w:p w14:paraId="0557DFB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1"/>
          <w:szCs w:val="21"/>
          <w:highlight w:val="none"/>
        </w:rPr>
      </w:pPr>
      <w:r>
        <w:rPr>
          <w:rFonts w:hint="eastAsia" w:ascii="宋体" w:hAnsi="宋体" w:eastAsia="宋体" w:cs="宋体"/>
          <w:b w:val="0"/>
          <w:bCs w:val="0"/>
          <w:color w:val="auto"/>
          <w:sz w:val="21"/>
          <w:szCs w:val="21"/>
          <w:highlight w:val="none"/>
        </w:rPr>
        <w:t>本款补充第 13.1.4 项、第 13.1.5 项：</w:t>
      </w:r>
    </w:p>
    <w:p w14:paraId="68E9D1A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13.1.4发包人和承包人应严格遵守《关于严格落实公路工程质量责任制的若干意见》的相关规定，认真执行工程质量责任登记制度并按要求填写工程质量责任登记表。</w:t>
      </w:r>
    </w:p>
    <w:p w14:paraId="2E8E5C9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13.1.5本项目严格执行质量责任追究制度。质量事故处理实行“四不放过”原则： 事故原因调查不清不放过；事故责任者没有受到教育不放过；没有防范措施不放过； 相关责任人没受到处理不放过。</w:t>
      </w:r>
    </w:p>
    <w:p w14:paraId="39F0922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5" w:name="_Toc23702"/>
      <w:r>
        <w:rPr>
          <w:rFonts w:hint="eastAsia" w:ascii="宋体" w:hAnsi="宋体" w:eastAsia="宋体" w:cs="宋体"/>
          <w:b/>
          <w:bCs/>
          <w:color w:val="auto"/>
          <w:sz w:val="28"/>
          <w:szCs w:val="28"/>
          <w:highlight w:val="none"/>
        </w:rPr>
        <w:t>13.2承包人的质量管理</w:t>
      </w:r>
      <w:bookmarkEnd w:id="395"/>
    </w:p>
    <w:p w14:paraId="493616E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第 13.2.1 项补充：</w:t>
      </w:r>
    </w:p>
    <w:p w14:paraId="72C661D0">
      <w:pPr>
        <w:pageBreakBefore w:val="0"/>
        <w:kinsoku/>
        <w:wordWrap/>
        <w:overflowPunct/>
        <w:topLinePunct w:val="0"/>
        <w:autoSpaceDE/>
        <w:autoSpaceDN/>
        <w:bidi w:val="0"/>
        <w:spacing w:line="360" w:lineRule="auto"/>
        <w:ind w:firstLine="48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承包人提交工程质量保证措施文件的期限：签订合同协议书后 28 天之内。</w:t>
      </w:r>
    </w:p>
    <w:p w14:paraId="24F5C21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本款补充第 13.2.3 项~第 13.2.10 项：</w:t>
      </w:r>
    </w:p>
    <w:p w14:paraId="1E53738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13.2.3公路工程</w:t>
      </w:r>
      <w:r>
        <w:rPr>
          <w:rFonts w:hint="eastAsia" w:ascii="宋体" w:hAnsi="宋体" w:eastAsia="宋体" w:cs="宋体"/>
          <w:color w:val="auto"/>
          <w:highlight w:val="none"/>
          <w:lang w:val="en-US" w:eastAsia="zh-CN"/>
        </w:rPr>
        <w:t>实行</w:t>
      </w:r>
      <w:r>
        <w:rPr>
          <w:rFonts w:hint="eastAsia" w:ascii="宋体" w:hAnsi="宋体" w:eastAsia="宋体" w:cs="宋体"/>
          <w:color w:val="auto"/>
          <w:highlight w:val="none"/>
        </w:rPr>
        <w:t>质量责任终身制。承包人应当书面明确相应的项目负责人和质量负责人。承包人的相关人员按照国家法律法规和有关规定在工程合理使用年限内承担相应的质量责任。</w:t>
      </w:r>
    </w:p>
    <w:p w14:paraId="4EDD12B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13.2.4承包人应当建立健全工程质量保证体系，制定质量管理制度，强化工程质量管理措施，完善工程质量目标保障机制；严格遵守国家有关法律、法规和规章， 严格执行公路工程强制性技术标准、各类技术规范及规程，全面履行工程合同义务。</w:t>
      </w:r>
    </w:p>
    <w:p w14:paraId="422643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13.2.5承包人对工程施工质量负责，应当按合同约定设立现场质量管理机构、配备工程技术人员和质量管理人员，落实工程施工质量责任制。</w:t>
      </w:r>
    </w:p>
    <w:p w14:paraId="755121F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2A98B6B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13.2.7承包人应当加强施工过程质量控制，并形成完整、可追溯的施工质量管理资料，主体工程的隐蔽部位施工还应当保留影像资料</w:t>
      </w:r>
      <w:r>
        <w:rPr>
          <w:rFonts w:hint="eastAsia" w:ascii="宋体" w:hAnsi="宋体" w:cs="宋体"/>
          <w:color w:val="auto"/>
          <w:highlight w:val="none"/>
          <w:lang w:eastAsia="zh-CN"/>
        </w:rPr>
        <w:t>，</w:t>
      </w:r>
      <w:r>
        <w:rPr>
          <w:rFonts w:hint="eastAsia"/>
          <w:color w:val="auto"/>
          <w:highlight w:val="none"/>
          <w:lang w:eastAsia="zh-CN"/>
        </w:rPr>
        <w:t>否则发包人有权采取方式对隐蔽工程进行实体检测，检测不合格返工处理，并</w:t>
      </w:r>
      <w:r>
        <w:rPr>
          <w:rFonts w:hint="eastAsia"/>
          <w:color w:val="auto"/>
          <w:highlight w:val="none"/>
          <w:lang w:val="en-US" w:eastAsia="zh-CN"/>
        </w:rPr>
        <w:t>由承包人</w:t>
      </w:r>
      <w:r>
        <w:rPr>
          <w:rFonts w:hint="eastAsia"/>
          <w:color w:val="auto"/>
          <w:highlight w:val="none"/>
          <w:lang w:eastAsia="zh-CN"/>
        </w:rPr>
        <w:t>承担由此发生的费用</w:t>
      </w:r>
      <w:r>
        <w:rPr>
          <w:rFonts w:hint="eastAsia" w:ascii="宋体" w:hAnsi="宋体" w:eastAsia="宋体" w:cs="宋体"/>
          <w:color w:val="auto"/>
          <w:highlight w:val="none"/>
        </w:rPr>
        <w:t>。对施工中出现的质量问题或者验收不合格的工程，应当负责返工处理；对在保修范围和保修期限内发生质量问题的工程，应当履行保修义务。</w:t>
      </w:r>
    </w:p>
    <w:p w14:paraId="5A4DB8A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74CF1D2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13.2.9承包人应当依法规范分包行为，并对承担的工程质量负总责，分包单位对分包合同范围内的工程质量负责。</w:t>
      </w:r>
    </w:p>
    <w:p w14:paraId="223298D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13.2.10承包人驻工程现场机构应在现场驻地和重要的分部、分项工程施工现场设置明显的工程质量责任登记表公示牌。</w:t>
      </w:r>
    </w:p>
    <w:p w14:paraId="66C7FAA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6" w:name="_Toc12254"/>
      <w:r>
        <w:rPr>
          <w:rFonts w:hint="eastAsia" w:ascii="宋体" w:hAnsi="宋体" w:eastAsia="宋体" w:cs="宋体"/>
          <w:b/>
          <w:bCs/>
          <w:color w:val="auto"/>
          <w:sz w:val="28"/>
          <w:szCs w:val="28"/>
          <w:highlight w:val="none"/>
        </w:rPr>
        <w:t>13.4监理人的质量检查</w:t>
      </w:r>
      <w:bookmarkEnd w:id="396"/>
    </w:p>
    <w:p w14:paraId="5B05204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0840979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监理人及其委派的检验人员，应能进入工程现场，以及材料或工程设备的制造、加工或制配的车间和场所，包括不属于承包人的车间或场所进行检查，承包人应为此提供便利和协助。</w:t>
      </w:r>
    </w:p>
    <w:p w14:paraId="4AD2E9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监理人可以将材料或工程设备的检查和检验委托给一家独立的有质量检验认证资格的检验单位。该独立检验单位的检验结果应视为监理人完成的。监理人应将这种委托的通知书不少于 7 天前交给承包人。</w:t>
      </w:r>
    </w:p>
    <w:p w14:paraId="2D591B5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7" w:name="_Toc19260"/>
      <w:r>
        <w:rPr>
          <w:rFonts w:hint="eastAsia" w:ascii="宋体" w:hAnsi="宋体" w:eastAsia="宋体" w:cs="宋体"/>
          <w:b/>
          <w:bCs/>
          <w:color w:val="auto"/>
          <w:sz w:val="28"/>
          <w:szCs w:val="28"/>
          <w:highlight w:val="none"/>
        </w:rPr>
        <w:t>13.5工程隐蔽部位覆盖前的检查</w:t>
      </w:r>
      <w:bookmarkEnd w:id="397"/>
    </w:p>
    <w:p w14:paraId="0DCD502C">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13.5.1 项补充：</w:t>
      </w:r>
    </w:p>
    <w:p w14:paraId="71B40D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7E2F0A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398" w:name="_Toc12524"/>
      <w:r>
        <w:rPr>
          <w:rFonts w:hint="eastAsia" w:ascii="宋体" w:hAnsi="宋体" w:eastAsia="宋体" w:cs="宋体"/>
          <w:b/>
          <w:bCs/>
          <w:color w:val="auto"/>
          <w:sz w:val="28"/>
          <w:szCs w:val="28"/>
          <w:highlight w:val="none"/>
        </w:rPr>
        <w:t>13.6清除不合格工程</w:t>
      </w:r>
      <w:bookmarkEnd w:id="398"/>
    </w:p>
    <w:p w14:paraId="423257B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13.6.1 项细化为：</w:t>
      </w:r>
    </w:p>
    <w:p w14:paraId="2DC6C0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（1）承包人使用不合格材料、工程设备，或采用不适当的施工工艺，或施工 不当，造成工程不合格的，监理人可以随时发出指示，要求承包人立即采取措施进行替换、补救或拆除重建，直至达到合同要求的质量标准，由此增加的费用和（或）工期延误由承包人承担。</w:t>
      </w:r>
    </w:p>
    <w:p w14:paraId="23653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（2）如果承包人未在规定时间内执行监理人的指示，发包人有权雇用他人执行，由此增加的费用和（或）工期延误由承包人承担。</w:t>
      </w:r>
    </w:p>
    <w:p w14:paraId="7C9C9589">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399" w:name="_Toc122424223"/>
      <w:bookmarkStart w:id="400" w:name="_Toc12844"/>
      <w:bookmarkStart w:id="401" w:name="_Toc122424472"/>
      <w:r>
        <w:rPr>
          <w:rFonts w:hint="eastAsia" w:ascii="宋体" w:hAnsi="宋体" w:eastAsia="宋体" w:cs="宋体"/>
          <w:b/>
          <w:bCs/>
          <w:color w:val="auto"/>
          <w:sz w:val="32"/>
          <w:szCs w:val="32"/>
          <w:highlight w:val="none"/>
        </w:rPr>
        <w:t>14.试验和检验</w:t>
      </w:r>
      <w:bookmarkEnd w:id="399"/>
      <w:bookmarkEnd w:id="400"/>
      <w:bookmarkEnd w:id="401"/>
    </w:p>
    <w:p w14:paraId="5A5B4F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14.4 款：</w:t>
      </w:r>
    </w:p>
    <w:p w14:paraId="7A97845B">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2" w:name="_Toc19052"/>
      <w:r>
        <w:rPr>
          <w:rFonts w:hint="eastAsia" w:ascii="宋体" w:hAnsi="宋体" w:eastAsia="宋体" w:cs="宋体"/>
          <w:b/>
          <w:bCs/>
          <w:color w:val="auto"/>
          <w:sz w:val="28"/>
          <w:szCs w:val="28"/>
          <w:highlight w:val="none"/>
        </w:rPr>
        <w:t>14.4试验和检验费用</w:t>
      </w:r>
      <w:bookmarkEnd w:id="402"/>
    </w:p>
    <w:p w14:paraId="45B7A3C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（1）承包人应负责提供合同和技术规范规定的试验和检验所需的全部样品，并承担其费用。</w:t>
      </w:r>
    </w:p>
    <w:p w14:paraId="599D9D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（2）在合同中明确规定的试验和检验，包括无须在工程量清单中单独列项和已在工程量清单中单独列项的试验和检验，其试验和检验的费用由承包人承担。</w:t>
      </w:r>
    </w:p>
    <w:p w14:paraId="78814E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5EA033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03" w:name="_Toc21724"/>
      <w:bookmarkStart w:id="404" w:name="_Toc122424473"/>
      <w:bookmarkStart w:id="405" w:name="_Toc122424224"/>
      <w:r>
        <w:rPr>
          <w:rFonts w:hint="eastAsia" w:ascii="宋体" w:hAnsi="宋体" w:eastAsia="宋体" w:cs="宋体"/>
          <w:b/>
          <w:bCs/>
          <w:color w:val="auto"/>
          <w:sz w:val="32"/>
          <w:szCs w:val="32"/>
          <w:highlight w:val="none"/>
        </w:rPr>
        <w:t>15.变更</w:t>
      </w:r>
      <w:bookmarkEnd w:id="403"/>
      <w:bookmarkEnd w:id="404"/>
      <w:bookmarkEnd w:id="405"/>
    </w:p>
    <w:p w14:paraId="430D428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6" w:name="_Toc1645"/>
      <w:r>
        <w:rPr>
          <w:rFonts w:hint="eastAsia" w:ascii="宋体" w:hAnsi="宋体" w:eastAsia="宋体" w:cs="宋体"/>
          <w:b/>
          <w:bCs/>
          <w:color w:val="auto"/>
          <w:sz w:val="28"/>
          <w:szCs w:val="28"/>
          <w:highlight w:val="none"/>
        </w:rPr>
        <w:t>15.1变更的范围和内容</w:t>
      </w:r>
      <w:bookmarkEnd w:id="406"/>
    </w:p>
    <w:p w14:paraId="4F3D54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本款第（1）项细化为：</w:t>
      </w:r>
    </w:p>
    <w:p w14:paraId="063C9FB2">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取消合同中任何一项工作，但被取消的工作不能转由发包人或其他人实施，由于承包人违约造成的情况除外；</w:t>
      </w:r>
    </w:p>
    <w:p w14:paraId="042443A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color w:val="auto"/>
          <w:highlight w:val="none"/>
        </w:rPr>
      </w:pPr>
      <w:r>
        <w:rPr>
          <w:rFonts w:hint="eastAsia" w:ascii="宋体" w:hAnsi="宋体" w:eastAsia="宋体" w:cs="宋体"/>
          <w:b/>
          <w:bCs/>
          <w:color w:val="auto"/>
          <w:sz w:val="28"/>
          <w:szCs w:val="28"/>
          <w:highlight w:val="none"/>
        </w:rPr>
        <w:t>本款第（</w:t>
      </w:r>
      <w:r>
        <w:rPr>
          <w:rFonts w:hint="eastAsia" w:ascii="宋体" w:hAnsi="宋体" w:cs="宋体"/>
          <w:b/>
          <w:bCs/>
          <w:color w:val="auto"/>
          <w:sz w:val="28"/>
          <w:szCs w:val="28"/>
          <w:highlight w:val="none"/>
          <w:lang w:val="en-US" w:eastAsia="zh-CN"/>
        </w:rPr>
        <w:t>2</w:t>
      </w:r>
      <w:r>
        <w:rPr>
          <w:rFonts w:hint="eastAsia" w:ascii="宋体" w:hAnsi="宋体" w:eastAsia="宋体" w:cs="宋体"/>
          <w:b/>
          <w:bCs/>
          <w:color w:val="auto"/>
          <w:sz w:val="28"/>
          <w:szCs w:val="28"/>
          <w:highlight w:val="none"/>
        </w:rPr>
        <w:t>）项细化为：</w:t>
      </w:r>
    </w:p>
    <w:p w14:paraId="7E9EC54A">
      <w:pPr>
        <w:pageBreakBefore w:val="0"/>
        <w:numPr>
          <w:ilvl w:val="0"/>
          <w:numId w:val="8"/>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设计缺失、遗漏、差错等原因，增加、改变合同中任何一项工作的质量或其他特性；</w:t>
      </w:r>
    </w:p>
    <w:p w14:paraId="0C808524">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7" w:name="_Toc24522"/>
      <w:r>
        <w:rPr>
          <w:rFonts w:hint="eastAsia" w:ascii="宋体" w:hAnsi="宋体" w:eastAsia="宋体" w:cs="宋体"/>
          <w:b/>
          <w:bCs/>
          <w:color w:val="auto"/>
          <w:sz w:val="28"/>
          <w:szCs w:val="28"/>
          <w:highlight w:val="none"/>
        </w:rPr>
        <w:t>15.3变更程序</w:t>
      </w:r>
      <w:bookmarkEnd w:id="407"/>
    </w:p>
    <w:p w14:paraId="32BE79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15.3.4 项：</w:t>
      </w:r>
    </w:p>
    <w:p w14:paraId="7C8A5F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本款补充第15.3.4项：</w:t>
      </w:r>
    </w:p>
    <w:p w14:paraId="253D5CD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15.3.4设计变更程序应执行《公路工程设计变更管理办法》</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财政部门及发包人规定</w:t>
      </w:r>
      <w:r>
        <w:rPr>
          <w:rFonts w:hint="eastAsia" w:ascii="宋体" w:hAnsi="宋体" w:eastAsia="宋体" w:cs="宋体"/>
          <w:color w:val="auto"/>
          <w:highlight w:val="none"/>
        </w:rPr>
        <w:t>等相关文件的相关规定。</w:t>
      </w:r>
    </w:p>
    <w:p w14:paraId="06479B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08" w:name="_Toc10101"/>
      <w:r>
        <w:rPr>
          <w:rFonts w:hint="eastAsia" w:ascii="宋体" w:hAnsi="宋体" w:eastAsia="宋体" w:cs="宋体"/>
          <w:b/>
          <w:bCs/>
          <w:color w:val="auto"/>
          <w:sz w:val="28"/>
          <w:szCs w:val="28"/>
          <w:highlight w:val="none"/>
        </w:rPr>
        <w:t>15.4变更的估价原则</w:t>
      </w:r>
      <w:bookmarkEnd w:id="408"/>
    </w:p>
    <w:p w14:paraId="60586C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AE7989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除项目专用合同条款另有约定外，因变更引起的价格调整按照本款约定处理。</w:t>
      </w:r>
    </w:p>
    <w:p w14:paraId="41C1A5BB">
      <w:pPr>
        <w:wordWrap w:val="0"/>
        <w:topLinePunct/>
        <w:adjustRightInd w:val="0"/>
        <w:spacing w:line="360" w:lineRule="auto"/>
        <w:ind w:firstLine="420"/>
        <w:rPr>
          <w:rFonts w:ascii="宋体" w:hAnsi="宋体" w:cs="宋体"/>
          <w:color w:val="auto"/>
          <w:szCs w:val="21"/>
          <w:highlight w:val="none"/>
        </w:rPr>
      </w:pPr>
      <w:bookmarkStart w:id="409" w:name="_Toc15193"/>
      <w:r>
        <w:rPr>
          <w:rFonts w:hint="eastAsia" w:ascii="宋体" w:hAnsi="宋体" w:cs="宋体"/>
          <w:color w:val="auto"/>
          <w:szCs w:val="21"/>
          <w:highlight w:val="none"/>
        </w:rPr>
        <w:t>15.4.1如果取消某项工作，则该项工作的总额价不予以支付；</w:t>
      </w:r>
    </w:p>
    <w:p w14:paraId="3A9DEEB4">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49010C49">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71A2868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7FD0F0E6">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p w14:paraId="7A9507F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15.5承包人的合理化建议</w:t>
      </w:r>
      <w:bookmarkEnd w:id="409"/>
    </w:p>
    <w:p w14:paraId="43C10D39">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15.5.2 项约定为：</w:t>
      </w:r>
    </w:p>
    <w:p w14:paraId="3CFB650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承包人提出的合理化建议缩短了工期，发包人按第 11.6 款的规定给予奖励。</w:t>
      </w:r>
    </w:p>
    <w:p w14:paraId="350EFA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承包人提出的合理化建议降低了合同价格或者提高了工程经济效益的，发包人按项目专用合同条款数据表中规定的金额给予奖励。</w:t>
      </w:r>
    </w:p>
    <w:p w14:paraId="626D9EC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0" w:name="_Toc19567"/>
      <w:r>
        <w:rPr>
          <w:rFonts w:hint="eastAsia" w:ascii="宋体" w:hAnsi="宋体" w:eastAsia="宋体" w:cs="宋体"/>
          <w:b/>
          <w:bCs/>
          <w:color w:val="auto"/>
          <w:sz w:val="28"/>
          <w:szCs w:val="28"/>
          <w:highlight w:val="none"/>
        </w:rPr>
        <w:t>15.6暂列金额</w:t>
      </w:r>
      <w:bookmarkEnd w:id="410"/>
    </w:p>
    <w:p w14:paraId="447A67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64D3893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15.6.1暂列金额应由监理人报发包人批准后指令全部或部分地使用，或者根本不予动用。</w:t>
      </w:r>
    </w:p>
    <w:p w14:paraId="579D812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15.6.2对于经发包人批准的每一笔暂列金额，监理人有权向承包人发出实施工程或提供材料、工程设备或服务的指令。这些指令应由承包人完成，监理人应根据第15.4 款约定的变更估价原则和第 15.7 款的规定，对合同价格进行相应调整。</w:t>
      </w:r>
    </w:p>
    <w:p w14:paraId="6AB920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15.6.3当监理人提出要求时，承包人应提供有关暂列金额支出的所有报价单、发票、凭证和账单或收据，除非该工作是根据已标价工程量清单列明的单价或总额价进行的估价。</w:t>
      </w:r>
    </w:p>
    <w:p w14:paraId="519F66F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1" w:name="_Toc19095"/>
      <w:bookmarkStart w:id="412" w:name="_Toc122424225"/>
      <w:bookmarkStart w:id="413" w:name="_Toc122424474"/>
      <w:bookmarkStart w:id="414" w:name="_Toc13524"/>
      <w:r>
        <w:rPr>
          <w:rFonts w:hint="eastAsia" w:ascii="宋体" w:hAnsi="宋体" w:eastAsia="宋体" w:cs="宋体"/>
          <w:b/>
          <w:bCs/>
          <w:color w:val="auto"/>
          <w:sz w:val="32"/>
          <w:szCs w:val="32"/>
          <w:highlight w:val="none"/>
        </w:rPr>
        <w:t>16.价格调整</w:t>
      </w:r>
      <w:bookmarkEnd w:id="411"/>
      <w:bookmarkEnd w:id="412"/>
      <w:bookmarkEnd w:id="413"/>
    </w:p>
    <w:p w14:paraId="402D932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16.1物价波动引起的价格调整</w:t>
      </w:r>
      <w:bookmarkEnd w:id="414"/>
    </w:p>
    <w:p w14:paraId="0CB80A10">
      <w:pPr>
        <w:wordWrap w:val="0"/>
        <w:topLinePunct/>
        <w:adjustRightInd w:val="0"/>
        <w:spacing w:line="360" w:lineRule="auto"/>
        <w:ind w:firstLine="420"/>
        <w:rPr>
          <w:rFonts w:hint="eastAsia" w:ascii="宋体" w:hAnsi="宋体" w:eastAsia="宋体" w:cs="宋体"/>
          <w:color w:val="auto"/>
          <w:highlight w:val="none"/>
        </w:rPr>
      </w:pPr>
      <w:r>
        <w:rPr>
          <w:rFonts w:hint="eastAsia" w:ascii="宋体" w:hAnsi="宋体" w:cs="宋体"/>
          <w:color w:val="auto"/>
          <w:highlight w:val="none"/>
        </w:rPr>
        <w:t>本项目合同期内不调价。</w:t>
      </w:r>
    </w:p>
    <w:p w14:paraId="71515237">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15" w:name="_Toc122424475"/>
      <w:bookmarkStart w:id="416" w:name="_Toc7475"/>
      <w:bookmarkStart w:id="417" w:name="_Toc122424226"/>
      <w:r>
        <w:rPr>
          <w:rFonts w:hint="eastAsia" w:ascii="宋体" w:hAnsi="宋体" w:eastAsia="宋体" w:cs="宋体"/>
          <w:b/>
          <w:bCs/>
          <w:color w:val="auto"/>
          <w:sz w:val="32"/>
          <w:szCs w:val="32"/>
          <w:highlight w:val="none"/>
        </w:rPr>
        <w:t>17.计量与支付</w:t>
      </w:r>
      <w:bookmarkEnd w:id="415"/>
      <w:bookmarkEnd w:id="416"/>
      <w:bookmarkEnd w:id="417"/>
    </w:p>
    <w:p w14:paraId="4CC10F7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8" w:name="_Toc12101"/>
      <w:r>
        <w:rPr>
          <w:rFonts w:hint="eastAsia" w:ascii="宋体" w:hAnsi="宋体" w:eastAsia="宋体" w:cs="宋体"/>
          <w:b/>
          <w:bCs/>
          <w:color w:val="auto"/>
          <w:sz w:val="28"/>
          <w:szCs w:val="28"/>
          <w:highlight w:val="none"/>
        </w:rPr>
        <w:t>17.1计量</w:t>
      </w:r>
      <w:bookmarkEnd w:id="418"/>
    </w:p>
    <w:p w14:paraId="4D54204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17.1.2 计量方法</w:t>
      </w:r>
    </w:p>
    <w:p w14:paraId="0F2151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31210B2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工程的计量应以净值为准，除非项目专用合同条款另有约定。工程量清单中各个子目的具体计量方法按本合同文件工程量清单计量规则中的规定执行。</w:t>
      </w:r>
    </w:p>
    <w:p w14:paraId="27D1A0C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17.1.4单价子目的计量</w:t>
      </w:r>
    </w:p>
    <w:p w14:paraId="51BB8A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6CD1900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（7）承包人未在已标价工程量清单中填入单价或总额价的工程子目，将被认为其已包含在本合同的其他子目的单价和总额价中，发包人将不另行支付。</w:t>
      </w:r>
    </w:p>
    <w:p w14:paraId="501DE08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17.1.5总价子目的计量</w:t>
      </w:r>
    </w:p>
    <w:p w14:paraId="26B3F30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7D76112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本项目工程量清单中要求承包人以“总额”方式报价的子目，各子目的支付原则和支付进度按项目专用合同条款的规定执行。</w:t>
      </w:r>
    </w:p>
    <w:p w14:paraId="65A0117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19" w:name="_Toc5679"/>
      <w:r>
        <w:rPr>
          <w:rFonts w:hint="eastAsia" w:ascii="宋体" w:hAnsi="宋体" w:eastAsia="宋体" w:cs="宋体"/>
          <w:b/>
          <w:bCs/>
          <w:color w:val="auto"/>
          <w:sz w:val="28"/>
          <w:szCs w:val="28"/>
          <w:highlight w:val="none"/>
        </w:rPr>
        <w:t>17.2预付款</w:t>
      </w:r>
      <w:bookmarkEnd w:id="419"/>
    </w:p>
    <w:p w14:paraId="09C0B76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17.2.1预付款</w:t>
      </w:r>
    </w:p>
    <w:p w14:paraId="681D67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本项约定为：预付款包括开工预付款和材料、设备预付款。具体额度和预付办法如下：</w:t>
      </w:r>
    </w:p>
    <w:p w14:paraId="18013E3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（1）开工预付款的金额在项目专用合同条款数据表中约定。在承包人签订了合同协议书且承包人承诺的主要设备进场后，监理人应在当期进度付款证书中向承包人支付开工预付款。</w:t>
      </w:r>
    </w:p>
    <w:p w14:paraId="5464669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承包人不得将该预付款用于与本工程无关的支出，监理人有权监督承包人对该项费用的使用，如经查实承包人滥用开工预付款，发包人有权立即向银行索赔履约保证金，并解除合同。</w:t>
      </w:r>
    </w:p>
    <w:p w14:paraId="54F0BCD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（2）材料、设备预付款按项目专用合同条款数据表中所列主要材料、设备单据费用（进口的材料、设备为到岸价，国内采购的为出厂价或销售价，地方材料为堆场价）的百分比支付。其预付条件为：</w:t>
      </w:r>
    </w:p>
    <w:p w14:paraId="1144401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a.材料、设备符合规范要求并经监理人认可；</w:t>
      </w:r>
    </w:p>
    <w:p w14:paraId="228962B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b.承包人已出具材料、设备费用凭证或支付单据；</w:t>
      </w:r>
    </w:p>
    <w:p w14:paraId="439DC61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c.材料、设备已在现场交货，且存储良好，监理人认为材料、设备的存储方法符合要求。</w:t>
      </w:r>
    </w:p>
    <w:p w14:paraId="35D39F7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则监理人应将此项金额作为材料、设备预付款计入下一次的进度付款证书中。在预计交工前 3 个月，将不再支付材料、设备预付款。</w:t>
      </w:r>
    </w:p>
    <w:p w14:paraId="0FCBB670">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17.2.2预付款保函</w:t>
      </w:r>
    </w:p>
    <w:p w14:paraId="11641DF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00AC1B9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w:t>
      </w:r>
      <w:r>
        <w:rPr>
          <w:rFonts w:hint="eastAsia" w:ascii="宋体" w:hAnsi="宋体" w:cs="宋体"/>
          <w:color w:val="auto"/>
          <w:highlight w:val="none"/>
          <w:u w:val="single"/>
          <w:lang w:val="en-US" w:eastAsia="zh-CN"/>
        </w:rPr>
        <w:t>在</w:t>
      </w:r>
      <w:r>
        <w:rPr>
          <w:rFonts w:hint="eastAsia" w:ascii="宋体" w:hAnsi="宋体" w:eastAsia="宋体" w:cs="宋体"/>
          <w:color w:val="auto"/>
          <w:sz w:val="21"/>
          <w:szCs w:val="21"/>
          <w:highlight w:val="none"/>
          <w:u w:val="single"/>
          <w:lang w:val="zh-CN" w:eastAsia="zh-CN" w:bidi="zh-CN"/>
        </w:rPr>
        <w:t>合同签订后5个工作日之内</w:t>
      </w:r>
      <w:r>
        <w:rPr>
          <w:rFonts w:hint="eastAsia" w:ascii="宋体" w:hAnsi="宋体" w:eastAsia="宋体" w:cs="宋体"/>
          <w:color w:val="auto"/>
          <w:highlight w:val="none"/>
        </w:rPr>
        <w:t>向发包人提交预付款保函。发包人向承包人支付的预付款，应按照本合同第 17.2.1 项规定使用，承包人提交的履约保证金对预付款的正常使用承担保证责任。</w:t>
      </w:r>
    </w:p>
    <w:p w14:paraId="4D1EA79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17.2.3预付款的扣回与还清</w:t>
      </w:r>
    </w:p>
    <w:p w14:paraId="2949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13885D2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（1）开工预付款在进度付款证书的累计金额未达到签约合同价的30%之前不予扣回，在达到签约合同价30%之后，开始按工程进度以固定比例（即每完成签约合同价的 1%，扣回开工预付款的 2%）分期从各月的进度付款证书中扣回，全部金额在进度付款证书的累计金额达到签约合同价的 80%时扣完。</w:t>
      </w:r>
    </w:p>
    <w:p w14:paraId="0CE677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（2）当材料、设备已用于或安装在永久工程之中时，材料、设备预付款应从进度付款证书中扣回，扣回期不超过 3 个月。已经支付材料、设备预付款的材料、设备的所有权应属于发包人。</w:t>
      </w:r>
    </w:p>
    <w:p w14:paraId="47B2BE8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0" w:name="_Toc19967"/>
      <w:r>
        <w:rPr>
          <w:rFonts w:hint="eastAsia" w:ascii="宋体" w:hAnsi="宋体" w:eastAsia="宋体" w:cs="宋体"/>
          <w:b/>
          <w:bCs/>
          <w:color w:val="auto"/>
          <w:sz w:val="28"/>
          <w:szCs w:val="28"/>
          <w:highlight w:val="none"/>
        </w:rPr>
        <w:t>17.3工程进度付款</w:t>
      </w:r>
      <w:bookmarkEnd w:id="420"/>
    </w:p>
    <w:p w14:paraId="74D8E38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17.3.3 进度付款证书和支付时间</w:t>
      </w:r>
    </w:p>
    <w:p w14:paraId="09A72D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本项（1）目补充：</w:t>
      </w:r>
    </w:p>
    <w:p w14:paraId="7CC1CE2A">
      <w:pPr>
        <w:pageBreakBefore w:val="0"/>
        <w:numPr>
          <w:ilvl w:val="0"/>
          <w:numId w:val="0"/>
        </w:numPr>
        <w:kinsoku/>
        <w:wordWrap/>
        <w:overflowPunct/>
        <w:topLinePunct w:val="0"/>
        <w:autoSpaceDE/>
        <w:autoSpaceDN/>
        <w:bidi w:val="0"/>
        <w:spacing w:line="360" w:lineRule="auto"/>
        <w:ind w:left="15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kern w:val="2"/>
          <w:sz w:val="21"/>
          <w:szCs w:val="24"/>
          <w:highlight w:val="none"/>
          <w:lang w:val="en-US" w:eastAsia="zh-CN" w:bidi="ar-SA"/>
        </w:rPr>
        <w:t>①甲方根据工程需要和工程进度情况，可支付至合同总价款的80%；②工程竣工验收达到合格质量要求后，支付至工程合同总价款的90%；③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④3%工程质量保证金，待工程质量保修期满后返还。本工程质量保质期为1年。在工程质量保质期内，若存在质量缺陷的，由乙方负责保修，费用由乙方负责，工程质量保质期从甲方验收合格后开始计算。</w:t>
      </w:r>
    </w:p>
    <w:p w14:paraId="0BB08DFF">
      <w:pPr>
        <w:pageBreakBefore w:val="0"/>
        <w:numPr>
          <w:ilvl w:val="0"/>
          <w:numId w:val="0"/>
        </w:numPr>
        <w:kinsoku/>
        <w:wordWrap/>
        <w:overflowPunct/>
        <w:topLinePunct w:val="0"/>
        <w:autoSpaceDE/>
        <w:autoSpaceDN/>
        <w:bidi w:val="0"/>
        <w:spacing w:line="360" w:lineRule="auto"/>
        <w:ind w:firstLine="422" w:firstLineChars="20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注：每次付款前需承包人开具等额增值税发票，申请付款前需提供发票原件方可付款。</w:t>
      </w:r>
    </w:p>
    <w:p w14:paraId="4021511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05D9B5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发包人应在监理人收到进度付款申请单且承包人提交了合格的增值税发票后的 28 天内，将进度应付款支付给承包人。</w:t>
      </w:r>
    </w:p>
    <w:p w14:paraId="0BDC93D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527DF3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本款补充第 17.3.5 项：</w:t>
      </w:r>
    </w:p>
    <w:p w14:paraId="4F6CB41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17.3.5 农民工工资保证金</w:t>
      </w:r>
    </w:p>
    <w:p w14:paraId="3A94F8EE">
      <w:pPr>
        <w:pStyle w:val="47"/>
        <w:spacing w:line="360" w:lineRule="exact"/>
        <w:ind w:firstLine="442"/>
        <w:jc w:val="both"/>
        <w:rPr>
          <w:rFonts w:hint="eastAsia" w:ascii="宋体" w:hAnsi="宋体" w:eastAsia="宋体" w:cs="宋体"/>
          <w:color w:val="auto"/>
          <w:highlight w:val="none"/>
        </w:rPr>
      </w:pPr>
      <w:r>
        <w:rPr>
          <w:rFonts w:hint="eastAsia" w:ascii="宋体" w:hAnsi="宋体" w:eastAsia="宋体" w:cs="宋体"/>
          <w:color w:val="auto"/>
          <w:highlight w:val="none"/>
        </w:rPr>
        <w:t>（1）为确保施工过程中农民工工资实时、足额发放到位，承包人应按照项目专用合同条款约定的时间和金额缴存农民工工资保证金。</w:t>
      </w:r>
      <w:r>
        <w:rPr>
          <w:rFonts w:hint="eastAsia" w:cs="宋体"/>
          <w:color w:val="auto"/>
          <w:sz w:val="21"/>
          <w:szCs w:val="21"/>
          <w:highlight w:val="none"/>
          <w:lang w:val="en-US" w:eastAsia="zh-CN"/>
        </w:rPr>
        <w:t>[</w:t>
      </w:r>
      <w:r>
        <w:rPr>
          <w:rFonts w:hint="eastAsia" w:ascii="宋体" w:hAnsi="宋体" w:eastAsia="宋体" w:cs="宋体"/>
          <w:color w:val="auto"/>
          <w:sz w:val="21"/>
          <w:szCs w:val="21"/>
          <w:highlight w:val="none"/>
          <w:lang w:val="zh-CN" w:eastAsia="zh-CN"/>
        </w:rPr>
        <w:t>注：如是以工代赈的项目，每个项目按照不低于项目总造价20%的比例发放劳务报酬(其中脱贫劳动力劳务报酬不低于50%，具备条件的可提高劳务报酬资金占比）具体以政府文件为主</w:t>
      </w:r>
      <w:r>
        <w:rPr>
          <w:rFonts w:hint="eastAsia" w:cs="宋体"/>
          <w:color w:val="auto"/>
          <w:sz w:val="21"/>
          <w:szCs w:val="21"/>
          <w:highlight w:val="none"/>
          <w:lang w:val="zh-CN" w:eastAsia="zh-CN"/>
        </w:rPr>
        <w:t>。</w:t>
      </w:r>
      <w:r>
        <w:rPr>
          <w:rFonts w:hint="eastAsia" w:cs="宋体"/>
          <w:color w:val="auto"/>
          <w:sz w:val="21"/>
          <w:szCs w:val="21"/>
          <w:highlight w:val="none"/>
          <w:lang w:val="en-US" w:eastAsia="zh-CN"/>
        </w:rPr>
        <w:t>]</w:t>
      </w:r>
    </w:p>
    <w:p w14:paraId="7B1956C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承包人</w:t>
      </w:r>
      <w:r>
        <w:rPr>
          <w:rFonts w:hint="eastAsia" w:ascii="宋体" w:hAnsi="宋体" w:eastAsia="宋体" w:cs="宋体"/>
          <w:color w:val="auto"/>
          <w:highlight w:val="none"/>
        </w:rPr>
        <w:t>在领取中标</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通知书之日起10天内足额将农民工工资保障金转入相关部门设立的农民工工资保障金专用帐户。一旦其出现拖欠工程款导致无法按时足额支付农民工工资时，可由交通行政主管部门从工资保障金中先予列支。</w:t>
      </w:r>
    </w:p>
    <w:p w14:paraId="6725306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（3）农民工工资保证金的扣留条件、返还时间按照项目专用合同条款的约定执行。</w:t>
      </w:r>
    </w:p>
    <w:p w14:paraId="733738C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1" w:name="_Toc21777"/>
      <w:r>
        <w:rPr>
          <w:rFonts w:hint="eastAsia" w:ascii="宋体" w:hAnsi="宋体" w:eastAsia="宋体" w:cs="宋体"/>
          <w:b/>
          <w:bCs/>
          <w:color w:val="auto"/>
          <w:sz w:val="28"/>
          <w:szCs w:val="28"/>
          <w:highlight w:val="none"/>
        </w:rPr>
        <w:t>17.4质量保证金</w:t>
      </w:r>
      <w:bookmarkEnd w:id="421"/>
    </w:p>
    <w:p w14:paraId="24D635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17.4.1 项、第 17.4.2 项细化为：</w:t>
      </w:r>
    </w:p>
    <w:p w14:paraId="5A26F7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17.4.1交工验收证书签发后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06746F9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质量保证金采用现金、支票形式提交的，发包人应在项目专用合同条款数据表中明确是否计付利息以及利息的计算方式。 </w:t>
      </w:r>
    </w:p>
    <w:p w14:paraId="690949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17.4.2在第 1.1.4.5 目约定的缺陷责任期满，且质量监督机构已按规定对工程质量检测鉴定合格，承包人向发包人申请到期应返还承包人剩余的质量保证金金额， 发包人应在 14 天内会同承包人按照合同约定的内容核实承包人是否完成缺陷责任。如无异议，发包人应当在核实后将剩余保证金返还承包人。</w:t>
      </w:r>
    </w:p>
    <w:p w14:paraId="7D9C83FE">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2" w:name="_Toc6086"/>
      <w:r>
        <w:rPr>
          <w:rFonts w:hint="eastAsia" w:ascii="宋体" w:hAnsi="宋体" w:eastAsia="宋体" w:cs="宋体"/>
          <w:b/>
          <w:bCs/>
          <w:color w:val="auto"/>
          <w:sz w:val="28"/>
          <w:szCs w:val="28"/>
          <w:highlight w:val="none"/>
        </w:rPr>
        <w:t>17.5交工结算</w:t>
      </w:r>
      <w:bookmarkEnd w:id="422"/>
    </w:p>
    <w:p w14:paraId="6ABD6B8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17.5.1交工付款申请单</w:t>
      </w:r>
    </w:p>
    <w:p w14:paraId="4A8CF2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52B1377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承包人向监理人提交交工付款申请单（包括相关证明材料）的份数在项目专用合同条款数据表中约定；期限：交工验收证书签发后 42 天内。</w:t>
      </w:r>
    </w:p>
    <w:p w14:paraId="2F1B1A8D">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17.5.2交工付款证书及支付时间</w:t>
      </w:r>
    </w:p>
    <w:p w14:paraId="011743E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829D6A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发包人应在监理人出具交工付款证书且承包人提交了合格的增值税发票后的 14 天内，将应支付款支付给承包人。发包人不按期支付的，按第 17.3.3（2）目的约定，将逾期付款违约金支付给承包人。</w:t>
      </w:r>
    </w:p>
    <w:p w14:paraId="6E8A6A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3" w:name="_Toc23963"/>
      <w:r>
        <w:rPr>
          <w:rFonts w:hint="eastAsia" w:ascii="宋体" w:hAnsi="宋体" w:eastAsia="宋体" w:cs="宋体"/>
          <w:b/>
          <w:bCs/>
          <w:color w:val="auto"/>
          <w:sz w:val="28"/>
          <w:szCs w:val="28"/>
          <w:highlight w:val="none"/>
        </w:rPr>
        <w:t>17.6最终结清</w:t>
      </w:r>
      <w:bookmarkEnd w:id="423"/>
    </w:p>
    <w:p w14:paraId="4AC35F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17.6.1最终结清申请单</w:t>
      </w:r>
    </w:p>
    <w:p w14:paraId="660227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本项（1）目约定为：</w:t>
      </w:r>
    </w:p>
    <w:p w14:paraId="683520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承包人向监理人提交最终结清申请单（包括相关证明材料）的份数在项目专用合同条款数据表中约定；期限：缺陷责任期终止证书签发后 28 天内。</w:t>
      </w:r>
    </w:p>
    <w:p w14:paraId="2CCA9CF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最终结清申请单中的总金额应认为是代表了根据合同规定应付给承包人的全部款项的最后结算。</w:t>
      </w:r>
    </w:p>
    <w:p w14:paraId="40C2050A">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17.6.2最终结清证书和支付时间</w:t>
      </w:r>
    </w:p>
    <w:p w14:paraId="27F268D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0B3F44">
      <w:pPr>
        <w:pageBreakBefore w:val="0"/>
        <w:numPr>
          <w:ilvl w:val="0"/>
          <w:numId w:val="8"/>
        </w:numPr>
        <w:kinsoku/>
        <w:wordWrap/>
        <w:overflowPunct/>
        <w:topLinePunct w:val="0"/>
        <w:autoSpaceDE/>
        <w:autoSpaceDN/>
        <w:bidi w:val="0"/>
        <w:spacing w:line="360" w:lineRule="auto"/>
        <w:ind w:left="0" w:leftChars="0" w:firstLine="480" w:firstLineChars="0"/>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发包人应在监理人出具最终结清证书且承包人提交了合格的增值税发票后的 14 天内，将应支付款支付给承包人。发包人不按期支付的，按第 17.3.3（2） 目的约定，将逾期付款违约金支付给承包人。</w:t>
      </w:r>
    </w:p>
    <w:p w14:paraId="5F9A7E7C">
      <w:pPr>
        <w:pageBreakBefore w:val="0"/>
        <w:numPr>
          <w:ilvl w:val="0"/>
          <w:numId w:val="0"/>
        </w:numPr>
        <w:kinsoku/>
        <w:wordWrap/>
        <w:overflowPunct/>
        <w:topLinePunct w:val="0"/>
        <w:autoSpaceDE/>
        <w:autoSpaceDN/>
        <w:bidi w:val="0"/>
        <w:spacing w:line="360" w:lineRule="auto"/>
        <w:ind w:left="480" w:leftChars="0"/>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注：</w:t>
      </w:r>
      <w:r>
        <w:rPr>
          <w:rFonts w:hint="eastAsia" w:ascii="宋体" w:hAnsi="宋体" w:eastAsia="宋体" w:cs="宋体"/>
          <w:color w:val="auto"/>
          <w:highlight w:val="none"/>
        </w:rPr>
        <w:t>最终结算费用以</w:t>
      </w:r>
      <w:r>
        <w:rPr>
          <w:rFonts w:hint="eastAsia" w:ascii="宋体" w:hAnsi="宋体" w:cs="宋体"/>
          <w:color w:val="auto"/>
          <w:highlight w:val="none"/>
          <w:lang w:val="en-US" w:eastAsia="zh-CN"/>
        </w:rPr>
        <w:t>上思县</w:t>
      </w:r>
      <w:r>
        <w:rPr>
          <w:rFonts w:hint="eastAsia" w:ascii="宋体" w:hAnsi="宋体" w:eastAsia="宋体" w:cs="宋体"/>
          <w:color w:val="auto"/>
          <w:highlight w:val="none"/>
        </w:rPr>
        <w:t>财政投资评审为准。</w:t>
      </w:r>
    </w:p>
    <w:p w14:paraId="212C0F1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24" w:name="_Toc122424476"/>
      <w:bookmarkStart w:id="425" w:name="_Toc122424227"/>
      <w:bookmarkStart w:id="426" w:name="_Toc24882"/>
      <w:r>
        <w:rPr>
          <w:rFonts w:hint="eastAsia" w:ascii="宋体" w:hAnsi="宋体" w:eastAsia="宋体" w:cs="宋体"/>
          <w:b/>
          <w:bCs/>
          <w:color w:val="auto"/>
          <w:sz w:val="32"/>
          <w:szCs w:val="32"/>
          <w:highlight w:val="none"/>
        </w:rPr>
        <w:t>18.交工验收</w:t>
      </w:r>
      <w:bookmarkEnd w:id="424"/>
      <w:bookmarkEnd w:id="425"/>
      <w:bookmarkEnd w:id="426"/>
    </w:p>
    <w:p w14:paraId="72AC1FE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7" w:name="_Toc6744"/>
      <w:r>
        <w:rPr>
          <w:rFonts w:hint="eastAsia" w:ascii="宋体" w:hAnsi="宋体" w:eastAsia="宋体" w:cs="宋体"/>
          <w:b/>
          <w:bCs/>
          <w:color w:val="auto"/>
          <w:sz w:val="28"/>
          <w:szCs w:val="28"/>
          <w:highlight w:val="none"/>
        </w:rPr>
        <w:t>18.2交工验收申请报告</w:t>
      </w:r>
      <w:bookmarkEnd w:id="427"/>
    </w:p>
    <w:p w14:paraId="6072657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本款第（2）项约定为：</w:t>
      </w:r>
    </w:p>
    <w:p w14:paraId="629D9BB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竣工资料的内容：承包人应按照《公路工程竣（交）工验收办法》和相关规定编制竣工资料。</w:t>
      </w:r>
    </w:p>
    <w:p w14:paraId="6DD4B13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竣工资料的份数在项目专用合同条款数据表中约定。</w:t>
      </w:r>
    </w:p>
    <w:p w14:paraId="223EC233">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8" w:name="_Toc6549"/>
      <w:r>
        <w:rPr>
          <w:rFonts w:hint="eastAsia" w:ascii="宋体" w:hAnsi="宋体" w:eastAsia="宋体" w:cs="宋体"/>
          <w:b/>
          <w:bCs/>
          <w:color w:val="auto"/>
          <w:sz w:val="28"/>
          <w:szCs w:val="28"/>
          <w:highlight w:val="none"/>
        </w:rPr>
        <w:t>18.3验收</w:t>
      </w:r>
      <w:bookmarkEnd w:id="428"/>
    </w:p>
    <w:p w14:paraId="344A710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18.3.2 项补充：</w:t>
      </w:r>
    </w:p>
    <w:p w14:paraId="0677048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5BBD80B1">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18.3.5 项约定为：</w:t>
      </w:r>
    </w:p>
    <w:p w14:paraId="113322B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经验收合格工程的实际交工日期，以最终提交交工验收申请报告的日期为准， 并在交工验收证书中写明。</w:t>
      </w:r>
    </w:p>
    <w:p w14:paraId="617F6A0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本款补充第 18.3.7 项：</w:t>
      </w:r>
    </w:p>
    <w:p w14:paraId="0358D28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组织办理交工验收和签发交工验收证书的费用由发包人承担。但按照第 18.3.4项规定达不到合格标准的交工验收费用由承包人承担。</w:t>
      </w:r>
    </w:p>
    <w:p w14:paraId="315768C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18.9 款：</w:t>
      </w:r>
    </w:p>
    <w:p w14:paraId="560DE910">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29" w:name="_Toc30848"/>
      <w:r>
        <w:rPr>
          <w:rFonts w:hint="eastAsia" w:ascii="宋体" w:hAnsi="宋体" w:eastAsia="宋体" w:cs="宋体"/>
          <w:b/>
          <w:bCs/>
          <w:color w:val="auto"/>
          <w:sz w:val="28"/>
          <w:szCs w:val="28"/>
          <w:highlight w:val="none"/>
        </w:rPr>
        <w:t>18.9 竣工文件</w:t>
      </w:r>
      <w:bookmarkEnd w:id="429"/>
    </w:p>
    <w:p w14:paraId="4132D1E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承包人应按照《公路工程竣（交）工验收办法》的相关规定，在缺陷责任期内为竣工验收补充竣工资料，并在签发缺陷责任期终止证书之前提交。</w:t>
      </w:r>
    </w:p>
    <w:p w14:paraId="1ED0E77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0" w:name="_Toc122424228"/>
      <w:bookmarkStart w:id="431" w:name="_Toc122424477"/>
      <w:bookmarkStart w:id="432" w:name="_Toc28618"/>
      <w:r>
        <w:rPr>
          <w:rFonts w:hint="eastAsia" w:ascii="宋体" w:hAnsi="宋体" w:eastAsia="宋体" w:cs="宋体"/>
          <w:b/>
          <w:bCs/>
          <w:color w:val="auto"/>
          <w:sz w:val="32"/>
          <w:szCs w:val="32"/>
          <w:highlight w:val="none"/>
        </w:rPr>
        <w:t>19.缺陷责任与保修责任</w:t>
      </w:r>
      <w:bookmarkEnd w:id="430"/>
      <w:bookmarkEnd w:id="431"/>
      <w:bookmarkEnd w:id="432"/>
    </w:p>
    <w:p w14:paraId="281510EF">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19.2.2 项补充：</w:t>
      </w:r>
    </w:p>
    <w:p w14:paraId="53B808E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在缺陷责任期内，承包人应尽快完成在交工验收证书中写明的未完成工作，并完成对本工程缺陷的修复或监理人指令的修补工作。</w:t>
      </w:r>
    </w:p>
    <w:p w14:paraId="28426DF2">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3" w:name="_Toc4092"/>
      <w:r>
        <w:rPr>
          <w:rFonts w:hint="eastAsia" w:ascii="宋体" w:hAnsi="宋体" w:eastAsia="宋体" w:cs="宋体"/>
          <w:b/>
          <w:bCs/>
          <w:color w:val="auto"/>
          <w:sz w:val="28"/>
          <w:szCs w:val="28"/>
          <w:highlight w:val="none"/>
        </w:rPr>
        <w:t>19.5 承包人的进入权</w:t>
      </w:r>
      <w:bookmarkEnd w:id="433"/>
    </w:p>
    <w:p w14:paraId="7371BF2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本款补充：</w:t>
      </w:r>
    </w:p>
    <w:p w14:paraId="18177CC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承包人在缺陷修复施工过程中，应服从管养单位的有关安全管理规定，由于承包人自身原因造成的人员伤亡、设备和材料的损毁及罚款等责任由承包人自负。</w:t>
      </w:r>
    </w:p>
    <w:p w14:paraId="31CED2C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4" w:name="_Toc5798"/>
      <w:r>
        <w:rPr>
          <w:rFonts w:hint="eastAsia" w:ascii="宋体" w:hAnsi="宋体" w:eastAsia="宋体" w:cs="宋体"/>
          <w:b/>
          <w:bCs/>
          <w:color w:val="auto"/>
          <w:sz w:val="28"/>
          <w:szCs w:val="28"/>
          <w:highlight w:val="none"/>
        </w:rPr>
        <w:t>19.7保修责任</w:t>
      </w:r>
      <w:bookmarkEnd w:id="434"/>
    </w:p>
    <w:p w14:paraId="21527EE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本款细化为：</w:t>
      </w:r>
    </w:p>
    <w:p w14:paraId="50A7320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109C455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（2）在全部工程交工验收前，已经发包人提前验收的单位工程，其保修期的起算日期相应提前。</w:t>
      </w:r>
    </w:p>
    <w:p w14:paraId="0ED1B1EC">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（3）工程保修期终止后 28 天内，监理人签发保修期终止证书。</w:t>
      </w:r>
    </w:p>
    <w:p w14:paraId="00CA1E2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3EBC2D53">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35" w:name="_Toc122424478"/>
      <w:bookmarkStart w:id="436" w:name="_Toc8342"/>
      <w:bookmarkStart w:id="437" w:name="_Toc122424229"/>
      <w:r>
        <w:rPr>
          <w:rFonts w:hint="eastAsia" w:ascii="宋体" w:hAnsi="宋体" w:eastAsia="宋体" w:cs="宋体"/>
          <w:b/>
          <w:bCs/>
          <w:color w:val="auto"/>
          <w:sz w:val="32"/>
          <w:szCs w:val="32"/>
          <w:highlight w:val="none"/>
        </w:rPr>
        <w:t>20.保险</w:t>
      </w:r>
      <w:bookmarkEnd w:id="435"/>
      <w:bookmarkEnd w:id="436"/>
      <w:bookmarkEnd w:id="437"/>
    </w:p>
    <w:p w14:paraId="04079D5D">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8" w:name="_Toc28143"/>
      <w:r>
        <w:rPr>
          <w:rFonts w:hint="eastAsia" w:ascii="宋体" w:hAnsi="宋体" w:eastAsia="宋体" w:cs="宋体"/>
          <w:b/>
          <w:bCs/>
          <w:color w:val="auto"/>
          <w:sz w:val="28"/>
          <w:szCs w:val="28"/>
          <w:highlight w:val="none"/>
        </w:rPr>
        <w:t>20.1工程保险</w:t>
      </w:r>
      <w:bookmarkEnd w:id="438"/>
    </w:p>
    <w:p w14:paraId="683C508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07D5AF18">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建筑工程一切险的投保内容：为本合同工程的永久工程、临时工程和设备及已运至施工工地用于永久工程的材料和设备所投的保险。</w:t>
      </w:r>
    </w:p>
    <w:p w14:paraId="55F0867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保险金额：工程量清单第 100 章（不含建筑工程一切险及第三者责任险的保险费）至第 700 章的合计金额。</w:t>
      </w:r>
    </w:p>
    <w:p w14:paraId="30C99D0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保险费率：在项目专用合同条款数据表中约定。</w:t>
      </w:r>
    </w:p>
    <w:p w14:paraId="243400A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保险期限：开工日起直至本合同工程签发缺陷责任期终止证书止（即合同工期＋缺陷责任期）。</w:t>
      </w:r>
    </w:p>
    <w:p w14:paraId="1CA36F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建筑工程一切险费用已包含在各细目单价中，发包人不单独支付。</w:t>
      </w:r>
    </w:p>
    <w:p w14:paraId="639E333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39" w:name="_Toc13719"/>
      <w:r>
        <w:rPr>
          <w:rFonts w:hint="eastAsia" w:ascii="宋体" w:hAnsi="宋体" w:eastAsia="宋体" w:cs="宋体"/>
          <w:b/>
          <w:bCs/>
          <w:color w:val="auto"/>
          <w:sz w:val="28"/>
          <w:szCs w:val="28"/>
          <w:highlight w:val="none"/>
        </w:rPr>
        <w:t>20.4第三者责任险</w:t>
      </w:r>
      <w:bookmarkEnd w:id="439"/>
    </w:p>
    <w:p w14:paraId="7586977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20.4.2 项补充：</w:t>
      </w:r>
    </w:p>
    <w:p w14:paraId="57B7E50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第三者责任险的保险费由承包人报价时列入工程量清单第 100 章内。发包人在接到保险单后，将按照保险单的费用直接向承包人支付。</w:t>
      </w:r>
    </w:p>
    <w:p w14:paraId="7326F34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0" w:name="_Toc15357"/>
      <w:r>
        <w:rPr>
          <w:rFonts w:hint="eastAsia" w:ascii="宋体" w:hAnsi="宋体" w:eastAsia="宋体" w:cs="宋体"/>
          <w:b/>
          <w:bCs/>
          <w:color w:val="auto"/>
          <w:sz w:val="28"/>
          <w:szCs w:val="28"/>
          <w:highlight w:val="none"/>
        </w:rPr>
        <w:t>20.5其他保险</w:t>
      </w:r>
      <w:bookmarkEnd w:id="440"/>
    </w:p>
    <w:p w14:paraId="7C2EC2E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本款约定为：</w:t>
      </w:r>
    </w:p>
    <w:p w14:paraId="764B89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承包人应为其施工设备等办理保险，其投保金额应足以现场重置。办理本款保险的一切费用均由承包人承担，并包括在工程量清单的单价及总额价中，发包人不单独支付。</w:t>
      </w:r>
    </w:p>
    <w:p w14:paraId="51769A9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1" w:name="_Toc2908"/>
      <w:r>
        <w:rPr>
          <w:rFonts w:hint="eastAsia" w:ascii="宋体" w:hAnsi="宋体" w:eastAsia="宋体" w:cs="宋体"/>
          <w:b/>
          <w:bCs/>
          <w:color w:val="auto"/>
          <w:sz w:val="28"/>
          <w:szCs w:val="28"/>
          <w:highlight w:val="none"/>
        </w:rPr>
        <w:t>20.6对各项保险的一般要求</w:t>
      </w:r>
      <w:bookmarkEnd w:id="441"/>
    </w:p>
    <w:p w14:paraId="794A21C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20.6.1保险凭证</w:t>
      </w:r>
    </w:p>
    <w:p w14:paraId="325D948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本项约定为：</w:t>
      </w:r>
    </w:p>
    <w:p w14:paraId="09EC99C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承包人向发包人提交各项保险生效的证据和保险单副本的期限：开工后 56 天内。</w:t>
      </w:r>
    </w:p>
    <w:p w14:paraId="037DF6E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20.6.3持续保险</w:t>
      </w:r>
    </w:p>
    <w:p w14:paraId="3E0DC3F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1C834EA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在整个合同期内，承包人应按合同条款规定保证足够的保险额。</w:t>
      </w:r>
    </w:p>
    <w:p w14:paraId="05012734">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20.6.4保险金不足的补偿</w:t>
      </w:r>
    </w:p>
    <w:p w14:paraId="3127599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10CF423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保险金不足以补偿损失的（包括免赔额和超过赔偿限额的部分），应由承包人和（或）发包人按合同约定负责补偿。</w:t>
      </w:r>
    </w:p>
    <w:p w14:paraId="0C61122E">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20.6.5未按约定投保的补救</w:t>
      </w:r>
    </w:p>
    <w:p w14:paraId="5CCFB15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A13D2C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（2）由于负有投保义务的一方当事人未按合同约定办理某项保险，或未按保险单规定的条件和期限及时向保险人报告事故情况，或未按要求的保险期限进行投保， 或未按要求投保足够的保险金额，导致受益人未能或未能全部得到保险人的赔偿， 原应从该项保险得到的保险金应由负有投保义务的一方当事人支付。</w:t>
      </w:r>
    </w:p>
    <w:p w14:paraId="0AB87ADF">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2" w:name="_Toc17781"/>
      <w:bookmarkStart w:id="443" w:name="_Toc122424230"/>
      <w:bookmarkStart w:id="444" w:name="_Toc122424479"/>
      <w:r>
        <w:rPr>
          <w:rFonts w:hint="eastAsia" w:ascii="宋体" w:hAnsi="宋体" w:eastAsia="宋体" w:cs="宋体"/>
          <w:b/>
          <w:bCs/>
          <w:color w:val="auto"/>
          <w:sz w:val="32"/>
          <w:szCs w:val="32"/>
          <w:highlight w:val="none"/>
        </w:rPr>
        <w:t>21.不可抗力</w:t>
      </w:r>
      <w:bookmarkEnd w:id="442"/>
      <w:bookmarkEnd w:id="443"/>
      <w:bookmarkEnd w:id="444"/>
    </w:p>
    <w:p w14:paraId="26A45185">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5" w:name="_Toc28344"/>
      <w:r>
        <w:rPr>
          <w:rFonts w:hint="eastAsia" w:ascii="宋体" w:hAnsi="宋体" w:eastAsia="宋体" w:cs="宋体"/>
          <w:b/>
          <w:bCs/>
          <w:color w:val="auto"/>
          <w:sz w:val="28"/>
          <w:szCs w:val="28"/>
          <w:highlight w:val="none"/>
        </w:rPr>
        <w:t>21.1不可抗力的确认</w:t>
      </w:r>
      <w:bookmarkEnd w:id="445"/>
    </w:p>
    <w:p w14:paraId="0645ADE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21.1.1 项细化为：</w:t>
      </w:r>
    </w:p>
    <w:p w14:paraId="4B2A089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不可抗力是指承包人和发包人在订立合同时不可预见，在工程施工过程中不可避免发生并不能克服的自然灾害和社会性突发事件。包括但不限于：</w:t>
      </w:r>
    </w:p>
    <w:p w14:paraId="40FA1E5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（1）地震、海啸、火山爆发、泥石流、暴雨（雪）、台风、龙卷风、水灾等自然灾害；</w:t>
      </w:r>
    </w:p>
    <w:p w14:paraId="700506C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（2）战争、骚乱、暴动，但纯属承包人或其分包人派遣与雇用的人员由于本 合同工程施工原因引起者除外；</w:t>
      </w:r>
    </w:p>
    <w:p w14:paraId="62796E3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（3）核反应、辐射或放射性污染；</w:t>
      </w:r>
    </w:p>
    <w:p w14:paraId="788DA2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（4）空中飞行物体坠落或非发包人或承包人责任造成的爆炸、火灾；</w:t>
      </w:r>
    </w:p>
    <w:p w14:paraId="07C1F73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（5）瘟疫；</w:t>
      </w:r>
    </w:p>
    <w:p w14:paraId="6E954321">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（6）项目专用合同条款约定的其他情形。</w:t>
      </w:r>
    </w:p>
    <w:p w14:paraId="08284A37">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46" w:name="_Toc15289"/>
      <w:r>
        <w:rPr>
          <w:rFonts w:hint="eastAsia" w:ascii="宋体" w:hAnsi="宋体" w:eastAsia="宋体" w:cs="宋体"/>
          <w:b/>
          <w:bCs/>
          <w:color w:val="auto"/>
          <w:sz w:val="28"/>
          <w:szCs w:val="28"/>
          <w:highlight w:val="none"/>
        </w:rPr>
        <w:t>21.3 不可抗力后果及其处理</w:t>
      </w:r>
      <w:bookmarkEnd w:id="446"/>
    </w:p>
    <w:p w14:paraId="52058C1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21.3.4 因不可抗力解除合同</w:t>
      </w:r>
    </w:p>
    <w:p w14:paraId="757C645D">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本项细化为：</w:t>
      </w:r>
    </w:p>
    <w:p w14:paraId="5ECEB8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合同一方当事人因不可抗力不能履行合同的，应当及时通知对方解除合同。合同解除后，承包人应按照第 22.2.5 项约定撤离施工场地。已经订货的材料、设备由订货方负责退货或解除订货合同，不能退还的货款和因退货、解除订货合同发生的费用，由发包人承担，因未及时退货造成的损失由责任方承担。合同解除后的付款， 参照第 22.2.4 项约定，由监理人按第 3.5 款商定或确定，但由于解除合同应赔偿的承包人损失不予考虑。</w:t>
      </w:r>
    </w:p>
    <w:p w14:paraId="50A7C2EB">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47" w:name="_Toc122424480"/>
      <w:bookmarkStart w:id="448" w:name="_Toc19467"/>
      <w:bookmarkStart w:id="449" w:name="_Toc122424231"/>
      <w:r>
        <w:rPr>
          <w:rFonts w:hint="eastAsia" w:ascii="宋体" w:hAnsi="宋体" w:eastAsia="宋体" w:cs="宋体"/>
          <w:b/>
          <w:bCs/>
          <w:color w:val="auto"/>
          <w:sz w:val="32"/>
          <w:szCs w:val="32"/>
          <w:highlight w:val="none"/>
        </w:rPr>
        <w:t>22.违约</w:t>
      </w:r>
      <w:bookmarkEnd w:id="447"/>
      <w:bookmarkEnd w:id="448"/>
      <w:bookmarkEnd w:id="449"/>
    </w:p>
    <w:p w14:paraId="35B2AF5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0" w:name="_Toc4"/>
      <w:r>
        <w:rPr>
          <w:rFonts w:hint="eastAsia" w:ascii="宋体" w:hAnsi="宋体" w:eastAsia="宋体" w:cs="宋体"/>
          <w:b/>
          <w:bCs/>
          <w:color w:val="auto"/>
          <w:sz w:val="28"/>
          <w:szCs w:val="28"/>
          <w:highlight w:val="none"/>
        </w:rPr>
        <w:t>22.1承包人违约</w:t>
      </w:r>
      <w:bookmarkEnd w:id="450"/>
    </w:p>
    <w:p w14:paraId="5F8E9266">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22.1.1承包人违约的情形</w:t>
      </w:r>
    </w:p>
    <w:p w14:paraId="390EF2F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716F5A6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（2）承包人违反第 5.3 款或第 6.4 款的约定，未经监理人批准，私自将已按合同约定进入施工场地的施工设备、临时设施、材料或工程设备撤离施工场地；</w:t>
      </w:r>
    </w:p>
    <w:p w14:paraId="6EBAE8B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本项（7）目细化为：</w:t>
      </w:r>
    </w:p>
    <w:p w14:paraId="323E752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（7）承包人未能按期开工；</w:t>
      </w:r>
    </w:p>
    <w:p w14:paraId="5214541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（8）承包人违反第 4.6 款或第 6.3 款的规定，未按承诺或未按监理人的要求及时配备称职的主要管理人员、技术骨干或关键施工设备；</w:t>
      </w:r>
    </w:p>
    <w:p w14:paraId="19FA8B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（9）经监理人和发包人检查，发现承包人有安全问题或有违反安全管理规章制度的情况；</w:t>
      </w:r>
    </w:p>
    <w:p w14:paraId="6111CEC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（10）承包人不按合同约定履行义务的其他情况。</w:t>
      </w:r>
    </w:p>
    <w:p w14:paraId="77EA30A8">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22.1.2对承包人违约的处理</w:t>
      </w:r>
    </w:p>
    <w:p w14:paraId="03F3102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本项补充：</w:t>
      </w:r>
    </w:p>
    <w:p w14:paraId="52EE96E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（4）承包人发生第 22.1.1 项约定的违约情况时，无论发包人是否解除合同， 发包人均有权向承包人课以项目专用合同条款中规定的违约金，并由发包人将其违约行为上报省级交通运输主管部门，作为不良记录纳入公路建设市场信用信息管理系统。</w:t>
      </w:r>
    </w:p>
    <w:p w14:paraId="6916A41F">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1" w:name="_Toc5245"/>
      <w:r>
        <w:rPr>
          <w:rFonts w:hint="eastAsia" w:ascii="宋体" w:hAnsi="宋体" w:eastAsia="宋体" w:cs="宋体"/>
          <w:b/>
          <w:bCs/>
          <w:color w:val="auto"/>
          <w:sz w:val="28"/>
          <w:szCs w:val="28"/>
          <w:highlight w:val="none"/>
        </w:rPr>
        <w:t>22.2发包人违约</w:t>
      </w:r>
      <w:bookmarkEnd w:id="451"/>
    </w:p>
    <w:p w14:paraId="3E5E2AA3">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22.2.1发包人违约的情形</w:t>
      </w:r>
    </w:p>
    <w:p w14:paraId="53C6947B">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本项（5）目细化为：</w:t>
      </w:r>
    </w:p>
    <w:p w14:paraId="2D5BAE63">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（5）发包人无正当理由不按时返还履约保证金</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如有）</w:t>
      </w:r>
      <w:r>
        <w:rPr>
          <w:rFonts w:hint="eastAsia" w:ascii="宋体" w:hAnsi="宋体" w:eastAsia="宋体" w:cs="宋体"/>
          <w:color w:val="auto"/>
          <w:highlight w:val="none"/>
        </w:rPr>
        <w:t>、质量保证金或农民工工资保证金的；</w:t>
      </w:r>
    </w:p>
    <w:p w14:paraId="5A6E0387">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（6）发包人不履行合同约定其他义务的。</w:t>
      </w:r>
    </w:p>
    <w:p w14:paraId="5CDFF2E2">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22.2.4 解除合同后的付款</w:t>
      </w:r>
    </w:p>
    <w:p w14:paraId="5AD635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本项（2）目细化为：</w:t>
      </w:r>
    </w:p>
    <w:p w14:paraId="2445FF0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（2）承包人为该工程施工订购并已付款的材料、工程设备和其他物品的金额。发包人付款后，该材料、工程设备和其他物品归发包人所有；</w:t>
      </w:r>
    </w:p>
    <w:p w14:paraId="6AD56FB5">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2" w:name="_Toc122424232"/>
      <w:bookmarkStart w:id="453" w:name="_Toc122424481"/>
      <w:bookmarkStart w:id="454" w:name="_Toc26706"/>
      <w:r>
        <w:rPr>
          <w:rFonts w:hint="eastAsia" w:ascii="宋体" w:hAnsi="宋体" w:eastAsia="宋体" w:cs="宋体"/>
          <w:b/>
          <w:bCs/>
          <w:color w:val="auto"/>
          <w:sz w:val="32"/>
          <w:szCs w:val="32"/>
          <w:highlight w:val="none"/>
        </w:rPr>
        <w:t>23.索赔</w:t>
      </w:r>
      <w:bookmarkEnd w:id="452"/>
      <w:bookmarkEnd w:id="453"/>
      <w:bookmarkEnd w:id="454"/>
    </w:p>
    <w:p w14:paraId="37406701">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5" w:name="_Toc4552"/>
      <w:r>
        <w:rPr>
          <w:rFonts w:hint="eastAsia" w:ascii="宋体" w:hAnsi="宋体" w:eastAsia="宋体" w:cs="宋体"/>
          <w:b/>
          <w:bCs/>
          <w:color w:val="auto"/>
          <w:sz w:val="28"/>
          <w:szCs w:val="28"/>
          <w:highlight w:val="none"/>
        </w:rPr>
        <w:t>23.1承包人索赔的提出</w:t>
      </w:r>
      <w:bookmarkEnd w:id="455"/>
    </w:p>
    <w:p w14:paraId="3BCA179A">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本款第（4）项细化为：</w:t>
      </w:r>
    </w:p>
    <w:p w14:paraId="0B2D185E">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（4）在索赔事件影响结束后的 28 天内，承包人应向监理人递交最终索赔通知书，说明最终要求索赔的追加付款金额和（或）延长的工期，并附必要的记录和证明材料。</w:t>
      </w:r>
    </w:p>
    <w:p w14:paraId="5AB9EB4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56" w:name="_Toc23671"/>
      <w:r>
        <w:rPr>
          <w:rFonts w:hint="eastAsia" w:ascii="宋体" w:hAnsi="宋体" w:eastAsia="宋体" w:cs="宋体"/>
          <w:b/>
          <w:bCs/>
          <w:color w:val="auto"/>
          <w:sz w:val="28"/>
          <w:szCs w:val="28"/>
          <w:highlight w:val="none"/>
        </w:rPr>
        <w:t>23.2承包人索赔处理程序</w:t>
      </w:r>
      <w:bookmarkEnd w:id="456"/>
    </w:p>
    <w:p w14:paraId="4B4C4009">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本款第（2）项细化为：</w:t>
      </w:r>
    </w:p>
    <w:p w14:paraId="6AE79974">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（2）监理人应按第 3.5 款商定或确定追加的付款和（或）延长的工期，并在收到上述索赔通知书或有关索赔的进一步证明材料后的 42 天内，将索赔处理结果报发包人批准后答复承包人。如果承包人提出的索赔要求未能遵守第 23.1（2）~（4）项的规定，则承包人只限于索赔由监理人按当时记录予以核实的那部分款额和（或） 工期延长天数。</w:t>
      </w:r>
    </w:p>
    <w:p w14:paraId="36AB2046">
      <w:pPr>
        <w:keepNext/>
        <w:keepLines/>
        <w:pageBreakBefore w:val="0"/>
        <w:kinsoku/>
        <w:wordWrap/>
        <w:overflowPunct/>
        <w:topLinePunct w:val="0"/>
        <w:autoSpaceDE/>
        <w:autoSpaceDN/>
        <w:bidi w:val="0"/>
        <w:spacing w:line="360" w:lineRule="auto"/>
        <w:textAlignment w:val="auto"/>
        <w:outlineLvl w:val="2"/>
        <w:rPr>
          <w:rFonts w:hint="eastAsia" w:ascii="宋体" w:hAnsi="宋体" w:eastAsia="宋体" w:cs="宋体"/>
          <w:b/>
          <w:bCs/>
          <w:color w:val="auto"/>
          <w:sz w:val="32"/>
          <w:szCs w:val="32"/>
          <w:highlight w:val="none"/>
        </w:rPr>
      </w:pPr>
      <w:bookmarkStart w:id="457" w:name="_Toc122424233"/>
      <w:bookmarkStart w:id="458" w:name="_Toc122424482"/>
      <w:bookmarkStart w:id="459" w:name="_Toc17764"/>
      <w:r>
        <w:rPr>
          <w:rFonts w:hint="eastAsia" w:ascii="宋体" w:hAnsi="宋体" w:eastAsia="宋体" w:cs="宋体"/>
          <w:b/>
          <w:bCs/>
          <w:color w:val="auto"/>
          <w:sz w:val="32"/>
          <w:szCs w:val="32"/>
          <w:highlight w:val="none"/>
        </w:rPr>
        <w:t>24.争议的解决</w:t>
      </w:r>
      <w:bookmarkEnd w:id="457"/>
      <w:bookmarkEnd w:id="458"/>
      <w:bookmarkEnd w:id="459"/>
    </w:p>
    <w:p w14:paraId="19B58439">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0" w:name="_Toc5407"/>
      <w:r>
        <w:rPr>
          <w:rFonts w:hint="eastAsia" w:ascii="宋体" w:hAnsi="宋体" w:eastAsia="宋体" w:cs="宋体"/>
          <w:b/>
          <w:bCs/>
          <w:color w:val="auto"/>
          <w:sz w:val="28"/>
          <w:szCs w:val="28"/>
          <w:highlight w:val="none"/>
        </w:rPr>
        <w:t>24.3争议评审</w:t>
      </w:r>
      <w:bookmarkEnd w:id="460"/>
    </w:p>
    <w:p w14:paraId="4F02F727">
      <w:pPr>
        <w:keepNext/>
        <w:keepLines/>
        <w:pageBreakBefore w:val="0"/>
        <w:kinsoku/>
        <w:wordWrap/>
        <w:overflowPunct/>
        <w:topLinePunct w:val="0"/>
        <w:autoSpaceDE/>
        <w:autoSpaceDN/>
        <w:bidi w:val="0"/>
        <w:spacing w:line="360" w:lineRule="auto"/>
        <w:ind w:firstLine="482"/>
        <w:textAlignment w:val="auto"/>
        <w:outlineLvl w:val="4"/>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第 24.3.1 项补充：</w:t>
      </w:r>
    </w:p>
    <w:p w14:paraId="7FE3921F">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12C593F2">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本条补充第 24.4 款、第 24.5 款（适用于采用仲裁方式最终解决争议的项目）：</w:t>
      </w:r>
    </w:p>
    <w:p w14:paraId="406E6BDA">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1" w:name="_Toc5661"/>
      <w:r>
        <w:rPr>
          <w:rFonts w:hint="eastAsia" w:ascii="宋体" w:hAnsi="宋体" w:eastAsia="宋体" w:cs="宋体"/>
          <w:b/>
          <w:bCs/>
          <w:color w:val="auto"/>
          <w:sz w:val="28"/>
          <w:szCs w:val="28"/>
          <w:highlight w:val="none"/>
        </w:rPr>
        <w:t>24.4仲裁</w:t>
      </w:r>
      <w:bookmarkEnd w:id="461"/>
    </w:p>
    <w:p w14:paraId="2DE59935">
      <w:pPr>
        <w:pageBreakBefore w:val="0"/>
        <w:numPr>
          <w:ilvl w:val="0"/>
          <w:numId w:val="9"/>
        </w:numPr>
        <w:kinsoku/>
        <w:wordWrap/>
        <w:overflowPunct/>
        <w:topLinePunct w:val="0"/>
        <w:autoSpaceDE/>
        <w:autoSpaceDN/>
        <w:bidi w:val="0"/>
        <w:spacing w:line="360" w:lineRule="auto"/>
        <w:ind w:left="210" w:leftChars="100" w:firstLine="268" w:firstLineChars="128"/>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对于未能友好解决或未能通过争议评审解决的争议，发包人或承包人任一方均有权提交给第 </w:t>
      </w:r>
    </w:p>
    <w:p w14:paraId="4ADEA6EB">
      <w:pPr>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24.1 款约定的仲裁委员会仲裁。</w:t>
      </w:r>
    </w:p>
    <w:p w14:paraId="2D84D455">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776E7DB6">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（3）仲裁裁决是终局性的并对发包人和承包人双方具有约束力。</w:t>
      </w:r>
    </w:p>
    <w:p w14:paraId="08C60D40">
      <w:pPr>
        <w:pageBreakBefore w:val="0"/>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（4）全部仲裁费用应由败诉方承担；或按仲裁委员会裁决的比例分担。</w:t>
      </w:r>
    </w:p>
    <w:p w14:paraId="76048DCC">
      <w:pPr>
        <w:keepNext/>
        <w:keepLines/>
        <w:pageBreakBefore w:val="0"/>
        <w:kinsoku/>
        <w:wordWrap/>
        <w:overflowPunct/>
        <w:topLinePunct w:val="0"/>
        <w:autoSpaceDE/>
        <w:autoSpaceDN/>
        <w:bidi w:val="0"/>
        <w:spacing w:line="360" w:lineRule="auto"/>
        <w:ind w:firstLine="562" w:firstLineChars="200"/>
        <w:textAlignment w:val="auto"/>
        <w:outlineLvl w:val="3"/>
        <w:rPr>
          <w:rFonts w:hint="eastAsia" w:ascii="宋体" w:hAnsi="宋体" w:eastAsia="宋体" w:cs="宋体"/>
          <w:b/>
          <w:bCs/>
          <w:color w:val="auto"/>
          <w:sz w:val="28"/>
          <w:szCs w:val="28"/>
          <w:highlight w:val="none"/>
        </w:rPr>
      </w:pPr>
      <w:bookmarkStart w:id="462" w:name="_Toc21379"/>
      <w:r>
        <w:rPr>
          <w:rFonts w:hint="eastAsia" w:ascii="宋体" w:hAnsi="宋体" w:eastAsia="宋体" w:cs="宋体"/>
          <w:b/>
          <w:bCs/>
          <w:color w:val="auto"/>
          <w:sz w:val="28"/>
          <w:szCs w:val="28"/>
          <w:highlight w:val="none"/>
        </w:rPr>
        <w:t>24.5仲裁的执行</w:t>
      </w:r>
      <w:bookmarkEnd w:id="462"/>
    </w:p>
    <w:p w14:paraId="37119060">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任何一方不履行仲裁机构的裁决的，对方可以向有管辖权的人民法院申请执行。</w:t>
      </w:r>
    </w:p>
    <w:p w14:paraId="50C1D67F">
      <w:pPr>
        <w:pageBreakBefore w:val="0"/>
        <w:numPr>
          <w:ilvl w:val="0"/>
          <w:numId w:val="10"/>
        </w:numPr>
        <w:kinsoku/>
        <w:wordWrap/>
        <w:overflowPunct/>
        <w:topLinePunct w:val="0"/>
        <w:autoSpaceDE/>
        <w:autoSpaceDN/>
        <w:bidi w:val="0"/>
        <w:spacing w:line="360" w:lineRule="auto"/>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r>
        <w:rPr>
          <w:rFonts w:hint="eastAsia" w:ascii="宋体" w:hAnsi="宋体" w:eastAsia="宋体" w:cs="宋体"/>
          <w:color w:val="auto"/>
          <w:kern w:val="0"/>
          <w:highlight w:val="none"/>
        </w:rPr>
        <w:t xml:space="preserve"> </w:t>
      </w:r>
    </w:p>
    <w:p w14:paraId="22F5729B">
      <w:pPr>
        <w:pStyle w:val="18"/>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9CA0D7">
      <w:pPr>
        <w:pStyle w:val="3"/>
        <w:adjustRightInd w:val="0"/>
        <w:snapToGrid w:val="0"/>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p>
    <w:p w14:paraId="7EFA513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说</w:t>
      </w:r>
      <w:r>
        <w:rPr>
          <w:rFonts w:hint="eastAsia" w:ascii="宋体" w:hAnsi="宋体" w:eastAsia="宋体" w:cs="宋体"/>
          <w:color w:val="auto"/>
          <w:highlight w:val="none"/>
        </w:rPr>
        <w:tab/>
      </w:r>
      <w:r>
        <w:rPr>
          <w:rFonts w:hint="eastAsia" w:ascii="宋体" w:hAnsi="宋体" w:eastAsia="宋体" w:cs="宋体"/>
          <w:color w:val="auto"/>
          <w:highlight w:val="none"/>
        </w:rPr>
        <w:t>明：</w:t>
      </w:r>
    </w:p>
    <w:p w14:paraId="353388D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1.采购人在编制项目</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47109E4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2.项目专用合同条款的编号应与通用合同条款和公路工程专用合同条款一致。</w:t>
      </w:r>
    </w:p>
    <w:p w14:paraId="32CEBAA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3.项目专用合同条款可对下列内容进行补充和细化：</w:t>
      </w:r>
    </w:p>
    <w:p w14:paraId="6AA7E90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（1）“通用合同条款”中明确指出“专用合同条款”可对“通用合同条款”进行修改</w:t>
      </w:r>
    </w:p>
    <w:p w14:paraId="2463C7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的内容（在“通用合同条款”中用“应按合同约定”“应按专用合同条款约定”“除合同另有约定外”“除专用合同条款另有约定外”“在专用合同条款中约定”等多种文字形式表达）；</w:t>
      </w:r>
    </w:p>
    <w:p w14:paraId="44A1845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 等多种文字形式表达）。</w:t>
      </w:r>
    </w:p>
    <w:p w14:paraId="43765DFD">
      <w:pPr>
        <w:widowControl/>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其他需要补充、细化的内容。</w:t>
      </w:r>
    </w:p>
    <w:p w14:paraId="52D1A509">
      <w:pPr>
        <w:pStyle w:val="4"/>
        <w:spacing w:before="0" w:after="0"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63" w:name="_Toc24603"/>
      <w:bookmarkStart w:id="464" w:name="_Toc122424484"/>
      <w:bookmarkStart w:id="465" w:name="_Toc122424235"/>
      <w:r>
        <w:rPr>
          <w:rFonts w:hint="eastAsia" w:ascii="宋体" w:hAnsi="宋体" w:eastAsia="宋体" w:cs="宋体"/>
          <w:color w:val="auto"/>
          <w:highlight w:val="none"/>
        </w:rPr>
        <w:t>项目专用合同条款数据表</w:t>
      </w:r>
      <w:bookmarkEnd w:id="463"/>
      <w:bookmarkEnd w:id="464"/>
      <w:bookmarkEnd w:id="465"/>
    </w:p>
    <w:p w14:paraId="5822AE05">
      <w:pPr>
        <w:spacing w:line="360" w:lineRule="auto"/>
        <w:ind w:firstLine="480"/>
        <w:rPr>
          <w:rFonts w:hint="eastAsia" w:ascii="宋体" w:hAnsi="宋体" w:eastAsia="宋体" w:cs="宋体"/>
          <w:color w:val="auto"/>
          <w:highlight w:val="none"/>
        </w:rPr>
      </w:pPr>
    </w:p>
    <w:p w14:paraId="3D835A55">
      <w:pPr>
        <w:spacing w:line="360" w:lineRule="auto"/>
        <w:ind w:firstLine="480"/>
        <w:rPr>
          <w:rFonts w:hint="eastAsia" w:ascii="宋体" w:hAnsi="宋体" w:eastAsia="宋体" w:cs="宋体"/>
          <w:color w:val="auto"/>
          <w:highlight w:val="none"/>
        </w:rPr>
      </w:pPr>
      <w:bookmarkStart w:id="466" w:name="_Toc19149"/>
      <w:bookmarkStart w:id="467" w:name="_Toc122424485"/>
      <w:bookmarkStart w:id="468" w:name="_Toc20394"/>
      <w:bookmarkStart w:id="469" w:name="_Toc122424236"/>
      <w:r>
        <w:rPr>
          <w:rFonts w:hint="eastAsia" w:ascii="宋体" w:hAnsi="宋体" w:eastAsia="宋体" w:cs="宋体"/>
          <w:color w:val="auto"/>
          <w:highlight w:val="none"/>
        </w:rPr>
        <w:t>说明：本数据表是项目专用合同条款中适用于本项目的信息和数据的归纳与提示， 是项目专用合同条款的组成部分。编写磋商文件的单位应仔细校核，不使数据出现差错或不一致。</w:t>
      </w:r>
    </w:p>
    <w:p w14:paraId="10E8BB4F">
      <w:pPr>
        <w:pStyle w:val="18"/>
        <w:rPr>
          <w:rFonts w:hint="eastAsia" w:ascii="宋体" w:hAnsi="宋体" w:eastAsia="宋体" w:cs="宋体"/>
          <w:color w:val="auto"/>
          <w:highlight w:val="none"/>
        </w:rPr>
      </w:pPr>
    </w:p>
    <w:tbl>
      <w:tblPr>
        <w:tblStyle w:val="2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0F1C1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jc w:val="center"/>
        </w:trPr>
        <w:tc>
          <w:tcPr>
            <w:tcW w:w="629" w:type="dxa"/>
            <w:noWrap w:val="0"/>
            <w:vAlign w:val="center"/>
          </w:tcPr>
          <w:p w14:paraId="67AB1D3A">
            <w:pPr>
              <w:pStyle w:val="40"/>
              <w:spacing w:before="90" w:line="250" w:lineRule="exact"/>
              <w:ind w:left="83" w:right="7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序号</w:t>
            </w:r>
          </w:p>
        </w:tc>
        <w:tc>
          <w:tcPr>
            <w:tcW w:w="1111" w:type="dxa"/>
            <w:noWrap w:val="0"/>
            <w:vAlign w:val="center"/>
          </w:tcPr>
          <w:p w14:paraId="63E74C70">
            <w:pPr>
              <w:pStyle w:val="40"/>
              <w:spacing w:before="90" w:line="250" w:lineRule="exact"/>
              <w:ind w:left="84" w:right="78"/>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条目号</w:t>
            </w:r>
          </w:p>
        </w:tc>
        <w:tc>
          <w:tcPr>
            <w:tcW w:w="7305" w:type="dxa"/>
            <w:noWrap w:val="0"/>
            <w:vAlign w:val="center"/>
          </w:tcPr>
          <w:p w14:paraId="48AB210B">
            <w:pPr>
              <w:pStyle w:val="40"/>
              <w:spacing w:before="90" w:line="250" w:lineRule="exact"/>
              <w:ind w:left="3106" w:right="3094"/>
              <w:jc w:val="center"/>
              <w:rPr>
                <w:rFonts w:hint="eastAsia" w:ascii="宋体" w:hAnsi="宋体" w:eastAsia="宋体" w:cs="宋体"/>
                <w:b/>
                <w:color w:val="auto"/>
                <w:sz w:val="21"/>
                <w:highlight w:val="none"/>
              </w:rPr>
            </w:pPr>
            <w:r>
              <w:rPr>
                <w:rFonts w:hint="eastAsia" w:ascii="宋体" w:hAnsi="宋体" w:eastAsia="宋体" w:cs="宋体"/>
                <w:b/>
                <w:color w:val="auto"/>
                <w:sz w:val="21"/>
                <w:highlight w:val="none"/>
              </w:rPr>
              <w:t>信息或数据</w:t>
            </w:r>
          </w:p>
        </w:tc>
      </w:tr>
      <w:tr w14:paraId="18BBC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7" w:hRule="atLeast"/>
          <w:jc w:val="center"/>
        </w:trPr>
        <w:tc>
          <w:tcPr>
            <w:tcW w:w="629" w:type="dxa"/>
            <w:noWrap w:val="0"/>
            <w:vAlign w:val="center"/>
          </w:tcPr>
          <w:p w14:paraId="78C18521">
            <w:pPr>
              <w:pStyle w:val="40"/>
              <w:spacing w:before="11"/>
              <w:rPr>
                <w:rFonts w:hint="eastAsia" w:ascii="宋体" w:hAnsi="宋体" w:eastAsia="宋体" w:cs="宋体"/>
                <w:color w:val="auto"/>
                <w:highlight w:val="none"/>
              </w:rPr>
            </w:pPr>
          </w:p>
          <w:p w14:paraId="7E597371">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w:t>
            </w:r>
          </w:p>
        </w:tc>
        <w:tc>
          <w:tcPr>
            <w:tcW w:w="1111" w:type="dxa"/>
            <w:noWrap w:val="0"/>
            <w:vAlign w:val="center"/>
          </w:tcPr>
          <w:p w14:paraId="299426A9">
            <w:pPr>
              <w:pStyle w:val="40"/>
              <w:spacing w:before="11"/>
              <w:rPr>
                <w:rFonts w:hint="eastAsia" w:ascii="宋体" w:hAnsi="宋体" w:eastAsia="宋体" w:cs="宋体"/>
                <w:color w:val="auto"/>
                <w:highlight w:val="none"/>
              </w:rPr>
            </w:pPr>
          </w:p>
          <w:p w14:paraId="60DA8077">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1.1.2.2</w:t>
            </w:r>
          </w:p>
        </w:tc>
        <w:tc>
          <w:tcPr>
            <w:tcW w:w="7305" w:type="dxa"/>
            <w:noWrap w:val="0"/>
            <w:vAlign w:val="center"/>
          </w:tcPr>
          <w:p w14:paraId="4D4E7F8A">
            <w:pPr>
              <w:pStyle w:val="40"/>
              <w:spacing w:before="89"/>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 包 人：</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sz w:val="21"/>
                <w:highlight w:val="none"/>
                <w:u w:val="single"/>
                <w:lang w:val="en-US" w:eastAsia="zh-CN"/>
              </w:rPr>
              <w:t xml:space="preserve">          </w:t>
            </w:r>
            <w:r>
              <w:rPr>
                <w:rFonts w:hint="eastAsia" w:ascii="宋体" w:hAnsi="宋体" w:eastAsia="宋体" w:cs="宋体"/>
                <w:color w:val="auto"/>
                <w:sz w:val="21"/>
                <w:highlight w:val="none"/>
                <w:u w:val="single"/>
                <w:lang w:eastAsia="zh-CN"/>
              </w:rPr>
              <w:t xml:space="preserve">  </w:t>
            </w:r>
          </w:p>
          <w:p w14:paraId="66E4FD36">
            <w:pPr>
              <w:pStyle w:val="40"/>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kern w:val="2"/>
                <w:sz w:val="21"/>
                <w:szCs w:val="21"/>
                <w:highlight w:val="none"/>
                <w:u w:val="single"/>
                <w:lang w:eastAsia="zh-CN"/>
              </w:rPr>
              <w:t xml:space="preserve">  </w:t>
            </w:r>
            <w:r>
              <w:rPr>
                <w:rFonts w:hint="eastAsia" w:ascii="宋体" w:hAnsi="宋体" w:eastAsia="宋体" w:cs="宋体"/>
                <w:color w:val="auto"/>
                <w:sz w:val="21"/>
                <w:highlight w:val="none"/>
                <w:u w:val="single"/>
                <w:lang w:eastAsia="zh-CN"/>
              </w:rPr>
              <w:tab/>
            </w:r>
          </w:p>
          <w:p w14:paraId="76796447">
            <w:pPr>
              <w:pStyle w:val="40"/>
              <w:tabs>
                <w:tab w:val="left" w:pos="979"/>
                <w:tab w:val="left" w:pos="3394"/>
              </w:tabs>
              <w:spacing w:before="91" w:line="250" w:lineRule="exact"/>
              <w:ind w:left="347"/>
              <w:rPr>
                <w:rFonts w:hint="eastAsia" w:ascii="宋体" w:hAnsi="宋体" w:eastAsia="宋体" w:cs="宋体"/>
                <w:color w:val="auto"/>
                <w:sz w:val="21"/>
                <w:highlight w:val="none"/>
                <w:u w:val="single"/>
              </w:rPr>
            </w:pPr>
            <w:r>
              <w:rPr>
                <w:rFonts w:hint="eastAsia" w:ascii="宋体" w:hAnsi="宋体" w:eastAsia="宋体" w:cs="宋体"/>
                <w:color w:val="auto"/>
                <w:sz w:val="21"/>
                <w:highlight w:val="none"/>
              </w:rPr>
              <w:t>邮</w:t>
            </w:r>
            <w:r>
              <w:rPr>
                <w:rFonts w:hint="eastAsia" w:ascii="宋体" w:hAnsi="宋体" w:eastAsia="宋体" w:cs="宋体"/>
                <w:color w:val="auto"/>
                <w:spacing w:val="-3"/>
                <w:sz w:val="21"/>
                <w:highlight w:val="none"/>
              </w:rPr>
              <w:t>政</w:t>
            </w:r>
            <w:r>
              <w:rPr>
                <w:rFonts w:hint="eastAsia" w:ascii="宋体" w:hAnsi="宋体" w:eastAsia="宋体" w:cs="宋体"/>
                <w:color w:val="auto"/>
                <w:sz w:val="21"/>
                <w:highlight w:val="none"/>
              </w:rPr>
              <w:t>编</w:t>
            </w:r>
            <w:r>
              <w:rPr>
                <w:rFonts w:hint="eastAsia" w:ascii="宋体" w:hAnsi="宋体" w:eastAsia="宋体" w:cs="宋体"/>
                <w:color w:val="auto"/>
                <w:spacing w:val="-3"/>
                <w:sz w:val="21"/>
                <w:highlight w:val="none"/>
              </w:rPr>
              <w:t>码</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lang w:eastAsia="zh-CN"/>
              </w:rPr>
              <w:t xml:space="preserve">           </w:t>
            </w:r>
            <w:r>
              <w:rPr>
                <w:rFonts w:hint="eastAsia" w:ascii="宋体" w:hAnsi="宋体" w:eastAsia="宋体" w:cs="宋体"/>
                <w:color w:val="auto"/>
                <w:kern w:val="2"/>
                <w:sz w:val="21"/>
                <w:szCs w:val="21"/>
                <w:highlight w:val="none"/>
                <w:u w:val="single"/>
              </w:rPr>
              <w:t xml:space="preserve">         </w:t>
            </w:r>
          </w:p>
        </w:tc>
      </w:tr>
      <w:tr w14:paraId="528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0" w:hRule="atLeast"/>
          <w:jc w:val="center"/>
        </w:trPr>
        <w:tc>
          <w:tcPr>
            <w:tcW w:w="629" w:type="dxa"/>
            <w:noWrap w:val="0"/>
            <w:vAlign w:val="center"/>
          </w:tcPr>
          <w:p w14:paraId="381AE73D">
            <w:pPr>
              <w:pStyle w:val="40"/>
              <w:spacing w:before="1"/>
              <w:rPr>
                <w:rFonts w:hint="eastAsia" w:ascii="宋体" w:hAnsi="宋体" w:eastAsia="宋体" w:cs="宋体"/>
                <w:color w:val="auto"/>
                <w:sz w:val="23"/>
                <w:highlight w:val="none"/>
              </w:rPr>
            </w:pPr>
          </w:p>
          <w:p w14:paraId="1D0DF89A">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2</w:t>
            </w:r>
          </w:p>
        </w:tc>
        <w:tc>
          <w:tcPr>
            <w:tcW w:w="1111" w:type="dxa"/>
            <w:noWrap w:val="0"/>
            <w:vAlign w:val="center"/>
          </w:tcPr>
          <w:p w14:paraId="5A28AA6C">
            <w:pPr>
              <w:pStyle w:val="40"/>
              <w:spacing w:before="1"/>
              <w:rPr>
                <w:rFonts w:hint="eastAsia" w:ascii="宋体" w:hAnsi="宋体" w:eastAsia="宋体" w:cs="宋体"/>
                <w:color w:val="auto"/>
                <w:sz w:val="23"/>
                <w:highlight w:val="none"/>
              </w:rPr>
            </w:pPr>
          </w:p>
          <w:p w14:paraId="12E10323">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1.1.2.6</w:t>
            </w:r>
          </w:p>
        </w:tc>
        <w:tc>
          <w:tcPr>
            <w:tcW w:w="7305" w:type="dxa"/>
            <w:noWrap w:val="0"/>
            <w:vAlign w:val="center"/>
          </w:tcPr>
          <w:p w14:paraId="61AF8B26">
            <w:pPr>
              <w:pStyle w:val="40"/>
              <w:spacing w:before="92"/>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监 理 人：</w:t>
            </w:r>
            <w:r>
              <w:rPr>
                <w:rFonts w:hint="eastAsia" w:ascii="宋体" w:hAnsi="宋体" w:eastAsia="宋体" w:cs="宋体"/>
                <w:color w:val="auto"/>
                <w:sz w:val="21"/>
                <w:szCs w:val="21"/>
                <w:highlight w:val="none"/>
                <w:lang w:eastAsia="zh-CN"/>
              </w:rPr>
              <w:t>待定</w:t>
            </w:r>
          </w:p>
          <w:p w14:paraId="60A8040F">
            <w:pPr>
              <w:pStyle w:val="40"/>
              <w:tabs>
                <w:tab w:val="left" w:pos="979"/>
                <w:tab w:val="left" w:pos="339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地</w:t>
            </w:r>
            <w:r>
              <w:rPr>
                <w:rFonts w:hint="eastAsia" w:ascii="宋体" w:hAnsi="宋体" w:eastAsia="宋体" w:cs="宋体"/>
                <w:color w:val="auto"/>
                <w:sz w:val="21"/>
                <w:highlight w:val="none"/>
                <w:lang w:eastAsia="zh-CN"/>
              </w:rPr>
              <w:tab/>
            </w:r>
            <w:r>
              <w:rPr>
                <w:rFonts w:hint="eastAsia" w:ascii="宋体" w:hAnsi="宋体" w:eastAsia="宋体" w:cs="宋体"/>
                <w:color w:val="auto"/>
                <w:sz w:val="21"/>
                <w:highlight w:val="none"/>
                <w:lang w:eastAsia="zh-CN"/>
              </w:rPr>
              <w:t>址：</w:t>
            </w:r>
            <w:r>
              <w:rPr>
                <w:rFonts w:hint="eastAsia" w:ascii="宋体" w:hAnsi="宋体" w:eastAsia="宋体" w:cs="宋体"/>
                <w:color w:val="auto"/>
                <w:highlight w:val="none"/>
                <w:u w:val="single"/>
                <w:lang w:eastAsia="zh-CN"/>
              </w:rPr>
              <w:t xml:space="preserve">                </w:t>
            </w:r>
            <w:r>
              <w:rPr>
                <w:rFonts w:hint="eastAsia" w:ascii="宋体" w:hAnsi="宋体" w:eastAsia="宋体" w:cs="宋体"/>
                <w:color w:val="auto"/>
                <w:sz w:val="21"/>
                <w:highlight w:val="none"/>
                <w:lang w:eastAsia="zh-CN"/>
              </w:rPr>
              <w:tab/>
            </w:r>
          </w:p>
          <w:p w14:paraId="6B55D477">
            <w:pPr>
              <w:pStyle w:val="40"/>
              <w:tabs>
                <w:tab w:val="left" w:pos="979"/>
                <w:tab w:val="left" w:pos="3394"/>
              </w:tabs>
              <w:spacing w:before="91" w:line="250" w:lineRule="exact"/>
              <w:ind w:left="347"/>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邮</w:t>
            </w:r>
            <w:r>
              <w:rPr>
                <w:rFonts w:hint="eastAsia" w:ascii="宋体" w:hAnsi="宋体" w:eastAsia="宋体" w:cs="宋体"/>
                <w:color w:val="auto"/>
                <w:spacing w:val="-3"/>
                <w:sz w:val="21"/>
                <w:highlight w:val="none"/>
                <w:lang w:eastAsia="zh-CN"/>
              </w:rPr>
              <w:t>政</w:t>
            </w:r>
            <w:r>
              <w:rPr>
                <w:rFonts w:hint="eastAsia" w:ascii="宋体" w:hAnsi="宋体" w:eastAsia="宋体" w:cs="宋体"/>
                <w:color w:val="auto"/>
                <w:sz w:val="21"/>
                <w:highlight w:val="none"/>
                <w:lang w:eastAsia="zh-CN"/>
              </w:rPr>
              <w:t>编</w:t>
            </w:r>
            <w:r>
              <w:rPr>
                <w:rFonts w:hint="eastAsia" w:ascii="宋体" w:hAnsi="宋体" w:eastAsia="宋体" w:cs="宋体"/>
                <w:color w:val="auto"/>
                <w:spacing w:val="-3"/>
                <w:sz w:val="21"/>
                <w:highlight w:val="none"/>
                <w:lang w:eastAsia="zh-CN"/>
              </w:rPr>
              <w:t>码</w:t>
            </w:r>
            <w:r>
              <w:rPr>
                <w:rFonts w:hint="eastAsia" w:ascii="宋体" w:hAnsi="宋体" w:eastAsia="宋体" w:cs="宋体"/>
                <w:color w:val="auto"/>
                <w:sz w:val="21"/>
                <w:highlight w:val="none"/>
                <w:lang w:eastAsia="zh-CN"/>
              </w:rPr>
              <w:t>：</w:t>
            </w:r>
            <w:r>
              <w:rPr>
                <w:rFonts w:hint="eastAsia" w:ascii="宋体" w:hAnsi="宋体" w:eastAsia="宋体" w:cs="宋体"/>
                <w:color w:val="auto"/>
                <w:highlight w:val="none"/>
                <w:u w:val="single"/>
                <w:lang w:eastAsia="zh-CN"/>
              </w:rPr>
              <w:t xml:space="preserve">                   </w:t>
            </w:r>
          </w:p>
        </w:tc>
      </w:tr>
      <w:tr w14:paraId="10679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629" w:type="dxa"/>
            <w:noWrap w:val="0"/>
            <w:vAlign w:val="center"/>
          </w:tcPr>
          <w:p w14:paraId="0AEBCF5A">
            <w:pPr>
              <w:pStyle w:val="40"/>
              <w:spacing w:before="113"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w:t>
            </w:r>
          </w:p>
        </w:tc>
        <w:tc>
          <w:tcPr>
            <w:tcW w:w="1111" w:type="dxa"/>
            <w:noWrap w:val="0"/>
            <w:vAlign w:val="center"/>
          </w:tcPr>
          <w:p w14:paraId="16C38AB1">
            <w:pPr>
              <w:pStyle w:val="40"/>
              <w:spacing w:before="113" w:line="226"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1.1.4.5</w:t>
            </w:r>
          </w:p>
        </w:tc>
        <w:tc>
          <w:tcPr>
            <w:tcW w:w="7305" w:type="dxa"/>
            <w:noWrap w:val="0"/>
            <w:vAlign w:val="center"/>
          </w:tcPr>
          <w:p w14:paraId="34BFA046">
            <w:pPr>
              <w:pStyle w:val="40"/>
              <w:tabs>
                <w:tab w:val="left" w:pos="4025"/>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缺陷</w:t>
            </w:r>
            <w:r>
              <w:rPr>
                <w:rFonts w:hint="eastAsia" w:ascii="宋体" w:hAnsi="宋体" w:eastAsia="宋体" w:cs="宋体"/>
                <w:color w:val="auto"/>
                <w:spacing w:val="-3"/>
                <w:sz w:val="21"/>
                <w:highlight w:val="none"/>
                <w:lang w:eastAsia="zh-CN"/>
              </w:rPr>
              <w:t>责</w:t>
            </w:r>
            <w:r>
              <w:rPr>
                <w:rFonts w:hint="eastAsia" w:ascii="宋体" w:hAnsi="宋体" w:eastAsia="宋体" w:cs="宋体"/>
                <w:color w:val="auto"/>
                <w:sz w:val="21"/>
                <w:highlight w:val="none"/>
                <w:lang w:eastAsia="zh-CN"/>
              </w:rPr>
              <w:t>任</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w:t>
            </w:r>
            <w:r>
              <w:rPr>
                <w:rFonts w:hint="eastAsia" w:ascii="宋体" w:hAnsi="宋体" w:eastAsia="宋体" w:cs="宋体"/>
                <w:color w:val="auto"/>
                <w:spacing w:val="-3"/>
                <w:sz w:val="21"/>
                <w:highlight w:val="none"/>
                <w:lang w:eastAsia="zh-CN"/>
              </w:rPr>
              <w:t>自</w:t>
            </w:r>
            <w:r>
              <w:rPr>
                <w:rFonts w:hint="eastAsia" w:ascii="宋体" w:hAnsi="宋体" w:eastAsia="宋体" w:cs="宋体"/>
                <w:color w:val="auto"/>
                <w:sz w:val="21"/>
                <w:highlight w:val="none"/>
                <w:lang w:eastAsia="zh-CN"/>
              </w:rPr>
              <w:t>实</w:t>
            </w:r>
            <w:r>
              <w:rPr>
                <w:rFonts w:hint="eastAsia" w:ascii="宋体" w:hAnsi="宋体" w:eastAsia="宋体" w:cs="宋体"/>
                <w:color w:val="auto"/>
                <w:spacing w:val="-3"/>
                <w:sz w:val="21"/>
                <w:highlight w:val="none"/>
                <w:lang w:eastAsia="zh-CN"/>
              </w:rPr>
              <w:t>际</w:t>
            </w:r>
            <w:r>
              <w:rPr>
                <w:rFonts w:hint="eastAsia" w:ascii="宋体" w:hAnsi="宋体" w:eastAsia="宋体" w:cs="宋体"/>
                <w:color w:val="auto"/>
                <w:sz w:val="21"/>
                <w:highlight w:val="none"/>
                <w:lang w:eastAsia="zh-CN"/>
              </w:rPr>
              <w:t>交</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日期</w:t>
            </w:r>
            <w:r>
              <w:rPr>
                <w:rFonts w:hint="eastAsia" w:ascii="宋体" w:hAnsi="宋体" w:eastAsia="宋体" w:cs="宋体"/>
                <w:color w:val="auto"/>
                <w:spacing w:val="-3"/>
                <w:sz w:val="21"/>
                <w:highlight w:val="none"/>
                <w:lang w:eastAsia="zh-CN"/>
              </w:rPr>
              <w:t>起</w:t>
            </w:r>
            <w:r>
              <w:rPr>
                <w:rFonts w:hint="eastAsia" w:ascii="宋体" w:hAnsi="宋体" w:eastAsia="宋体" w:cs="宋体"/>
                <w:color w:val="auto"/>
                <w:sz w:val="21"/>
                <w:highlight w:val="none"/>
                <w:lang w:eastAsia="zh-CN"/>
              </w:rPr>
              <w:t>计</w:t>
            </w:r>
            <w:r>
              <w:rPr>
                <w:rFonts w:hint="eastAsia" w:ascii="宋体" w:hAnsi="宋体" w:eastAsia="宋体" w:cs="宋体"/>
                <w:color w:val="auto"/>
                <w:spacing w:val="-3"/>
                <w:sz w:val="21"/>
                <w:highlight w:val="none"/>
                <w:lang w:eastAsia="zh-CN"/>
              </w:rPr>
              <w:t>算</w:t>
            </w:r>
            <w:r>
              <w:rPr>
                <w:rFonts w:hint="eastAsia" w:ascii="宋体" w:hAnsi="宋体" w:eastAsia="宋体" w:cs="宋体"/>
                <w:color w:val="auto"/>
                <w:spacing w:val="-3"/>
                <w:sz w:val="21"/>
                <w:highlight w:val="none"/>
                <w:u w:val="single"/>
                <w:lang w:eastAsia="zh-CN"/>
              </w:rPr>
              <w:t>1</w:t>
            </w:r>
            <w:r>
              <w:rPr>
                <w:rFonts w:hint="eastAsia" w:ascii="宋体" w:hAnsi="宋体" w:eastAsia="宋体" w:cs="宋体"/>
                <w:color w:val="auto"/>
                <w:spacing w:val="-3"/>
                <w:sz w:val="21"/>
                <w:highlight w:val="none"/>
                <w:lang w:eastAsia="zh-CN"/>
              </w:rPr>
              <w:t>年</w:t>
            </w:r>
          </w:p>
        </w:tc>
      </w:tr>
      <w:tr w14:paraId="545D6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3BD223BB">
            <w:pPr>
              <w:pStyle w:val="40"/>
              <w:spacing w:before="11"/>
              <w:rPr>
                <w:rFonts w:hint="eastAsia" w:ascii="宋体" w:hAnsi="宋体" w:eastAsia="宋体" w:cs="宋体"/>
                <w:color w:val="auto"/>
                <w:highlight w:val="none"/>
                <w:lang w:eastAsia="zh-CN"/>
              </w:rPr>
            </w:pPr>
          </w:p>
          <w:p w14:paraId="659FDFC1">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4</w:t>
            </w:r>
          </w:p>
        </w:tc>
        <w:tc>
          <w:tcPr>
            <w:tcW w:w="1111" w:type="dxa"/>
            <w:noWrap w:val="0"/>
            <w:vAlign w:val="center"/>
          </w:tcPr>
          <w:p w14:paraId="6106DA8A">
            <w:pPr>
              <w:pStyle w:val="40"/>
              <w:spacing w:before="11"/>
              <w:rPr>
                <w:rFonts w:hint="eastAsia" w:ascii="宋体" w:hAnsi="宋体" w:eastAsia="宋体" w:cs="宋体"/>
                <w:color w:val="auto"/>
                <w:highlight w:val="none"/>
              </w:rPr>
            </w:pPr>
          </w:p>
          <w:p w14:paraId="28F3F658">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1.6.3</w:t>
            </w:r>
          </w:p>
        </w:tc>
        <w:tc>
          <w:tcPr>
            <w:tcW w:w="7305" w:type="dxa"/>
            <w:noWrap w:val="0"/>
            <w:vAlign w:val="center"/>
          </w:tcPr>
          <w:p w14:paraId="0DC9243B">
            <w:pPr>
              <w:pStyle w:val="40"/>
              <w:tabs>
                <w:tab w:val="left" w:pos="1893"/>
              </w:tabs>
              <w:spacing w:before="12" w:line="360" w:lineRule="exact"/>
              <w:ind w:left="107" w:right="91" w:firstLine="24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图纸</w:t>
            </w:r>
            <w:r>
              <w:rPr>
                <w:rFonts w:hint="eastAsia" w:ascii="宋体" w:hAnsi="宋体" w:eastAsia="宋体" w:cs="宋体"/>
                <w:color w:val="auto"/>
                <w:spacing w:val="-3"/>
                <w:sz w:val="21"/>
                <w:highlight w:val="none"/>
                <w:lang w:eastAsia="zh-CN"/>
              </w:rPr>
              <w:t>需</w:t>
            </w:r>
            <w:r>
              <w:rPr>
                <w:rFonts w:hint="eastAsia" w:ascii="宋体" w:hAnsi="宋体" w:eastAsia="宋体" w:cs="宋体"/>
                <w:color w:val="auto"/>
                <w:sz w:val="21"/>
                <w:highlight w:val="none"/>
                <w:lang w:eastAsia="zh-CN"/>
              </w:rPr>
              <w:t>要</w:t>
            </w:r>
            <w:r>
              <w:rPr>
                <w:rFonts w:hint="eastAsia" w:ascii="宋体" w:hAnsi="宋体" w:eastAsia="宋体" w:cs="宋体"/>
                <w:color w:val="auto"/>
                <w:spacing w:val="-3"/>
                <w:sz w:val="21"/>
                <w:highlight w:val="none"/>
                <w:lang w:eastAsia="zh-CN"/>
              </w:rPr>
              <w:t>修</w:t>
            </w:r>
            <w:r>
              <w:rPr>
                <w:rFonts w:hint="eastAsia" w:ascii="宋体" w:hAnsi="宋体" w:eastAsia="宋体" w:cs="宋体"/>
                <w:color w:val="auto"/>
                <w:sz w:val="21"/>
                <w:highlight w:val="none"/>
                <w:lang w:eastAsia="zh-CN"/>
              </w:rPr>
              <w:t>改</w:t>
            </w:r>
            <w:r>
              <w:rPr>
                <w:rFonts w:hint="eastAsia" w:ascii="宋体" w:hAnsi="宋体" w:eastAsia="宋体" w:cs="宋体"/>
                <w:color w:val="auto"/>
                <w:spacing w:val="-3"/>
                <w:sz w:val="21"/>
                <w:highlight w:val="none"/>
                <w:lang w:eastAsia="zh-CN"/>
              </w:rPr>
              <w:t>和</w:t>
            </w:r>
            <w:r>
              <w:rPr>
                <w:rFonts w:hint="eastAsia" w:ascii="宋体" w:hAnsi="宋体" w:eastAsia="宋体" w:cs="宋体"/>
                <w:color w:val="auto"/>
                <w:sz w:val="21"/>
                <w:highlight w:val="none"/>
                <w:lang w:eastAsia="zh-CN"/>
              </w:rPr>
              <w:t>补</w:t>
            </w:r>
            <w:r>
              <w:rPr>
                <w:rFonts w:hint="eastAsia" w:ascii="宋体" w:hAnsi="宋体" w:eastAsia="宋体" w:cs="宋体"/>
                <w:color w:val="auto"/>
                <w:spacing w:val="-3"/>
                <w:sz w:val="21"/>
                <w:highlight w:val="none"/>
                <w:lang w:eastAsia="zh-CN"/>
              </w:rPr>
              <w:t>充</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应由</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取</w:t>
            </w:r>
            <w:r>
              <w:rPr>
                <w:rFonts w:hint="eastAsia" w:ascii="宋体" w:hAnsi="宋体" w:eastAsia="宋体" w:cs="宋体"/>
                <w:color w:val="auto"/>
                <w:spacing w:val="-3"/>
                <w:sz w:val="21"/>
                <w:highlight w:val="none"/>
                <w:lang w:eastAsia="zh-CN"/>
              </w:rPr>
              <w:t>得</w:t>
            </w:r>
            <w:r>
              <w:rPr>
                <w:rFonts w:hint="eastAsia" w:ascii="宋体" w:hAnsi="宋体" w:eastAsia="宋体" w:cs="宋体"/>
                <w:color w:val="auto"/>
                <w:sz w:val="21"/>
                <w:highlight w:val="none"/>
                <w:lang w:eastAsia="zh-CN"/>
              </w:rPr>
              <w:t>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同</w:t>
            </w:r>
            <w:r>
              <w:rPr>
                <w:rFonts w:hint="eastAsia" w:ascii="宋体" w:hAnsi="宋体" w:eastAsia="宋体" w:cs="宋体"/>
                <w:color w:val="auto"/>
                <w:sz w:val="21"/>
                <w:highlight w:val="none"/>
                <w:lang w:eastAsia="zh-CN"/>
              </w:rPr>
              <w:t>意后</w:t>
            </w:r>
            <w:r>
              <w:rPr>
                <w:rFonts w:hint="eastAsia" w:ascii="宋体" w:hAnsi="宋体" w:eastAsia="宋体" w:cs="宋体"/>
                <w:color w:val="auto"/>
                <w:spacing w:val="-44"/>
                <w:sz w:val="21"/>
                <w:highlight w:val="none"/>
                <w:lang w:eastAsia="zh-CN"/>
              </w:rPr>
              <w:t>，</w:t>
            </w:r>
            <w:r>
              <w:rPr>
                <w:rFonts w:hint="eastAsia" w:ascii="宋体" w:hAnsi="宋体" w:eastAsia="宋体" w:cs="宋体"/>
                <w:color w:val="auto"/>
                <w:sz w:val="21"/>
                <w:highlight w:val="none"/>
                <w:lang w:eastAsia="zh-CN"/>
              </w:rPr>
              <w:t>在</w:t>
            </w:r>
            <w:r>
              <w:rPr>
                <w:rFonts w:hint="eastAsia" w:ascii="宋体" w:hAnsi="宋体" w:eastAsia="宋体" w:cs="宋体"/>
                <w:color w:val="auto"/>
                <w:spacing w:val="-3"/>
                <w:sz w:val="21"/>
                <w:highlight w:val="none"/>
                <w:lang w:eastAsia="zh-CN"/>
              </w:rPr>
              <w:t>该</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程</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工程</w:t>
            </w:r>
            <w:r>
              <w:rPr>
                <w:rFonts w:hint="eastAsia" w:ascii="宋体" w:hAnsi="宋体" w:eastAsia="宋体" w:cs="宋体"/>
                <w:color w:val="auto"/>
                <w:sz w:val="21"/>
                <w:highlight w:val="none"/>
                <w:lang w:eastAsia="zh-CN"/>
              </w:rPr>
              <w:t>相应部</w:t>
            </w:r>
            <w:r>
              <w:rPr>
                <w:rFonts w:hint="eastAsia" w:ascii="宋体" w:hAnsi="宋体" w:eastAsia="宋体" w:cs="宋体"/>
                <w:color w:val="auto"/>
                <w:spacing w:val="-3"/>
                <w:sz w:val="21"/>
                <w:highlight w:val="none"/>
                <w:lang w:eastAsia="zh-CN"/>
              </w:rPr>
              <w:t>位</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前</w:t>
            </w:r>
            <w:r>
              <w:rPr>
                <w:rFonts w:hint="eastAsia" w:ascii="宋体" w:hAnsi="宋体" w:eastAsia="宋体" w:cs="宋体"/>
                <w:color w:val="auto"/>
                <w:sz w:val="21"/>
                <w:highlight w:val="none"/>
                <w:u w:val="single"/>
                <w:lang w:val="en-US" w:eastAsia="zh-CN"/>
              </w:rPr>
              <w:t xml:space="preserve">  14  </w:t>
            </w:r>
            <w:r>
              <w:rPr>
                <w:rFonts w:hint="eastAsia" w:ascii="宋体" w:hAnsi="宋体" w:eastAsia="宋体" w:cs="宋体"/>
                <w:color w:val="auto"/>
                <w:sz w:val="21"/>
                <w:highlight w:val="none"/>
                <w:lang w:eastAsia="zh-CN"/>
              </w:rPr>
              <w:t>天</w:t>
            </w:r>
            <w:r>
              <w:rPr>
                <w:rFonts w:hint="eastAsia" w:ascii="宋体" w:hAnsi="宋体" w:eastAsia="宋体" w:cs="宋体"/>
                <w:color w:val="auto"/>
                <w:spacing w:val="-3"/>
                <w:sz w:val="21"/>
                <w:highlight w:val="none"/>
                <w:lang w:eastAsia="zh-CN"/>
              </w:rPr>
              <w:t>签发</w:t>
            </w:r>
            <w:r>
              <w:rPr>
                <w:rFonts w:hint="eastAsia" w:ascii="宋体" w:hAnsi="宋体" w:eastAsia="宋体" w:cs="宋体"/>
                <w:color w:val="auto"/>
                <w:sz w:val="21"/>
                <w:highlight w:val="none"/>
                <w:lang w:eastAsia="zh-CN"/>
              </w:rPr>
              <w:t>图纸修改图给承包人</w:t>
            </w:r>
          </w:p>
        </w:tc>
      </w:tr>
      <w:tr w14:paraId="6EF7A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629" w:type="dxa"/>
            <w:noWrap w:val="0"/>
            <w:vAlign w:val="center"/>
          </w:tcPr>
          <w:p w14:paraId="150A93F5">
            <w:pPr>
              <w:pStyle w:val="40"/>
              <w:rPr>
                <w:rFonts w:hint="eastAsia" w:ascii="宋体" w:hAnsi="宋体" w:eastAsia="宋体" w:cs="宋体"/>
                <w:color w:val="auto"/>
                <w:highlight w:val="none"/>
                <w:lang w:eastAsia="zh-CN"/>
              </w:rPr>
            </w:pPr>
          </w:p>
          <w:p w14:paraId="3476170C">
            <w:pPr>
              <w:pStyle w:val="40"/>
              <w:spacing w:before="179"/>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w:t>
            </w:r>
          </w:p>
        </w:tc>
        <w:tc>
          <w:tcPr>
            <w:tcW w:w="1111" w:type="dxa"/>
            <w:noWrap w:val="0"/>
            <w:vAlign w:val="center"/>
          </w:tcPr>
          <w:p w14:paraId="11D68D07">
            <w:pPr>
              <w:pStyle w:val="40"/>
              <w:rPr>
                <w:rFonts w:hint="eastAsia" w:ascii="宋体" w:hAnsi="宋体" w:eastAsia="宋体" w:cs="宋体"/>
                <w:color w:val="auto"/>
                <w:highlight w:val="none"/>
              </w:rPr>
            </w:pPr>
          </w:p>
          <w:p w14:paraId="3D1D027B">
            <w:pPr>
              <w:pStyle w:val="40"/>
              <w:spacing w:before="179"/>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3.1.1</w:t>
            </w:r>
          </w:p>
        </w:tc>
        <w:tc>
          <w:tcPr>
            <w:tcW w:w="7305" w:type="dxa"/>
            <w:noWrap w:val="0"/>
            <w:vAlign w:val="center"/>
          </w:tcPr>
          <w:p w14:paraId="725900F4">
            <w:pPr>
              <w:spacing w:line="300" w:lineRule="exact"/>
              <w:ind w:firstLine="420"/>
              <w:jc w:val="left"/>
              <w:rPr>
                <w:rFonts w:ascii="宋体" w:hAnsi="宋体" w:cs="宋体"/>
                <w:color w:val="auto"/>
                <w:szCs w:val="21"/>
                <w:highlight w:val="none"/>
              </w:rPr>
            </w:pPr>
            <w:r>
              <w:rPr>
                <w:rFonts w:hint="eastAsia" w:ascii="宋体" w:hAnsi="宋体" w:cs="宋体"/>
                <w:color w:val="auto"/>
                <w:szCs w:val="21"/>
                <w:highlight w:val="none"/>
              </w:rPr>
              <w:t>监理人在行使下列权力前需要经发包人事先批准：　　　</w:t>
            </w:r>
          </w:p>
          <w:p w14:paraId="291BFEE1">
            <w:pPr>
              <w:pStyle w:val="40"/>
              <w:spacing w:before="1" w:line="360" w:lineRule="atLeast"/>
              <w:ind w:left="107" w:right="83" w:firstLine="225"/>
              <w:rPr>
                <w:rFonts w:hint="eastAsia" w:ascii="宋体" w:hAnsi="宋体" w:eastAsia="宋体" w:cs="宋体"/>
                <w:color w:val="auto"/>
                <w:sz w:val="21"/>
                <w:highlight w:val="none"/>
                <w:lang w:eastAsia="zh-CN"/>
              </w:rPr>
            </w:pPr>
            <w:r>
              <w:rPr>
                <w:rFonts w:hint="eastAsia" w:ascii="宋体" w:hAnsi="宋体" w:cs="宋体"/>
                <w:color w:val="auto"/>
                <w:sz w:val="21"/>
                <w:szCs w:val="21"/>
                <w:highlight w:val="none"/>
              </w:rPr>
              <w:t>（6）根据第 15.3 款发出的变更指示，无论其单项工程变更涉及的金额或累计涉及的金额为多少。</w:t>
            </w:r>
          </w:p>
        </w:tc>
      </w:tr>
      <w:tr w14:paraId="1BAEA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8" w:hRule="atLeast"/>
          <w:jc w:val="center"/>
        </w:trPr>
        <w:tc>
          <w:tcPr>
            <w:tcW w:w="629" w:type="dxa"/>
            <w:noWrap w:val="0"/>
            <w:vAlign w:val="center"/>
          </w:tcPr>
          <w:p w14:paraId="6BF6ADA9">
            <w:pPr>
              <w:pStyle w:val="40"/>
              <w:spacing w:before="11"/>
              <w:rPr>
                <w:rFonts w:hint="eastAsia" w:ascii="宋体" w:hAnsi="宋体" w:eastAsia="宋体" w:cs="宋体"/>
                <w:color w:val="auto"/>
                <w:highlight w:val="none"/>
                <w:lang w:eastAsia="zh-CN"/>
              </w:rPr>
            </w:pPr>
          </w:p>
          <w:p w14:paraId="554A42DB">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w:t>
            </w:r>
          </w:p>
        </w:tc>
        <w:tc>
          <w:tcPr>
            <w:tcW w:w="1111" w:type="dxa"/>
            <w:noWrap w:val="0"/>
            <w:vAlign w:val="center"/>
          </w:tcPr>
          <w:p w14:paraId="1E709B74">
            <w:pPr>
              <w:pStyle w:val="40"/>
              <w:spacing w:before="11"/>
              <w:rPr>
                <w:rFonts w:hint="eastAsia" w:ascii="宋体" w:hAnsi="宋体" w:eastAsia="宋体" w:cs="宋体"/>
                <w:color w:val="auto"/>
                <w:highlight w:val="none"/>
              </w:rPr>
            </w:pPr>
          </w:p>
          <w:p w14:paraId="004260E1">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5.2.1</w:t>
            </w:r>
          </w:p>
        </w:tc>
        <w:tc>
          <w:tcPr>
            <w:tcW w:w="7305" w:type="dxa"/>
            <w:noWrap w:val="0"/>
            <w:vAlign w:val="center"/>
          </w:tcPr>
          <w:p w14:paraId="2D5326EC">
            <w:pPr>
              <w:pStyle w:val="40"/>
              <w:tabs>
                <w:tab w:val="left" w:pos="444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材</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u w:val="non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3E7B7CF1">
            <w:pPr>
              <w:pStyle w:val="40"/>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材</w:t>
            </w:r>
            <w:r>
              <w:rPr>
                <w:rFonts w:hint="eastAsia" w:ascii="宋体" w:hAnsi="宋体" w:eastAsia="宋体" w:cs="宋体"/>
                <w:color w:val="auto"/>
                <w:sz w:val="21"/>
                <w:highlight w:val="none"/>
                <w:lang w:eastAsia="zh-CN"/>
              </w:rPr>
              <w:t>料或</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程</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备</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w:t>
            </w:r>
            <w:r>
              <w:rPr>
                <w:rFonts w:hint="eastAsia" w:ascii="宋体" w:hAnsi="宋体" w:eastAsia="宋体" w:cs="宋体"/>
                <w:color w:val="auto"/>
                <w:spacing w:val="-3"/>
                <w:sz w:val="21"/>
                <w:highlight w:val="none"/>
                <w:lang w:eastAsia="zh-CN"/>
              </w:rPr>
              <w:t>定</w:t>
            </w:r>
            <w:r>
              <w:rPr>
                <w:rFonts w:hint="eastAsia" w:ascii="宋体" w:hAnsi="宋体" w:eastAsia="宋体" w:cs="宋体"/>
                <w:color w:val="auto"/>
                <w:sz w:val="21"/>
                <w:highlight w:val="none"/>
                <w:lang w:eastAsia="zh-CN"/>
              </w:rPr>
              <w:t>如下：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77317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0" w:hRule="atLeast"/>
          <w:jc w:val="center"/>
        </w:trPr>
        <w:tc>
          <w:tcPr>
            <w:tcW w:w="629" w:type="dxa"/>
            <w:noWrap w:val="0"/>
            <w:vAlign w:val="center"/>
          </w:tcPr>
          <w:p w14:paraId="67969255">
            <w:pPr>
              <w:pStyle w:val="40"/>
              <w:spacing w:before="11"/>
              <w:rPr>
                <w:rFonts w:hint="eastAsia" w:ascii="宋体" w:hAnsi="宋体" w:eastAsia="宋体" w:cs="宋体"/>
                <w:color w:val="auto"/>
                <w:highlight w:val="none"/>
                <w:lang w:eastAsia="zh-CN"/>
              </w:rPr>
            </w:pPr>
          </w:p>
          <w:p w14:paraId="05DCEB03">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7</w:t>
            </w:r>
          </w:p>
        </w:tc>
        <w:tc>
          <w:tcPr>
            <w:tcW w:w="1111" w:type="dxa"/>
            <w:noWrap w:val="0"/>
            <w:vAlign w:val="center"/>
          </w:tcPr>
          <w:p w14:paraId="604C90BC">
            <w:pPr>
              <w:pStyle w:val="40"/>
              <w:spacing w:before="11"/>
              <w:rPr>
                <w:rFonts w:hint="eastAsia" w:ascii="宋体" w:hAnsi="宋体" w:eastAsia="宋体" w:cs="宋体"/>
                <w:color w:val="auto"/>
                <w:highlight w:val="none"/>
              </w:rPr>
            </w:pPr>
          </w:p>
          <w:p w14:paraId="465602C8">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6.2</w:t>
            </w:r>
          </w:p>
        </w:tc>
        <w:tc>
          <w:tcPr>
            <w:tcW w:w="7305" w:type="dxa"/>
            <w:noWrap w:val="0"/>
            <w:vAlign w:val="center"/>
          </w:tcPr>
          <w:p w14:paraId="7D86D7AC">
            <w:pPr>
              <w:pStyle w:val="40"/>
              <w:tabs>
                <w:tab w:val="left" w:pos="4865"/>
              </w:tabs>
              <w:spacing w:before="89"/>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否</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工</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和临</w:t>
            </w:r>
            <w:r>
              <w:rPr>
                <w:rFonts w:hint="eastAsia" w:ascii="宋体" w:hAnsi="宋体" w:eastAsia="宋体" w:cs="宋体"/>
                <w:color w:val="auto"/>
                <w:spacing w:val="-3"/>
                <w:sz w:val="21"/>
                <w:highlight w:val="none"/>
                <w:lang w:eastAsia="zh-CN"/>
              </w:rPr>
              <w:t>时</w:t>
            </w:r>
            <w:r>
              <w:rPr>
                <w:rFonts w:hint="eastAsia" w:ascii="宋体" w:hAnsi="宋体" w:eastAsia="宋体" w:cs="宋体"/>
                <w:color w:val="auto"/>
                <w:sz w:val="21"/>
                <w:highlight w:val="none"/>
                <w:lang w:eastAsia="zh-CN"/>
              </w:rPr>
              <w:t>设</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u w:val="single"/>
                <w:lang w:eastAsia="zh-CN"/>
              </w:rPr>
              <w:t>：</w:t>
            </w:r>
            <w:r>
              <w:rPr>
                <w:rFonts w:hint="eastAsia" w:ascii="宋体" w:hAnsi="宋体" w:eastAsia="宋体" w:cs="宋体"/>
                <w:color w:val="auto"/>
                <w:kern w:val="2"/>
                <w:sz w:val="21"/>
                <w:szCs w:val="21"/>
                <w:highlight w:val="none"/>
                <w:u w:val="single"/>
                <w:lang w:eastAsia="zh-CN"/>
              </w:rPr>
              <w:t>否</w:t>
            </w:r>
            <w:r>
              <w:rPr>
                <w:rFonts w:hint="eastAsia" w:ascii="宋体" w:hAnsi="宋体" w:eastAsia="宋体" w:cs="宋体"/>
                <w:color w:val="auto"/>
                <w:spacing w:val="17"/>
                <w:sz w:val="21"/>
                <w:highlight w:val="none"/>
                <w:lang w:eastAsia="zh-CN"/>
              </w:rPr>
              <w:t>（</w:t>
            </w:r>
            <w:r>
              <w:rPr>
                <w:rFonts w:hint="eastAsia" w:ascii="宋体" w:hAnsi="宋体" w:eastAsia="宋体" w:cs="宋体"/>
                <w:color w:val="auto"/>
                <w:sz w:val="21"/>
                <w:highlight w:val="none"/>
                <w:lang w:eastAsia="zh-CN"/>
              </w:rPr>
              <w:t>是</w:t>
            </w:r>
            <w:r>
              <w:rPr>
                <w:rFonts w:hint="eastAsia" w:ascii="宋体" w:hAnsi="宋体" w:eastAsia="宋体" w:cs="宋体"/>
                <w:color w:val="auto"/>
                <w:spacing w:val="-3"/>
                <w:sz w:val="21"/>
                <w:highlight w:val="none"/>
                <w:lang w:eastAsia="zh-CN"/>
              </w:rPr>
              <w:t>或</w:t>
            </w:r>
            <w:r>
              <w:rPr>
                <w:rFonts w:hint="eastAsia" w:ascii="宋体" w:hAnsi="宋体" w:eastAsia="宋体" w:cs="宋体"/>
                <w:color w:val="auto"/>
                <w:sz w:val="21"/>
                <w:highlight w:val="none"/>
                <w:lang w:eastAsia="zh-CN"/>
              </w:rPr>
              <w:t>否</w:t>
            </w:r>
            <w:r>
              <w:rPr>
                <w:rFonts w:hint="eastAsia" w:ascii="宋体" w:hAnsi="宋体" w:eastAsia="宋体" w:cs="宋体"/>
                <w:color w:val="auto"/>
                <w:spacing w:val="17"/>
                <w:sz w:val="21"/>
                <w:highlight w:val="none"/>
                <w:lang w:eastAsia="zh-CN"/>
              </w:rPr>
              <w:t>）</w:t>
            </w:r>
          </w:p>
          <w:p w14:paraId="05383D9D">
            <w:pPr>
              <w:pStyle w:val="40"/>
              <w:tabs>
                <w:tab w:val="left" w:pos="7244"/>
              </w:tabs>
              <w:spacing w:before="91"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pacing w:val="-1"/>
                <w:sz w:val="21"/>
                <w:highlight w:val="none"/>
                <w:lang w:eastAsia="zh-CN"/>
              </w:rPr>
              <w:t>如发</w:t>
            </w:r>
            <w:r>
              <w:rPr>
                <w:rFonts w:hint="eastAsia" w:ascii="宋体" w:hAnsi="宋体" w:eastAsia="宋体" w:cs="宋体"/>
                <w:color w:val="auto"/>
                <w:spacing w:val="-3"/>
                <w:sz w:val="21"/>
                <w:highlight w:val="none"/>
                <w:lang w:eastAsia="zh-CN"/>
              </w:rPr>
              <w:t>包</w:t>
            </w:r>
            <w:r>
              <w:rPr>
                <w:rFonts w:hint="eastAsia" w:ascii="宋体" w:hAnsi="宋体" w:eastAsia="宋体" w:cs="宋体"/>
                <w:color w:val="auto"/>
                <w:sz w:val="21"/>
                <w:highlight w:val="none"/>
                <w:lang w:eastAsia="zh-CN"/>
              </w:rPr>
              <w:t>人</w:t>
            </w:r>
            <w:r>
              <w:rPr>
                <w:rFonts w:hint="eastAsia" w:ascii="宋体" w:hAnsi="宋体" w:eastAsia="宋体" w:cs="宋体"/>
                <w:color w:val="auto"/>
                <w:spacing w:val="-3"/>
                <w:sz w:val="21"/>
                <w:highlight w:val="none"/>
                <w:lang w:eastAsia="zh-CN"/>
              </w:rPr>
              <w:t>负</w:t>
            </w:r>
            <w:r>
              <w:rPr>
                <w:rFonts w:hint="eastAsia" w:ascii="宋体" w:hAnsi="宋体" w:eastAsia="宋体" w:cs="宋体"/>
                <w:color w:val="auto"/>
                <w:sz w:val="21"/>
                <w:highlight w:val="none"/>
                <w:lang w:eastAsia="zh-CN"/>
              </w:rPr>
              <w:t>责</w:t>
            </w:r>
            <w:r>
              <w:rPr>
                <w:rFonts w:hint="eastAsia" w:ascii="宋体" w:hAnsi="宋体" w:eastAsia="宋体" w:cs="宋体"/>
                <w:color w:val="auto"/>
                <w:spacing w:val="-3"/>
                <w:sz w:val="21"/>
                <w:highlight w:val="none"/>
                <w:lang w:eastAsia="zh-CN"/>
              </w:rPr>
              <w:t>提</w:t>
            </w:r>
            <w:r>
              <w:rPr>
                <w:rFonts w:hint="eastAsia" w:ascii="宋体" w:hAnsi="宋体" w:eastAsia="宋体" w:cs="宋体"/>
                <w:color w:val="auto"/>
                <w:sz w:val="21"/>
                <w:highlight w:val="none"/>
                <w:lang w:eastAsia="zh-CN"/>
              </w:rPr>
              <w:t>供</w:t>
            </w:r>
            <w:r>
              <w:rPr>
                <w:rFonts w:hint="eastAsia" w:ascii="宋体" w:hAnsi="宋体" w:eastAsia="宋体" w:cs="宋体"/>
                <w:color w:val="auto"/>
                <w:spacing w:val="-3"/>
                <w:sz w:val="21"/>
                <w:highlight w:val="none"/>
                <w:lang w:eastAsia="zh-CN"/>
              </w:rPr>
              <w:t>部</w:t>
            </w:r>
            <w:r>
              <w:rPr>
                <w:rFonts w:hint="eastAsia" w:ascii="宋体" w:hAnsi="宋体" w:eastAsia="宋体" w:cs="宋体"/>
                <w:color w:val="auto"/>
                <w:sz w:val="21"/>
                <w:highlight w:val="none"/>
                <w:lang w:eastAsia="zh-CN"/>
              </w:rPr>
              <w:t>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工设</w:t>
            </w:r>
            <w:r>
              <w:rPr>
                <w:rFonts w:hint="eastAsia" w:ascii="宋体" w:hAnsi="宋体" w:eastAsia="宋体" w:cs="宋体"/>
                <w:color w:val="auto"/>
                <w:spacing w:val="-3"/>
                <w:sz w:val="21"/>
                <w:highlight w:val="none"/>
                <w:lang w:eastAsia="zh-CN"/>
              </w:rPr>
              <w:t>备</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临</w:t>
            </w:r>
            <w:r>
              <w:rPr>
                <w:rFonts w:hint="eastAsia" w:ascii="宋体" w:hAnsi="宋体" w:eastAsia="宋体" w:cs="宋体"/>
                <w:color w:val="auto"/>
                <w:sz w:val="21"/>
                <w:highlight w:val="none"/>
                <w:lang w:eastAsia="zh-CN"/>
              </w:rPr>
              <w:t>时</w:t>
            </w:r>
            <w:r>
              <w:rPr>
                <w:rFonts w:hint="eastAsia" w:ascii="宋体" w:hAnsi="宋体" w:eastAsia="宋体" w:cs="宋体"/>
                <w:color w:val="auto"/>
                <w:spacing w:val="-3"/>
                <w:sz w:val="21"/>
                <w:highlight w:val="none"/>
                <w:lang w:eastAsia="zh-CN"/>
              </w:rPr>
              <w:t>设</w:t>
            </w:r>
            <w:r>
              <w:rPr>
                <w:rFonts w:hint="eastAsia" w:ascii="宋体" w:hAnsi="宋体" w:eastAsia="宋体" w:cs="宋体"/>
                <w:color w:val="auto"/>
                <w:sz w:val="21"/>
                <w:highlight w:val="none"/>
                <w:lang w:eastAsia="zh-CN"/>
              </w:rPr>
              <w:t>施</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相</w:t>
            </w:r>
            <w:r>
              <w:rPr>
                <w:rFonts w:hint="eastAsia" w:ascii="宋体" w:hAnsi="宋体" w:eastAsia="宋体" w:cs="宋体"/>
                <w:color w:val="auto"/>
                <w:spacing w:val="-3"/>
                <w:sz w:val="21"/>
                <w:highlight w:val="none"/>
                <w:lang w:eastAsia="zh-CN"/>
              </w:rPr>
              <w:t>关</w:t>
            </w:r>
            <w:r>
              <w:rPr>
                <w:rFonts w:hint="eastAsia" w:ascii="宋体" w:hAnsi="宋体" w:eastAsia="宋体" w:cs="宋体"/>
                <w:color w:val="auto"/>
                <w:sz w:val="21"/>
                <w:highlight w:val="none"/>
                <w:lang w:eastAsia="zh-CN"/>
              </w:rPr>
              <w:t>规定</w:t>
            </w:r>
            <w:r>
              <w:rPr>
                <w:rFonts w:hint="eastAsia" w:ascii="宋体" w:hAnsi="宋体" w:eastAsia="宋体" w:cs="宋体"/>
                <w:color w:val="auto"/>
                <w:spacing w:val="-3"/>
                <w:sz w:val="21"/>
                <w:highlight w:val="none"/>
                <w:lang w:eastAsia="zh-CN"/>
              </w:rPr>
              <w:t>如</w:t>
            </w:r>
            <w:r>
              <w:rPr>
                <w:rFonts w:hint="eastAsia" w:ascii="宋体" w:hAnsi="宋体" w:eastAsia="宋体" w:cs="宋体"/>
                <w:color w:val="auto"/>
                <w:sz w:val="21"/>
                <w:highlight w:val="none"/>
                <w:lang w:eastAsia="zh-CN"/>
              </w:rPr>
              <w:t>下：</w:t>
            </w:r>
            <w:r>
              <w:rPr>
                <w:rFonts w:hint="eastAsia" w:ascii="宋体" w:hAnsi="宋体" w:eastAsia="宋体" w:cs="宋体"/>
                <w:color w:val="auto"/>
                <w:sz w:val="21"/>
                <w:highlight w:val="none"/>
                <w:lang w:val="en-US" w:eastAsia="zh-CN"/>
              </w:rPr>
              <w:t>/</w:t>
            </w:r>
            <w:r>
              <w:rPr>
                <w:rFonts w:hint="eastAsia" w:ascii="宋体" w:hAnsi="宋体" w:eastAsia="宋体" w:cs="宋体"/>
                <w:color w:val="auto"/>
                <w:sz w:val="21"/>
                <w:highlight w:val="none"/>
                <w:u w:val="single"/>
                <w:lang w:eastAsia="zh-CN"/>
              </w:rPr>
              <w:tab/>
            </w:r>
          </w:p>
        </w:tc>
      </w:tr>
      <w:tr w14:paraId="5AC20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3" w:hRule="atLeast"/>
          <w:jc w:val="center"/>
        </w:trPr>
        <w:tc>
          <w:tcPr>
            <w:tcW w:w="629" w:type="dxa"/>
            <w:noWrap w:val="0"/>
            <w:vAlign w:val="center"/>
          </w:tcPr>
          <w:p w14:paraId="6FF064D0">
            <w:pPr>
              <w:pStyle w:val="40"/>
              <w:spacing w:before="1"/>
              <w:rPr>
                <w:rFonts w:hint="eastAsia" w:ascii="宋体" w:hAnsi="宋体" w:eastAsia="宋体" w:cs="宋体"/>
                <w:color w:val="auto"/>
                <w:sz w:val="23"/>
                <w:highlight w:val="none"/>
                <w:lang w:eastAsia="zh-CN"/>
              </w:rPr>
            </w:pPr>
          </w:p>
          <w:p w14:paraId="75696628">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w:t>
            </w:r>
          </w:p>
        </w:tc>
        <w:tc>
          <w:tcPr>
            <w:tcW w:w="1111" w:type="dxa"/>
            <w:noWrap w:val="0"/>
            <w:vAlign w:val="center"/>
          </w:tcPr>
          <w:p w14:paraId="7F623433">
            <w:pPr>
              <w:pStyle w:val="40"/>
              <w:spacing w:before="1"/>
              <w:rPr>
                <w:rFonts w:hint="eastAsia" w:ascii="宋体" w:hAnsi="宋体" w:eastAsia="宋体" w:cs="宋体"/>
                <w:color w:val="auto"/>
                <w:sz w:val="23"/>
                <w:highlight w:val="none"/>
              </w:rPr>
            </w:pPr>
          </w:p>
          <w:p w14:paraId="3241AC70">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8.1.1</w:t>
            </w:r>
          </w:p>
        </w:tc>
        <w:tc>
          <w:tcPr>
            <w:tcW w:w="7305" w:type="dxa"/>
            <w:noWrap w:val="0"/>
            <w:vAlign w:val="center"/>
          </w:tcPr>
          <w:p w14:paraId="60FCA7F7">
            <w:pPr>
              <w:pStyle w:val="40"/>
              <w:tabs>
                <w:tab w:val="left" w:pos="6908"/>
                <w:tab w:val="left" w:pos="7244"/>
              </w:tabs>
              <w:spacing w:before="1" w:line="360" w:lineRule="atLeast"/>
              <w:ind w:left="347" w:right="48"/>
              <w:rPr>
                <w:rFonts w:hint="eastAsia" w:ascii="宋体" w:hAnsi="宋体" w:eastAsia="宋体" w:cs="宋体"/>
                <w:color w:val="auto"/>
                <w:sz w:val="21"/>
                <w:highlight w:val="none"/>
                <w:u w:val="single"/>
                <w:lang w:eastAsia="zh-CN"/>
              </w:rPr>
            </w:pPr>
            <w:r>
              <w:rPr>
                <w:rFonts w:hint="eastAsia" w:ascii="宋体" w:hAnsi="宋体" w:eastAsia="宋体" w:cs="宋体"/>
                <w:color w:val="auto"/>
                <w:sz w:val="21"/>
                <w:highlight w:val="none"/>
                <w:lang w:eastAsia="zh-CN"/>
              </w:rPr>
              <w:t>发包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提</w:t>
            </w:r>
            <w:r>
              <w:rPr>
                <w:rFonts w:hint="eastAsia" w:ascii="宋体" w:hAnsi="宋体" w:eastAsia="宋体" w:cs="宋体"/>
                <w:color w:val="auto"/>
                <w:spacing w:val="-3"/>
                <w:sz w:val="21"/>
                <w:highlight w:val="none"/>
                <w:lang w:eastAsia="zh-CN"/>
              </w:rPr>
              <w:t>供</w:t>
            </w:r>
            <w:r>
              <w:rPr>
                <w:rFonts w:hint="eastAsia" w:ascii="宋体" w:hAnsi="宋体" w:eastAsia="宋体" w:cs="宋体"/>
                <w:color w:val="auto"/>
                <w:sz w:val="21"/>
                <w:highlight w:val="none"/>
                <w:lang w:eastAsia="zh-CN"/>
              </w:rPr>
              <w:t>测</w:t>
            </w:r>
            <w:r>
              <w:rPr>
                <w:rFonts w:hint="eastAsia" w:ascii="宋体" w:hAnsi="宋体" w:eastAsia="宋体" w:cs="宋体"/>
                <w:color w:val="auto"/>
                <w:spacing w:val="-3"/>
                <w:sz w:val="21"/>
                <w:highlight w:val="none"/>
                <w:lang w:eastAsia="zh-CN"/>
              </w:rPr>
              <w:t>量</w:t>
            </w:r>
            <w:r>
              <w:rPr>
                <w:rFonts w:hint="eastAsia" w:ascii="宋体" w:hAnsi="宋体" w:eastAsia="宋体" w:cs="宋体"/>
                <w:color w:val="auto"/>
                <w:sz w:val="21"/>
                <w:highlight w:val="none"/>
                <w:lang w:eastAsia="zh-CN"/>
              </w:rPr>
              <w:t>基</w:t>
            </w:r>
            <w:r>
              <w:rPr>
                <w:rFonts w:hint="eastAsia" w:ascii="宋体" w:hAnsi="宋体" w:eastAsia="宋体" w:cs="宋体"/>
                <w:color w:val="auto"/>
                <w:spacing w:val="-3"/>
                <w:sz w:val="21"/>
                <w:highlight w:val="none"/>
                <w:lang w:eastAsia="zh-CN"/>
              </w:rPr>
              <w:t>准</w:t>
            </w:r>
            <w:r>
              <w:rPr>
                <w:rFonts w:hint="eastAsia" w:ascii="宋体" w:hAnsi="宋体" w:eastAsia="宋体" w:cs="宋体"/>
                <w:color w:val="auto"/>
                <w:sz w:val="21"/>
                <w:highlight w:val="none"/>
                <w:lang w:eastAsia="zh-CN"/>
              </w:rPr>
              <w:t>点</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sz w:val="21"/>
                <w:highlight w:val="none"/>
                <w:lang w:eastAsia="zh-CN"/>
              </w:rPr>
              <w:t>基准</w:t>
            </w:r>
            <w:r>
              <w:rPr>
                <w:rFonts w:hint="eastAsia" w:ascii="宋体" w:hAnsi="宋体" w:eastAsia="宋体" w:cs="宋体"/>
                <w:color w:val="auto"/>
                <w:spacing w:val="-3"/>
                <w:sz w:val="21"/>
                <w:highlight w:val="none"/>
                <w:lang w:eastAsia="zh-CN"/>
              </w:rPr>
              <w:t>线</w:t>
            </w:r>
            <w:r>
              <w:rPr>
                <w:rFonts w:hint="eastAsia" w:ascii="宋体" w:hAnsi="宋体" w:eastAsia="宋体" w:cs="宋体"/>
                <w:color w:val="auto"/>
                <w:sz w:val="21"/>
                <w:highlight w:val="none"/>
                <w:lang w:eastAsia="zh-CN"/>
              </w:rPr>
              <w:t>和</w:t>
            </w:r>
            <w:r>
              <w:rPr>
                <w:rFonts w:hint="eastAsia" w:ascii="宋体" w:hAnsi="宋体" w:eastAsia="宋体" w:cs="宋体"/>
                <w:color w:val="auto"/>
                <w:spacing w:val="-3"/>
                <w:sz w:val="21"/>
                <w:highlight w:val="none"/>
                <w:lang w:eastAsia="zh-CN"/>
              </w:rPr>
              <w:t>水</w:t>
            </w:r>
            <w:r>
              <w:rPr>
                <w:rFonts w:hint="eastAsia" w:ascii="宋体" w:hAnsi="宋体" w:eastAsia="宋体" w:cs="宋体"/>
                <w:color w:val="auto"/>
                <w:sz w:val="21"/>
                <w:highlight w:val="none"/>
                <w:lang w:eastAsia="zh-CN"/>
              </w:rPr>
              <w:t>准</w:t>
            </w:r>
            <w:r>
              <w:rPr>
                <w:rFonts w:hint="eastAsia" w:ascii="宋体" w:hAnsi="宋体" w:eastAsia="宋体" w:cs="宋体"/>
                <w:color w:val="auto"/>
                <w:spacing w:val="-3"/>
                <w:sz w:val="21"/>
                <w:highlight w:val="none"/>
                <w:lang w:eastAsia="zh-CN"/>
              </w:rPr>
              <w:t>点</w:t>
            </w:r>
            <w:r>
              <w:rPr>
                <w:rFonts w:hint="eastAsia" w:ascii="宋体" w:hAnsi="宋体" w:eastAsia="宋体" w:cs="宋体"/>
                <w:color w:val="auto"/>
                <w:sz w:val="21"/>
                <w:highlight w:val="none"/>
                <w:lang w:eastAsia="zh-CN"/>
              </w:rPr>
              <w:t>及</w:t>
            </w:r>
            <w:r>
              <w:rPr>
                <w:rFonts w:hint="eastAsia" w:ascii="宋体" w:hAnsi="宋体" w:eastAsia="宋体" w:cs="宋体"/>
                <w:color w:val="auto"/>
                <w:spacing w:val="-3"/>
                <w:sz w:val="21"/>
                <w:highlight w:val="none"/>
                <w:lang w:eastAsia="zh-CN"/>
              </w:rPr>
              <w:t>其</w:t>
            </w:r>
            <w:r>
              <w:rPr>
                <w:rFonts w:hint="eastAsia" w:ascii="宋体" w:hAnsi="宋体" w:eastAsia="宋体" w:cs="宋体"/>
                <w:color w:val="auto"/>
                <w:sz w:val="21"/>
                <w:highlight w:val="none"/>
                <w:lang w:eastAsia="zh-CN"/>
              </w:rPr>
              <w:t>书</w:t>
            </w:r>
            <w:r>
              <w:rPr>
                <w:rFonts w:hint="eastAsia" w:ascii="宋体" w:hAnsi="宋体" w:eastAsia="宋体" w:cs="宋体"/>
                <w:color w:val="auto"/>
                <w:spacing w:val="-3"/>
                <w:sz w:val="21"/>
                <w:highlight w:val="none"/>
                <w:lang w:eastAsia="zh-CN"/>
              </w:rPr>
              <w:t>面</w:t>
            </w:r>
            <w:r>
              <w:rPr>
                <w:rFonts w:hint="eastAsia" w:ascii="宋体" w:hAnsi="宋体" w:eastAsia="宋体" w:cs="宋体"/>
                <w:color w:val="auto"/>
                <w:sz w:val="21"/>
                <w:highlight w:val="none"/>
                <w:lang w:eastAsia="zh-CN"/>
              </w:rPr>
              <w:t>资料</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期</w:t>
            </w:r>
            <w:r>
              <w:rPr>
                <w:rFonts w:hint="eastAsia" w:ascii="宋体" w:hAnsi="宋体" w:eastAsia="宋体" w:cs="宋体"/>
                <w:color w:val="auto"/>
                <w:spacing w:val="-3"/>
                <w:sz w:val="21"/>
                <w:highlight w:val="none"/>
                <w:lang w:eastAsia="zh-CN"/>
              </w:rPr>
              <w:t>限</w:t>
            </w:r>
            <w:r>
              <w:rPr>
                <w:rFonts w:hint="eastAsia" w:ascii="宋体" w:hAnsi="宋体" w:eastAsia="宋体" w:cs="宋体"/>
                <w:color w:val="auto"/>
                <w:sz w:val="21"/>
                <w:highlight w:val="none"/>
                <w:lang w:eastAsia="zh-CN"/>
              </w:rPr>
              <w:t>：</w:t>
            </w:r>
            <w:r>
              <w:rPr>
                <w:rFonts w:hint="eastAsia" w:ascii="宋体" w:hAnsi="宋体" w:eastAsia="宋体" w:cs="宋体"/>
                <w:snapToGrid w:val="0"/>
                <w:color w:val="auto"/>
                <w:spacing w:val="-1"/>
                <w:sz w:val="21"/>
                <w:szCs w:val="21"/>
                <w:highlight w:val="none"/>
                <w:u w:val="single"/>
                <w:lang w:eastAsia="zh-CN"/>
              </w:rPr>
              <w:t>进场7天</w:t>
            </w:r>
            <w:r>
              <w:rPr>
                <w:rFonts w:hint="eastAsia" w:ascii="宋体" w:hAnsi="宋体" w:eastAsia="宋体" w:cs="宋体"/>
                <w:snapToGrid w:val="0"/>
                <w:color w:val="auto"/>
                <w:sz w:val="21"/>
                <w:szCs w:val="21"/>
                <w:highlight w:val="none"/>
                <w:u w:val="single"/>
                <w:lang w:eastAsia="zh-CN"/>
              </w:rPr>
              <w:t>内</w:t>
            </w:r>
            <w:r>
              <w:rPr>
                <w:rFonts w:hint="eastAsia" w:ascii="宋体" w:hAnsi="宋体" w:eastAsia="宋体" w:cs="宋体"/>
                <w:color w:val="auto"/>
                <w:sz w:val="21"/>
                <w:highlight w:val="none"/>
                <w:u w:val="single"/>
                <w:lang w:eastAsia="zh-CN"/>
              </w:rPr>
              <w:tab/>
            </w:r>
          </w:p>
          <w:p w14:paraId="4E2F6DF6">
            <w:pPr>
              <w:pStyle w:val="40"/>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将</w:t>
            </w:r>
            <w:r>
              <w:rPr>
                <w:rFonts w:hint="eastAsia" w:ascii="宋体" w:hAnsi="宋体" w:eastAsia="宋体" w:cs="宋体"/>
                <w:color w:val="auto"/>
                <w:spacing w:val="-3"/>
                <w:sz w:val="21"/>
                <w:highlight w:val="none"/>
                <w:lang w:eastAsia="zh-CN"/>
              </w:rPr>
              <w:t>施</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控</w:t>
            </w:r>
            <w:r>
              <w:rPr>
                <w:rFonts w:hint="eastAsia" w:ascii="宋体" w:hAnsi="宋体" w:eastAsia="宋体" w:cs="宋体"/>
                <w:color w:val="auto"/>
                <w:sz w:val="21"/>
                <w:highlight w:val="none"/>
                <w:lang w:eastAsia="zh-CN"/>
              </w:rPr>
              <w:t>制</w:t>
            </w:r>
            <w:r>
              <w:rPr>
                <w:rFonts w:hint="eastAsia" w:ascii="宋体" w:hAnsi="宋体" w:eastAsia="宋体" w:cs="宋体"/>
                <w:color w:val="auto"/>
                <w:spacing w:val="-3"/>
                <w:sz w:val="21"/>
                <w:highlight w:val="none"/>
                <w:lang w:eastAsia="zh-CN"/>
              </w:rPr>
              <w:t>网</w:t>
            </w:r>
            <w:r>
              <w:rPr>
                <w:rFonts w:hint="eastAsia" w:ascii="宋体" w:hAnsi="宋体" w:eastAsia="宋体" w:cs="宋体"/>
                <w:color w:val="auto"/>
                <w:sz w:val="21"/>
                <w:highlight w:val="none"/>
                <w:lang w:eastAsia="zh-CN"/>
              </w:rPr>
              <w:t>资</w:t>
            </w:r>
            <w:r>
              <w:rPr>
                <w:rFonts w:hint="eastAsia" w:ascii="宋体" w:hAnsi="宋体" w:eastAsia="宋体" w:cs="宋体"/>
                <w:color w:val="auto"/>
                <w:spacing w:val="-3"/>
                <w:sz w:val="21"/>
                <w:highlight w:val="none"/>
                <w:lang w:eastAsia="zh-CN"/>
              </w:rPr>
              <w:t>料</w:t>
            </w:r>
            <w:r>
              <w:rPr>
                <w:rFonts w:hint="eastAsia" w:ascii="宋体" w:hAnsi="宋体" w:eastAsia="宋体" w:cs="宋体"/>
                <w:color w:val="auto"/>
                <w:sz w:val="21"/>
                <w:highlight w:val="none"/>
                <w:lang w:eastAsia="zh-CN"/>
              </w:rPr>
              <w:t>报送</w:t>
            </w:r>
            <w:r>
              <w:rPr>
                <w:rFonts w:hint="eastAsia" w:ascii="宋体" w:hAnsi="宋体" w:eastAsia="宋体" w:cs="宋体"/>
                <w:color w:val="auto"/>
                <w:spacing w:val="-3"/>
                <w:sz w:val="21"/>
                <w:highlight w:val="none"/>
                <w:lang w:eastAsia="zh-CN"/>
              </w:rPr>
              <w:t>监</w:t>
            </w:r>
            <w:r>
              <w:rPr>
                <w:rFonts w:hint="eastAsia" w:ascii="宋体" w:hAnsi="宋体" w:eastAsia="宋体" w:cs="宋体"/>
                <w:color w:val="auto"/>
                <w:sz w:val="21"/>
                <w:highlight w:val="none"/>
                <w:lang w:eastAsia="zh-CN"/>
              </w:rPr>
              <w:t>理</w:t>
            </w:r>
            <w:r>
              <w:rPr>
                <w:rFonts w:hint="eastAsia" w:ascii="宋体" w:hAnsi="宋体" w:eastAsia="宋体" w:cs="宋体"/>
                <w:color w:val="auto"/>
                <w:spacing w:val="-3"/>
                <w:sz w:val="21"/>
                <w:highlight w:val="none"/>
                <w:lang w:eastAsia="zh-CN"/>
              </w:rPr>
              <w:t>人</w:t>
            </w:r>
            <w:r>
              <w:rPr>
                <w:rFonts w:hint="eastAsia" w:ascii="宋体" w:hAnsi="宋体" w:eastAsia="宋体" w:cs="宋体"/>
                <w:color w:val="auto"/>
                <w:sz w:val="21"/>
                <w:highlight w:val="none"/>
                <w:lang w:eastAsia="zh-CN"/>
              </w:rPr>
              <w:t>审</w:t>
            </w:r>
            <w:r>
              <w:rPr>
                <w:rFonts w:hint="eastAsia" w:ascii="宋体" w:hAnsi="宋体" w:eastAsia="宋体" w:cs="宋体"/>
                <w:color w:val="auto"/>
                <w:spacing w:val="-3"/>
                <w:sz w:val="21"/>
                <w:highlight w:val="none"/>
                <w:lang w:eastAsia="zh-CN"/>
              </w:rPr>
              <w:t>批</w:t>
            </w:r>
            <w:r>
              <w:rPr>
                <w:rFonts w:hint="eastAsia" w:ascii="宋体" w:hAnsi="宋体" w:eastAsia="宋体" w:cs="宋体"/>
                <w:color w:val="auto"/>
                <w:sz w:val="21"/>
                <w:highlight w:val="none"/>
                <w:lang w:eastAsia="zh-CN"/>
              </w:rPr>
              <w:t>的</w:t>
            </w:r>
            <w:r>
              <w:rPr>
                <w:rFonts w:hint="eastAsia" w:ascii="宋体" w:hAnsi="宋体" w:eastAsia="宋体" w:cs="宋体"/>
                <w:color w:val="auto"/>
                <w:spacing w:val="-3"/>
                <w:sz w:val="21"/>
                <w:highlight w:val="none"/>
                <w:lang w:eastAsia="zh-CN"/>
              </w:rPr>
              <w:t>期</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w:t>
            </w:r>
            <w:r>
              <w:rPr>
                <w:rFonts w:hint="eastAsia" w:ascii="宋体" w:hAnsi="宋体" w:eastAsia="宋体" w:cs="宋体"/>
                <w:color w:val="auto"/>
                <w:kern w:val="2"/>
                <w:sz w:val="21"/>
                <w:szCs w:val="21"/>
                <w:highlight w:val="none"/>
                <w:u w:val="single"/>
                <w:lang w:eastAsia="zh-CN"/>
              </w:rPr>
              <w:t>发出开工通知后7天</w:t>
            </w:r>
            <w:r>
              <w:rPr>
                <w:rFonts w:hint="eastAsia" w:ascii="宋体" w:hAnsi="宋体" w:eastAsia="宋体" w:cs="宋体"/>
                <w:color w:val="auto"/>
                <w:sz w:val="21"/>
                <w:highlight w:val="none"/>
                <w:u w:val="single"/>
                <w:lang w:eastAsia="zh-CN"/>
              </w:rPr>
              <w:tab/>
            </w:r>
          </w:p>
        </w:tc>
      </w:tr>
      <w:tr w14:paraId="06114F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0" w:hRule="atLeast"/>
          <w:jc w:val="center"/>
        </w:trPr>
        <w:tc>
          <w:tcPr>
            <w:tcW w:w="629" w:type="dxa"/>
            <w:noWrap w:val="0"/>
            <w:vAlign w:val="center"/>
          </w:tcPr>
          <w:p w14:paraId="76B810A9">
            <w:pPr>
              <w:pStyle w:val="40"/>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9</w:t>
            </w:r>
          </w:p>
        </w:tc>
        <w:tc>
          <w:tcPr>
            <w:tcW w:w="1111" w:type="dxa"/>
            <w:noWrap w:val="0"/>
            <w:vAlign w:val="center"/>
          </w:tcPr>
          <w:p w14:paraId="66A99DE4">
            <w:pPr>
              <w:pStyle w:val="40"/>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11.1</w:t>
            </w:r>
          </w:p>
        </w:tc>
        <w:tc>
          <w:tcPr>
            <w:tcW w:w="7305" w:type="dxa"/>
            <w:noWrap w:val="0"/>
            <w:vAlign w:val="center"/>
          </w:tcPr>
          <w:p w14:paraId="409FBE7B">
            <w:pPr>
              <w:pStyle w:val="40"/>
              <w:tabs>
                <w:tab w:val="left" w:pos="0"/>
                <w:tab w:val="left" w:pos="6908"/>
                <w:tab w:val="left" w:pos="7244"/>
              </w:tabs>
              <w:spacing w:before="1" w:line="360" w:lineRule="atLeast"/>
              <w:ind w:left="227" w:right="48" w:firstLine="119" w:firstLineChars="5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承包人应在签订施工承包合同协议书后的5个工作日内完成进场准备，包括主要管理人员、投标文件承诺进场的机械设备、试验检测设备、项目部的办公设备、项目部的选址及上墙图表等，并具备基本的工作条件；承包人完成进场准备后的7天内开展实质性的施工工作。</w:t>
            </w:r>
          </w:p>
          <w:p w14:paraId="7912C813">
            <w:pPr>
              <w:pStyle w:val="40"/>
              <w:tabs>
                <w:tab w:val="left" w:pos="6908"/>
                <w:tab w:val="left" w:pos="7244"/>
              </w:tabs>
              <w:spacing w:before="1" w:line="360" w:lineRule="atLeast"/>
              <w:ind w:left="347" w:right="48"/>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逾期开工违约金：</w:t>
            </w:r>
            <w:r>
              <w:rPr>
                <w:rFonts w:hint="eastAsia" w:ascii="宋体" w:hAnsi="宋体" w:eastAsia="宋体" w:cs="宋体"/>
                <w:color w:val="auto"/>
                <w:sz w:val="21"/>
                <w:highlight w:val="none"/>
                <w:u w:val="single"/>
                <w:lang w:eastAsia="zh-CN"/>
              </w:rPr>
              <w:t>5000元/天</w:t>
            </w:r>
            <w:r>
              <w:rPr>
                <w:rFonts w:hint="eastAsia" w:ascii="宋体" w:hAnsi="宋体" w:eastAsia="宋体" w:cs="宋体"/>
                <w:color w:val="auto"/>
                <w:sz w:val="21"/>
                <w:highlight w:val="none"/>
                <w:lang w:eastAsia="zh-CN"/>
              </w:rPr>
              <w:t>。</w:t>
            </w:r>
          </w:p>
        </w:tc>
      </w:tr>
      <w:tr w14:paraId="1CBF2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jc w:val="center"/>
        </w:trPr>
        <w:tc>
          <w:tcPr>
            <w:tcW w:w="629" w:type="dxa"/>
            <w:noWrap w:val="0"/>
            <w:vAlign w:val="center"/>
          </w:tcPr>
          <w:p w14:paraId="5316BD5B">
            <w:pPr>
              <w:pStyle w:val="40"/>
              <w:spacing w:before="114" w:line="226" w:lineRule="exact"/>
              <w:ind w:left="9"/>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10</w:t>
            </w:r>
          </w:p>
        </w:tc>
        <w:tc>
          <w:tcPr>
            <w:tcW w:w="1111" w:type="dxa"/>
            <w:noWrap w:val="0"/>
            <w:vAlign w:val="center"/>
          </w:tcPr>
          <w:p w14:paraId="0D4C8C93">
            <w:pPr>
              <w:pStyle w:val="40"/>
              <w:spacing w:before="90"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2B928B32">
            <w:pPr>
              <w:pStyle w:val="40"/>
              <w:tabs>
                <w:tab w:val="left" w:pos="2450"/>
              </w:tabs>
              <w:spacing w:before="90"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kern w:val="2"/>
                <w:sz w:val="21"/>
                <w:szCs w:val="21"/>
                <w:highlight w:val="none"/>
                <w:lang w:eastAsia="zh-CN"/>
              </w:rPr>
              <w:t>：</w:t>
            </w:r>
            <w:r>
              <w:rPr>
                <w:rFonts w:hint="eastAsia" w:ascii="宋体" w:hAnsi="宋体" w:cs="宋体"/>
                <w:color w:val="auto"/>
                <w:kern w:val="2"/>
                <w:sz w:val="21"/>
                <w:szCs w:val="21"/>
                <w:highlight w:val="none"/>
                <w:u w:val="single"/>
                <w:lang w:val="en-US" w:eastAsia="zh-CN"/>
              </w:rPr>
              <w:t>1</w:t>
            </w:r>
            <w:r>
              <w:rPr>
                <w:rFonts w:hint="eastAsia" w:ascii="宋体" w:hAnsi="宋体" w:eastAsia="宋体" w:cs="宋体"/>
                <w:color w:val="auto"/>
                <w:kern w:val="2"/>
                <w:sz w:val="21"/>
                <w:szCs w:val="21"/>
                <w:highlight w:val="none"/>
                <w:u w:val="single"/>
                <w:lang w:eastAsia="zh-CN"/>
              </w:rPr>
              <w:t>000元/天</w:t>
            </w:r>
          </w:p>
        </w:tc>
      </w:tr>
      <w:tr w14:paraId="44DC3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6" w:hRule="atLeast"/>
          <w:jc w:val="center"/>
        </w:trPr>
        <w:tc>
          <w:tcPr>
            <w:tcW w:w="629" w:type="dxa"/>
            <w:noWrap w:val="0"/>
            <w:vAlign w:val="center"/>
          </w:tcPr>
          <w:p w14:paraId="7184411F">
            <w:pPr>
              <w:pStyle w:val="40"/>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w:t>
            </w:r>
          </w:p>
        </w:tc>
        <w:tc>
          <w:tcPr>
            <w:tcW w:w="1111" w:type="dxa"/>
            <w:noWrap w:val="0"/>
            <w:vAlign w:val="center"/>
          </w:tcPr>
          <w:p w14:paraId="23EBF534">
            <w:pPr>
              <w:pStyle w:val="40"/>
              <w:spacing w:before="89" w:line="250" w:lineRule="exact"/>
              <w:ind w:left="89"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11.5（3）</w:t>
            </w:r>
          </w:p>
        </w:tc>
        <w:tc>
          <w:tcPr>
            <w:tcW w:w="7305" w:type="dxa"/>
            <w:noWrap w:val="0"/>
            <w:vAlign w:val="center"/>
          </w:tcPr>
          <w:p w14:paraId="7F291093">
            <w:pPr>
              <w:pStyle w:val="40"/>
              <w:tabs>
                <w:tab w:val="left" w:pos="2868"/>
              </w:tabs>
              <w:spacing w:before="89" w:line="250" w:lineRule="exact"/>
              <w:ind w:left="347"/>
              <w:rPr>
                <w:rFonts w:hint="eastAsia" w:ascii="宋体" w:hAnsi="宋体" w:eastAsia="宋体" w:cs="宋体"/>
                <w:color w:val="auto"/>
                <w:sz w:val="11"/>
                <w:highlight w:val="none"/>
                <w:lang w:eastAsia="zh-CN"/>
              </w:rPr>
            </w:pPr>
            <w:r>
              <w:rPr>
                <w:rFonts w:hint="eastAsia" w:ascii="宋体" w:hAnsi="宋体" w:eastAsia="宋体" w:cs="宋体"/>
                <w:color w:val="auto"/>
                <w:sz w:val="21"/>
                <w:highlight w:val="none"/>
                <w:lang w:eastAsia="zh-CN"/>
              </w:rPr>
              <w:t>逾期</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违</w:t>
            </w:r>
            <w:r>
              <w:rPr>
                <w:rFonts w:hint="eastAsia" w:ascii="宋体" w:hAnsi="宋体" w:eastAsia="宋体" w:cs="宋体"/>
                <w:color w:val="auto"/>
                <w:sz w:val="21"/>
                <w:highlight w:val="none"/>
                <w:lang w:eastAsia="zh-CN"/>
              </w:rPr>
              <w:t>约</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 xml:space="preserve">10 </w:t>
            </w:r>
            <w:r>
              <w:rPr>
                <w:rFonts w:hint="eastAsia" w:ascii="宋体" w:hAnsi="宋体" w:eastAsia="宋体" w:cs="宋体"/>
                <w:color w:val="auto"/>
                <w:sz w:val="21"/>
                <w:highlight w:val="none"/>
                <w:lang w:eastAsia="zh-CN"/>
              </w:rPr>
              <w:t>%签</w:t>
            </w:r>
            <w:r>
              <w:rPr>
                <w:rFonts w:hint="eastAsia" w:ascii="宋体" w:hAnsi="宋体" w:eastAsia="宋体" w:cs="宋体"/>
                <w:color w:val="auto"/>
                <w:spacing w:val="-3"/>
                <w:sz w:val="21"/>
                <w:highlight w:val="none"/>
                <w:lang w:eastAsia="zh-CN"/>
              </w:rPr>
              <w:t>约</w:t>
            </w:r>
            <w:r>
              <w:rPr>
                <w:rFonts w:hint="eastAsia" w:ascii="宋体" w:hAnsi="宋体" w:eastAsia="宋体" w:cs="宋体"/>
                <w:color w:val="auto"/>
                <w:sz w:val="21"/>
                <w:highlight w:val="none"/>
                <w:lang w:eastAsia="zh-CN"/>
              </w:rPr>
              <w:t>合</w:t>
            </w:r>
            <w:r>
              <w:rPr>
                <w:rFonts w:hint="eastAsia" w:ascii="宋体" w:hAnsi="宋体" w:eastAsia="宋体" w:cs="宋体"/>
                <w:color w:val="auto"/>
                <w:spacing w:val="-3"/>
                <w:sz w:val="21"/>
                <w:highlight w:val="none"/>
                <w:lang w:eastAsia="zh-CN"/>
              </w:rPr>
              <w:t>同价</w:t>
            </w:r>
          </w:p>
        </w:tc>
      </w:tr>
      <w:tr w14:paraId="4C6E4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jc w:val="center"/>
        </w:trPr>
        <w:tc>
          <w:tcPr>
            <w:tcW w:w="629" w:type="dxa"/>
            <w:noWrap w:val="0"/>
            <w:vAlign w:val="center"/>
          </w:tcPr>
          <w:p w14:paraId="62EF3F8E">
            <w:pPr>
              <w:pStyle w:val="40"/>
              <w:spacing w:before="113" w:line="226" w:lineRule="exact"/>
              <w:ind w:left="78"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12</w:t>
            </w:r>
          </w:p>
        </w:tc>
        <w:tc>
          <w:tcPr>
            <w:tcW w:w="1111" w:type="dxa"/>
            <w:noWrap w:val="0"/>
            <w:vAlign w:val="center"/>
          </w:tcPr>
          <w:p w14:paraId="19F1F259">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3D13874E">
            <w:pPr>
              <w:pStyle w:val="40"/>
              <w:tabs>
                <w:tab w:val="left" w:pos="2450"/>
              </w:tabs>
              <w:spacing w:before="90" w:line="250" w:lineRule="exact"/>
              <w:ind w:left="347"/>
              <w:rPr>
                <w:rFonts w:hint="eastAsia" w:ascii="宋体" w:hAnsi="宋体" w:eastAsia="宋体" w:cs="宋体"/>
                <w:color w:val="auto"/>
                <w:sz w:val="21"/>
                <w:highlight w:val="none"/>
              </w:rPr>
            </w:pPr>
            <w:r>
              <w:rPr>
                <w:rFonts w:hint="eastAsia" w:ascii="宋体" w:hAnsi="宋体" w:eastAsia="宋体" w:cs="宋体"/>
                <w:color w:val="auto"/>
                <w:sz w:val="21"/>
                <w:highlight w:val="none"/>
              </w:rPr>
              <w:t>提前</w:t>
            </w:r>
            <w:r>
              <w:rPr>
                <w:rFonts w:hint="eastAsia" w:ascii="宋体" w:hAnsi="宋体" w:eastAsia="宋体" w:cs="宋体"/>
                <w:color w:val="auto"/>
                <w:spacing w:val="-3"/>
                <w:sz w:val="21"/>
                <w:highlight w:val="none"/>
              </w:rPr>
              <w:t>交</w:t>
            </w:r>
            <w:r>
              <w:rPr>
                <w:rFonts w:hint="eastAsia" w:ascii="宋体" w:hAnsi="宋体" w:eastAsia="宋体" w:cs="宋体"/>
                <w:color w:val="auto"/>
                <w:sz w:val="21"/>
                <w:highlight w:val="none"/>
              </w:rPr>
              <w:t>工</w:t>
            </w:r>
            <w:r>
              <w:rPr>
                <w:rFonts w:hint="eastAsia" w:ascii="宋体" w:hAnsi="宋体" w:eastAsia="宋体" w:cs="宋体"/>
                <w:color w:val="auto"/>
                <w:spacing w:val="-3"/>
                <w:sz w:val="21"/>
                <w:highlight w:val="none"/>
              </w:rPr>
              <w:t>的</w:t>
            </w:r>
            <w:r>
              <w:rPr>
                <w:rFonts w:hint="eastAsia" w:ascii="宋体" w:hAnsi="宋体" w:eastAsia="宋体" w:cs="宋体"/>
                <w:color w:val="auto"/>
                <w:sz w:val="21"/>
                <w:highlight w:val="none"/>
              </w:rPr>
              <w:t>奖</w:t>
            </w:r>
            <w:r>
              <w:rPr>
                <w:rFonts w:hint="eastAsia" w:ascii="宋体" w:hAnsi="宋体" w:eastAsia="宋体" w:cs="宋体"/>
                <w:color w:val="auto"/>
                <w:spacing w:val="-3"/>
                <w:sz w:val="21"/>
                <w:highlight w:val="none"/>
              </w:rPr>
              <w:t>金</w:t>
            </w:r>
            <w:r>
              <w:rPr>
                <w:rFonts w:hint="eastAsia" w:ascii="宋体" w:hAnsi="宋体" w:eastAsia="宋体" w:cs="宋体"/>
                <w:color w:val="auto"/>
                <w:sz w:val="21"/>
                <w:highlight w:val="none"/>
              </w:rPr>
              <w:t>：</w:t>
            </w:r>
            <w:r>
              <w:rPr>
                <w:rFonts w:hint="eastAsia" w:ascii="宋体" w:hAnsi="宋体" w:eastAsia="宋体" w:cs="宋体"/>
                <w:color w:val="auto"/>
                <w:sz w:val="21"/>
                <w:highlight w:val="none"/>
                <w:u w:val="single"/>
              </w:rPr>
              <w:t>无</w:t>
            </w:r>
          </w:p>
        </w:tc>
      </w:tr>
      <w:tr w14:paraId="3114B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629" w:type="dxa"/>
            <w:noWrap w:val="0"/>
            <w:vAlign w:val="center"/>
          </w:tcPr>
          <w:p w14:paraId="33A6AF49">
            <w:pPr>
              <w:pStyle w:val="40"/>
              <w:spacing w:before="113" w:line="226" w:lineRule="exact"/>
              <w:ind w:left="83" w:right="74"/>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13</w:t>
            </w:r>
          </w:p>
        </w:tc>
        <w:tc>
          <w:tcPr>
            <w:tcW w:w="1111" w:type="dxa"/>
            <w:noWrap w:val="0"/>
            <w:vAlign w:val="center"/>
          </w:tcPr>
          <w:p w14:paraId="4D8122B2">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11.6</w:t>
            </w:r>
          </w:p>
        </w:tc>
        <w:tc>
          <w:tcPr>
            <w:tcW w:w="7305" w:type="dxa"/>
            <w:noWrap w:val="0"/>
            <w:vAlign w:val="center"/>
          </w:tcPr>
          <w:p w14:paraId="755DE7EF">
            <w:pPr>
              <w:pStyle w:val="40"/>
              <w:tabs>
                <w:tab w:val="left" w:pos="2868"/>
              </w:tabs>
              <w:spacing w:before="89" w:line="250" w:lineRule="exact"/>
              <w:ind w:left="347"/>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提前</w:t>
            </w:r>
            <w:r>
              <w:rPr>
                <w:rFonts w:hint="eastAsia" w:ascii="宋体" w:hAnsi="宋体" w:eastAsia="宋体" w:cs="宋体"/>
                <w:color w:val="auto"/>
                <w:spacing w:val="-3"/>
                <w:sz w:val="21"/>
                <w:highlight w:val="none"/>
                <w:lang w:eastAsia="zh-CN"/>
              </w:rPr>
              <w:t>交</w:t>
            </w:r>
            <w:r>
              <w:rPr>
                <w:rFonts w:hint="eastAsia" w:ascii="宋体" w:hAnsi="宋体" w:eastAsia="宋体" w:cs="宋体"/>
                <w:color w:val="auto"/>
                <w:sz w:val="21"/>
                <w:highlight w:val="none"/>
                <w:lang w:eastAsia="zh-CN"/>
              </w:rPr>
              <w:t>工</w:t>
            </w:r>
            <w:r>
              <w:rPr>
                <w:rFonts w:hint="eastAsia" w:ascii="宋体" w:hAnsi="宋体" w:eastAsia="宋体" w:cs="宋体"/>
                <w:color w:val="auto"/>
                <w:spacing w:val="-3"/>
                <w:sz w:val="21"/>
                <w:highlight w:val="none"/>
                <w:lang w:eastAsia="zh-CN"/>
              </w:rPr>
              <w:t>的</w:t>
            </w:r>
            <w:r>
              <w:rPr>
                <w:rFonts w:hint="eastAsia" w:ascii="宋体" w:hAnsi="宋体" w:eastAsia="宋体" w:cs="宋体"/>
                <w:color w:val="auto"/>
                <w:sz w:val="21"/>
                <w:highlight w:val="none"/>
                <w:lang w:eastAsia="zh-CN"/>
              </w:rPr>
              <w:t>奖</w:t>
            </w:r>
            <w:r>
              <w:rPr>
                <w:rFonts w:hint="eastAsia" w:ascii="宋体" w:hAnsi="宋体" w:eastAsia="宋体" w:cs="宋体"/>
                <w:color w:val="auto"/>
                <w:spacing w:val="-3"/>
                <w:sz w:val="21"/>
                <w:highlight w:val="none"/>
                <w:lang w:eastAsia="zh-CN"/>
              </w:rPr>
              <w:t>金</w:t>
            </w:r>
            <w:r>
              <w:rPr>
                <w:rFonts w:hint="eastAsia" w:ascii="宋体" w:hAnsi="宋体" w:eastAsia="宋体" w:cs="宋体"/>
                <w:color w:val="auto"/>
                <w:sz w:val="21"/>
                <w:highlight w:val="none"/>
                <w:lang w:eastAsia="zh-CN"/>
              </w:rPr>
              <w:t>限</w:t>
            </w:r>
            <w:r>
              <w:rPr>
                <w:rFonts w:hint="eastAsia" w:ascii="宋体" w:hAnsi="宋体" w:eastAsia="宋体" w:cs="宋体"/>
                <w:color w:val="auto"/>
                <w:spacing w:val="-3"/>
                <w:sz w:val="21"/>
                <w:highlight w:val="none"/>
                <w:lang w:eastAsia="zh-CN"/>
              </w:rPr>
              <w:t>额</w:t>
            </w:r>
            <w:r>
              <w:rPr>
                <w:rFonts w:hint="eastAsia" w:ascii="宋体" w:hAnsi="宋体" w:eastAsia="宋体" w:cs="宋体"/>
                <w:color w:val="auto"/>
                <w:sz w:val="21"/>
                <w:highlight w:val="none"/>
                <w:lang w:eastAsia="zh-CN"/>
              </w:rPr>
              <w:t>：</w:t>
            </w:r>
            <w:r>
              <w:rPr>
                <w:rFonts w:hint="eastAsia" w:ascii="宋体" w:hAnsi="宋体" w:eastAsia="宋体" w:cs="宋体"/>
                <w:color w:val="auto"/>
                <w:sz w:val="21"/>
                <w:highlight w:val="none"/>
                <w:u w:val="single"/>
                <w:lang w:eastAsia="zh-CN"/>
              </w:rPr>
              <w:t>无</w:t>
            </w:r>
          </w:p>
        </w:tc>
      </w:tr>
      <w:tr w14:paraId="113D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6A7550E1">
            <w:pPr>
              <w:pStyle w:val="40"/>
              <w:spacing w:before="113" w:line="226" w:lineRule="exact"/>
              <w:ind w:left="83" w:right="74"/>
              <w:jc w:val="center"/>
              <w:rPr>
                <w:rFonts w:hint="default"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14</w:t>
            </w:r>
          </w:p>
        </w:tc>
        <w:tc>
          <w:tcPr>
            <w:tcW w:w="1111" w:type="dxa"/>
            <w:noWrap w:val="0"/>
            <w:vAlign w:val="center"/>
          </w:tcPr>
          <w:p w14:paraId="0E7EC637">
            <w:pPr>
              <w:tabs>
                <w:tab w:val="left" w:pos="1080"/>
              </w:tabs>
              <w:spacing w:line="3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15.5.2</w:t>
            </w:r>
          </w:p>
        </w:tc>
        <w:tc>
          <w:tcPr>
            <w:tcW w:w="7305" w:type="dxa"/>
            <w:noWrap w:val="0"/>
            <w:vAlign w:val="center"/>
          </w:tcPr>
          <w:p w14:paraId="7F98BF40">
            <w:pPr>
              <w:tabs>
                <w:tab w:val="left" w:pos="1080"/>
              </w:tabs>
              <w:spacing w:line="300" w:lineRule="exact"/>
              <w:ind w:firstLine="42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承包人提出的合理化建议降低了合同价格或者提高了工程经济效益的，发包人按所节约成本的0%给予奖励。</w:t>
            </w:r>
          </w:p>
        </w:tc>
      </w:tr>
      <w:tr w14:paraId="23A07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629" w:type="dxa"/>
            <w:noWrap w:val="0"/>
            <w:vAlign w:val="center"/>
          </w:tcPr>
          <w:p w14:paraId="58ECD833">
            <w:pPr>
              <w:pStyle w:val="40"/>
              <w:spacing w:before="113" w:line="226" w:lineRule="exact"/>
              <w:ind w:left="83" w:right="74"/>
              <w:jc w:val="center"/>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lang w:eastAsia="zh-CN"/>
              </w:rPr>
              <w:t>14</w:t>
            </w:r>
          </w:p>
        </w:tc>
        <w:tc>
          <w:tcPr>
            <w:tcW w:w="1111" w:type="dxa"/>
            <w:noWrap w:val="0"/>
            <w:vAlign w:val="center"/>
          </w:tcPr>
          <w:p w14:paraId="7EFC8763">
            <w:pPr>
              <w:pStyle w:val="40"/>
              <w:spacing w:before="113" w:line="226" w:lineRule="exact"/>
              <w:ind w:left="87" w:right="78"/>
              <w:jc w:val="center"/>
              <w:rPr>
                <w:rFonts w:hint="eastAsia" w:ascii="宋体" w:hAnsi="宋体" w:eastAsia="宋体" w:cs="宋体"/>
                <w:color w:val="auto"/>
                <w:sz w:val="21"/>
                <w:highlight w:val="none"/>
              </w:rPr>
            </w:pPr>
            <w:r>
              <w:rPr>
                <w:rFonts w:hint="eastAsia" w:ascii="宋体" w:hAnsi="宋体" w:eastAsia="宋体" w:cs="宋体"/>
                <w:color w:val="auto"/>
                <w:spacing w:val="-6"/>
                <w:sz w:val="21"/>
                <w:szCs w:val="21"/>
                <w:highlight w:val="none"/>
              </w:rPr>
              <w:t>1</w:t>
            </w:r>
            <w:r>
              <w:rPr>
                <w:rFonts w:hint="eastAsia" w:ascii="宋体" w:hAnsi="宋体" w:eastAsia="宋体" w:cs="宋体"/>
                <w:color w:val="auto"/>
                <w:spacing w:val="-4"/>
                <w:sz w:val="21"/>
                <w:szCs w:val="21"/>
                <w:highlight w:val="none"/>
              </w:rPr>
              <w:t>5.4</w:t>
            </w:r>
          </w:p>
        </w:tc>
        <w:tc>
          <w:tcPr>
            <w:tcW w:w="7305" w:type="dxa"/>
            <w:noWrap w:val="0"/>
            <w:vAlign w:val="center"/>
          </w:tcPr>
          <w:p w14:paraId="7F8533ED">
            <w:pPr>
              <w:spacing w:before="253" w:line="219" w:lineRule="auto"/>
              <w:ind w:firstLine="416" w:firstLineChars="200"/>
              <w:rPr>
                <w:rFonts w:hint="eastAsia" w:ascii="宋体" w:hAnsi="宋体" w:eastAsia="宋体" w:cs="宋体"/>
                <w:color w:val="auto"/>
                <w:szCs w:val="21"/>
                <w:highlight w:val="none"/>
              </w:rPr>
            </w:pPr>
            <w:r>
              <w:rPr>
                <w:rFonts w:hint="eastAsia" w:ascii="宋体" w:hAnsi="宋体" w:eastAsia="宋体" w:cs="宋体"/>
                <w:color w:val="auto"/>
                <w:spacing w:val="-1"/>
                <w:szCs w:val="21"/>
                <w:highlight w:val="none"/>
              </w:rPr>
              <w:t>变更的估价原</w:t>
            </w:r>
            <w:r>
              <w:rPr>
                <w:rFonts w:hint="eastAsia" w:ascii="宋体" w:hAnsi="宋体" w:eastAsia="宋体" w:cs="宋体"/>
                <w:color w:val="auto"/>
                <w:szCs w:val="21"/>
                <w:highlight w:val="none"/>
              </w:rPr>
              <w:t>则：</w:t>
            </w:r>
          </w:p>
          <w:p w14:paraId="059E4CB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15.4.1如果取消某项工作，则该项工作的总额价不予以支付；</w:t>
            </w:r>
          </w:p>
          <w:p w14:paraId="6185BFD7">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15.4.2已标价工程量清单中有适用于变更工作的子目的，采用该子目的单价。</w:t>
            </w:r>
          </w:p>
          <w:p w14:paraId="359F6EFF">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15.4.3已标价工程量清单中无适用于变更工作的子目，但有类似子目的，可在合理范围内参照类似子目的单价，由监理人按第3.5款商定变更工作的预算单价，最终以审计部门审定的单价为准。</w:t>
            </w:r>
          </w:p>
          <w:p w14:paraId="3B7BAB21">
            <w:pPr>
              <w:wordWrap w:val="0"/>
              <w:topLinePunct/>
              <w:adjustRightInd w:val="0"/>
              <w:spacing w:line="360" w:lineRule="auto"/>
              <w:ind w:firstLine="420"/>
              <w:rPr>
                <w:rFonts w:ascii="宋体" w:hAnsi="宋体" w:cs="宋体"/>
                <w:color w:val="auto"/>
                <w:szCs w:val="21"/>
                <w:highlight w:val="none"/>
              </w:rPr>
            </w:pPr>
            <w:r>
              <w:rPr>
                <w:rFonts w:hint="eastAsia" w:ascii="宋体" w:hAnsi="宋体" w:cs="宋体"/>
                <w:color w:val="auto"/>
                <w:szCs w:val="21"/>
                <w:highlight w:val="none"/>
              </w:rPr>
              <w:t>15.4.4已标价工程量清单中无适用或类似子目的单价，可在综合考虑承包人在竞标时所提供的单价分析表的基础上，由监理人按第3.5款商定变更工作的预算单价，最终以审计部门审定的单价为准。</w:t>
            </w:r>
          </w:p>
          <w:p w14:paraId="6A52B4CE">
            <w:pPr>
              <w:wordWrap w:val="0"/>
              <w:topLinePunct/>
              <w:adjustRightInd w:val="0"/>
              <w:spacing w:line="360" w:lineRule="auto"/>
              <w:ind w:firstLine="420"/>
              <w:rPr>
                <w:rFonts w:hint="eastAsia" w:ascii="宋体" w:hAnsi="宋体" w:eastAsia="宋体" w:cs="宋体"/>
                <w:color w:val="auto"/>
                <w:spacing w:val="-2"/>
                <w:sz w:val="21"/>
                <w:szCs w:val="21"/>
                <w:highlight w:val="none"/>
                <w:lang w:eastAsia="zh-CN"/>
              </w:rPr>
            </w:pPr>
            <w:r>
              <w:rPr>
                <w:rFonts w:hint="eastAsia" w:ascii="宋体" w:hAnsi="宋体" w:cs="宋体"/>
                <w:color w:val="auto"/>
                <w:szCs w:val="21"/>
                <w:highlight w:val="none"/>
              </w:rPr>
              <w:t>15.4.5如果本工程的变更指示是因承包人过错、承包人建反合同或承包人责任造成的，则这种违约引起的任何额外费用应由承包人承担。</w:t>
            </w:r>
          </w:p>
        </w:tc>
      </w:tr>
      <w:tr w14:paraId="42A7B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jc w:val="center"/>
        </w:trPr>
        <w:tc>
          <w:tcPr>
            <w:tcW w:w="629" w:type="dxa"/>
            <w:noWrap w:val="0"/>
            <w:vAlign w:val="center"/>
          </w:tcPr>
          <w:p w14:paraId="3BFEDAAF">
            <w:pPr>
              <w:pStyle w:val="40"/>
              <w:jc w:val="center"/>
              <w:rPr>
                <w:rFonts w:hint="eastAsia" w:ascii="宋体" w:hAnsi="宋体" w:eastAsia="宋体" w:cs="宋体"/>
                <w:color w:val="auto"/>
                <w:highlight w:val="none"/>
                <w:lang w:eastAsia="zh-CN"/>
              </w:rPr>
            </w:pPr>
          </w:p>
          <w:p w14:paraId="558F1B4C">
            <w:pPr>
              <w:pStyle w:val="4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15</w:t>
            </w:r>
          </w:p>
        </w:tc>
        <w:tc>
          <w:tcPr>
            <w:tcW w:w="1111" w:type="dxa"/>
            <w:noWrap w:val="0"/>
            <w:vAlign w:val="center"/>
          </w:tcPr>
          <w:p w14:paraId="711BF46E">
            <w:pPr>
              <w:pStyle w:val="40"/>
              <w:jc w:val="center"/>
              <w:rPr>
                <w:rFonts w:hint="eastAsia" w:ascii="宋体" w:hAnsi="宋体" w:eastAsia="宋体" w:cs="宋体"/>
                <w:color w:val="auto"/>
                <w:highlight w:val="none"/>
              </w:rPr>
            </w:pPr>
          </w:p>
          <w:p w14:paraId="220F096B">
            <w:pPr>
              <w:pStyle w:val="40"/>
              <w:jc w:val="center"/>
              <w:rPr>
                <w:rFonts w:hint="eastAsia" w:ascii="宋体" w:hAnsi="宋体" w:eastAsia="宋体" w:cs="宋体"/>
                <w:color w:val="auto"/>
                <w:sz w:val="21"/>
                <w:highlight w:val="none"/>
              </w:rPr>
            </w:pPr>
            <w:r>
              <w:rPr>
                <w:rFonts w:hint="eastAsia" w:ascii="宋体" w:hAnsi="宋体" w:eastAsia="宋体" w:cs="宋体"/>
                <w:color w:val="auto"/>
                <w:sz w:val="21"/>
                <w:highlight w:val="none"/>
              </w:rPr>
              <w:t>16.1</w:t>
            </w:r>
          </w:p>
        </w:tc>
        <w:tc>
          <w:tcPr>
            <w:tcW w:w="7305" w:type="dxa"/>
            <w:noWrap w:val="0"/>
            <w:vAlign w:val="center"/>
          </w:tcPr>
          <w:p w14:paraId="57F629ED">
            <w:pPr>
              <w:pStyle w:val="40"/>
              <w:tabs>
                <w:tab w:val="left" w:pos="0"/>
                <w:tab w:val="left" w:pos="6908"/>
                <w:tab w:val="left" w:pos="7244"/>
              </w:tabs>
              <w:spacing w:before="1" w:line="360" w:lineRule="atLeast"/>
              <w:ind w:right="48" w:firstLine="210" w:firstLineChars="100"/>
              <w:rPr>
                <w:rFonts w:hint="eastAsia" w:ascii="宋体" w:hAnsi="宋体" w:eastAsia="宋体" w:cs="宋体"/>
                <w:color w:val="auto"/>
                <w:sz w:val="21"/>
                <w:highlight w:val="none"/>
                <w:lang w:eastAsia="zh-CN"/>
              </w:rPr>
            </w:pPr>
            <w:r>
              <w:rPr>
                <w:rFonts w:hint="eastAsia" w:ascii="宋体" w:hAnsi="宋体" w:eastAsia="宋体" w:cs="宋体"/>
                <w:color w:val="auto"/>
                <w:sz w:val="21"/>
                <w:highlight w:val="none"/>
              </w:rPr>
              <w:t>合同期内不调价</w:t>
            </w:r>
            <w:r>
              <w:rPr>
                <w:rFonts w:hint="eastAsia" w:ascii="宋体" w:hAnsi="宋体" w:eastAsia="宋体" w:cs="宋体"/>
                <w:color w:val="auto"/>
                <w:sz w:val="21"/>
                <w:highlight w:val="none"/>
                <w:lang w:eastAsia="zh-CN"/>
              </w:rPr>
              <w:t>。</w:t>
            </w:r>
          </w:p>
        </w:tc>
      </w:tr>
    </w:tbl>
    <w:p w14:paraId="2A23DB2F">
      <w:pPr>
        <w:rPr>
          <w:rFonts w:hint="eastAsia" w:ascii="宋体" w:hAnsi="宋体" w:eastAsia="宋体" w:cs="宋体"/>
          <w:color w:val="auto"/>
          <w:sz w:val="18"/>
          <w:highlight w:val="none"/>
        </w:rPr>
        <w:sectPr>
          <w:footerReference r:id="rId7" w:type="default"/>
          <w:footerReference r:id="rId8" w:type="even"/>
          <w:pgSz w:w="11910" w:h="16850"/>
          <w:pgMar w:top="1480" w:right="1200" w:bottom="1040" w:left="1220" w:header="876" w:footer="853" w:gutter="0"/>
          <w:cols w:space="720" w:num="1"/>
        </w:sectPr>
      </w:pPr>
    </w:p>
    <w:p w14:paraId="30D9D5AE">
      <w:pPr>
        <w:pStyle w:val="11"/>
        <w:spacing w:before="5"/>
        <w:rPr>
          <w:rFonts w:hint="eastAsia" w:ascii="宋体" w:hAnsi="宋体" w:eastAsia="宋体" w:cs="宋体"/>
          <w:color w:val="auto"/>
          <w:sz w:val="8"/>
          <w:highlight w:val="none"/>
        </w:rPr>
      </w:pPr>
    </w:p>
    <w:tbl>
      <w:tblPr>
        <w:tblStyle w:val="26"/>
        <w:tblW w:w="0" w:type="auto"/>
        <w:tblInd w:w="3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9"/>
        <w:gridCol w:w="1111"/>
        <w:gridCol w:w="7305"/>
      </w:tblGrid>
      <w:tr w14:paraId="571C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0768195">
            <w:pPr>
              <w:pStyle w:val="40"/>
              <w:spacing w:before="90" w:line="250" w:lineRule="exact"/>
              <w:ind w:left="83" w:right="7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11" w:type="dxa"/>
            <w:noWrap w:val="0"/>
            <w:vAlign w:val="top"/>
          </w:tcPr>
          <w:p w14:paraId="642B1E46">
            <w:pPr>
              <w:pStyle w:val="40"/>
              <w:spacing w:before="90" w:line="250" w:lineRule="exact"/>
              <w:ind w:left="237"/>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条目号</w:t>
            </w:r>
          </w:p>
        </w:tc>
        <w:tc>
          <w:tcPr>
            <w:tcW w:w="7305" w:type="dxa"/>
            <w:noWrap w:val="0"/>
            <w:vAlign w:val="top"/>
          </w:tcPr>
          <w:p w14:paraId="0854EEAE">
            <w:pPr>
              <w:pStyle w:val="40"/>
              <w:spacing w:before="90" w:line="250" w:lineRule="exact"/>
              <w:ind w:left="3106" w:right="3094"/>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信息或数据</w:t>
            </w:r>
          </w:p>
        </w:tc>
      </w:tr>
      <w:tr w14:paraId="40A67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E5EC21B">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w:t>
            </w:r>
          </w:p>
        </w:tc>
        <w:tc>
          <w:tcPr>
            <w:tcW w:w="1111" w:type="dxa"/>
            <w:noWrap w:val="0"/>
            <w:vAlign w:val="top"/>
          </w:tcPr>
          <w:p w14:paraId="154BE67A">
            <w:pPr>
              <w:pStyle w:val="40"/>
              <w:spacing w:before="89"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17.2.1（1）</w:t>
            </w:r>
          </w:p>
        </w:tc>
        <w:tc>
          <w:tcPr>
            <w:tcW w:w="7305" w:type="dxa"/>
            <w:noWrap w:val="0"/>
            <w:vAlign w:val="top"/>
          </w:tcPr>
          <w:p w14:paraId="12F42965">
            <w:pPr>
              <w:pStyle w:val="40"/>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3"/>
                <w:sz w:val="21"/>
                <w:szCs w:val="21"/>
                <w:highlight w:val="none"/>
                <w:lang w:eastAsia="zh-CN"/>
              </w:rPr>
              <w:t>开工预付款金额：签订合同后，材料进场且开始施工后支付合同总价款的30%为工程预付款</w:t>
            </w:r>
            <w:r>
              <w:rPr>
                <w:rFonts w:hint="eastAsia" w:ascii="宋体" w:hAnsi="宋体" w:eastAsia="宋体" w:cs="宋体"/>
                <w:color w:val="auto"/>
                <w:sz w:val="21"/>
                <w:szCs w:val="21"/>
                <w:highlight w:val="none"/>
                <w:lang w:eastAsia="zh-CN"/>
              </w:rPr>
              <w:t>。</w:t>
            </w:r>
          </w:p>
        </w:tc>
      </w:tr>
      <w:tr w14:paraId="10A13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629" w:type="dxa"/>
            <w:noWrap w:val="0"/>
            <w:vAlign w:val="top"/>
          </w:tcPr>
          <w:p w14:paraId="7848740C">
            <w:pPr>
              <w:pStyle w:val="40"/>
              <w:spacing w:before="115"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w:t>
            </w:r>
          </w:p>
        </w:tc>
        <w:tc>
          <w:tcPr>
            <w:tcW w:w="1111" w:type="dxa"/>
            <w:noWrap w:val="0"/>
            <w:vAlign w:val="top"/>
          </w:tcPr>
          <w:p w14:paraId="131E4B61">
            <w:pPr>
              <w:pStyle w:val="40"/>
              <w:spacing w:before="92"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17.2.1（2）</w:t>
            </w:r>
          </w:p>
        </w:tc>
        <w:tc>
          <w:tcPr>
            <w:tcW w:w="7305" w:type="dxa"/>
            <w:noWrap w:val="0"/>
            <w:vAlign w:val="top"/>
          </w:tcPr>
          <w:p w14:paraId="2A4DF3A3">
            <w:pPr>
              <w:pStyle w:val="40"/>
              <w:tabs>
                <w:tab w:val="left" w:pos="2973"/>
              </w:tabs>
              <w:spacing w:before="92"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材料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预</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比</w:t>
            </w:r>
            <w:r>
              <w:rPr>
                <w:rFonts w:hint="eastAsia" w:ascii="宋体" w:hAnsi="宋体" w:eastAsia="宋体" w:cs="宋体"/>
                <w:color w:val="auto"/>
                <w:sz w:val="21"/>
                <w:szCs w:val="21"/>
                <w:highlight w:val="none"/>
                <w:lang w:eastAsia="zh-CN"/>
              </w:rPr>
              <w:t>例</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eastAsia="zh-CN"/>
              </w:rPr>
              <w:t>等</w:t>
            </w:r>
            <w:r>
              <w:rPr>
                <w:rFonts w:hint="eastAsia" w:ascii="宋体" w:hAnsi="宋体" w:eastAsia="宋体" w:cs="宋体"/>
                <w:color w:val="auto"/>
                <w:spacing w:val="-3"/>
                <w:sz w:val="21"/>
                <w:szCs w:val="21"/>
                <w:highlight w:val="none"/>
                <w:lang w:eastAsia="zh-CN"/>
              </w:rPr>
              <w:t>主</w:t>
            </w:r>
            <w:r>
              <w:rPr>
                <w:rFonts w:hint="eastAsia" w:ascii="宋体" w:hAnsi="宋体" w:eastAsia="宋体" w:cs="宋体"/>
                <w:color w:val="auto"/>
                <w:sz w:val="21"/>
                <w:szCs w:val="21"/>
                <w:highlight w:val="none"/>
                <w:lang w:eastAsia="zh-CN"/>
              </w:rPr>
              <w:t>要</w:t>
            </w:r>
            <w:r>
              <w:rPr>
                <w:rFonts w:hint="eastAsia" w:ascii="宋体" w:hAnsi="宋体" w:eastAsia="宋体" w:cs="宋体"/>
                <w:color w:val="auto"/>
                <w:spacing w:val="-3"/>
                <w:sz w:val="21"/>
                <w:szCs w:val="21"/>
                <w:highlight w:val="none"/>
                <w:lang w:eastAsia="zh-CN"/>
              </w:rPr>
              <w:t>材</w:t>
            </w:r>
            <w:r>
              <w:rPr>
                <w:rFonts w:hint="eastAsia" w:ascii="宋体" w:hAnsi="宋体" w:eastAsia="宋体" w:cs="宋体"/>
                <w:color w:val="auto"/>
                <w:sz w:val="21"/>
                <w:szCs w:val="21"/>
                <w:highlight w:val="none"/>
                <w:lang w:eastAsia="zh-CN"/>
              </w:rPr>
              <w:t>料</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单</w:t>
            </w:r>
            <w:r>
              <w:rPr>
                <w:rFonts w:hint="eastAsia" w:ascii="宋体" w:hAnsi="宋体" w:eastAsia="宋体" w:cs="宋体"/>
                <w:color w:val="auto"/>
                <w:spacing w:val="-3"/>
                <w:sz w:val="21"/>
                <w:szCs w:val="21"/>
                <w:highlight w:val="none"/>
                <w:lang w:eastAsia="zh-CN"/>
              </w:rPr>
              <w:t>据</w:t>
            </w:r>
            <w:r>
              <w:rPr>
                <w:rFonts w:hint="eastAsia" w:ascii="宋体" w:hAnsi="宋体" w:eastAsia="宋体" w:cs="宋体"/>
                <w:color w:val="auto"/>
                <w:sz w:val="21"/>
                <w:szCs w:val="21"/>
                <w:highlight w:val="none"/>
                <w:lang w:eastAsia="zh-CN"/>
              </w:rPr>
              <w:t>所列</w:t>
            </w:r>
            <w:r>
              <w:rPr>
                <w:rFonts w:hint="eastAsia" w:ascii="宋体" w:hAnsi="宋体" w:eastAsia="宋体" w:cs="宋体"/>
                <w:color w:val="auto"/>
                <w:spacing w:val="-3"/>
                <w:sz w:val="21"/>
                <w:szCs w:val="21"/>
                <w:highlight w:val="none"/>
                <w:lang w:eastAsia="zh-CN"/>
              </w:rPr>
              <w:t>费</w:t>
            </w:r>
            <w:r>
              <w:rPr>
                <w:rFonts w:hint="eastAsia" w:ascii="宋体" w:hAnsi="宋体" w:eastAsia="宋体" w:cs="宋体"/>
                <w:color w:val="auto"/>
                <w:sz w:val="21"/>
                <w:szCs w:val="21"/>
                <w:highlight w:val="none"/>
                <w:lang w:eastAsia="zh-CN"/>
              </w:rPr>
              <w:t>用的</w:t>
            </w:r>
            <w:r>
              <w:rPr>
                <w:rFonts w:hint="eastAsia" w:ascii="宋体" w:hAnsi="宋体" w:eastAsia="宋体" w:cs="宋体"/>
                <w:color w:val="auto"/>
                <w:sz w:val="21"/>
                <w:szCs w:val="21"/>
                <w:highlight w:val="none"/>
                <w:u w:val="single"/>
                <w:lang w:eastAsia="zh-CN"/>
              </w:rPr>
              <w:t xml:space="preserve"> 0 </w:t>
            </w:r>
            <w:r>
              <w:rPr>
                <w:rFonts w:hint="eastAsia" w:ascii="宋体" w:hAnsi="宋体" w:eastAsia="宋体" w:cs="宋体"/>
                <w:color w:val="auto"/>
                <w:sz w:val="21"/>
                <w:szCs w:val="21"/>
                <w:highlight w:val="none"/>
                <w:lang w:eastAsia="zh-CN"/>
              </w:rPr>
              <w:t>%</w:t>
            </w:r>
          </w:p>
        </w:tc>
      </w:tr>
      <w:tr w14:paraId="1B33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5EABAD9">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w:t>
            </w:r>
          </w:p>
        </w:tc>
        <w:tc>
          <w:tcPr>
            <w:tcW w:w="1111" w:type="dxa"/>
            <w:noWrap w:val="0"/>
            <w:vAlign w:val="top"/>
          </w:tcPr>
          <w:p w14:paraId="26E6D495">
            <w:pPr>
              <w:pStyle w:val="40"/>
              <w:spacing w:before="113" w:line="226" w:lineRule="exact"/>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17.3.2</w:t>
            </w:r>
          </w:p>
        </w:tc>
        <w:tc>
          <w:tcPr>
            <w:tcW w:w="7305" w:type="dxa"/>
            <w:noWrap w:val="0"/>
            <w:vAlign w:val="top"/>
          </w:tcPr>
          <w:p w14:paraId="2749343B">
            <w:pPr>
              <w:pStyle w:val="40"/>
              <w:spacing w:before="89" w:line="250" w:lineRule="exact"/>
              <w:ind w:left="342"/>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承包人在每个付款周期末向监理人提交进度付款申请单的份数：</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lang w:eastAsia="zh-CN"/>
              </w:rPr>
              <w:t>份</w:t>
            </w:r>
          </w:p>
        </w:tc>
      </w:tr>
      <w:tr w14:paraId="45C96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0E4E1348">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w:t>
            </w:r>
          </w:p>
        </w:tc>
        <w:tc>
          <w:tcPr>
            <w:tcW w:w="1111" w:type="dxa"/>
            <w:noWrap w:val="0"/>
            <w:vAlign w:val="top"/>
          </w:tcPr>
          <w:p w14:paraId="0D46C2AA">
            <w:pPr>
              <w:pStyle w:val="40"/>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17.3.3（1）</w:t>
            </w:r>
          </w:p>
        </w:tc>
        <w:tc>
          <w:tcPr>
            <w:tcW w:w="7305" w:type="dxa"/>
            <w:noWrap w:val="0"/>
            <w:vAlign w:val="top"/>
          </w:tcPr>
          <w:p w14:paraId="40D1BBE4">
            <w:pPr>
              <w:pStyle w:val="40"/>
              <w:tabs>
                <w:tab w:val="left" w:pos="3079"/>
                <w:tab w:val="left" w:pos="493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进度</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证</w:t>
            </w:r>
            <w:r>
              <w:rPr>
                <w:rFonts w:hint="eastAsia" w:ascii="宋体" w:hAnsi="宋体" w:eastAsia="宋体" w:cs="宋体"/>
                <w:color w:val="auto"/>
                <w:sz w:val="21"/>
                <w:szCs w:val="21"/>
                <w:highlight w:val="none"/>
                <w:lang w:eastAsia="zh-CN"/>
              </w:rPr>
              <w:t>书</w:t>
            </w:r>
            <w:r>
              <w:rPr>
                <w:rFonts w:hint="eastAsia" w:ascii="宋体" w:hAnsi="宋体" w:eastAsia="宋体" w:cs="宋体"/>
                <w:color w:val="auto"/>
                <w:spacing w:val="-3"/>
                <w:sz w:val="21"/>
                <w:szCs w:val="21"/>
                <w:highlight w:val="none"/>
                <w:lang w:eastAsia="zh-CN"/>
              </w:rPr>
              <w:t>最</w:t>
            </w:r>
            <w:r>
              <w:rPr>
                <w:rFonts w:hint="eastAsia" w:ascii="宋体" w:hAnsi="宋体" w:eastAsia="宋体" w:cs="宋体"/>
                <w:color w:val="auto"/>
                <w:sz w:val="21"/>
                <w:szCs w:val="21"/>
                <w:highlight w:val="none"/>
                <w:lang w:eastAsia="zh-CN"/>
              </w:rPr>
              <w:t>低</w:t>
            </w:r>
            <w:r>
              <w:rPr>
                <w:rFonts w:hint="eastAsia" w:ascii="宋体" w:hAnsi="宋体" w:eastAsia="宋体" w:cs="宋体"/>
                <w:color w:val="auto"/>
                <w:spacing w:val="-3"/>
                <w:sz w:val="21"/>
                <w:szCs w:val="21"/>
                <w:highlight w:val="none"/>
                <w:lang w:eastAsia="zh-CN"/>
              </w:rPr>
              <w:t>限</w:t>
            </w:r>
            <w:r>
              <w:rPr>
                <w:rFonts w:hint="eastAsia" w:ascii="宋体" w:hAnsi="宋体" w:eastAsia="宋体" w:cs="宋体"/>
                <w:color w:val="auto"/>
                <w:sz w:val="21"/>
                <w:szCs w:val="21"/>
                <w:highlight w:val="none"/>
                <w:lang w:eastAsia="zh-CN"/>
              </w:rPr>
              <w:t>额</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val="en-US" w:eastAsia="zh-CN"/>
              </w:rPr>
              <w:t>2</w:t>
            </w:r>
            <w:r>
              <w:rPr>
                <w:rFonts w:hint="eastAsia" w:ascii="宋体" w:hAnsi="宋体" w:eastAsia="宋体" w:cs="宋体"/>
                <w:color w:val="auto"/>
                <w:spacing w:val="-3"/>
                <w:sz w:val="21"/>
                <w:szCs w:val="21"/>
                <w:highlight w:val="none"/>
                <w:u w:val="single"/>
                <w:lang w:eastAsia="zh-CN"/>
              </w:rPr>
              <w:t>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签</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合</w:t>
            </w:r>
            <w:r>
              <w:rPr>
                <w:rFonts w:hint="eastAsia" w:ascii="宋体" w:hAnsi="宋体" w:eastAsia="宋体" w:cs="宋体"/>
                <w:color w:val="auto"/>
                <w:sz w:val="21"/>
                <w:szCs w:val="21"/>
                <w:highlight w:val="none"/>
                <w:lang w:eastAsia="zh-CN"/>
              </w:rPr>
              <w:t>同</w:t>
            </w:r>
            <w:r>
              <w:rPr>
                <w:rFonts w:hint="eastAsia" w:ascii="宋体" w:hAnsi="宋体" w:eastAsia="宋体" w:cs="宋体"/>
                <w:color w:val="auto"/>
                <w:spacing w:val="-3"/>
                <w:sz w:val="21"/>
                <w:szCs w:val="21"/>
                <w:highlight w:val="none"/>
                <w:lang w:eastAsia="zh-CN"/>
              </w:rPr>
              <w:t>价</w:t>
            </w:r>
            <w:r>
              <w:rPr>
                <w:rFonts w:hint="eastAsia" w:ascii="宋体" w:hAnsi="宋体" w:eastAsia="宋体" w:cs="宋体"/>
                <w:color w:val="auto"/>
                <w:sz w:val="21"/>
                <w:szCs w:val="21"/>
                <w:highlight w:val="none"/>
                <w:lang w:eastAsia="zh-CN"/>
              </w:rPr>
              <w:t>或</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pacing w:val="-3"/>
                <w:sz w:val="21"/>
                <w:szCs w:val="21"/>
                <w:highlight w:val="none"/>
                <w:lang w:eastAsia="zh-CN"/>
              </w:rPr>
              <w:t>万</w:t>
            </w:r>
            <w:r>
              <w:rPr>
                <w:rFonts w:hint="eastAsia" w:ascii="宋体" w:hAnsi="宋体" w:eastAsia="宋体" w:cs="宋体"/>
                <w:color w:val="auto"/>
                <w:sz w:val="21"/>
                <w:szCs w:val="21"/>
                <w:highlight w:val="none"/>
                <w:lang w:eastAsia="zh-CN"/>
              </w:rPr>
              <w:t>元</w:t>
            </w:r>
          </w:p>
        </w:tc>
      </w:tr>
      <w:tr w14:paraId="48116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7F0F30D1">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w:t>
            </w:r>
          </w:p>
        </w:tc>
        <w:tc>
          <w:tcPr>
            <w:tcW w:w="1111" w:type="dxa"/>
            <w:noWrap w:val="0"/>
            <w:vAlign w:val="top"/>
          </w:tcPr>
          <w:p w14:paraId="71BE1FC7">
            <w:pPr>
              <w:pStyle w:val="40"/>
              <w:spacing w:before="90" w:line="250" w:lineRule="exact"/>
              <w:ind w:left="107" w:right="-15"/>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17.3.3（2）</w:t>
            </w:r>
          </w:p>
        </w:tc>
        <w:tc>
          <w:tcPr>
            <w:tcW w:w="7305" w:type="dxa"/>
            <w:noWrap w:val="0"/>
            <w:vAlign w:val="top"/>
          </w:tcPr>
          <w:p w14:paraId="5E5BB3DA">
            <w:pPr>
              <w:pStyle w:val="40"/>
              <w:tabs>
                <w:tab w:val="left" w:pos="3185"/>
              </w:tabs>
              <w:spacing w:before="90"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逾期</w:t>
            </w:r>
            <w:r>
              <w:rPr>
                <w:rFonts w:hint="eastAsia" w:ascii="宋体" w:hAnsi="宋体" w:eastAsia="宋体" w:cs="宋体"/>
                <w:color w:val="auto"/>
                <w:spacing w:val="-3"/>
                <w:sz w:val="21"/>
                <w:szCs w:val="21"/>
                <w:highlight w:val="none"/>
                <w:lang w:eastAsia="zh-CN"/>
              </w:rPr>
              <w:t>付</w:t>
            </w:r>
            <w:r>
              <w:rPr>
                <w:rFonts w:hint="eastAsia" w:ascii="宋体" w:hAnsi="宋体" w:eastAsia="宋体" w:cs="宋体"/>
                <w:color w:val="auto"/>
                <w:sz w:val="21"/>
                <w:szCs w:val="21"/>
                <w:highlight w:val="none"/>
                <w:lang w:eastAsia="zh-CN"/>
              </w:rPr>
              <w:t>款</w:t>
            </w:r>
            <w:r>
              <w:rPr>
                <w:rFonts w:hint="eastAsia" w:ascii="宋体" w:hAnsi="宋体" w:eastAsia="宋体" w:cs="宋体"/>
                <w:color w:val="auto"/>
                <w:spacing w:val="-3"/>
                <w:sz w:val="21"/>
                <w:szCs w:val="21"/>
                <w:highlight w:val="none"/>
                <w:lang w:eastAsia="zh-CN"/>
              </w:rPr>
              <w:t>违</w:t>
            </w:r>
            <w:r>
              <w:rPr>
                <w:rFonts w:hint="eastAsia" w:ascii="宋体" w:hAnsi="宋体" w:eastAsia="宋体" w:cs="宋体"/>
                <w:color w:val="auto"/>
                <w:sz w:val="21"/>
                <w:szCs w:val="21"/>
                <w:highlight w:val="none"/>
                <w:lang w:eastAsia="zh-CN"/>
              </w:rPr>
              <w:t>约</w:t>
            </w:r>
            <w:r>
              <w:rPr>
                <w:rFonts w:hint="eastAsia" w:ascii="宋体" w:hAnsi="宋体" w:eastAsia="宋体" w:cs="宋体"/>
                <w:color w:val="auto"/>
                <w:spacing w:val="-3"/>
                <w:sz w:val="21"/>
                <w:szCs w:val="21"/>
                <w:highlight w:val="none"/>
                <w:lang w:eastAsia="zh-CN"/>
              </w:rPr>
              <w:t>金</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利</w:t>
            </w:r>
            <w:r>
              <w:rPr>
                <w:rFonts w:hint="eastAsia" w:ascii="宋体" w:hAnsi="宋体" w:eastAsia="宋体" w:cs="宋体"/>
                <w:color w:val="auto"/>
                <w:sz w:val="21"/>
                <w:szCs w:val="21"/>
                <w:highlight w:val="none"/>
                <w:lang w:eastAsia="zh-CN"/>
              </w:rPr>
              <w:t>率</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u w:val="single"/>
                <w:lang w:eastAsia="zh-CN"/>
              </w:rPr>
              <w:t xml:space="preserve">0.15 </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天</w:t>
            </w:r>
          </w:p>
        </w:tc>
      </w:tr>
      <w:tr w14:paraId="1A9BB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522CB7DD">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6B99D624">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496658A9">
            <w:pPr>
              <w:pStyle w:val="40"/>
              <w:spacing w:before="113" w:line="226" w:lineRule="exact"/>
              <w:ind w:left="83" w:right="74"/>
              <w:jc w:val="center"/>
              <w:rPr>
                <w:rFonts w:hint="eastAsia" w:ascii="宋体" w:hAnsi="宋体" w:eastAsia="宋体" w:cs="宋体"/>
                <w:color w:val="auto"/>
                <w:sz w:val="21"/>
                <w:szCs w:val="21"/>
                <w:highlight w:val="none"/>
                <w:lang w:eastAsia="zh-CN"/>
              </w:rPr>
            </w:pPr>
          </w:p>
          <w:p w14:paraId="2CDC1BD8">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21</w:t>
            </w:r>
          </w:p>
        </w:tc>
        <w:tc>
          <w:tcPr>
            <w:tcW w:w="1111" w:type="dxa"/>
            <w:noWrap w:val="0"/>
            <w:vAlign w:val="center"/>
          </w:tcPr>
          <w:p w14:paraId="4069C92C">
            <w:pPr>
              <w:spacing w:line="360" w:lineRule="auto"/>
              <w:jc w:val="center"/>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rPr>
              <w:t>17.3.3(4)</w:t>
            </w:r>
          </w:p>
        </w:tc>
        <w:tc>
          <w:tcPr>
            <w:tcW w:w="7305" w:type="dxa"/>
            <w:noWrap w:val="0"/>
            <w:vAlign w:val="top"/>
          </w:tcPr>
          <w:p w14:paraId="2BE10390">
            <w:pPr>
              <w:spacing w:line="324"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工程款</w:t>
            </w:r>
            <w:r>
              <w:rPr>
                <w:rFonts w:hint="eastAsia" w:ascii="宋体" w:hAnsi="宋体" w:eastAsia="宋体" w:cs="宋体"/>
                <w:color w:val="auto"/>
                <w:sz w:val="21"/>
                <w:szCs w:val="21"/>
                <w:highlight w:val="none"/>
                <w:lang w:eastAsia="zh-CN"/>
              </w:rPr>
              <w:t>支付：</w:t>
            </w:r>
            <w:r>
              <w:rPr>
                <w:rFonts w:hint="eastAsia" w:ascii="宋体" w:hAnsi="宋体" w:eastAsia="宋体" w:cs="宋体"/>
                <w:color w:val="auto"/>
                <w:sz w:val="21"/>
                <w:szCs w:val="21"/>
                <w:highlight w:val="none"/>
              </w:rPr>
              <w:t xml:space="preserve"> </w:t>
            </w:r>
          </w:p>
          <w:p w14:paraId="59D7C47B">
            <w:pPr>
              <w:pageBreakBefore w:val="0"/>
              <w:numPr>
                <w:ilvl w:val="0"/>
                <w:numId w:val="0"/>
              </w:numPr>
              <w:kinsoku/>
              <w:wordWrap/>
              <w:overflowPunct/>
              <w:topLinePunct w:val="0"/>
              <w:autoSpaceDE/>
              <w:autoSpaceDN/>
              <w:bidi w:val="0"/>
              <w:spacing w:line="360" w:lineRule="auto"/>
              <w:ind w:left="-60" w:leftChars="0" w:firstLine="480" w:firstLineChars="0"/>
              <w:textAlignment w:val="auto"/>
              <w:rPr>
                <w:rFonts w:hint="eastAsia" w:ascii="宋体" w:hAnsi="宋体" w:eastAsia="宋体" w:cs="宋体"/>
                <w:color w:val="auto"/>
                <w:sz w:val="21"/>
                <w:szCs w:val="21"/>
                <w:highlight w:val="none"/>
              </w:rPr>
            </w:pPr>
            <w:r>
              <w:rPr>
                <w:rFonts w:hint="default" w:ascii="Calibri" w:hAnsi="Calibri" w:eastAsia="宋体" w:cs="Calibri"/>
                <w:color w:val="auto"/>
                <w:sz w:val="21"/>
                <w:szCs w:val="21"/>
                <w:highlight w:val="none"/>
              </w:rPr>
              <w:t>①</w:t>
            </w:r>
            <w:r>
              <w:rPr>
                <w:rFonts w:hint="eastAsia" w:ascii="宋体" w:hAnsi="宋体" w:eastAsia="宋体" w:cs="宋体"/>
                <w:color w:val="auto"/>
                <w:sz w:val="21"/>
                <w:szCs w:val="21"/>
                <w:highlight w:val="none"/>
              </w:rPr>
              <w:t>甲方根据工程需要和工程进度情况，可支付至合同总价款的80%；</w:t>
            </w:r>
            <w:r>
              <w:rPr>
                <w:rFonts w:hint="default" w:ascii="Calibri" w:hAnsi="Calibri" w:eastAsia="宋体" w:cs="Calibri"/>
                <w:color w:val="auto"/>
                <w:sz w:val="21"/>
                <w:szCs w:val="21"/>
                <w:highlight w:val="none"/>
              </w:rPr>
              <w:t>②</w:t>
            </w:r>
            <w:r>
              <w:rPr>
                <w:rFonts w:hint="eastAsia" w:ascii="宋体" w:hAnsi="宋体" w:eastAsia="宋体" w:cs="宋体"/>
                <w:color w:val="auto"/>
                <w:sz w:val="21"/>
                <w:szCs w:val="21"/>
                <w:highlight w:val="none"/>
              </w:rPr>
              <w:t>工程竣工验收达到合格质量要求后，支付至工程合同总价款的90%；</w:t>
            </w:r>
            <w:r>
              <w:rPr>
                <w:rFonts w:hint="default" w:ascii="Calibri" w:hAnsi="Calibri" w:eastAsia="宋体" w:cs="Calibri"/>
                <w:color w:val="auto"/>
                <w:sz w:val="21"/>
                <w:szCs w:val="21"/>
                <w:highlight w:val="none"/>
              </w:rPr>
              <w:t>③</w:t>
            </w:r>
            <w:r>
              <w:rPr>
                <w:rFonts w:hint="eastAsia" w:ascii="宋体" w:hAnsi="宋体" w:eastAsia="宋体" w:cs="宋体"/>
                <w:color w:val="auto"/>
                <w:sz w:val="21"/>
                <w:szCs w:val="21"/>
                <w:highlight w:val="none"/>
              </w:rPr>
              <w:t>经结算审计（审核、评审）后，乙方向甲方缴纳结算审计（审核、评审）价款3%的工程款作为工程质量保证金，甲方向乙方支付至结算审计（审核、评审）价款的100%的工程款 ；若乙方未向甲方缴纳结算审计（审核、评审）价款3%的工程款作为工程质量保证金，则甲方向乙方支付至结算审计（审核、评审）价款的97%作为工程款，余下3%作为工程质量保证金</w:t>
            </w:r>
            <w:r>
              <w:rPr>
                <w:rFonts w:hint="eastAsia" w:ascii="宋体" w:hAnsi="宋体" w:cs="宋体"/>
                <w:color w:val="auto"/>
                <w:sz w:val="21"/>
                <w:szCs w:val="21"/>
                <w:highlight w:val="none"/>
                <w:lang w:eastAsia="zh-CN"/>
              </w:rPr>
              <w:t>；</w:t>
            </w:r>
            <w:r>
              <w:rPr>
                <w:rFonts w:hint="eastAsia" w:ascii="微软雅黑" w:hAnsi="微软雅黑" w:eastAsia="微软雅黑" w:cs="微软雅黑"/>
                <w:color w:val="auto"/>
                <w:sz w:val="21"/>
                <w:szCs w:val="21"/>
                <w:highlight w:val="none"/>
              </w:rPr>
              <w:t>④</w:t>
            </w:r>
            <w:r>
              <w:rPr>
                <w:rFonts w:hint="eastAsia" w:ascii="宋体" w:hAnsi="宋体" w:eastAsia="宋体" w:cs="宋体"/>
                <w:color w:val="auto"/>
                <w:sz w:val="21"/>
                <w:szCs w:val="21"/>
                <w:highlight w:val="none"/>
              </w:rPr>
              <w:t>3%工程质量保证金，待工程质量保修期满后返还。本工程质量保质期为1年。在工程质量保质期内，若存在质量缺陷的，由乙方负责保修，费用由乙方负责，工程质量保质期从甲方验收合格后开始计算。</w:t>
            </w:r>
          </w:p>
          <w:p w14:paraId="1958CFF0">
            <w:pPr>
              <w:tabs>
                <w:tab w:val="left" w:pos="3193"/>
              </w:tabs>
              <w:wordWrap w:val="0"/>
              <w:topLinePunct/>
              <w:adjustRightInd w:val="0"/>
              <w:spacing w:line="360" w:lineRule="auto"/>
              <w:ind w:firstLine="422"/>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注：每次付款前需承包人开具等额增值税发票，申请付款前需提供发票原件方可付款。</w:t>
            </w:r>
            <w:r>
              <w:rPr>
                <w:rFonts w:hint="eastAsia" w:ascii="宋体" w:hAnsi="宋体" w:eastAsia="宋体" w:cs="宋体"/>
                <w:b/>
                <w:color w:val="auto"/>
                <w:sz w:val="21"/>
                <w:szCs w:val="21"/>
                <w:highlight w:val="none"/>
              </w:rPr>
              <w:tab/>
            </w:r>
          </w:p>
        </w:tc>
      </w:tr>
      <w:tr w14:paraId="0694A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5" w:hRule="atLeast"/>
        </w:trPr>
        <w:tc>
          <w:tcPr>
            <w:tcW w:w="629" w:type="dxa"/>
            <w:noWrap w:val="0"/>
            <w:vAlign w:val="center"/>
          </w:tcPr>
          <w:p w14:paraId="1CACDFFB">
            <w:pPr>
              <w:pStyle w:val="40"/>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p>
        </w:tc>
        <w:tc>
          <w:tcPr>
            <w:tcW w:w="1111" w:type="dxa"/>
            <w:noWrap w:val="0"/>
            <w:vAlign w:val="center"/>
          </w:tcPr>
          <w:p w14:paraId="4802A795">
            <w:pPr>
              <w:pStyle w:val="40"/>
              <w:spacing w:before="178"/>
              <w:ind w:left="292"/>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17.4.1</w:t>
            </w:r>
          </w:p>
        </w:tc>
        <w:tc>
          <w:tcPr>
            <w:tcW w:w="7305" w:type="dxa"/>
            <w:noWrap w:val="0"/>
            <w:vAlign w:val="top"/>
          </w:tcPr>
          <w:p w14:paraId="7C009771">
            <w:pPr>
              <w:pStyle w:val="40"/>
              <w:spacing w:before="2" w:line="355" w:lineRule="exact"/>
              <w:ind w:firstLine="210"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质量保证金限额：3%</w:t>
            </w:r>
            <w:r>
              <w:rPr>
                <w:rFonts w:hint="eastAsia" w:ascii="宋体" w:hAnsi="宋体" w:eastAsia="宋体" w:cs="宋体"/>
                <w:color w:val="auto"/>
                <w:sz w:val="21"/>
                <w:szCs w:val="21"/>
                <w:highlight w:val="none"/>
                <w:lang w:val="en-US" w:eastAsia="zh-CN"/>
              </w:rPr>
              <w:t>结算价</w:t>
            </w:r>
            <w:r>
              <w:rPr>
                <w:rFonts w:hint="eastAsia" w:ascii="宋体" w:hAnsi="宋体" w:eastAsia="宋体" w:cs="宋体"/>
                <w:color w:val="auto"/>
                <w:sz w:val="21"/>
                <w:szCs w:val="21"/>
                <w:highlight w:val="none"/>
                <w:lang w:eastAsia="zh-CN"/>
              </w:rPr>
              <w:t>。</w:t>
            </w:r>
          </w:p>
          <w:p w14:paraId="6F6C4B14">
            <w:pPr>
              <w:pStyle w:val="40"/>
              <w:spacing w:before="2" w:line="355" w:lineRule="exact"/>
              <w:ind w:firstLine="208" w:firstLineChars="1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质量保证金是否计</w:t>
            </w:r>
            <w:r>
              <w:rPr>
                <w:rFonts w:hint="eastAsia" w:ascii="宋体" w:hAnsi="宋体" w:eastAsia="宋体" w:cs="宋体"/>
                <w:color w:val="auto"/>
                <w:sz w:val="21"/>
                <w:szCs w:val="21"/>
                <w:highlight w:val="none"/>
              </w:rPr>
              <w:t>付利息：</w:t>
            </w:r>
          </w:p>
          <w:p w14:paraId="407951F4">
            <w:pPr>
              <w:pStyle w:val="40"/>
              <w:spacing w:before="2" w:line="355" w:lineRule="exact"/>
              <w:ind w:firstLine="206" w:firstLineChars="100"/>
              <w:rPr>
                <w:rFonts w:hint="eastAsia" w:ascii="宋体" w:hAnsi="宋体" w:eastAsia="宋体" w:cs="宋体"/>
                <w:color w:val="auto"/>
                <w:sz w:val="21"/>
                <w:szCs w:val="21"/>
                <w:highlight w:val="none"/>
                <w:u w:val="single"/>
              </w:rPr>
            </w:pP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1"/>
                <w:sz w:val="21"/>
                <w:szCs w:val="21"/>
                <w:highlight w:val="none"/>
              </w:rPr>
              <w:t>是，利息的计算方式：</w:t>
            </w:r>
            <w:r>
              <w:rPr>
                <w:rFonts w:hint="eastAsia" w:ascii="宋体" w:hAnsi="宋体" w:eastAsia="宋体" w:cs="宋体"/>
                <w:color w:val="auto"/>
                <w:sz w:val="21"/>
                <w:szCs w:val="21"/>
                <w:highlight w:val="none"/>
                <w:u w:val="single"/>
              </w:rPr>
              <w:t xml:space="preserve">               </w:t>
            </w:r>
          </w:p>
          <w:p w14:paraId="09DA6A9A">
            <w:pPr>
              <w:pStyle w:val="40"/>
              <w:spacing w:before="2" w:line="355" w:lineRule="exact"/>
              <w:ind w:firstLine="206" w:firstLineChars="100"/>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
                <w:sz w:val="21"/>
                <w:szCs w:val="21"/>
                <w:highlight w:val="none"/>
                <w:lang w:eastAsia="zh-CN"/>
              </w:rPr>
              <w:t>☑</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否</w:t>
            </w:r>
          </w:p>
        </w:tc>
      </w:tr>
      <w:tr w14:paraId="21E36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0C8DD6FB">
            <w:pPr>
              <w:pStyle w:val="40"/>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23</w:t>
            </w:r>
          </w:p>
        </w:tc>
        <w:tc>
          <w:tcPr>
            <w:tcW w:w="1111" w:type="dxa"/>
            <w:noWrap w:val="0"/>
            <w:vAlign w:val="top"/>
          </w:tcPr>
          <w:p w14:paraId="3FE01C2B">
            <w:pPr>
              <w:pStyle w:val="40"/>
              <w:spacing w:before="178"/>
              <w:ind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17.5.1（1）</w:t>
            </w:r>
          </w:p>
        </w:tc>
        <w:tc>
          <w:tcPr>
            <w:tcW w:w="7305" w:type="dxa"/>
            <w:noWrap w:val="0"/>
            <w:vAlign w:val="top"/>
          </w:tcPr>
          <w:p w14:paraId="4A7AFFD6">
            <w:pPr>
              <w:pStyle w:val="40"/>
              <w:spacing w:before="178"/>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承包人向监理人提交交工付款申请单（包括相关证明材料）的份数：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份</w:t>
            </w:r>
          </w:p>
        </w:tc>
      </w:tr>
      <w:tr w14:paraId="76A13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629" w:type="dxa"/>
            <w:noWrap w:val="0"/>
            <w:vAlign w:val="top"/>
          </w:tcPr>
          <w:p w14:paraId="41AB827B">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24</w:t>
            </w:r>
          </w:p>
        </w:tc>
        <w:tc>
          <w:tcPr>
            <w:tcW w:w="1111" w:type="dxa"/>
            <w:noWrap w:val="0"/>
            <w:vAlign w:val="top"/>
          </w:tcPr>
          <w:p w14:paraId="645BCF27">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17.6.1（1）</w:t>
            </w:r>
          </w:p>
        </w:tc>
        <w:tc>
          <w:tcPr>
            <w:tcW w:w="7305" w:type="dxa"/>
            <w:noWrap w:val="0"/>
            <w:vAlign w:val="top"/>
          </w:tcPr>
          <w:p w14:paraId="3A2890D2">
            <w:pPr>
              <w:pStyle w:val="40"/>
              <w:spacing w:before="178"/>
              <w:ind w:left="83" w:right="74"/>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承包人向监理人提交最终结清申请单（包括相关证明材料）的份数：</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份</w:t>
            </w:r>
          </w:p>
        </w:tc>
      </w:tr>
      <w:tr w14:paraId="33007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0" w:hRule="atLeast"/>
        </w:trPr>
        <w:tc>
          <w:tcPr>
            <w:tcW w:w="629" w:type="dxa"/>
            <w:noWrap w:val="0"/>
            <w:vAlign w:val="top"/>
          </w:tcPr>
          <w:p w14:paraId="529AA1AE">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w:t>
            </w:r>
          </w:p>
        </w:tc>
        <w:tc>
          <w:tcPr>
            <w:tcW w:w="1111" w:type="dxa"/>
            <w:noWrap w:val="0"/>
            <w:vAlign w:val="top"/>
          </w:tcPr>
          <w:p w14:paraId="678AE6BA">
            <w:pPr>
              <w:pStyle w:val="40"/>
              <w:spacing w:before="90"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18.2（2）</w:t>
            </w:r>
          </w:p>
        </w:tc>
        <w:tc>
          <w:tcPr>
            <w:tcW w:w="7305" w:type="dxa"/>
            <w:noWrap w:val="0"/>
            <w:vAlign w:val="top"/>
          </w:tcPr>
          <w:p w14:paraId="5E34E2B8">
            <w:pPr>
              <w:pStyle w:val="40"/>
              <w:tabs>
                <w:tab w:val="left" w:pos="2659"/>
              </w:tabs>
              <w:spacing w:before="90" w:line="250" w:lineRule="exact"/>
              <w:ind w:left="34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竣工</w:t>
            </w:r>
            <w:r>
              <w:rPr>
                <w:rFonts w:hint="eastAsia" w:ascii="宋体" w:hAnsi="宋体" w:eastAsia="宋体" w:cs="宋体"/>
                <w:color w:val="auto"/>
                <w:spacing w:val="-3"/>
                <w:sz w:val="21"/>
                <w:szCs w:val="21"/>
                <w:highlight w:val="none"/>
              </w:rPr>
              <w:t>资</w:t>
            </w:r>
            <w:r>
              <w:rPr>
                <w:rFonts w:hint="eastAsia" w:ascii="宋体" w:hAnsi="宋体" w:eastAsia="宋体" w:cs="宋体"/>
                <w:color w:val="auto"/>
                <w:sz w:val="21"/>
                <w:szCs w:val="21"/>
                <w:highlight w:val="none"/>
              </w:rPr>
              <w:t>料</w:t>
            </w:r>
            <w:r>
              <w:rPr>
                <w:rFonts w:hint="eastAsia" w:ascii="宋体" w:hAnsi="宋体" w:eastAsia="宋体" w:cs="宋体"/>
                <w:color w:val="auto"/>
                <w:spacing w:val="-3"/>
                <w:sz w:val="21"/>
                <w:szCs w:val="21"/>
                <w:highlight w:val="none"/>
              </w:rPr>
              <w:t>的</w:t>
            </w:r>
            <w:r>
              <w:rPr>
                <w:rFonts w:hint="eastAsia" w:ascii="宋体" w:hAnsi="宋体" w:eastAsia="宋体" w:cs="宋体"/>
                <w:color w:val="auto"/>
                <w:sz w:val="21"/>
                <w:szCs w:val="21"/>
                <w:highlight w:val="none"/>
              </w:rPr>
              <w:t>份</w:t>
            </w:r>
            <w:r>
              <w:rPr>
                <w:rFonts w:hint="eastAsia" w:ascii="宋体" w:hAnsi="宋体" w:eastAsia="宋体" w:cs="宋体"/>
                <w:color w:val="auto"/>
                <w:spacing w:val="-3"/>
                <w:sz w:val="21"/>
                <w:szCs w:val="21"/>
                <w:highlight w:val="none"/>
              </w:rPr>
              <w:t>数</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份</w:t>
            </w:r>
          </w:p>
        </w:tc>
      </w:tr>
      <w:tr w14:paraId="2F487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29" w:type="dxa"/>
            <w:noWrap w:val="0"/>
            <w:vAlign w:val="top"/>
          </w:tcPr>
          <w:p w14:paraId="15E578FA">
            <w:pPr>
              <w:pStyle w:val="40"/>
              <w:spacing w:before="194"/>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26</w:t>
            </w:r>
          </w:p>
        </w:tc>
        <w:tc>
          <w:tcPr>
            <w:tcW w:w="1111" w:type="dxa"/>
            <w:noWrap w:val="0"/>
            <w:vAlign w:val="top"/>
          </w:tcPr>
          <w:p w14:paraId="46F4B151">
            <w:pPr>
              <w:pStyle w:val="40"/>
              <w:spacing w:before="194"/>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18.5.1</w:t>
            </w:r>
          </w:p>
        </w:tc>
        <w:tc>
          <w:tcPr>
            <w:tcW w:w="7305" w:type="dxa"/>
            <w:noWrap w:val="0"/>
            <w:vAlign w:val="top"/>
          </w:tcPr>
          <w:p w14:paraId="53E8E513">
            <w:pPr>
              <w:pStyle w:val="40"/>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z w:val="21"/>
                <w:szCs w:val="21"/>
                <w:highlight w:val="none"/>
                <w:lang w:eastAsia="zh-CN"/>
              </w:rPr>
              <w:t>单位工程或工程设备是否需投入施工期运行：</w:t>
            </w:r>
            <w:r>
              <w:rPr>
                <w:rFonts w:hint="eastAsia" w:ascii="宋体" w:hAnsi="宋体" w:eastAsia="宋体" w:cs="宋体"/>
                <w:color w:val="auto"/>
                <w:sz w:val="21"/>
                <w:szCs w:val="21"/>
                <w:highlight w:val="none"/>
                <w:u w:val="single"/>
                <w:lang w:eastAsia="zh-CN"/>
              </w:rPr>
              <w:t>是</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53535033">
            <w:pPr>
              <w:pStyle w:val="40"/>
              <w:spacing w:before="92"/>
              <w:ind w:left="347"/>
              <w:rPr>
                <w:rFonts w:hint="eastAsia" w:ascii="宋体" w:hAnsi="宋体" w:eastAsia="宋体" w:cs="宋体"/>
                <w:color w:val="auto"/>
                <w:spacing w:val="17"/>
                <w:sz w:val="21"/>
                <w:szCs w:val="21"/>
                <w:highlight w:val="none"/>
                <w:lang w:eastAsia="zh-CN"/>
              </w:rPr>
            </w:pPr>
            <w:r>
              <w:rPr>
                <w:rFonts w:hint="eastAsia" w:ascii="宋体" w:hAnsi="宋体" w:eastAsia="宋体" w:cs="宋体"/>
                <w:color w:val="auto"/>
                <w:spacing w:val="17"/>
                <w:sz w:val="21"/>
                <w:szCs w:val="21"/>
                <w:highlight w:val="none"/>
                <w:lang w:eastAsia="zh-CN"/>
              </w:rPr>
              <w:t>本项目属于旧路改建，需要在施工期间维持交通畅通。</w:t>
            </w:r>
          </w:p>
        </w:tc>
      </w:tr>
      <w:tr w14:paraId="6306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4" w:hRule="atLeast"/>
        </w:trPr>
        <w:tc>
          <w:tcPr>
            <w:tcW w:w="629" w:type="dxa"/>
            <w:noWrap w:val="0"/>
            <w:vAlign w:val="top"/>
          </w:tcPr>
          <w:p w14:paraId="4A2C0A69">
            <w:pPr>
              <w:pStyle w:val="40"/>
              <w:spacing w:before="11"/>
              <w:rPr>
                <w:rFonts w:hint="eastAsia" w:ascii="宋体" w:hAnsi="宋体" w:eastAsia="宋体" w:cs="宋体"/>
                <w:color w:val="auto"/>
                <w:sz w:val="21"/>
                <w:szCs w:val="21"/>
                <w:highlight w:val="none"/>
                <w:lang w:eastAsia="zh-CN"/>
              </w:rPr>
            </w:pPr>
          </w:p>
          <w:p w14:paraId="4CDDC789">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w:t>
            </w:r>
          </w:p>
        </w:tc>
        <w:tc>
          <w:tcPr>
            <w:tcW w:w="1111" w:type="dxa"/>
            <w:noWrap w:val="0"/>
            <w:vAlign w:val="top"/>
          </w:tcPr>
          <w:p w14:paraId="67305C93">
            <w:pPr>
              <w:pStyle w:val="40"/>
              <w:spacing w:before="11"/>
              <w:rPr>
                <w:rFonts w:hint="eastAsia" w:ascii="宋体" w:hAnsi="宋体" w:eastAsia="宋体" w:cs="宋体"/>
                <w:color w:val="auto"/>
                <w:sz w:val="21"/>
                <w:szCs w:val="21"/>
                <w:highlight w:val="none"/>
              </w:rPr>
            </w:pPr>
          </w:p>
          <w:p w14:paraId="725B4DD2">
            <w:pPr>
              <w:pStyle w:val="40"/>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18.6.1</w:t>
            </w:r>
          </w:p>
        </w:tc>
        <w:tc>
          <w:tcPr>
            <w:tcW w:w="7305" w:type="dxa"/>
            <w:noWrap w:val="0"/>
            <w:vAlign w:val="top"/>
          </w:tcPr>
          <w:p w14:paraId="6F7BCB01">
            <w:pPr>
              <w:pStyle w:val="40"/>
              <w:spacing w:before="89"/>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本工程及工程设备是否进行试运行：</w:t>
            </w:r>
            <w:r>
              <w:rPr>
                <w:rFonts w:hint="eastAsia" w:ascii="宋体" w:hAnsi="宋体" w:eastAsia="宋体" w:cs="宋体"/>
                <w:color w:val="auto"/>
                <w:sz w:val="21"/>
                <w:szCs w:val="21"/>
                <w:highlight w:val="none"/>
                <w:u w:val="single"/>
                <w:lang w:eastAsia="zh-CN"/>
              </w:rPr>
              <w:t>否</w:t>
            </w:r>
            <w:r>
              <w:rPr>
                <w:rFonts w:hint="eastAsia" w:ascii="宋体" w:hAnsi="宋体" w:eastAsia="宋体" w:cs="宋体"/>
                <w:color w:val="auto"/>
                <w:spacing w:val="17"/>
                <w:sz w:val="21"/>
                <w:szCs w:val="21"/>
                <w:highlight w:val="none"/>
                <w:lang w:eastAsia="zh-CN"/>
              </w:rPr>
              <w:t>（</w:t>
            </w:r>
            <w:r>
              <w:rPr>
                <w:rFonts w:hint="eastAsia" w:ascii="宋体" w:hAnsi="宋体" w:eastAsia="宋体" w:cs="宋体"/>
                <w:color w:val="auto"/>
                <w:sz w:val="21"/>
                <w:szCs w:val="21"/>
                <w:highlight w:val="none"/>
                <w:lang w:eastAsia="zh-CN"/>
              </w:rPr>
              <w:t>是</w:t>
            </w:r>
            <w:r>
              <w:rPr>
                <w:rFonts w:hint="eastAsia" w:ascii="宋体" w:hAnsi="宋体" w:eastAsia="宋体" w:cs="宋体"/>
                <w:color w:val="auto"/>
                <w:spacing w:val="-3"/>
                <w:sz w:val="21"/>
                <w:szCs w:val="21"/>
                <w:highlight w:val="none"/>
                <w:lang w:eastAsia="zh-CN"/>
              </w:rPr>
              <w:t>或</w:t>
            </w:r>
            <w:r>
              <w:rPr>
                <w:rFonts w:hint="eastAsia" w:ascii="宋体" w:hAnsi="宋体" w:eastAsia="宋体" w:cs="宋体"/>
                <w:color w:val="auto"/>
                <w:sz w:val="21"/>
                <w:szCs w:val="21"/>
                <w:highlight w:val="none"/>
                <w:lang w:eastAsia="zh-CN"/>
              </w:rPr>
              <w:t>否</w:t>
            </w:r>
            <w:r>
              <w:rPr>
                <w:rFonts w:hint="eastAsia" w:ascii="宋体" w:hAnsi="宋体" w:eastAsia="宋体" w:cs="宋体"/>
                <w:color w:val="auto"/>
                <w:spacing w:val="17"/>
                <w:sz w:val="21"/>
                <w:szCs w:val="21"/>
                <w:highlight w:val="none"/>
                <w:lang w:eastAsia="zh-CN"/>
              </w:rPr>
              <w:t>）</w:t>
            </w:r>
          </w:p>
          <w:p w14:paraId="15869EE4">
            <w:pPr>
              <w:pStyle w:val="40"/>
              <w:tabs>
                <w:tab w:val="left" w:pos="7244"/>
              </w:tabs>
              <w:spacing w:before="91"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如本</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程</w:t>
            </w:r>
            <w:r>
              <w:rPr>
                <w:rFonts w:hint="eastAsia" w:ascii="宋体" w:hAnsi="宋体" w:eastAsia="宋体" w:cs="宋体"/>
                <w:color w:val="auto"/>
                <w:spacing w:val="-3"/>
                <w:sz w:val="21"/>
                <w:szCs w:val="21"/>
                <w:highlight w:val="none"/>
                <w:lang w:eastAsia="zh-CN"/>
              </w:rPr>
              <w:t>及</w:t>
            </w:r>
            <w:r>
              <w:rPr>
                <w:rFonts w:hint="eastAsia" w:ascii="宋体" w:hAnsi="宋体" w:eastAsia="宋体" w:cs="宋体"/>
                <w:color w:val="auto"/>
                <w:sz w:val="21"/>
                <w:szCs w:val="21"/>
                <w:highlight w:val="none"/>
                <w:lang w:eastAsia="zh-CN"/>
              </w:rPr>
              <w:t>工</w:t>
            </w:r>
            <w:r>
              <w:rPr>
                <w:rFonts w:hint="eastAsia" w:ascii="宋体" w:hAnsi="宋体" w:eastAsia="宋体" w:cs="宋体"/>
                <w:color w:val="auto"/>
                <w:spacing w:val="-3"/>
                <w:sz w:val="21"/>
                <w:szCs w:val="21"/>
                <w:highlight w:val="none"/>
                <w:lang w:eastAsia="zh-CN"/>
              </w:rPr>
              <w:t>程</w:t>
            </w:r>
            <w:r>
              <w:rPr>
                <w:rFonts w:hint="eastAsia" w:ascii="宋体" w:hAnsi="宋体" w:eastAsia="宋体" w:cs="宋体"/>
                <w:color w:val="auto"/>
                <w:sz w:val="21"/>
                <w:szCs w:val="21"/>
                <w:highlight w:val="none"/>
                <w:lang w:eastAsia="zh-CN"/>
              </w:rPr>
              <w:t>设</w:t>
            </w:r>
            <w:r>
              <w:rPr>
                <w:rFonts w:hint="eastAsia" w:ascii="宋体" w:hAnsi="宋体" w:eastAsia="宋体" w:cs="宋体"/>
                <w:color w:val="auto"/>
                <w:spacing w:val="-3"/>
                <w:sz w:val="21"/>
                <w:szCs w:val="21"/>
                <w:highlight w:val="none"/>
                <w:lang w:eastAsia="zh-CN"/>
              </w:rPr>
              <w:t>备</w:t>
            </w:r>
            <w:r>
              <w:rPr>
                <w:rFonts w:hint="eastAsia" w:ascii="宋体" w:hAnsi="宋体" w:eastAsia="宋体" w:cs="宋体"/>
                <w:color w:val="auto"/>
                <w:sz w:val="21"/>
                <w:szCs w:val="21"/>
                <w:highlight w:val="none"/>
                <w:lang w:eastAsia="zh-CN"/>
              </w:rPr>
              <w:t>需</w:t>
            </w:r>
            <w:r>
              <w:rPr>
                <w:rFonts w:hint="eastAsia" w:ascii="宋体" w:hAnsi="宋体" w:eastAsia="宋体" w:cs="宋体"/>
                <w:color w:val="auto"/>
                <w:spacing w:val="-3"/>
                <w:sz w:val="21"/>
                <w:szCs w:val="21"/>
                <w:highlight w:val="none"/>
                <w:lang w:eastAsia="zh-CN"/>
              </w:rPr>
              <w:t>要</w:t>
            </w:r>
            <w:r>
              <w:rPr>
                <w:rFonts w:hint="eastAsia" w:ascii="宋体" w:hAnsi="宋体" w:eastAsia="宋体" w:cs="宋体"/>
                <w:color w:val="auto"/>
                <w:sz w:val="21"/>
                <w:szCs w:val="21"/>
                <w:highlight w:val="none"/>
                <w:lang w:eastAsia="zh-CN"/>
              </w:rPr>
              <w:t>进行</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试</w:t>
            </w:r>
            <w:r>
              <w:rPr>
                <w:rFonts w:hint="eastAsia" w:ascii="宋体" w:hAnsi="宋体" w:eastAsia="宋体" w:cs="宋体"/>
                <w:color w:val="auto"/>
                <w:sz w:val="21"/>
                <w:szCs w:val="21"/>
                <w:highlight w:val="none"/>
                <w:lang w:eastAsia="zh-CN"/>
              </w:rPr>
              <w:t>运</w:t>
            </w:r>
            <w:r>
              <w:rPr>
                <w:rFonts w:hint="eastAsia" w:ascii="宋体" w:hAnsi="宋体" w:eastAsia="宋体" w:cs="宋体"/>
                <w:color w:val="auto"/>
                <w:spacing w:val="-3"/>
                <w:sz w:val="21"/>
                <w:szCs w:val="21"/>
                <w:highlight w:val="none"/>
                <w:lang w:eastAsia="zh-CN"/>
              </w:rPr>
              <w:t>行</w:t>
            </w:r>
            <w:r>
              <w:rPr>
                <w:rFonts w:hint="eastAsia" w:ascii="宋体" w:hAnsi="宋体" w:eastAsia="宋体" w:cs="宋体"/>
                <w:color w:val="auto"/>
                <w:sz w:val="21"/>
                <w:szCs w:val="21"/>
                <w:highlight w:val="none"/>
                <w:lang w:eastAsia="zh-CN"/>
              </w:rPr>
              <w:t>的</w:t>
            </w:r>
            <w:r>
              <w:rPr>
                <w:rFonts w:hint="eastAsia" w:ascii="宋体" w:hAnsi="宋体" w:eastAsia="宋体" w:cs="宋体"/>
                <w:color w:val="auto"/>
                <w:spacing w:val="-3"/>
                <w:sz w:val="21"/>
                <w:szCs w:val="21"/>
                <w:highlight w:val="none"/>
                <w:lang w:eastAsia="zh-CN"/>
              </w:rPr>
              <w:t>具</w:t>
            </w:r>
            <w:r>
              <w:rPr>
                <w:rFonts w:hint="eastAsia" w:ascii="宋体" w:hAnsi="宋体" w:eastAsia="宋体" w:cs="宋体"/>
                <w:color w:val="auto"/>
                <w:sz w:val="21"/>
                <w:szCs w:val="21"/>
                <w:highlight w:val="none"/>
                <w:lang w:eastAsia="zh-CN"/>
              </w:rPr>
              <w:t>体规</w:t>
            </w:r>
            <w:r>
              <w:rPr>
                <w:rFonts w:hint="eastAsia" w:ascii="宋体" w:hAnsi="宋体" w:eastAsia="宋体" w:cs="宋体"/>
                <w:color w:val="auto"/>
                <w:spacing w:val="-3"/>
                <w:sz w:val="21"/>
                <w:szCs w:val="21"/>
                <w:highlight w:val="none"/>
                <w:lang w:eastAsia="zh-CN"/>
              </w:rPr>
              <w:t>定</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pacing w:val="-3"/>
                <w:sz w:val="21"/>
                <w:szCs w:val="21"/>
                <w:highlight w:val="none"/>
                <w:lang w:eastAsia="zh-CN"/>
              </w:rPr>
              <w:t>下</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u w:val="single"/>
                <w:lang w:eastAsia="zh-CN"/>
              </w:rPr>
              <w:tab/>
            </w:r>
          </w:p>
        </w:tc>
      </w:tr>
      <w:tr w14:paraId="344CB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2F40D006">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28</w:t>
            </w:r>
          </w:p>
        </w:tc>
        <w:tc>
          <w:tcPr>
            <w:tcW w:w="1111" w:type="dxa"/>
            <w:noWrap w:val="0"/>
            <w:vAlign w:val="top"/>
          </w:tcPr>
          <w:p w14:paraId="1D6D7CEC">
            <w:pPr>
              <w:pStyle w:val="40"/>
              <w:spacing w:before="89" w:line="250" w:lineRule="exact"/>
              <w:ind w:left="107"/>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19.7（1）</w:t>
            </w:r>
          </w:p>
        </w:tc>
        <w:tc>
          <w:tcPr>
            <w:tcW w:w="7305" w:type="dxa"/>
            <w:noWrap w:val="0"/>
            <w:vAlign w:val="top"/>
          </w:tcPr>
          <w:p w14:paraId="5E10123F">
            <w:pPr>
              <w:pStyle w:val="40"/>
              <w:tabs>
                <w:tab w:val="left" w:pos="3816"/>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保修</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自</w:t>
            </w:r>
            <w:r>
              <w:rPr>
                <w:rFonts w:hint="eastAsia" w:ascii="宋体" w:hAnsi="宋体" w:eastAsia="宋体" w:cs="宋体"/>
                <w:color w:val="auto"/>
                <w:sz w:val="21"/>
                <w:szCs w:val="21"/>
                <w:highlight w:val="none"/>
                <w:lang w:eastAsia="zh-CN"/>
              </w:rPr>
              <w:t>实</w:t>
            </w:r>
            <w:r>
              <w:rPr>
                <w:rFonts w:hint="eastAsia" w:ascii="宋体" w:hAnsi="宋体" w:eastAsia="宋体" w:cs="宋体"/>
                <w:color w:val="auto"/>
                <w:spacing w:val="-3"/>
                <w:sz w:val="21"/>
                <w:szCs w:val="21"/>
                <w:highlight w:val="none"/>
                <w:lang w:eastAsia="zh-CN"/>
              </w:rPr>
              <w:t>际</w:t>
            </w:r>
            <w:r>
              <w:rPr>
                <w:rFonts w:hint="eastAsia" w:ascii="宋体" w:hAnsi="宋体" w:eastAsia="宋体" w:cs="宋体"/>
                <w:color w:val="auto"/>
                <w:sz w:val="21"/>
                <w:szCs w:val="21"/>
                <w:highlight w:val="none"/>
                <w:lang w:eastAsia="zh-CN"/>
              </w:rPr>
              <w:t>交</w:t>
            </w:r>
            <w:r>
              <w:rPr>
                <w:rFonts w:hint="eastAsia" w:ascii="宋体" w:hAnsi="宋体" w:eastAsia="宋体" w:cs="宋体"/>
                <w:color w:val="auto"/>
                <w:spacing w:val="-3"/>
                <w:sz w:val="21"/>
                <w:szCs w:val="21"/>
                <w:highlight w:val="none"/>
                <w:lang w:eastAsia="zh-CN"/>
              </w:rPr>
              <w:t>工</w:t>
            </w:r>
            <w:r>
              <w:rPr>
                <w:rFonts w:hint="eastAsia" w:ascii="宋体" w:hAnsi="宋体" w:eastAsia="宋体" w:cs="宋体"/>
                <w:color w:val="auto"/>
                <w:sz w:val="21"/>
                <w:szCs w:val="21"/>
                <w:highlight w:val="none"/>
                <w:lang w:eastAsia="zh-CN"/>
              </w:rPr>
              <w:t>日</w:t>
            </w:r>
            <w:r>
              <w:rPr>
                <w:rFonts w:hint="eastAsia" w:ascii="宋体" w:hAnsi="宋体" w:eastAsia="宋体" w:cs="宋体"/>
                <w:color w:val="auto"/>
                <w:spacing w:val="-3"/>
                <w:sz w:val="21"/>
                <w:szCs w:val="21"/>
                <w:highlight w:val="none"/>
                <w:lang w:eastAsia="zh-CN"/>
              </w:rPr>
              <w:t>期</w:t>
            </w:r>
            <w:r>
              <w:rPr>
                <w:rFonts w:hint="eastAsia" w:ascii="宋体" w:hAnsi="宋体" w:eastAsia="宋体" w:cs="宋体"/>
                <w:color w:val="auto"/>
                <w:sz w:val="21"/>
                <w:szCs w:val="21"/>
                <w:highlight w:val="none"/>
                <w:lang w:eastAsia="zh-CN"/>
              </w:rPr>
              <w:t>起计算</w:t>
            </w:r>
            <w:r>
              <w:rPr>
                <w:rFonts w:hint="eastAsia" w:ascii="宋体" w:hAnsi="宋体" w:eastAsia="宋体" w:cs="宋体"/>
                <w:color w:val="auto"/>
                <w:sz w:val="21"/>
                <w:szCs w:val="21"/>
                <w:highlight w:val="none"/>
                <w:u w:val="single"/>
                <w:lang w:val="en-US" w:eastAsia="zh-CN"/>
              </w:rPr>
              <w:t xml:space="preserve"> 1 </w:t>
            </w:r>
            <w:r>
              <w:rPr>
                <w:rFonts w:hint="eastAsia" w:ascii="宋体" w:hAnsi="宋体" w:eastAsia="宋体" w:cs="宋体"/>
                <w:color w:val="auto"/>
                <w:spacing w:val="-3"/>
                <w:sz w:val="21"/>
                <w:szCs w:val="21"/>
                <w:highlight w:val="none"/>
                <w:lang w:eastAsia="zh-CN"/>
              </w:rPr>
              <w:t>年</w:t>
            </w:r>
          </w:p>
        </w:tc>
      </w:tr>
      <w:tr w14:paraId="5A566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629" w:type="dxa"/>
            <w:noWrap w:val="0"/>
            <w:vAlign w:val="top"/>
          </w:tcPr>
          <w:p w14:paraId="19764335">
            <w:pPr>
              <w:pStyle w:val="40"/>
              <w:spacing w:before="113" w:line="226" w:lineRule="exact"/>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29</w:t>
            </w:r>
          </w:p>
        </w:tc>
        <w:tc>
          <w:tcPr>
            <w:tcW w:w="1111" w:type="dxa"/>
            <w:noWrap w:val="0"/>
            <w:vAlign w:val="top"/>
          </w:tcPr>
          <w:p w14:paraId="020CEA60">
            <w:pPr>
              <w:pStyle w:val="40"/>
              <w:spacing w:before="113" w:line="226" w:lineRule="exact"/>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w:t>
            </w:r>
          </w:p>
        </w:tc>
        <w:tc>
          <w:tcPr>
            <w:tcW w:w="7305" w:type="dxa"/>
            <w:noWrap w:val="0"/>
            <w:vAlign w:val="top"/>
          </w:tcPr>
          <w:p w14:paraId="447676BF">
            <w:pPr>
              <w:pStyle w:val="40"/>
              <w:tabs>
                <w:tab w:val="left" w:pos="3502"/>
              </w:tabs>
              <w:spacing w:before="89" w:line="250" w:lineRule="exact"/>
              <w:ind w:left="347"/>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建筑工程一切险的保险费率：建筑工程一切险的保险费由承包人报价时列入工程量清单100章内。</w:t>
            </w:r>
          </w:p>
        </w:tc>
      </w:tr>
      <w:tr w14:paraId="0F376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629" w:type="dxa"/>
            <w:noWrap w:val="0"/>
            <w:vAlign w:val="top"/>
          </w:tcPr>
          <w:p w14:paraId="533D7D04">
            <w:pPr>
              <w:pStyle w:val="40"/>
              <w:spacing w:before="12"/>
              <w:rPr>
                <w:rFonts w:hint="eastAsia" w:ascii="宋体" w:hAnsi="宋体" w:eastAsia="宋体" w:cs="宋体"/>
                <w:color w:val="auto"/>
                <w:sz w:val="21"/>
                <w:szCs w:val="21"/>
                <w:highlight w:val="none"/>
                <w:lang w:eastAsia="zh-CN"/>
              </w:rPr>
            </w:pPr>
          </w:p>
          <w:p w14:paraId="6C136BEF">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30</w:t>
            </w:r>
          </w:p>
        </w:tc>
        <w:tc>
          <w:tcPr>
            <w:tcW w:w="1111" w:type="dxa"/>
            <w:noWrap w:val="0"/>
            <w:vAlign w:val="top"/>
          </w:tcPr>
          <w:p w14:paraId="042C4A37">
            <w:pPr>
              <w:pStyle w:val="40"/>
              <w:spacing w:before="12"/>
              <w:rPr>
                <w:rFonts w:hint="eastAsia" w:ascii="宋体" w:hAnsi="宋体" w:eastAsia="宋体" w:cs="宋体"/>
                <w:color w:val="auto"/>
                <w:sz w:val="21"/>
                <w:szCs w:val="21"/>
                <w:highlight w:val="none"/>
              </w:rPr>
            </w:pPr>
          </w:p>
          <w:p w14:paraId="56698D57">
            <w:pPr>
              <w:pStyle w:val="40"/>
              <w:ind w:left="29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20.4.2</w:t>
            </w:r>
          </w:p>
        </w:tc>
        <w:tc>
          <w:tcPr>
            <w:tcW w:w="7305" w:type="dxa"/>
            <w:noWrap w:val="0"/>
            <w:vAlign w:val="top"/>
          </w:tcPr>
          <w:p w14:paraId="0AFEAAAB">
            <w:pPr>
              <w:pStyle w:val="40"/>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安全生产责任险及第三者责任险由承包人以承包人与项目法人的名义联名投保，保险费由承包人承担并支付，投标人应在所报的单价或总额价中对该保险费予以考虑，项目法人不单独进行计量与支付。</w:t>
            </w:r>
          </w:p>
          <w:p w14:paraId="27E4E841">
            <w:pPr>
              <w:pStyle w:val="40"/>
              <w:tabs>
                <w:tab w:val="left" w:pos="1817"/>
                <w:tab w:val="left" w:pos="3814"/>
              </w:tabs>
              <w:spacing w:before="12" w:line="360" w:lineRule="exact"/>
              <w:ind w:left="5" w:right="118" w:firstLine="338" w:firstLineChars="161"/>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安全生产责任险及第三者责任险的最低投保金额：按工程建设地相关规定执行</w:t>
            </w:r>
          </w:p>
        </w:tc>
      </w:tr>
      <w:tr w14:paraId="03D33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629" w:type="dxa"/>
            <w:noWrap w:val="0"/>
            <w:vAlign w:val="top"/>
          </w:tcPr>
          <w:p w14:paraId="73CAA999">
            <w:pPr>
              <w:pStyle w:val="40"/>
              <w:spacing w:before="12"/>
              <w:rPr>
                <w:rFonts w:hint="eastAsia" w:ascii="宋体" w:hAnsi="宋体" w:eastAsia="宋体" w:cs="宋体"/>
                <w:color w:val="auto"/>
                <w:sz w:val="21"/>
                <w:szCs w:val="21"/>
                <w:highlight w:val="none"/>
                <w:lang w:eastAsia="zh-CN"/>
              </w:rPr>
            </w:pPr>
          </w:p>
          <w:p w14:paraId="601A7544">
            <w:pPr>
              <w:pStyle w:val="40"/>
              <w:ind w:left="83" w:right="7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31</w:t>
            </w:r>
          </w:p>
        </w:tc>
        <w:tc>
          <w:tcPr>
            <w:tcW w:w="1111" w:type="dxa"/>
            <w:noWrap w:val="0"/>
            <w:vAlign w:val="top"/>
          </w:tcPr>
          <w:p w14:paraId="30ED888B">
            <w:pPr>
              <w:pStyle w:val="40"/>
              <w:spacing w:before="12"/>
              <w:rPr>
                <w:rFonts w:hint="eastAsia" w:ascii="宋体" w:hAnsi="宋体" w:eastAsia="宋体" w:cs="宋体"/>
                <w:color w:val="auto"/>
                <w:sz w:val="21"/>
                <w:szCs w:val="21"/>
                <w:highlight w:val="none"/>
              </w:rPr>
            </w:pPr>
          </w:p>
          <w:p w14:paraId="0FFF1C34">
            <w:pPr>
              <w:pStyle w:val="40"/>
              <w:ind w:left="3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24.1</w:t>
            </w:r>
          </w:p>
        </w:tc>
        <w:tc>
          <w:tcPr>
            <w:tcW w:w="7305" w:type="dxa"/>
            <w:noWrap w:val="0"/>
            <w:vAlign w:val="top"/>
          </w:tcPr>
          <w:p w14:paraId="1D4CE737">
            <w:pPr>
              <w:pStyle w:val="40"/>
              <w:tabs>
                <w:tab w:val="left" w:pos="3900"/>
              </w:tabs>
              <w:spacing w:before="78"/>
              <w:ind w:left="328"/>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争议</w:t>
            </w:r>
            <w:r>
              <w:rPr>
                <w:rFonts w:hint="eastAsia" w:ascii="宋体" w:hAnsi="宋体" w:eastAsia="宋体" w:cs="宋体"/>
                <w:color w:val="auto"/>
                <w:spacing w:val="-3"/>
                <w:sz w:val="21"/>
                <w:szCs w:val="21"/>
                <w:highlight w:val="none"/>
                <w:lang w:eastAsia="zh-CN"/>
              </w:rPr>
              <w:t>的</w:t>
            </w:r>
            <w:r>
              <w:rPr>
                <w:rFonts w:hint="eastAsia" w:ascii="宋体" w:hAnsi="宋体" w:eastAsia="宋体" w:cs="宋体"/>
                <w:color w:val="auto"/>
                <w:sz w:val="21"/>
                <w:szCs w:val="21"/>
                <w:highlight w:val="none"/>
                <w:lang w:eastAsia="zh-CN"/>
              </w:rPr>
              <w:t>最</w:t>
            </w:r>
            <w:r>
              <w:rPr>
                <w:rFonts w:hint="eastAsia" w:ascii="宋体" w:hAnsi="宋体" w:eastAsia="宋体" w:cs="宋体"/>
                <w:color w:val="auto"/>
                <w:spacing w:val="-3"/>
                <w:sz w:val="21"/>
                <w:szCs w:val="21"/>
                <w:highlight w:val="none"/>
                <w:lang w:eastAsia="zh-CN"/>
              </w:rPr>
              <w:t>终</w:t>
            </w:r>
            <w:r>
              <w:rPr>
                <w:rFonts w:hint="eastAsia" w:ascii="宋体" w:hAnsi="宋体" w:eastAsia="宋体" w:cs="宋体"/>
                <w:color w:val="auto"/>
                <w:sz w:val="21"/>
                <w:szCs w:val="21"/>
                <w:highlight w:val="none"/>
                <w:lang w:eastAsia="zh-CN"/>
              </w:rPr>
              <w:t>解</w:t>
            </w:r>
            <w:r>
              <w:rPr>
                <w:rFonts w:hint="eastAsia" w:ascii="宋体" w:hAnsi="宋体" w:eastAsia="宋体" w:cs="宋体"/>
                <w:color w:val="auto"/>
                <w:spacing w:val="-3"/>
                <w:sz w:val="21"/>
                <w:szCs w:val="21"/>
                <w:highlight w:val="none"/>
                <w:lang w:eastAsia="zh-CN"/>
              </w:rPr>
              <w:t>决</w:t>
            </w:r>
            <w:r>
              <w:rPr>
                <w:rFonts w:hint="eastAsia" w:ascii="宋体" w:hAnsi="宋体" w:eastAsia="宋体" w:cs="宋体"/>
                <w:color w:val="auto"/>
                <w:sz w:val="21"/>
                <w:szCs w:val="21"/>
                <w:highlight w:val="none"/>
                <w:lang w:eastAsia="zh-CN"/>
              </w:rPr>
              <w:t>方</w:t>
            </w:r>
            <w:r>
              <w:rPr>
                <w:rFonts w:hint="eastAsia" w:ascii="宋体" w:hAnsi="宋体" w:eastAsia="宋体" w:cs="宋体"/>
                <w:color w:val="auto"/>
                <w:spacing w:val="-3"/>
                <w:sz w:val="21"/>
                <w:szCs w:val="21"/>
                <w:highlight w:val="none"/>
                <w:lang w:eastAsia="zh-CN"/>
              </w:rPr>
              <w:t>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eastAsia="zh-CN"/>
              </w:rPr>
              <w:t xml:space="preserve">向项目所在地人民法院诉讼    </w:t>
            </w:r>
          </w:p>
          <w:p w14:paraId="7CF05E40">
            <w:pPr>
              <w:pStyle w:val="40"/>
              <w:tabs>
                <w:tab w:val="left" w:pos="3900"/>
              </w:tabs>
              <w:spacing w:before="78"/>
              <w:ind w:left="328"/>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1"/>
                <w:sz w:val="21"/>
                <w:szCs w:val="21"/>
                <w:highlight w:val="none"/>
                <w:lang w:eastAsia="zh-CN"/>
              </w:rPr>
              <w:t>如采</w:t>
            </w:r>
            <w:r>
              <w:rPr>
                <w:rFonts w:hint="eastAsia" w:ascii="宋体" w:hAnsi="宋体" w:eastAsia="宋体" w:cs="宋体"/>
                <w:color w:val="auto"/>
                <w:spacing w:val="-3"/>
                <w:sz w:val="21"/>
                <w:szCs w:val="21"/>
                <w:highlight w:val="none"/>
                <w:lang w:eastAsia="zh-CN"/>
              </w:rPr>
              <w:t>用</w:t>
            </w:r>
            <w:r>
              <w:rPr>
                <w:rFonts w:hint="eastAsia" w:ascii="宋体" w:hAnsi="宋体" w:eastAsia="宋体" w:cs="宋体"/>
                <w:color w:val="auto"/>
                <w:sz w:val="21"/>
                <w:szCs w:val="21"/>
                <w:highlight w:val="none"/>
                <w:lang w:eastAsia="zh-CN"/>
              </w:rPr>
              <w:t>仲</w:t>
            </w:r>
            <w:r>
              <w:rPr>
                <w:rFonts w:hint="eastAsia" w:ascii="宋体" w:hAnsi="宋体" w:eastAsia="宋体" w:cs="宋体"/>
                <w:color w:val="auto"/>
                <w:spacing w:val="-3"/>
                <w:sz w:val="21"/>
                <w:szCs w:val="21"/>
                <w:highlight w:val="none"/>
                <w:lang w:eastAsia="zh-CN"/>
              </w:rPr>
              <w:t>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pacing w:val="-3"/>
                <w:sz w:val="21"/>
                <w:szCs w:val="21"/>
                <w:highlight w:val="none"/>
                <w:lang w:eastAsia="zh-CN"/>
              </w:rPr>
              <w:t>仲</w:t>
            </w:r>
            <w:r>
              <w:rPr>
                <w:rFonts w:hint="eastAsia" w:ascii="宋体" w:hAnsi="宋体" w:eastAsia="宋体" w:cs="宋体"/>
                <w:color w:val="auto"/>
                <w:sz w:val="21"/>
                <w:szCs w:val="21"/>
                <w:highlight w:val="none"/>
                <w:lang w:eastAsia="zh-CN"/>
              </w:rPr>
              <w:t>裁</w:t>
            </w:r>
            <w:r>
              <w:rPr>
                <w:rFonts w:hint="eastAsia" w:ascii="宋体" w:hAnsi="宋体" w:eastAsia="宋体" w:cs="宋体"/>
                <w:color w:val="auto"/>
                <w:spacing w:val="-3"/>
                <w:sz w:val="21"/>
                <w:szCs w:val="21"/>
                <w:highlight w:val="none"/>
                <w:lang w:eastAsia="zh-CN"/>
              </w:rPr>
              <w:t>委</w:t>
            </w:r>
            <w:r>
              <w:rPr>
                <w:rFonts w:hint="eastAsia" w:ascii="宋体" w:hAnsi="宋体" w:eastAsia="宋体" w:cs="宋体"/>
                <w:color w:val="auto"/>
                <w:sz w:val="21"/>
                <w:szCs w:val="21"/>
                <w:highlight w:val="none"/>
                <w:lang w:eastAsia="zh-CN"/>
              </w:rPr>
              <w:t>员</w:t>
            </w:r>
            <w:r>
              <w:rPr>
                <w:rFonts w:hint="eastAsia" w:ascii="宋体" w:hAnsi="宋体" w:eastAsia="宋体" w:cs="宋体"/>
                <w:color w:val="auto"/>
                <w:spacing w:val="-3"/>
                <w:sz w:val="21"/>
                <w:szCs w:val="21"/>
                <w:highlight w:val="none"/>
                <w:lang w:eastAsia="zh-CN"/>
              </w:rPr>
              <w:t>会</w:t>
            </w:r>
            <w:r>
              <w:rPr>
                <w:rFonts w:hint="eastAsia" w:ascii="宋体" w:hAnsi="宋体" w:eastAsia="宋体" w:cs="宋体"/>
                <w:color w:val="auto"/>
                <w:sz w:val="21"/>
                <w:szCs w:val="21"/>
                <w:highlight w:val="none"/>
                <w:lang w:eastAsia="zh-CN"/>
              </w:rPr>
              <w:t>名称：</w:t>
            </w:r>
            <w:r>
              <w:rPr>
                <w:rFonts w:hint="eastAsia" w:ascii="宋体" w:hAnsi="宋体" w:eastAsia="宋体" w:cs="宋体"/>
                <w:color w:val="auto"/>
                <w:sz w:val="21"/>
                <w:szCs w:val="21"/>
                <w:highlight w:val="none"/>
                <w:u w:val="single"/>
                <w:lang w:eastAsia="zh-CN"/>
              </w:rPr>
              <w:t xml:space="preserve"> </w:t>
            </w:r>
            <w:r>
              <w:rPr>
                <w:rFonts w:hint="eastAsia" w:ascii="宋体" w:hAnsi="宋体" w:eastAsia="宋体" w:cs="宋体"/>
                <w:color w:val="auto"/>
                <w:sz w:val="21"/>
                <w:szCs w:val="21"/>
                <w:highlight w:val="none"/>
                <w:u w:val="single"/>
                <w:lang w:val="en-US" w:eastAsia="zh-CN"/>
              </w:rPr>
              <w:t>防城港</w:t>
            </w:r>
            <w:r>
              <w:rPr>
                <w:rFonts w:hint="eastAsia" w:ascii="宋体" w:hAnsi="宋体" w:eastAsia="宋体" w:cs="宋体"/>
                <w:color w:val="auto"/>
                <w:sz w:val="21"/>
                <w:szCs w:val="21"/>
                <w:highlight w:val="none"/>
                <w:u w:val="single"/>
                <w:lang w:eastAsia="zh-CN"/>
              </w:rPr>
              <w:t xml:space="preserve">市仲裁委员会 </w:t>
            </w:r>
          </w:p>
        </w:tc>
      </w:tr>
    </w:tbl>
    <w:p w14:paraId="123822F1">
      <w:pPr>
        <w:tabs>
          <w:tab w:val="left" w:pos="1080"/>
        </w:tabs>
        <w:spacing w:line="28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6367601A">
      <w:pPr>
        <w:pStyle w:val="3"/>
        <w:pageBreakBefore w:val="0"/>
        <w:widowControl w:val="0"/>
        <w:kinsoku/>
        <w:wordWrap/>
        <w:overflowPunct/>
        <w:topLinePunct w:val="0"/>
        <w:autoSpaceDE/>
        <w:autoSpaceDN/>
        <w:bidi w:val="0"/>
        <w:adjustRightInd/>
        <w:spacing w:before="0" w:after="0" w:line="360" w:lineRule="auto"/>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项目专用合同条款</w:t>
      </w:r>
      <w:bookmarkEnd w:id="466"/>
      <w:bookmarkEnd w:id="467"/>
      <w:bookmarkEnd w:id="468"/>
      <w:bookmarkEnd w:id="469"/>
    </w:p>
    <w:p w14:paraId="7C5328BD">
      <w:pPr>
        <w:pageBreakBefore w:val="0"/>
        <w:widowControl w:val="0"/>
        <w:kinsoku/>
        <w:wordWrap/>
        <w:overflowPunct/>
        <w:topLinePunct w:val="0"/>
        <w:autoSpaceDE/>
        <w:autoSpaceDN/>
        <w:bidi w:val="0"/>
        <w:adjustRightInd/>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说明：本部分所列的项目专用合同条款是对“公路工程专用合同条款”中规定必须在  项目专用合同条款中明确的内容的集中，采购人编制的“项目专用合同条款” 不限于本部分所列内容。</w:t>
      </w:r>
    </w:p>
    <w:p w14:paraId="46068140">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4.1承包人的一般义务</w:t>
      </w:r>
    </w:p>
    <w:p w14:paraId="6D71ACD3">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4.1.10 其他义务</w:t>
      </w:r>
    </w:p>
    <w:p w14:paraId="28F97DE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（4）承包人应履行的其他义务：</w:t>
      </w:r>
      <w:r>
        <w:rPr>
          <w:rFonts w:hint="eastAsia" w:ascii="宋体" w:hAnsi="宋体" w:eastAsia="宋体" w:cs="宋体"/>
          <w:color w:val="auto"/>
          <w:szCs w:val="21"/>
          <w:highlight w:val="none"/>
          <w:u w:val="single"/>
        </w:rPr>
        <w:t>除项目专用合同条款另有约定外，临时占地的租地费用实行总额包干，列入工程量清单第 100 章中由承包人按总额报价。编制招标清单时，应把该项列入招标清单。</w:t>
      </w:r>
    </w:p>
    <w:p w14:paraId="22E7D571">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4.6承包人人员的管理</w:t>
      </w:r>
    </w:p>
    <w:p w14:paraId="72529466">
      <w:pPr>
        <w:pageBreakBefore w:val="0"/>
        <w:widowControl w:val="0"/>
        <w:tabs>
          <w:tab w:val="left" w:pos="108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（增加）4.6.6 项目经理、总工每月驻现场的时间应不少于22天，因故需离开工地应得到业主、监理工程师的许可，否则将按第22.1款视为承包人违约。</w:t>
      </w:r>
    </w:p>
    <w:p w14:paraId="683E8488">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承包人安排在施工场地的主要管理人员和技术骨干人员每月驻现场的时间应不少于22天，除非经业主、监理工程师同意，否则将按第22.1款视为承包人违约。</w:t>
      </w:r>
    </w:p>
    <w:p w14:paraId="72A81C52">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4.11不利物质条件</w:t>
      </w:r>
    </w:p>
    <w:p w14:paraId="38E4131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4.11.1不利物质条件的范围：</w:t>
      </w:r>
      <w:r>
        <w:rPr>
          <w:rFonts w:hint="eastAsia" w:ascii="宋体" w:hAnsi="宋体" w:eastAsia="宋体" w:cs="宋体"/>
          <w:color w:val="auto"/>
          <w:szCs w:val="21"/>
          <w:highlight w:val="none"/>
          <w:u w:val="single"/>
        </w:rPr>
        <w:t xml:space="preserve">  按通用条款内容    </w:t>
      </w:r>
    </w:p>
    <w:p w14:paraId="27C220F5">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10.1 合同进度计划</w:t>
      </w:r>
    </w:p>
    <w:p w14:paraId="437B531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承包人编制施工方案的内容：</w:t>
      </w:r>
      <w:r>
        <w:rPr>
          <w:rFonts w:hint="eastAsia" w:ascii="宋体" w:hAnsi="宋体" w:eastAsia="宋体" w:cs="宋体"/>
          <w:color w:val="auto"/>
          <w:szCs w:val="21"/>
          <w:highlight w:val="none"/>
          <w:u w:val="single"/>
        </w:rPr>
        <w:t xml:space="preserve"> 承包人应在签订合同协议书后 7 天内，向监理人提交 2 份其格式和内容符合监理人规定的工程进度计划，以及为完成该计划而建议采用的实施性的施工安排和施工方案的说明。监理人应在收到该计划后 7 天内审查同意或提出修改意见，否则该进度计划视为已得到批准。经监理人批准的施工进度计划称为合同进度计划，是控制合同工程进度的依据。工程进度计划应按照关键线路网络图和主要工作横道图两种形式分别绘制，并应包括每月预计完成的工作量和形象进度。</w:t>
      </w:r>
    </w:p>
    <w:p w14:paraId="39394D36">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11.4异常恶劣的气候条件</w:t>
      </w:r>
    </w:p>
    <w:p w14:paraId="060DF36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异常恶劣的气候条件的范围：</w:t>
      </w:r>
      <w:r>
        <w:rPr>
          <w:rFonts w:hint="eastAsia" w:ascii="宋体" w:hAnsi="宋体" w:eastAsia="宋体" w:cs="宋体"/>
          <w:color w:val="auto"/>
          <w:szCs w:val="21"/>
          <w:highlight w:val="none"/>
          <w:u w:val="single"/>
        </w:rPr>
        <w:t>异常恶劣的气候条件，对本项目而言，指发生烈度7度（含7度）以上地震、龙卷风、施工场地受淹超过业主提供的设计图纸指明的设计洪水水位引起的延误的情况。</w:t>
      </w:r>
    </w:p>
    <w:p w14:paraId="485663FA">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12.1承包人暂停施工的责任</w:t>
      </w:r>
    </w:p>
    <w:p w14:paraId="46DDB4A0">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12.1（6）由承包人承担的其他暂停施工：</w:t>
      </w:r>
      <w:r>
        <w:rPr>
          <w:rFonts w:hint="eastAsia" w:ascii="宋体" w:hAnsi="宋体" w:eastAsia="宋体" w:cs="宋体"/>
          <w:color w:val="auto"/>
          <w:szCs w:val="21"/>
          <w:highlight w:val="none"/>
          <w:u w:val="single"/>
        </w:rPr>
        <w:t xml:space="preserve">      /          </w:t>
      </w:r>
    </w:p>
    <w:p w14:paraId="3B917340">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13.3承包人的质量检查</w:t>
      </w:r>
    </w:p>
    <w:p w14:paraId="768AEAC9">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增加内容：落实质量责任制和健全质量保证体系</w:t>
      </w:r>
    </w:p>
    <w:p w14:paraId="57CF80B9">
      <w:pPr>
        <w:pageBreakBefore w:val="0"/>
        <w:widowControl w:val="0"/>
        <w:kinsoku/>
        <w:wordWrap/>
        <w:overflowPunct/>
        <w:topLinePunct w:val="0"/>
        <w:autoSpaceDE/>
        <w:autoSpaceDN/>
        <w:bidi w:val="0"/>
        <w:adjustRightInd/>
        <w:spacing w:line="360" w:lineRule="auto"/>
        <w:ind w:firstLine="525" w:firstLineChars="25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(1)分项施工现场应实行标示牌管理，写明作业内容、项目质量管理责任人(施工作业管理专业工程师、试验、测量、质检工程师、总工、项目经理及监理工程师及现场监理)和质量管理举报电话； </w:t>
      </w:r>
    </w:p>
    <w:p w14:paraId="68F5925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（2）认真执行三检制度：</w:t>
      </w:r>
    </w:p>
    <w:p w14:paraId="1BF29462">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施工作业管理的专业工程师在测量、试验工程师配合下完成施工自检并作施工记录（工艺及原材料使用等）；</w:t>
      </w:r>
    </w:p>
    <w:p w14:paraId="7A45389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质检工程师在测量、试验工程师配合下加强中间质量检测，严格控制工序质量，及时完成工序、分项完工检验并提交质量检验记录，收集工序、分项资料与检验申请经项目总工签认后报送监理工程师。</w:t>
      </w:r>
    </w:p>
    <w:p w14:paraId="3777B81B">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试验、测量工程师根据施工质检需要完成试验与测量作业并及时交检验结果报告专业工程师、质检工程师。</w:t>
      </w:r>
    </w:p>
    <w:p w14:paraId="2A20E628">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保证质量责任制的落实，必须做到“三个到位”、“三个同时”，即：质量管理人员到位，检测工具到位，记录表格到位；施工作业与专业工程师质量检查、检验同时，承包人质量检验工程师、监理的检验与施工作业同时，检查、检验与记录同时。</w:t>
      </w:r>
    </w:p>
    <w:p w14:paraId="2D196871">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(3)质量管理记录的原始记录包括作业记录、测量记录、试验记录、检验记录及验收记录，地基、基础、填挖交界碾压，墙台背回填等隐蔽工程应摄象或照相作为现场记录保存。</w:t>
      </w:r>
    </w:p>
    <w:p w14:paraId="157B6933">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(4)加强对质量通病的预防与治理，减少工程质量隐患。</w:t>
      </w:r>
    </w:p>
    <w:p w14:paraId="040F2E15">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(5)承包人应加强工程进度计划管理，努力实现均衡组织施工的目标。</w:t>
      </w:r>
    </w:p>
    <w:p w14:paraId="0F894AAF">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旧路改建工程或施工影响原有道路交通的，应根据施工必须保证交通通畅的特点，科学合理安排施工时间，采取妥当的施工方法，避免在雨季破坏旧路利用新路基维持交通，对破坏旧路的路段应及时安排路面施工，确保不影响道路交通畅通。关键工程及分项应有独立详细的施工组织设计，并采取措施确保落实。</w:t>
      </w:r>
    </w:p>
    <w:p w14:paraId="132DAE5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b.路面碎石材料的采备至少应与路基施工进度同步。</w:t>
      </w:r>
    </w:p>
    <w:p w14:paraId="3CB2156A">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(7)承包人应加强文明施工，保障道路通畅的管理</w:t>
      </w:r>
    </w:p>
    <w:p w14:paraId="1318ECFE">
      <w:pPr>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a.承包人在施工期内应按国家、交通主管部门与公路管理机构文明施工，保障畅通的有关规定组织施工，对出现的交通堵塞无条件地采取措施进行疏通。</w:t>
      </w:r>
    </w:p>
    <w:p w14:paraId="527C09A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b 旧路改建工程项目</w:t>
      </w:r>
    </w:p>
    <w:p w14:paraId="41775298">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(i)破坏旧路必须作出交通维持与恢复路面通行条件方案并必须取得监理工程师与业主的批准，未经批准进行旧路开挖与填筑的，业主和监理工程师 有权责令停工，并由承包人恢复原良好的通车条件，并需承担一切费用。</w:t>
      </w:r>
    </w:p>
    <w:p w14:paraId="29632F9B">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(ii)不得在道路上堆放材料或占道施工影响交通。</w:t>
      </w:r>
    </w:p>
    <w:p w14:paraId="6ECFD142">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路基、路面施工应避免出现晴天扬尘，雨天打滑影响安全与交通和影响群众生活、生产的现象。维持交通的路基施工应保证表面平整，保证通畅。</w:t>
      </w:r>
    </w:p>
    <w:p w14:paraId="4CA241D1">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(8)承包人应自觉接受交通主管部门、质量监督单位、公路管理机构的监督，对指出的问题进行认真的整改，及时报告处理结果。</w:t>
      </w:r>
    </w:p>
    <w:p w14:paraId="6B6EEFCE">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在整个施工过程中，监理工程师、业主对承包人履行责任有权进行监督，并向承包人提出整改要求。承包人应认真履行责任，执行业主、监理工程师的指令，否则将按第22.1款视为承包人违约。</w:t>
      </w:r>
    </w:p>
    <w:p w14:paraId="6899ECB9">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17.3 工程进度付款</w:t>
      </w:r>
    </w:p>
    <w:p w14:paraId="661EF50A">
      <w:pPr>
        <w:wordWrap w:val="0"/>
        <w:topLinePunct/>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17.3.5 农民工工资保障金的缴存时间：</w:t>
      </w:r>
      <w:r>
        <w:rPr>
          <w:rFonts w:hint="eastAsia" w:ascii="宋体" w:hAnsi="宋体" w:cs="宋体"/>
          <w:color w:val="auto"/>
          <w:szCs w:val="21"/>
          <w:highlight w:val="none"/>
          <w:u w:val="single"/>
        </w:rPr>
        <w:t>领取中标通知书之日起</w:t>
      </w:r>
      <w:r>
        <w:rPr>
          <w:rFonts w:hint="eastAsia" w:ascii="宋体" w:hAnsi="宋体" w:cs="宋体"/>
          <w:color w:val="auto"/>
          <w:szCs w:val="21"/>
          <w:highlight w:val="none"/>
          <w:u w:val="single"/>
          <w:lang w:val="en-US" w:eastAsia="zh-CN"/>
        </w:rPr>
        <w:t>10</w:t>
      </w:r>
      <w:r>
        <w:rPr>
          <w:rFonts w:hint="eastAsia" w:ascii="宋体" w:hAnsi="宋体" w:cs="宋体"/>
          <w:color w:val="auto"/>
          <w:szCs w:val="21"/>
          <w:highlight w:val="none"/>
          <w:u w:val="single"/>
        </w:rPr>
        <w:t>天内</w:t>
      </w:r>
    </w:p>
    <w:p w14:paraId="6E807E7F">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农民工工资保障金的缴存金额：</w:t>
      </w:r>
      <w:r>
        <w:rPr>
          <w:rFonts w:hint="eastAsia" w:ascii="宋体" w:hAnsi="宋体" w:cs="宋体"/>
          <w:color w:val="auto"/>
          <w:szCs w:val="21"/>
          <w:highlight w:val="none"/>
          <w:u w:val="single"/>
        </w:rPr>
        <w:t>2%签约合同价</w:t>
      </w:r>
    </w:p>
    <w:p w14:paraId="175420D1">
      <w:pPr>
        <w:wordWrap w:val="0"/>
        <w:topLinePunct/>
        <w:spacing w:line="360" w:lineRule="auto"/>
        <w:ind w:firstLine="371" w:firstLineChars="177"/>
        <w:rPr>
          <w:rFonts w:ascii="宋体" w:hAnsi="宋体" w:cs="宋体"/>
          <w:color w:val="auto"/>
          <w:szCs w:val="21"/>
          <w:highlight w:val="none"/>
        </w:rPr>
      </w:pPr>
      <w:r>
        <w:rPr>
          <w:rFonts w:hint="eastAsia" w:ascii="宋体" w:hAnsi="宋体" w:cs="宋体"/>
          <w:color w:val="auto"/>
          <w:szCs w:val="21"/>
          <w:highlight w:val="none"/>
        </w:rPr>
        <w:t>农民工工资保障金的扣留条件：</w:t>
      </w:r>
      <w:r>
        <w:rPr>
          <w:rFonts w:hint="eastAsia" w:ascii="宋体" w:hAnsi="宋体" w:cs="宋体"/>
          <w:color w:val="auto"/>
          <w:szCs w:val="21"/>
          <w:highlight w:val="none"/>
          <w:u w:val="single"/>
        </w:rPr>
        <w:t>一旦承包人出现拖欠工程款导致无法按时足额支付农民工工资时。</w:t>
      </w:r>
    </w:p>
    <w:p w14:paraId="6C9AC137">
      <w:pPr>
        <w:wordWrap w:val="0"/>
        <w:topLinePunct/>
        <w:spacing w:line="360" w:lineRule="auto"/>
        <w:ind w:firstLine="315" w:firstLineChars="150"/>
        <w:rPr>
          <w:rFonts w:ascii="宋体" w:hAnsi="宋体" w:cs="宋体"/>
          <w:color w:val="auto"/>
          <w:szCs w:val="21"/>
          <w:highlight w:val="none"/>
        </w:rPr>
      </w:pPr>
      <w:r>
        <w:rPr>
          <w:rFonts w:hint="eastAsia" w:ascii="宋体" w:hAnsi="宋体" w:cs="宋体"/>
          <w:color w:val="auto"/>
          <w:szCs w:val="21"/>
          <w:highlight w:val="none"/>
        </w:rPr>
        <w:t>农民工工资保障金的返还时间：</w:t>
      </w:r>
      <w:r>
        <w:rPr>
          <w:rFonts w:hint="eastAsia" w:ascii="宋体" w:hAnsi="宋体" w:cs="宋体"/>
          <w:color w:val="auto"/>
          <w:szCs w:val="21"/>
          <w:highlight w:val="none"/>
          <w:u w:val="single"/>
        </w:rPr>
        <w:t>工程交工验收后。</w:t>
      </w:r>
      <w:bookmarkStart w:id="470" w:name="page159"/>
      <w:bookmarkEnd w:id="470"/>
      <w:r>
        <w:rPr>
          <w:rFonts w:hint="eastAsia" w:ascii="宋体" w:hAnsi="宋体" w:cs="宋体"/>
          <w:color w:val="auto"/>
          <w:szCs w:val="21"/>
          <w:highlight w:val="none"/>
        </w:rPr>
        <w:t>　　</w:t>
      </w:r>
    </w:p>
    <w:p w14:paraId="59378488">
      <w:pPr>
        <w:wordWrap w:val="0"/>
        <w:topLinePunct/>
        <w:spacing w:line="360" w:lineRule="auto"/>
        <w:ind w:left="191" w:leftChars="91" w:firstLine="210" w:firstLineChars="100"/>
        <w:rPr>
          <w:rFonts w:ascii="宋体" w:hAnsi="宋体" w:cs="宋体"/>
          <w:color w:val="auto"/>
          <w:szCs w:val="21"/>
          <w:highlight w:val="none"/>
        </w:rPr>
      </w:pPr>
      <w:r>
        <w:rPr>
          <w:rFonts w:hint="eastAsia" w:ascii="宋体" w:hAnsi="宋体" w:cs="宋体"/>
          <w:color w:val="auto"/>
          <w:szCs w:val="21"/>
          <w:highlight w:val="none"/>
        </w:rPr>
        <w:t>17.4.1补充：</w:t>
      </w:r>
    </w:p>
    <w:p w14:paraId="6E9DECEF">
      <w:pPr>
        <w:wordWrap w:val="0"/>
        <w:topLinePunct/>
        <w:spacing w:line="360" w:lineRule="auto"/>
        <w:ind w:firstLine="371" w:firstLineChars="177"/>
        <w:rPr>
          <w:rFonts w:hint="eastAsia" w:ascii="宋体" w:hAnsi="宋体" w:eastAsia="宋体" w:cs="宋体"/>
          <w:b/>
          <w:color w:val="auto"/>
          <w:szCs w:val="21"/>
          <w:highlight w:val="none"/>
        </w:rPr>
      </w:pPr>
      <w:r>
        <w:rPr>
          <w:rFonts w:hint="eastAsia" w:ascii="宋体" w:hAnsi="宋体" w:cs="宋体"/>
          <w:color w:val="auto"/>
          <w:szCs w:val="21"/>
          <w:highlight w:val="none"/>
          <w:u w:val="single"/>
        </w:rPr>
        <w:t>质量保证金缴纳方式：交工验收完成结算审计后，发包人支付工程款至经审计的结算价的9</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%，扣留</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u w:val="single"/>
        </w:rPr>
        <w:t>%作为质量保证金。</w:t>
      </w:r>
    </w:p>
    <w:p w14:paraId="1134FC0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18.3 验收</w:t>
      </w:r>
    </w:p>
    <w:p w14:paraId="748498CA">
      <w:pPr>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18.3.7 （增加）组织办理交工验收和签发交工证书的费用由承包人承担，其费用包含在相关单价或总额价中，业主不单独另外计量与支付。</w:t>
      </w:r>
    </w:p>
    <w:p w14:paraId="749B33F6">
      <w:pPr>
        <w:pageBreakBefore w:val="0"/>
        <w:widowControl w:val="0"/>
        <w:tabs>
          <w:tab w:val="left" w:pos="1080"/>
        </w:tabs>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18.9竣工文件</w:t>
      </w:r>
    </w:p>
    <w:p w14:paraId="5E5166B4">
      <w:pPr>
        <w:pageBreakBefore w:val="0"/>
        <w:widowControl w:val="0"/>
        <w:kinsoku/>
        <w:wordWrap/>
        <w:overflowPunct/>
        <w:topLinePunct w:val="0"/>
        <w:autoSpaceDE/>
        <w:autoSpaceDN/>
        <w:bidi w:val="0"/>
        <w:adjustRightInd/>
        <w:spacing w:line="360" w:lineRule="auto"/>
        <w:textAlignment w:val="auto"/>
        <w:rPr>
          <w:rFonts w:hint="default" w:ascii="宋体" w:hAnsi="宋体" w:eastAsia="宋体" w:cs="宋体"/>
          <w:color w:val="auto"/>
          <w:szCs w:val="21"/>
          <w:highlight w:val="none"/>
          <w:lang w:val="en-US" w:eastAsia="zh-CN"/>
        </w:rPr>
      </w:pPr>
      <w:r>
        <w:rPr>
          <w:rFonts w:hint="eastAsia" w:ascii="宋体" w:hAnsi="宋体" w:eastAsia="宋体" w:cs="宋体"/>
          <w:b/>
          <w:color w:val="auto"/>
          <w:szCs w:val="21"/>
          <w:highlight w:val="none"/>
        </w:rPr>
        <w:t xml:space="preserve">    （增加）</w:t>
      </w:r>
      <w:r>
        <w:rPr>
          <w:rFonts w:hint="eastAsia" w:ascii="宋体" w:hAnsi="宋体" w:eastAsia="宋体" w:cs="宋体"/>
          <w:color w:val="auto"/>
          <w:szCs w:val="21"/>
          <w:highlight w:val="none"/>
        </w:rPr>
        <w:t>工程竣工文件的立卷归档按交通部《公路工程竣工文件材料立卷归档管理办法》（交办发[2001]390号）和广西壮族自治区公路管理局《广西公路网建设工程档案验收办法》（路工程函[2005]591号）执行。</w:t>
      </w:r>
      <w:r>
        <w:rPr>
          <w:rFonts w:hint="eastAsia" w:ascii="宋体" w:hAnsi="宋体" w:cs="宋体"/>
          <w:color w:val="auto"/>
          <w:szCs w:val="21"/>
          <w:highlight w:val="none"/>
          <w:lang w:val="en-US" w:eastAsia="zh-CN"/>
        </w:rPr>
        <w:t>如行业主管部门有最新政策要求的，按最新正常要求执行。</w:t>
      </w:r>
    </w:p>
    <w:p w14:paraId="28C64103">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20.1 工程保险</w:t>
      </w:r>
    </w:p>
    <w:p w14:paraId="39A4A742">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 人员工伤事故的保险 </w:t>
      </w:r>
    </w:p>
    <w:p w14:paraId="642D5B2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20.2.1 承包人员工伤事故的保险 </w:t>
      </w:r>
    </w:p>
    <w:p w14:paraId="77E136D4">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增加内容：办理保险的一切费用均由承包人承担，并包括在工程量清单的单价及总额价中，发包人不单独支付。</w:t>
      </w:r>
    </w:p>
    <w:p w14:paraId="2C846815">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 人身意外伤害险 </w:t>
      </w:r>
    </w:p>
    <w:p w14:paraId="0A5A8B40">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20.3.2 承包人应在整个施工期间为其现场机构雇用的全部人员，投保人身意外伤害险，缴纳保险费，并要求其分包人也进行此项保险。办理保险的一切费用均由承包人承担，并包括在工程量清单的单价及总额价中，发包人不单独支付。 </w:t>
      </w:r>
    </w:p>
    <w:p w14:paraId="56B0A36E">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 xml:space="preserve">其中：人身意外伤害险每位被保险人的最低保险金额为10万元人民币，附加意外伤害险医疗险的保险金额为2万元人民币，每合同段的人身意外伤害险和附加意外伤害医疗险保险费按合同价（不含该保险费）的3‰计列。人身意外伤害险和附加意外伤害医疗险的保险对象为建筑施工企业参加基建项目建设施工现场从事施工作业和管理的人员。时间上涵盖施工全过程的任一时段，在保险范围上覆盖所有参加工程建设的管理人员、施工人员（含农民工）。保险期限为自施工队伍进场之日起至工程通过竣工验收时止。 </w:t>
      </w:r>
    </w:p>
    <w:p w14:paraId="1EF2366C">
      <w:pPr>
        <w:pStyle w:val="44"/>
        <w:pageBreakBefore w:val="0"/>
        <w:widowControl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rPr>
        <w:t>施工合同签订后工程开工前 15 日，承包人必须按有关规定与保险公司签订人身意外伤害险和附加意外伤害医疗险以及其他需要投保的保险的保险合同。</w:t>
      </w:r>
    </w:p>
    <w:p w14:paraId="753746F4">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21.1不可抗力的确认</w:t>
      </w:r>
    </w:p>
    <w:p w14:paraId="259DD09D">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21.1.1（6）不可抗力的其他情形：</w:t>
      </w:r>
      <w:r>
        <w:rPr>
          <w:rFonts w:hint="eastAsia" w:ascii="宋体" w:hAnsi="宋体" w:eastAsia="宋体" w:cs="宋体"/>
          <w:color w:val="auto"/>
          <w:szCs w:val="21"/>
          <w:highlight w:val="none"/>
          <w:u w:val="single"/>
        </w:rPr>
        <w:t xml:space="preserve">  按通用条款内容   </w:t>
      </w:r>
    </w:p>
    <w:p w14:paraId="174F03AE">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22.1承包人违约</w:t>
      </w:r>
    </w:p>
    <w:p w14:paraId="6A00537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22.1.2当承包人发生第22.1.1项约定的违约情况时，发包人有权向承包人处以违约金，具体约定如下：违约金处理：</w:t>
      </w:r>
    </w:p>
    <w:p w14:paraId="6EE44D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22.1.2.1有本项（1）目行为的，可对承包人处以以下的违约金。</w:t>
      </w:r>
    </w:p>
    <w:p w14:paraId="502A0D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a．由于承包人没有履行合同规定的义务与责任，同类事件第一次被监理工程师、业主工作指令整改的处500元/次；第二次出现指令整改的处1000元/次；多次重复出现被责令整改的处5000元/次。</w:t>
      </w:r>
    </w:p>
    <w:p w14:paraId="314578C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b．在指令规定时间内拒不整改的同一事件被第二次及以上责令整改的处2000元/次。</w:t>
      </w:r>
    </w:p>
    <w:p w14:paraId="7462E1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22.1.2.2有本项（2）、（3）、（5）、（6）目行为的，除按合同相关条款处理外，由监理工程师发出整改工作指令，按22.1.2.1对承包人处以违约金。</w:t>
      </w:r>
    </w:p>
    <w:p w14:paraId="75E8CBC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22.1.2.3有本项（4）、（7）目行为的，可对承包人处以以下的违约金。</w:t>
      </w:r>
    </w:p>
    <w:p w14:paraId="75C0BD5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a．未按规定开工的，可处以1000元/天的业主延期损失偿金。</w:t>
      </w:r>
    </w:p>
    <w:p w14:paraId="40DD56B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b．未按指令采取措施加快进行本工程或其关键部分的施工，可处以1000元/天的业主延期损失偿金。</w:t>
      </w:r>
    </w:p>
    <w:p w14:paraId="43DBD04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c．未按均衡组织施工要求组织施工的，处每项1000元/月次。</w:t>
      </w:r>
    </w:p>
    <w:p w14:paraId="354B459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22.1.2.4有本项（8）目行为的，可对承包人按以下处以违约金。</w:t>
      </w:r>
    </w:p>
    <w:p w14:paraId="5BD8AF4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a.承包人未经业主、监理工程师同意更换人员，项目经理处2万元/次，总工（或项目总工）处1万元/次。</w:t>
      </w:r>
    </w:p>
    <w:p w14:paraId="3C4D782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w:t>
      </w:r>
      <w:r>
        <w:rPr>
          <w:rFonts w:hint="eastAsia" w:ascii="宋体" w:hAnsi="宋体" w:eastAsia="宋体" w:cs="宋体"/>
          <w:color w:val="auto"/>
          <w:spacing w:val="-6"/>
          <w:sz w:val="21"/>
          <w:szCs w:val="21"/>
          <w:highlight w:val="none"/>
        </w:rPr>
        <w:t>项目经理、总工每月驻工地不满25天，处500元/人·月，其他主要人员处200元/人·月。</w:t>
      </w:r>
    </w:p>
    <w:p w14:paraId="3B58BB6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c.未经请假准允离开工地，经理、总工处500元/人·日，其他主要人员处100元/人·日。</w:t>
      </w:r>
    </w:p>
    <w:p w14:paraId="0B31D66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d.主要设备没有按承诺进场的处500元台/日。</w:t>
      </w:r>
    </w:p>
    <w:p w14:paraId="658AC88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22.1.2.4有本项（9）目行为的，可对承包人处以以下的违约金。</w:t>
      </w:r>
    </w:p>
    <w:p w14:paraId="2165C98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a．安全生产管理</w:t>
      </w:r>
    </w:p>
    <w:p w14:paraId="2DF9D14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52807D7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Ⅰ需持证上岗人员无证上岗的；或</w:t>
      </w:r>
    </w:p>
    <w:p w14:paraId="258F648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Ⅱ需配戴安全防护用具作业的；或</w:t>
      </w:r>
    </w:p>
    <w:p w14:paraId="64B207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Ⅲ未经登记、安全培训教育上岗的。</w:t>
      </w:r>
    </w:p>
    <w:p w14:paraId="6860B6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（b）出现下列行为之一可处300元/处次。</w:t>
      </w:r>
    </w:p>
    <w:p w14:paraId="12A13FA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Ⅰ无专职安全检查人员；或</w:t>
      </w:r>
    </w:p>
    <w:p w14:paraId="2B4E54A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Ⅱ无安全生产检查日志；或</w:t>
      </w:r>
    </w:p>
    <w:p w14:paraId="7ABF77C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Ⅲ作业点或危险施工路段安全标志不全；或</w:t>
      </w:r>
    </w:p>
    <w:p w14:paraId="2DE17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Ⅳ安全标志（牌）、线（绳）不符国家规定的；或</w:t>
      </w:r>
    </w:p>
    <w:p w14:paraId="7DBC3DE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Ⅴ易燃易爆物品管理不符合管理要求。</w:t>
      </w:r>
    </w:p>
    <w:p w14:paraId="20753E2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（c）出现下列行为之一可处500元/处次。</w:t>
      </w:r>
    </w:p>
    <w:p w14:paraId="011A1D1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Ⅰ施工作业点或施工形成的危险路段无规定的安全标志；或</w:t>
      </w:r>
    </w:p>
    <w:p w14:paraId="67DA203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Ⅱ需设安全防护设施的未按规定设置；或</w:t>
      </w:r>
    </w:p>
    <w:p w14:paraId="61EC3837">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Ⅲ出现一般安全生事故负有责任的；或</w:t>
      </w:r>
    </w:p>
    <w:p w14:paraId="37C1121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Ⅳ发生重大安全事故不按规定报告的。</w:t>
      </w:r>
    </w:p>
    <w:p w14:paraId="4F61313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（d）出现下列行为之一可处5000元/处次。</w:t>
      </w:r>
    </w:p>
    <w:p w14:paraId="3829442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出现重大安全生产事故负有责任的。</w:t>
      </w:r>
    </w:p>
    <w:p w14:paraId="7C6B75C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22.1.2.5有本项(10)目违反合同专用条款规定的其他重要规定，可对承包人处以以下的违约金。</w:t>
      </w:r>
    </w:p>
    <w:p w14:paraId="3BE8C69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a.质量管理</w:t>
      </w:r>
    </w:p>
    <w:p w14:paraId="39B8B6F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(a)出现下列行为之一可处100元/（人）次。</w:t>
      </w:r>
    </w:p>
    <w:p w14:paraId="4981029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 分项工程施工现场无合格的施工责任牌；或</w:t>
      </w:r>
    </w:p>
    <w:p w14:paraId="398933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 分项工程施工现场无其相关责任人；或</w:t>
      </w:r>
    </w:p>
    <w:p w14:paraId="4B2F0EC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 施工现场无基本的检测检验工具；或</w:t>
      </w:r>
    </w:p>
    <w:p w14:paraId="4F08D9B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 施工现场相关责任人无检查检验记录表；或</w:t>
      </w:r>
    </w:p>
    <w:p w14:paraId="77AAD2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 现场已完成工作无检查记录。</w:t>
      </w:r>
    </w:p>
    <w:p w14:paraId="2E643C7E">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（b）出现以下行为之一，可处500元/次。</w:t>
      </w:r>
    </w:p>
    <w:p w14:paraId="47B20EEC">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Ⅰ未按工序申请检验进入下一道工序的；或</w:t>
      </w:r>
    </w:p>
    <w:p w14:paraId="41A39A0A">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Ⅱ隐蔽工程记录文件不全；或</w:t>
      </w:r>
    </w:p>
    <w:p w14:paraId="3768FE6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Ⅲ施工试验检验频率不符合施工规范规定；或</w:t>
      </w:r>
    </w:p>
    <w:p w14:paraId="1481EFC5">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Ⅳ分项工程质量自检验收检验频率不符合质量评定标准规定的。</w:t>
      </w:r>
    </w:p>
    <w:p w14:paraId="4AE87EE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（c）出现以下行为之一，可处1000元/次。</w:t>
      </w:r>
    </w:p>
    <w:p w14:paraId="095074A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Ⅰ出现质量问题，且承包人负有直接责任的，或不能证明其履行其职责的。或</w:t>
      </w:r>
    </w:p>
    <w:p w14:paraId="42D24DE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Ⅱ发生质量事故，未按有关规定和时间向有关部门报告的；</w:t>
      </w:r>
    </w:p>
    <w:p w14:paraId="5C4CB74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Ⅲ已经施工完成的工程没有按竣工文件收集归档管理办法要求依分项工程、工序将施工作业记录、测量记录、试验检测记录及工序报验审批记录等收集归档。</w:t>
      </w:r>
    </w:p>
    <w:p w14:paraId="1466FE3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 ）出现以下行为之一，可处3000元/次。</w:t>
      </w:r>
    </w:p>
    <w:p w14:paraId="5642BDC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Ⅰ施工单位不接受质监机构监督；或</w:t>
      </w:r>
    </w:p>
    <w:p w14:paraId="36017684">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Ⅱ出现二、三级一般质量事故，且承包人负有直接责任，或不能证明其履行其职责的；或</w:t>
      </w:r>
    </w:p>
    <w:p w14:paraId="2D1F836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Ⅲ构造物、中小型预制构件等一次单点实体抽查合格率为50%—75%的；或</w:t>
      </w:r>
    </w:p>
    <w:p w14:paraId="03AF6AA6">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Ⅳ使用主要材料（钢筋、水泥、沥青、碎石、砂、砂砾等）不合格的。或</w:t>
      </w:r>
    </w:p>
    <w:p w14:paraId="1DA2AB0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Ⅴ已经施工完成的工程无法提供按竣工文件收集归档管理办法要求应收集的分项工程、工序的施工作业记录、测量记录、试验检测记录及工序报验审批记录等质量管理文件的。</w:t>
      </w:r>
    </w:p>
    <w:p w14:paraId="22C77E0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（e）出现以下行为之一，可处5000元/次。</w:t>
      </w:r>
    </w:p>
    <w:p w14:paraId="0AD45043">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Ⅰ发生一级一般质量事故或重大质量事故，且承包人负有直接责任，或不能证明其履行其职责的；或 </w:t>
      </w:r>
    </w:p>
    <w:p w14:paraId="154FBFDB">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Ⅱ构造物、中小型预制构件等一次单点实体抽查合格率小于50%的；或</w:t>
      </w:r>
    </w:p>
    <w:p w14:paraId="33C86689">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Ⅲ未按要求进行自检，弄虚作假、捏造数据、伪造试验报告的。</w:t>
      </w:r>
    </w:p>
    <w:p w14:paraId="24C3E1CD">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（f）因质量问题被地市级及以上交通主管部门、质量监督单位、公路管理机构通报（批评）的，可对承包人处以10000元违约金，红牌警告5000元，黄牌警告3000元。</w:t>
      </w:r>
    </w:p>
    <w:p w14:paraId="376F8DD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b．文明施工与环境保护，交通通畅</w:t>
      </w:r>
    </w:p>
    <w:p w14:paraId="27D6C218">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（a）由于施工原因造成污染、破坏被群众向政府、主管单位投诉或被环保、水利部门责令整改的，处1000元/次。</w:t>
      </w:r>
    </w:p>
    <w:p w14:paraId="69B82AF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（b）其他重要规定违约处理</w:t>
      </w:r>
    </w:p>
    <w:p w14:paraId="0768307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有下列行为之一的处500元/人次违约金并责令承包人进行整改。</w:t>
      </w:r>
    </w:p>
    <w:p w14:paraId="58828081">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 劳务人员未按规定签订聘用合同并向业主、监理工程师报备；或</w:t>
      </w:r>
    </w:p>
    <w:p w14:paraId="5446E002">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b)、签订的劳务合同不符合劳动法等法规要求；或</w:t>
      </w:r>
    </w:p>
    <w:p w14:paraId="11AC68C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c)、务人员未编入承包人施工班组，并持项目经理签发的劳务上岗证上岗。</w:t>
      </w:r>
    </w:p>
    <w:p w14:paraId="0D4B6B9F">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22.1.3上述被处的违约金在计量支付时从履约担保金中扣除，当扣除额达履约担保金总额30%时，承包人无条件进行足额补充。</w:t>
      </w:r>
    </w:p>
    <w:p w14:paraId="052520F0">
      <w:pPr>
        <w:pStyle w:val="16"/>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22.1.4业主（项目法人）按合同进行违约处理后，并不解除承包人按照国家法规与合同应承担的责任与义务。</w:t>
      </w:r>
    </w:p>
    <w:p w14:paraId="3D2A8836">
      <w:pPr>
        <w:pageBreakBefore w:val="0"/>
        <w:widowControl w:val="0"/>
        <w:tabs>
          <w:tab w:val="left" w:pos="3193"/>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25.其它（增加）</w:t>
      </w:r>
    </w:p>
    <w:p w14:paraId="2DE0D491">
      <w:pPr>
        <w:pageBreakBefore w:val="0"/>
        <w:widowControl w:val="0"/>
        <w:tabs>
          <w:tab w:val="left" w:pos="7200"/>
          <w:tab w:val="left" w:pos="7380"/>
          <w:tab w:val="left" w:pos="7560"/>
        </w:tabs>
        <w:kinsoku/>
        <w:wordWrap/>
        <w:overflowPunct/>
        <w:topLinePunct w:val="0"/>
        <w:autoSpaceDE/>
        <w:autoSpaceDN/>
        <w:bidi w:val="0"/>
        <w:adjustRightInd/>
        <w:spacing w:line="360" w:lineRule="auto"/>
        <w:ind w:firstLine="422" w:firstLineChars="200"/>
        <w:textAlignment w:val="auto"/>
        <w:rPr>
          <w:rFonts w:hint="eastAsia" w:ascii="宋体" w:hAnsi="宋体" w:eastAsia="宋体" w:cs="宋体"/>
          <w:color w:val="auto"/>
          <w:kern w:val="1"/>
          <w:szCs w:val="21"/>
          <w:highlight w:val="none"/>
        </w:rPr>
      </w:pPr>
      <w:r>
        <w:rPr>
          <w:rFonts w:hint="eastAsia" w:ascii="宋体" w:hAnsi="宋体" w:eastAsia="宋体" w:cs="宋体"/>
          <w:b/>
          <w:bCs/>
          <w:color w:val="auto"/>
          <w:szCs w:val="21"/>
          <w:highlight w:val="none"/>
        </w:rPr>
        <w:t>25.1（增加）承包人应严格按照《中华人民共和国农业法》、《中华人民共和国土地管理法》、《基本农田保护条例》等的规定占用或使用土地，切实保护耕地，承包人的临时用地应作好复耕、绿化、地质灾害防护或恢复至使用状态。同时，在工程施工中，依据国家和地方有关环境的法律法规和文件、环境影响报告书、有关技术规范及设计文件等，在生态保护、水土保持、地质灾害防治、绿化、污染物防治等方面执行有关环境规定。对承包人违反耕地保护和环境保护的相关规定的，监理工程师有权作出指令要求承包人进行整改或修复并监理工程师满意，若承包人不执行监理工程师指令的，监理工程师有权中止支付或另行处理，所发生费用由承包人承担。</w:t>
      </w:r>
    </w:p>
    <w:p w14:paraId="012914B8">
      <w:pPr>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highlight w:val="none"/>
        </w:rPr>
        <w:sectPr>
          <w:footerReference r:id="rId9" w:type="default"/>
          <w:footerReference r:id="rId10" w:type="even"/>
          <w:pgSz w:w="11910" w:h="16850"/>
          <w:pgMar w:top="1480" w:right="1200" w:bottom="1080" w:left="1220" w:header="883" w:footer="884" w:gutter="0"/>
          <w:cols w:space="720" w:num="1"/>
        </w:sectPr>
      </w:pPr>
    </w:p>
    <w:p w14:paraId="7BDFDEF6">
      <w:pPr>
        <w:pStyle w:val="3"/>
        <w:pageBreakBefore w:val="0"/>
        <w:numPr>
          <w:ilvl w:val="0"/>
          <w:numId w:val="11"/>
        </w:numPr>
        <w:kinsoku/>
        <w:overflowPunct/>
        <w:topLinePunct w:val="0"/>
        <w:autoSpaceDE/>
        <w:autoSpaceDN/>
        <w:bidi w:val="0"/>
        <w:adjustRightInd w:val="0"/>
        <w:snapToGrid w:val="0"/>
        <w:spacing w:before="0" w:after="0" w:line="360" w:lineRule="auto"/>
        <w:jc w:val="center"/>
        <w:textAlignment w:val="auto"/>
        <w:rPr>
          <w:rFonts w:hint="eastAsia" w:ascii="宋体" w:hAnsi="宋体" w:eastAsia="宋体" w:cs="宋体"/>
          <w:color w:val="auto"/>
          <w:highlight w:val="none"/>
        </w:rPr>
      </w:pPr>
      <w:bookmarkStart w:id="471" w:name="_Toc122424486"/>
      <w:bookmarkStart w:id="472" w:name="_Toc24988"/>
      <w:bookmarkStart w:id="473" w:name="_Toc16394"/>
      <w:bookmarkStart w:id="474" w:name="_Toc122424237"/>
      <w:r>
        <w:rPr>
          <w:rFonts w:hint="eastAsia" w:ascii="宋体" w:hAnsi="宋体" w:eastAsia="宋体" w:cs="宋体"/>
          <w:color w:val="auto"/>
          <w:highlight w:val="none"/>
        </w:rPr>
        <w:t>合同附件格式</w:t>
      </w:r>
      <w:bookmarkEnd w:id="471"/>
      <w:bookmarkEnd w:id="472"/>
      <w:bookmarkEnd w:id="473"/>
      <w:bookmarkEnd w:id="474"/>
      <w:bookmarkStart w:id="475" w:name="_Toc13658"/>
      <w:bookmarkStart w:id="476" w:name="_Toc122424488"/>
      <w:bookmarkStart w:id="477" w:name="_Toc122424239"/>
    </w:p>
    <w:p w14:paraId="799B0929">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附件一 成交通知书</w:t>
      </w:r>
    </w:p>
    <w:p w14:paraId="571EC51B">
      <w:pPr>
        <w:pStyle w:val="3"/>
        <w:pageBreakBefore w:val="0"/>
        <w:numPr>
          <w:ilvl w:val="0"/>
          <w:numId w:val="0"/>
        </w:numPr>
        <w:kinsoku/>
        <w:overflowPunct/>
        <w:topLinePunct w:val="0"/>
        <w:autoSpaceDE/>
        <w:autoSpaceDN/>
        <w:bidi w:val="0"/>
        <w:adjustRightInd w:val="0"/>
        <w:snapToGrid w:val="0"/>
        <w:spacing w:before="0" w:after="0" w:line="360" w:lineRule="auto"/>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rPr>
        <w:t>附件</w:t>
      </w:r>
      <w:r>
        <w:rPr>
          <w:rFonts w:hint="eastAsia" w:ascii="宋体" w:hAnsi="宋体" w:cs="宋体"/>
          <w:color w:val="auto"/>
          <w:highlight w:val="none"/>
          <w:lang w:val="en-US" w:eastAsia="zh-CN"/>
        </w:rPr>
        <w:t>二</w:t>
      </w:r>
      <w:r>
        <w:rPr>
          <w:rFonts w:hint="eastAsia" w:ascii="宋体" w:hAnsi="宋体" w:eastAsia="宋体" w:cs="宋体"/>
          <w:color w:val="auto"/>
          <w:highlight w:val="none"/>
        </w:rPr>
        <w:t xml:space="preserve"> 廉政合同</w:t>
      </w:r>
      <w:bookmarkEnd w:id="475"/>
      <w:bookmarkEnd w:id="476"/>
      <w:bookmarkEnd w:id="477"/>
    </w:p>
    <w:p w14:paraId="2DFFC791">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廉 政 合 同</w:t>
      </w:r>
    </w:p>
    <w:p w14:paraId="3827BCC7">
      <w:pPr>
        <w:pageBreakBefore w:val="0"/>
        <w:kinsoku/>
        <w:overflowPunct/>
        <w:topLinePunct w:val="0"/>
        <w:autoSpaceDE/>
        <w:autoSpaceDN/>
        <w:bidi w:val="0"/>
        <w:spacing w:line="360" w:lineRule="auto"/>
        <w:ind w:firstLine="420"/>
        <w:textAlignment w:val="auto"/>
        <w:rPr>
          <w:rFonts w:hint="eastAsia" w:ascii="宋体" w:hAnsi="宋体" w:eastAsia="宋体" w:cs="宋体"/>
          <w:color w:val="auto"/>
          <w:highlight w:val="none"/>
        </w:rPr>
      </w:pPr>
    </w:p>
    <w:p w14:paraId="1851033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根据《关于在交通基础设施建设中加强廉政建设的若干意见》以及有关工程建设、廉政建设的规定，为做好工程建设中的党风廉政建设，保证工程建设高效优质，保证建设资金的安全和有效使用以及投资效益，</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（项目名称）项目法人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（项目法人名称，以下简称“发包人”）与该项目的施工单位</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（施工单位名称，以下简称“承包人”），特订立如下合同。</w:t>
      </w:r>
    </w:p>
    <w:p w14:paraId="2B81ADC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1．发包人和承包人双方的权利和义务</w:t>
      </w:r>
    </w:p>
    <w:p w14:paraId="21D20CE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（1）严格遵守党的政策规定和国家有关法律法规及交通运输部的有关规定。</w:t>
      </w:r>
    </w:p>
    <w:p w14:paraId="3F28271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（2）严格执行</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（项目名称）施工合同文件，自觉按合同办事。</w:t>
      </w:r>
    </w:p>
    <w:p w14:paraId="3D81159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（3）双方的业务活动坚持公开、公正、诚信、透明的原则（法律认定的商业秘密和合同文件另有规定除外），不得损害国家和集体利益，不得违反工程建设管理规章制度。</w:t>
      </w:r>
    </w:p>
    <w:p w14:paraId="3131DBE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（4）建立健全廉政制度，开展廉政教育，设立廉政告示牌，公布举报电话，监督并认真查处违法违纪行为。</w:t>
      </w:r>
    </w:p>
    <w:p w14:paraId="36E9ED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（5）发现对方在业务活动中有违反廉政规定的行为，有及时提醒对方纠正的权利和义务。</w:t>
      </w:r>
    </w:p>
    <w:p w14:paraId="5DC3E65E">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（6）发现对方严重违反本合同义务条款的行为，有向其上级有关部门举报、建议给予处理并要求告知处理结果的权利。</w:t>
      </w:r>
    </w:p>
    <w:p w14:paraId="1A1E126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2．发包人的义务</w:t>
      </w:r>
    </w:p>
    <w:p w14:paraId="783FD81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（1）发包人及其工作人员不得索要或接受承包人的礼金、有价证券和贵重物品，不得让承包人报销任何应由发包人或发包人工作人员个人支付的费用等。</w:t>
      </w:r>
    </w:p>
    <w:p w14:paraId="01E759AA">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（2）发包人工作人员不得参加承包人安排的超标准宴请和娱乐活动；不得接受承包人提供的通讯工具、交通工具和高档办公用品等。</w:t>
      </w:r>
    </w:p>
    <w:p w14:paraId="4990945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（3）发包人及其工作人员不得要求或者接受承包人为其住房装修、婚丧嫁娶活动、配偶子女的工作安排以及出国出境、旅游等提供方便等。</w:t>
      </w:r>
    </w:p>
    <w:p w14:paraId="5C8B5756">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（4）发包人工作人员及其配偶、子女不得从事与发包人工作有关的材料设备供应、工程分包、劳务等经济活动等。</w:t>
      </w:r>
    </w:p>
    <w:p w14:paraId="05F5090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（5）发包人及其工作人员不得以任何理由向承包人推荐分包单位或推销材料，不得要求承包人购买合同规定外的材料和设备。</w:t>
      </w:r>
    </w:p>
    <w:p w14:paraId="374E0174">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（6）发包人工作人员要秉公办事，不准营私舞弊，不准利用职权从事各种个人有偿中介活动和安排个人施工队伍。</w:t>
      </w:r>
    </w:p>
    <w:p w14:paraId="582486B7">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3．承包人的义务</w:t>
      </w:r>
    </w:p>
    <w:p w14:paraId="09EF5C0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（1）承包人不得以任何理由向发包人及其工作人员行贿或馈赠礼金、有价证券、贵重礼品。</w:t>
      </w:r>
    </w:p>
    <w:p w14:paraId="2AB1E0C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（2）承包人不得以任何名义为发包人及其工作人员报销应由发包人单位或个人支付的任何费用。</w:t>
      </w:r>
    </w:p>
    <w:p w14:paraId="262D3252">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（3）承包人不得以任何理由安排发包人工作人员参加超标准宴请及娱乐活动。</w:t>
      </w:r>
    </w:p>
    <w:p w14:paraId="656A68F9">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（4）承包人不得为发包人单位和个人购置或提供通讯工具、交通工具和高档办公用品等。</w:t>
      </w:r>
    </w:p>
    <w:p w14:paraId="52A8427F">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4．违约责任</w:t>
      </w:r>
    </w:p>
    <w:p w14:paraId="74AF740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（1）发包人及其工作人员违反本合同第1、2条，按管理权限，依据有关规定给予党纪、政纪或组织处理；涉嫌犯罪的，移交司法院追究刑事责任；给承包人单位造成经济损失的，应予以赔偿。</w:t>
      </w:r>
    </w:p>
    <w:p w14:paraId="12830DF0">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及其工作人员违反本合同第1、3条，按管理权限，依据有关规定给予党纪、政纪或组织处理；给发包人单位造成经济损失的，应予以赔偿；情节严重的，发包人建议交通主管部门给予承包人一至三年内不得进入其主管的公路建设市场的处罚。</w:t>
      </w:r>
    </w:p>
    <w:p w14:paraId="7C7BD0CC">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双方约定：本合同由双方或双方上级单位的纪检监察部门负责监督执行。由发包人或发包人上级单位的纪检监察部门约请承包人或承包人上级单位纪检监察部门对本合同执行情况进行检查，提出在本合同规定范围内的裁定意见。</w:t>
      </w:r>
    </w:p>
    <w:p w14:paraId="07B7B5C8">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6.本合同有效期为发包人和承包人签署之日起至该工程项目竣工验收后止。</w:t>
      </w:r>
    </w:p>
    <w:p w14:paraId="35199B6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7．本合同作为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（项目名称）施工合同的附件，与工程施工合同具有同等的法律效力，经合同双方签署后立即生效。</w:t>
      </w:r>
    </w:p>
    <w:p w14:paraId="6BBCF545">
      <w:pPr>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8．本合同一式</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贰</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份，由发包人和承包人各执</w:t>
      </w:r>
      <w:r>
        <w:rPr>
          <w:rFonts w:hint="eastAsia" w:ascii="宋体" w:hAnsi="宋体" w:eastAsia="宋体" w:cs="宋体"/>
          <w:color w:val="auto"/>
          <w:highlight w:val="none"/>
          <w:u w:val="single"/>
        </w:rPr>
        <w:t xml:space="preserve"> </w:t>
      </w:r>
      <w:r>
        <w:rPr>
          <w:rFonts w:hint="eastAsia" w:ascii="宋体" w:hAnsi="宋体" w:cs="宋体"/>
          <w:color w:val="auto"/>
          <w:highlight w:val="none"/>
          <w:u w:val="single"/>
          <w:lang w:val="en-US" w:eastAsia="zh-CN"/>
        </w:rPr>
        <w:t>壹</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份。</w:t>
      </w:r>
    </w:p>
    <w:p w14:paraId="4A731B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0D8E7262">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136ECD7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7AF4D479">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25690A6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17CD9595">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522E132E">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highlight w:val="none"/>
        </w:rPr>
      </w:pPr>
    </w:p>
    <w:p w14:paraId="4A006326">
      <w:pPr>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highlight w:val="none"/>
        </w:rPr>
      </w:pPr>
    </w:p>
    <w:p w14:paraId="08E52F65">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AB468CA">
      <w:pPr>
        <w:pageBreakBefore w:val="0"/>
        <w:kinsoku/>
        <w:overflowPunct/>
        <w:topLinePunct w:val="0"/>
        <w:autoSpaceDE/>
        <w:autoSpaceDN/>
        <w:bidi w:val="0"/>
        <w:spacing w:line="360" w:lineRule="auto"/>
        <w:textAlignment w:val="auto"/>
        <w:rPr>
          <w:rFonts w:hint="eastAsia" w:ascii="宋体" w:hAnsi="宋体" w:cs="宋体"/>
          <w:color w:val="auto"/>
          <w:highlight w:val="none"/>
          <w:lang w:val="en-US" w:eastAsia="zh-CN"/>
        </w:rPr>
      </w:pPr>
    </w:p>
    <w:p w14:paraId="735006D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2F2882E6">
      <w:pPr>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highlight w:val="none"/>
        </w:rPr>
      </w:pPr>
    </w:p>
    <w:p w14:paraId="38FC904F">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B40EC0B">
      <w:pPr>
        <w:keepNext w:val="0"/>
        <w:keepLines w:val="0"/>
        <w:pageBreakBefore w:val="0"/>
        <w:kinsoku/>
        <w:wordWrap/>
        <w:overflowPunct/>
        <w:topLinePunct w:val="0"/>
        <w:autoSpaceDE/>
        <w:autoSpaceDN/>
        <w:bidi w:val="0"/>
        <w:adjustRightInd/>
        <w:snapToGrid/>
        <w:spacing w:line="360" w:lineRule="auto"/>
        <w:ind w:right="105"/>
        <w:jc w:val="right"/>
        <w:textAlignment w:val="auto"/>
        <w:rPr>
          <w:rFonts w:hint="eastAsia" w:ascii="宋体" w:hAnsi="宋体" w:eastAsia="宋体" w:cs="宋体"/>
          <w:color w:val="auto"/>
          <w:highlight w:val="none"/>
        </w:rPr>
      </w:pPr>
    </w:p>
    <w:p w14:paraId="76A556E6">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78" w:name="_Toc10030"/>
      <w:bookmarkStart w:id="479" w:name="_Toc122424489"/>
      <w:bookmarkStart w:id="480" w:name="_Toc12242424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三</w:t>
      </w:r>
      <w:r>
        <w:rPr>
          <w:rFonts w:hint="eastAsia" w:ascii="宋体" w:hAnsi="宋体" w:eastAsia="宋体" w:cs="宋体"/>
          <w:b/>
          <w:bCs/>
          <w:color w:val="auto"/>
          <w:kern w:val="2"/>
          <w:sz w:val="32"/>
          <w:szCs w:val="32"/>
          <w:highlight w:val="none"/>
          <w:lang w:val="en-US" w:eastAsia="zh-CN" w:bidi="ar-SA"/>
        </w:rPr>
        <w:t xml:space="preserve"> 安全生产合同</w:t>
      </w:r>
      <w:bookmarkEnd w:id="478"/>
      <w:bookmarkEnd w:id="479"/>
      <w:bookmarkEnd w:id="480"/>
    </w:p>
    <w:p w14:paraId="1492B52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安全生产合同</w:t>
      </w:r>
    </w:p>
    <w:p w14:paraId="5D30792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为在</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（项目名称）施工合同的实施过程中创造安全、高效的施工环境，切实搞好本项目的安全管理工作，本项目发包人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（发包人名称，以下简称“发包人”）与承包人</w:t>
      </w:r>
      <w:r>
        <w:rPr>
          <w:rFonts w:hint="eastAsia" w:ascii="宋体" w:hAnsi="宋体" w:eastAsia="宋体" w:cs="宋体"/>
          <w:b/>
          <w:bCs/>
          <w:color w:val="auto"/>
          <w:highlight w:val="none"/>
          <w:u w:val="single"/>
        </w:rPr>
        <w:t xml:space="preserve">                     </w:t>
      </w:r>
      <w:r>
        <w:rPr>
          <w:rFonts w:hint="eastAsia" w:ascii="宋体" w:hAnsi="宋体" w:eastAsia="宋体" w:cs="宋体"/>
          <w:color w:val="auto"/>
          <w:highlight w:val="none"/>
        </w:rPr>
        <w:t>（承包人名称，以下简称“承包人”）特此签订安全生产合同：</w:t>
      </w:r>
    </w:p>
    <w:p w14:paraId="1C8A720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1.发包人职责</w:t>
      </w:r>
    </w:p>
    <w:p w14:paraId="7A3E148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（1）严格遵守国家有关安全生产的法律法规，认真执行工程承包合同中的有关安全要求。</w:t>
      </w:r>
    </w:p>
    <w:p w14:paraId="789DD2A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（2）按照“安全第一、预防为主、综合治理”和坚持“管行业必须管安全、管业务必须管安全、管生产经营必须管安全”的原则进行安全生产管理，做到生产与安全工作同时计划、布置、检查、总结和评比。</w:t>
      </w:r>
    </w:p>
    <w:p w14:paraId="0CB8084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（3）新建、改建、扩建工程项目等建设项目的安全设施必须坚持与主体工程“三同时”的原则，即：同时设计、同时施工、同时投入生产和使用。</w:t>
      </w:r>
    </w:p>
    <w:p w14:paraId="3D06CBD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（4）定期召开安全生产调度会，及时传达中央及地方有关安全生产的精神。</w:t>
      </w:r>
    </w:p>
    <w:p w14:paraId="387AF98E">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（5）组织对承包人施工现场安全生产检查，监督承包人及时处理发现的各种安全隐患。</w:t>
      </w:r>
    </w:p>
    <w:p w14:paraId="051B38EE">
      <w:pPr>
        <w:pStyle w:val="18"/>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（6）依照有关法律、法规的规定，对涉及安全生产的事项需要审查批准或者验收的，必须严格依照有关法律、法规和国家标准或者行业标准规定的安全生产条件和程序进行审查。</w:t>
      </w:r>
    </w:p>
    <w:p w14:paraId="73D9B9B7">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（7）不得要求接受审查、验收的单位购买其指定品牌或者指定生产、销售单位的安全设备、器材或者其他产品。</w:t>
      </w:r>
    </w:p>
    <w:p w14:paraId="0F9F10F2">
      <w:pPr>
        <w:pStyle w:val="18"/>
        <w:keepNext w:val="0"/>
        <w:keepLines w:val="0"/>
        <w:pageBreakBefore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（8）定期或不定期对承包人执行有关安全生产的法律、法规和国家标准或者行业标准的情况进行监督检查。</w:t>
      </w:r>
    </w:p>
    <w:p w14:paraId="38F8E263">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2.承包人职责</w:t>
      </w:r>
    </w:p>
    <w:p w14:paraId="08518CD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严格遵守《中华人民共和国安全生产法》、《建设工程安全生产管理条例》等国家有关安全生产的法律法规、《公路水运工程安全生产监督管理办法》、《公路工程施工安全技术规程》和《公路筑养路机械操作规程》等有关安全生产的规定。认真执行工程承包合同中的有关安全要求。</w:t>
      </w:r>
    </w:p>
    <w:p w14:paraId="50EA9E26">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2）坚持“安全第一、预防为主、综合治理”和“管行业必须管安全、管业务必须管安全、管生产经营必须管安全”的原则，加强安全生产宣传教育，增强全员安全生产意识，建立健全各项安全生产的管理机构和安全生产管理制度，配备专职及兼职安全检查人员，有组织有领导地开展安全生产活动，履行有关安全生产的法律、法规规定的有关安全生产义务。各级领导、工程技术人员、生产管理人员和具体操作人员，必须熟悉和遵守本合同的各项规定，做到生产与安全工作同时计划、布置、检查、总结和评比。</w:t>
      </w:r>
    </w:p>
    <w:p w14:paraId="40718A6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建立健全安全生产责任制。从派往项目实施的项目经理到生产工人（包括临时雇请的民工）的安全生产管理系统必须做到纵向到底，—环不漏；各职能部门、人员的安全生产责任制做到横向到边，人人有责。项目经理是安全生产的第一责任人。现场设置的安全机构，应按《公路水运工程安全生产监督管理办法》规定的最低数量和资质条件配备专职安全生产管理人员，专职负责所有员工的安全和治安保卫工作及预防事故的发生。安全机构人员有权按有关规定发布指令，并采取保护性措施防止事故发生。</w:t>
      </w:r>
    </w:p>
    <w:p w14:paraId="461BEA2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（4）承包人在任何时候都应采取各种合理的预防措施，防止其员工发生任何违法、违禁、暴力或妨碍治安的行为。</w:t>
      </w:r>
    </w:p>
    <w:p w14:paraId="68B2C8F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承包人必须具有劳动安全管理部门颁发的安全生产考核合格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48A72C4">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33F4E4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（7）操作人员上岗，必须按规定穿戴防护用品。施工负责人和安全检查员应随时检查劳动防护用品的穿戴情况，不按规定穿戴防护用品的人员不得上岗。</w:t>
      </w:r>
    </w:p>
    <w:p w14:paraId="0633F44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（8）所有施工机具设备和高空作业的设备均应定期检查，并有安全员的签字记录，保证其经常处于完好状态；不合格的机具、设备和劳动保护用品严禁使用：</w:t>
      </w:r>
    </w:p>
    <w:p w14:paraId="731B3352">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（9）施工中采用新技术、新工艺、新设备、新材料时，必须制定相应的安全技术措施，施工现场必须具有相关的安全标志牌。</w:t>
      </w:r>
    </w:p>
    <w:p w14:paraId="60FB349F">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10）承包人必须按照本工程项目特点，组织制定本工程实施中的生产安全事故应急救援预案；如果发生安全事故，应按照《国务院关于特大安全事故行政责任追究的规定》以及其他有关规定，及时上报有关部门，并坚持“四不放过”的原则．严肃处理相关责任人。</w:t>
      </w:r>
    </w:p>
    <w:p w14:paraId="6A6A16B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（11）安全生产费用按照《公路水运工程安全生产监督管理办法》的相关规定使用和管理。</w:t>
      </w:r>
    </w:p>
    <w:p w14:paraId="0E7C7755">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（12）生产、经营、储存、使用危险物品的车间、商店、仓库不得与员工宿舍在同一座建筑物内，并应当与员工宿舍保持安全距离。</w:t>
      </w:r>
    </w:p>
    <w:p w14:paraId="1462F75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（13）承包人进行爆破、吊装、动火、临时用电以及国务院应急管理部门会同国务院有关部门规定的其他危险作业，应当安排专门人员进行现场安全管理，确保操作规程的遵守和安全措施的落实。</w:t>
      </w:r>
    </w:p>
    <w:p w14:paraId="15E0915D">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（14）承包人应当教育和督促从业人员严格执行本单位的安全生产规章制度和安全操作规程；并向从业人员如实告知作业场所和工作岗位存在的危险因素、防范措施以及事故应急措施。</w:t>
      </w:r>
    </w:p>
    <w:p w14:paraId="5CF1B8A1">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（15）承包人应当关注从业人员的身体、心理状况和行为习惯，加强对从业人员的心理疏导、精神慰藉，严格落实岗位安全生产责任，防范从业人员行为异常导致事故发生。</w:t>
      </w:r>
    </w:p>
    <w:p w14:paraId="39C77E68">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3.违约责任</w:t>
      </w:r>
    </w:p>
    <w:p w14:paraId="3C244F99">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如因发包人或承包人违约造成安全事故，将依法追究责任。</w:t>
      </w:r>
    </w:p>
    <w:p w14:paraId="2946083B">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4.本合同由双方法定代表人或其授权的代理人签署并加盖单位公章后生效，全部工程竣工验收后失效。</w:t>
      </w:r>
    </w:p>
    <w:p w14:paraId="0C31D0CC">
      <w:pPr>
        <w:keepNext w:val="0"/>
        <w:keepLines w:val="0"/>
        <w:pageBreakBefore w:val="0"/>
        <w:kinsoku/>
        <w:wordWrap/>
        <w:overflowPunct/>
        <w:topLinePunct w:val="0"/>
        <w:autoSpaceDE/>
        <w:autoSpaceDN/>
        <w:bidi w:val="0"/>
        <w:adjustRightInd/>
        <w:spacing w:line="360" w:lineRule="auto"/>
        <w:ind w:firstLine="420"/>
        <w:textAlignment w:val="auto"/>
        <w:rPr>
          <w:rFonts w:hint="eastAsia" w:ascii="宋体" w:hAnsi="宋体" w:eastAsia="宋体" w:cs="宋体"/>
          <w:color w:val="auto"/>
          <w:highlight w:val="none"/>
        </w:rPr>
      </w:pPr>
      <w:r>
        <w:rPr>
          <w:rFonts w:hint="eastAsia" w:ascii="宋体" w:hAnsi="宋体" w:eastAsia="宋体" w:cs="宋体"/>
          <w:color w:val="auto"/>
          <w:highlight w:val="none"/>
        </w:rPr>
        <w:t>5.本合同正本—式二份，副本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份，合同双方各执正本—份，副本</w:t>
      </w:r>
      <w:r>
        <w:rPr>
          <w:rFonts w:hint="eastAsia" w:ascii="宋体" w:hAnsi="宋体" w:cs="宋体"/>
          <w:color w:val="auto"/>
          <w:highlight w:val="none"/>
          <w:lang w:val="en-US" w:eastAsia="zh-CN"/>
        </w:rPr>
        <w:t>/</w:t>
      </w:r>
      <w:r>
        <w:rPr>
          <w:rFonts w:hint="eastAsia" w:ascii="宋体" w:hAnsi="宋体" w:eastAsia="宋体" w:cs="宋体"/>
          <w:color w:val="auto"/>
          <w:highlight w:val="none"/>
        </w:rPr>
        <w:t>份，当正本与副本的内容不一致时，以正本为准。</w:t>
      </w:r>
    </w:p>
    <w:p w14:paraId="7D55F8C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发包人：（盖单位章）</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承包人：（盖单位章）</w:t>
      </w:r>
    </w:p>
    <w:p w14:paraId="75DBD7C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法定代表人或其委托代理人：（签字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368D512D">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ab/>
      </w:r>
      <w:r>
        <w:rPr>
          <w:rFonts w:hint="eastAsia" w:ascii="宋体" w:hAnsi="宋体" w:eastAsia="宋体" w:cs="宋体"/>
          <w:color w:val="auto"/>
          <w:highlight w:val="none"/>
        </w:rPr>
        <w:t>年  月  日</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rPr>
        <w:t>年  月  日</w:t>
      </w:r>
    </w:p>
    <w:p w14:paraId="39F38254">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cs="宋体"/>
          <w:color w:val="auto"/>
          <w:highlight w:val="none"/>
          <w:lang w:val="en-US" w:eastAsia="zh-CN"/>
        </w:rPr>
        <w:t>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r>
        <w:rPr>
          <w:rFonts w:hint="eastAsia" w:ascii="宋体" w:hAnsi="宋体" w:cs="宋体"/>
          <w:color w:val="auto"/>
          <w:highlight w:val="none"/>
          <w:lang w:val="en-US" w:eastAsia="zh-CN"/>
        </w:rPr>
        <w:t xml:space="preserve">                                 经办人</w:t>
      </w:r>
      <w:r>
        <w:rPr>
          <w:rFonts w:hint="eastAsia" w:ascii="宋体" w:hAnsi="宋体" w:eastAsia="宋体" w:cs="宋体"/>
          <w:color w:val="auto"/>
          <w:highlight w:val="none"/>
        </w:rPr>
        <w:t>：（签字</w:t>
      </w:r>
      <w:r>
        <w:rPr>
          <w:rFonts w:hint="eastAsia" w:ascii="宋体" w:hAnsi="宋体" w:cs="宋体"/>
          <w:color w:val="auto"/>
          <w:highlight w:val="none"/>
          <w:lang w:val="en-US" w:eastAsia="zh-CN"/>
        </w:rPr>
        <w:t>或盖章</w:t>
      </w:r>
      <w:r>
        <w:rPr>
          <w:rFonts w:hint="eastAsia" w:ascii="宋体" w:hAnsi="宋体" w:eastAsia="宋体" w:cs="宋体"/>
          <w:color w:val="auto"/>
          <w:highlight w:val="none"/>
        </w:rPr>
        <w:t>）</w:t>
      </w:r>
    </w:p>
    <w:p w14:paraId="5532415A">
      <w:pPr>
        <w:pageBreakBefore w:val="0"/>
        <w:widowControl/>
        <w:kinsoku/>
        <w:overflowPunct/>
        <w:topLinePunct w:val="0"/>
        <w:autoSpaceDE/>
        <w:autoSpaceDN/>
        <w:bidi w:val="0"/>
        <w:spacing w:line="360" w:lineRule="auto"/>
        <w:textAlignment w:val="auto"/>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color w:val="auto"/>
          <w:highlight w:val="none"/>
        </w:rPr>
        <w:br w:type="page"/>
      </w:r>
      <w:bookmarkStart w:id="481" w:name="_Toc122424241"/>
      <w:bookmarkStart w:id="482" w:name="_Toc4526"/>
      <w:bookmarkStart w:id="483" w:name="_Toc122424490"/>
      <w:r>
        <w:rPr>
          <w:rFonts w:hint="eastAsia" w:ascii="宋体" w:hAnsi="宋体" w:eastAsia="宋体" w:cs="宋体"/>
          <w:b/>
          <w:bCs/>
          <w:color w:val="auto"/>
          <w:kern w:val="2"/>
          <w:sz w:val="32"/>
          <w:szCs w:val="32"/>
          <w:highlight w:val="none"/>
          <w:lang w:val="en-US" w:eastAsia="zh-CN" w:bidi="ar-SA"/>
        </w:rPr>
        <w:t>附件</w:t>
      </w:r>
      <w:r>
        <w:rPr>
          <w:rFonts w:hint="eastAsia" w:ascii="宋体" w:hAnsi="宋体" w:cs="宋体"/>
          <w:b/>
          <w:bCs/>
          <w:color w:val="auto"/>
          <w:kern w:val="2"/>
          <w:sz w:val="32"/>
          <w:szCs w:val="32"/>
          <w:highlight w:val="none"/>
          <w:lang w:val="en-US" w:eastAsia="zh-CN" w:bidi="ar-SA"/>
        </w:rPr>
        <w:t>四</w:t>
      </w:r>
      <w:r>
        <w:rPr>
          <w:rFonts w:hint="eastAsia" w:ascii="宋体" w:hAnsi="宋体" w:eastAsia="宋体" w:cs="宋体"/>
          <w:b/>
          <w:bCs/>
          <w:color w:val="auto"/>
          <w:kern w:val="2"/>
          <w:sz w:val="32"/>
          <w:szCs w:val="32"/>
          <w:highlight w:val="none"/>
          <w:lang w:val="en-US" w:eastAsia="zh-CN" w:bidi="ar-SA"/>
        </w:rPr>
        <w:t xml:space="preserve"> 其他管理和技术人员最低要求</w:t>
      </w:r>
      <w:bookmarkEnd w:id="481"/>
      <w:bookmarkEnd w:id="482"/>
      <w:bookmarkEnd w:id="483"/>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56"/>
        <w:gridCol w:w="2342"/>
        <w:gridCol w:w="4647"/>
      </w:tblGrid>
      <w:tr w14:paraId="0A3F5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9"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25D7F3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人</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员</w:t>
            </w: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BF725A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数</w:t>
            </w:r>
            <w:r>
              <w:rPr>
                <w:rFonts w:hint="eastAsia" w:ascii="宋体" w:hAnsi="宋体" w:eastAsia="宋体" w:cs="宋体"/>
                <w:color w:val="auto"/>
                <w:highlight w:val="none"/>
                <w:lang w:val="zh-CN"/>
              </w:rPr>
              <w:tab/>
            </w:r>
            <w:r>
              <w:rPr>
                <w:rFonts w:hint="eastAsia" w:ascii="宋体" w:hAnsi="宋体" w:eastAsia="宋体" w:cs="宋体"/>
                <w:color w:val="auto"/>
                <w:highlight w:val="none"/>
                <w:lang w:val="zh-CN"/>
              </w:rPr>
              <w:t>量</w:t>
            </w: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6B604C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资 格 要 求</w:t>
            </w:r>
          </w:p>
        </w:tc>
      </w:tr>
      <w:tr w14:paraId="03494C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C4EC7B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9EB852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1498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A2A5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9066E6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6275B2F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C26FD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EA678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3C8499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015F4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0AAA932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7B29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6320763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F7C4ED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7A20DF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16EE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D52DC9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6E69EB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F00CE63">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E93F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32D729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5F18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B82D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FE0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59D7AE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13CF9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0AEAA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3619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5690F10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153C49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19BB18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A0AE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1AB88B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2196F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4B38D5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2B10E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95406E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46308B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D656E8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E20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21C64F4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5C88E9D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1804F56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E671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42D92F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008A0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229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0B8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3F109E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7DB4176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68C4A57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F56A8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77B9E0E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262327C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2FD8564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1466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656" w:type="dxa"/>
            <w:tcBorders>
              <w:top w:val="single" w:color="000000" w:sz="4" w:space="0"/>
              <w:left w:val="single" w:color="000000" w:sz="4" w:space="0"/>
              <w:bottom w:val="single" w:color="000000" w:sz="4" w:space="0"/>
              <w:right w:val="single" w:color="000000" w:sz="4" w:space="0"/>
            </w:tcBorders>
            <w:noWrap w:val="0"/>
            <w:vAlign w:val="center"/>
          </w:tcPr>
          <w:p w14:paraId="0E2B22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342" w:type="dxa"/>
            <w:tcBorders>
              <w:top w:val="single" w:color="000000" w:sz="4" w:space="0"/>
              <w:left w:val="single" w:color="000000" w:sz="4" w:space="0"/>
              <w:bottom w:val="single" w:color="000000" w:sz="4" w:space="0"/>
              <w:right w:val="single" w:color="000000" w:sz="4" w:space="0"/>
            </w:tcBorders>
            <w:noWrap w:val="0"/>
            <w:vAlign w:val="center"/>
          </w:tcPr>
          <w:p w14:paraId="3818CF0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4647" w:type="dxa"/>
            <w:tcBorders>
              <w:top w:val="single" w:color="000000" w:sz="4" w:space="0"/>
              <w:left w:val="single" w:color="000000" w:sz="4" w:space="0"/>
              <w:bottom w:val="single" w:color="000000" w:sz="4" w:space="0"/>
              <w:right w:val="single" w:color="000000" w:sz="4" w:space="0"/>
            </w:tcBorders>
            <w:noWrap w:val="0"/>
            <w:vAlign w:val="center"/>
          </w:tcPr>
          <w:p w14:paraId="5922F72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1F79EFF8">
      <w:pPr>
        <w:pageBreakBefore w:val="0"/>
        <w:widowControl/>
        <w:kinsoku/>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4" w:name="_Toc122424491"/>
      <w:bookmarkStart w:id="485" w:name="_Toc1254"/>
      <w:bookmarkStart w:id="486" w:name="_Toc122424242"/>
      <w:r>
        <w:rPr>
          <w:rFonts w:hint="eastAsia" w:ascii="宋体" w:hAnsi="宋体" w:eastAsia="宋体" w:cs="宋体"/>
          <w:b/>
          <w:bCs/>
          <w:color w:val="auto"/>
          <w:sz w:val="32"/>
          <w:szCs w:val="32"/>
          <w:highlight w:val="none"/>
        </w:rPr>
        <w:t>附件</w:t>
      </w:r>
      <w:r>
        <w:rPr>
          <w:rFonts w:hint="eastAsia" w:ascii="宋体" w:hAnsi="宋体" w:cs="宋体"/>
          <w:b/>
          <w:bCs/>
          <w:color w:val="auto"/>
          <w:sz w:val="32"/>
          <w:szCs w:val="32"/>
          <w:highlight w:val="none"/>
          <w:lang w:val="en-US" w:eastAsia="zh-CN"/>
        </w:rPr>
        <w:t>五</w:t>
      </w:r>
      <w:r>
        <w:rPr>
          <w:rFonts w:hint="eastAsia" w:ascii="宋体" w:hAnsi="宋体" w:eastAsia="宋体" w:cs="宋体"/>
          <w:b/>
          <w:bCs/>
          <w:color w:val="auto"/>
          <w:sz w:val="32"/>
          <w:szCs w:val="32"/>
          <w:highlight w:val="none"/>
        </w:rPr>
        <w:t xml:space="preserve"> 主要机械设备和试验检测设备最低要求</w:t>
      </w:r>
      <w:bookmarkEnd w:id="484"/>
      <w:bookmarkEnd w:id="485"/>
      <w:bookmarkEnd w:id="486"/>
    </w:p>
    <w:tbl>
      <w:tblPr>
        <w:tblStyle w:val="26"/>
        <w:tblW w:w="0" w:type="auto"/>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6"/>
        <w:gridCol w:w="3092"/>
        <w:gridCol w:w="1564"/>
        <w:gridCol w:w="2473"/>
      </w:tblGrid>
      <w:tr w14:paraId="7F5A8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75C0DA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设备名称</w:t>
            </w: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019959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规格、功率及容量</w:t>
            </w: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E98310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单位</w:t>
            </w: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52C323F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r>
              <w:rPr>
                <w:rFonts w:hint="eastAsia" w:ascii="宋体" w:hAnsi="宋体" w:eastAsia="宋体" w:cs="宋体"/>
                <w:color w:val="auto"/>
                <w:highlight w:val="none"/>
                <w:lang w:val="zh-CN"/>
              </w:rPr>
              <w:t>最低数量要求</w:t>
            </w:r>
          </w:p>
        </w:tc>
      </w:tr>
      <w:tr w14:paraId="1366B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161EEA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3DBF2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62B0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31AC8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2C4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733A502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834174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A5774F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42D2CC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69396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FEA30D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181AF2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38886C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2B9247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8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2B493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32EB26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2C5D88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FE092F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AE8D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5"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0628047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36AF815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BF367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9082EF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D953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5BCDDC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722F19A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888C3E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73CF5B8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412AD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4D9456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F4BB3A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468FBDFA">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61808B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CC3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B1D704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D57B5F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D862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0899AFC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C30D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45BC1E17">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57718C7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E54EC9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3D4A52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965C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374DF3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026E648">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1C5FF76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47C962D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70AB6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D84737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774A9D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76C22316">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633B9C2">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16B1A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6349BC2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01BC020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0715E48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21B95D5">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5F2A63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1A50357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6A8C91A0">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5C94709E">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5840DAC">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3B0A25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AF4001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41E9F5F9">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643B111F">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6A7418E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r w14:paraId="08C5C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2516" w:type="dxa"/>
            <w:tcBorders>
              <w:top w:val="single" w:color="000000" w:sz="4" w:space="0"/>
              <w:left w:val="single" w:color="000000" w:sz="4" w:space="0"/>
              <w:bottom w:val="single" w:color="000000" w:sz="4" w:space="0"/>
              <w:right w:val="single" w:color="000000" w:sz="4" w:space="0"/>
            </w:tcBorders>
            <w:noWrap w:val="0"/>
            <w:vAlign w:val="center"/>
          </w:tcPr>
          <w:p w14:paraId="5DCD9DB4">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3092" w:type="dxa"/>
            <w:tcBorders>
              <w:top w:val="single" w:color="000000" w:sz="4" w:space="0"/>
              <w:left w:val="single" w:color="000000" w:sz="4" w:space="0"/>
              <w:bottom w:val="single" w:color="000000" w:sz="4" w:space="0"/>
              <w:right w:val="single" w:color="000000" w:sz="4" w:space="0"/>
            </w:tcBorders>
            <w:noWrap w:val="0"/>
            <w:vAlign w:val="center"/>
          </w:tcPr>
          <w:p w14:paraId="214CC511">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1564" w:type="dxa"/>
            <w:tcBorders>
              <w:top w:val="single" w:color="000000" w:sz="4" w:space="0"/>
              <w:left w:val="single" w:color="000000" w:sz="4" w:space="0"/>
              <w:bottom w:val="single" w:color="000000" w:sz="4" w:space="0"/>
              <w:right w:val="single" w:color="000000" w:sz="4" w:space="0"/>
            </w:tcBorders>
            <w:noWrap w:val="0"/>
            <w:vAlign w:val="center"/>
          </w:tcPr>
          <w:p w14:paraId="3DC0709D">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c>
          <w:tcPr>
            <w:tcW w:w="2473" w:type="dxa"/>
            <w:tcBorders>
              <w:top w:val="single" w:color="000000" w:sz="4" w:space="0"/>
              <w:left w:val="single" w:color="000000" w:sz="4" w:space="0"/>
              <w:bottom w:val="single" w:color="000000" w:sz="4" w:space="0"/>
              <w:right w:val="single" w:color="000000" w:sz="4" w:space="0"/>
            </w:tcBorders>
            <w:noWrap w:val="0"/>
            <w:vAlign w:val="center"/>
          </w:tcPr>
          <w:p w14:paraId="1EB92B9B">
            <w:pPr>
              <w:pageBreakBefore w:val="0"/>
              <w:kinsoku/>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 w:val="24"/>
                <w:highlight w:val="none"/>
                <w:lang w:val="zh-CN"/>
              </w:rPr>
            </w:pPr>
          </w:p>
        </w:tc>
      </w:tr>
    </w:tbl>
    <w:p w14:paraId="4829B9CF">
      <w:pPr>
        <w:pStyle w:val="4"/>
        <w:pageBreakBefore w:val="0"/>
        <w:kinsoku/>
        <w:overflowPunct/>
        <w:topLinePunct w:val="0"/>
        <w:autoSpaceDE/>
        <w:autoSpaceDN/>
        <w:bidi w:val="0"/>
        <w:spacing w:before="0" w:after="0"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487" w:name="_Toc122424492"/>
      <w:bookmarkStart w:id="488" w:name="_Toc122424243"/>
      <w:r>
        <w:rPr>
          <w:rFonts w:hint="eastAsia" w:ascii="宋体" w:hAnsi="宋体" w:eastAsia="宋体" w:cs="宋体"/>
          <w:color w:val="auto"/>
          <w:highlight w:val="none"/>
        </w:rPr>
        <w:t>附件</w:t>
      </w:r>
      <w:r>
        <w:rPr>
          <w:rFonts w:hint="eastAsia" w:ascii="宋体" w:hAnsi="宋体" w:cs="宋体"/>
          <w:color w:val="auto"/>
          <w:highlight w:val="none"/>
          <w:lang w:val="en-US" w:eastAsia="zh-CN"/>
        </w:rPr>
        <w:t>六</w:t>
      </w:r>
      <w:r>
        <w:rPr>
          <w:rFonts w:hint="eastAsia" w:ascii="宋体" w:hAnsi="宋体" w:eastAsia="宋体" w:cs="宋体"/>
          <w:color w:val="auto"/>
          <w:highlight w:val="none"/>
        </w:rPr>
        <w:t xml:space="preserve"> 履约保证金格式</w:t>
      </w:r>
      <w:bookmarkEnd w:id="487"/>
      <w:bookmarkEnd w:id="488"/>
    </w:p>
    <w:p w14:paraId="4EB39EB2">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如采用银行保函，格式如下。</w:t>
      </w:r>
    </w:p>
    <w:p w14:paraId="6A467E85">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2F0F4B7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p>
    <w:p w14:paraId="574F7F0D">
      <w:pPr>
        <w:pageBreakBefore w:val="0"/>
        <w:kinsoku/>
        <w:overflowPunct/>
        <w:topLinePunct w:val="0"/>
        <w:autoSpaceDE/>
        <w:autoSpaceDN/>
        <w:bidi w:val="0"/>
        <w:spacing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履约保证金</w:t>
      </w:r>
    </w:p>
    <w:p w14:paraId="2EB35AE5">
      <w:pPr>
        <w:pStyle w:val="45"/>
        <w:pageBreakBefore w:val="0"/>
        <w:shd w:val="clear" w:color="auto" w:fill="auto"/>
        <w:tabs>
          <w:tab w:val="left" w:leader="underscore" w:pos="2222"/>
        </w:tabs>
        <w:kinsoku/>
        <w:overflowPunct/>
        <w:topLinePunct w:val="0"/>
        <w:autoSpaceDE/>
        <w:autoSpaceDN/>
        <w:bidi w:val="0"/>
        <w:spacing w:before="0" w:after="388" w:line="360" w:lineRule="auto"/>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(发包人名称）：</w:t>
      </w:r>
    </w:p>
    <w:p w14:paraId="3823202B">
      <w:pPr>
        <w:pStyle w:val="45"/>
        <w:pageBreakBefore w:val="0"/>
        <w:shd w:val="clear" w:color="auto" w:fill="auto"/>
        <w:tabs>
          <w:tab w:val="left" w:leader="underscore" w:pos="2964"/>
          <w:tab w:val="left" w:leader="underscore" w:pos="8141"/>
        </w:tabs>
        <w:kinsoku/>
        <w:overflowPunct/>
        <w:topLinePunct w:val="0"/>
        <w:autoSpaceDE/>
        <w:autoSpaceDN/>
        <w:bidi w:val="0"/>
        <w:spacing w:before="0" w:line="360" w:lineRule="auto"/>
        <w:ind w:firstLine="630" w:firstLineChars="300"/>
        <w:jc w:val="both"/>
        <w:textAlignment w:val="auto"/>
        <w:rPr>
          <w:rFonts w:hint="eastAsia" w:ascii="宋体" w:hAnsi="宋体" w:eastAsia="宋体" w:cs="宋体"/>
          <w:color w:val="auto"/>
          <w:spacing w:val="0"/>
          <w:sz w:val="21"/>
          <w:szCs w:val="21"/>
          <w:highlight w:val="none"/>
        </w:rPr>
      </w:pPr>
      <w:r>
        <w:rPr>
          <w:rStyle w:val="46"/>
          <w:rFonts w:hint="eastAsia" w:ascii="宋体" w:hAnsi="宋体" w:eastAsia="宋体" w:cs="宋体"/>
          <w:color w:val="auto"/>
          <w:sz w:val="21"/>
          <w:szCs w:val="21"/>
          <w:highlight w:val="none"/>
        </w:rPr>
        <w:t>鉴于</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(发包人名称，以下简称“发包人”）接受</w:t>
      </w:r>
      <w:r>
        <w:rPr>
          <w:rStyle w:val="46"/>
          <w:rFonts w:hint="eastAsia" w:ascii="宋体" w:hAnsi="宋体" w:eastAsia="宋体" w:cs="宋体"/>
          <w:color w:val="auto"/>
          <w:sz w:val="21"/>
          <w:szCs w:val="21"/>
          <w:highlight w:val="none"/>
        </w:rPr>
        <w:tab/>
      </w:r>
      <w:r>
        <w:rPr>
          <w:rStyle w:val="46"/>
          <w:rFonts w:hint="eastAsia" w:ascii="宋体" w:hAnsi="宋体" w:eastAsia="宋体" w:cs="宋体"/>
          <w:color w:val="auto"/>
          <w:sz w:val="21"/>
          <w:szCs w:val="21"/>
          <w:highlight w:val="none"/>
        </w:rPr>
        <w:t xml:space="preserve"> (承包人名称，以下简称“承包人”）于</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年</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月</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日参加</w:t>
      </w:r>
      <w:r>
        <w:rPr>
          <w:rStyle w:val="46"/>
          <w:rFonts w:hint="eastAsia" w:ascii="宋体" w:hAnsi="宋体" w:eastAsia="宋体" w:cs="宋体"/>
          <w:color w:val="auto"/>
          <w:sz w:val="21"/>
          <w:szCs w:val="21"/>
          <w:highlight w:val="none"/>
          <w:lang w:val="en-US"/>
        </w:rPr>
        <w:t xml:space="preserve"> </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u w:val="single"/>
        </w:rPr>
        <w:t>(项目名称）</w:t>
      </w:r>
      <w:r>
        <w:rPr>
          <w:rStyle w:val="46"/>
          <w:rFonts w:hint="eastAsia" w:ascii="宋体" w:hAnsi="宋体" w:eastAsia="宋体" w:cs="宋体"/>
          <w:color w:val="auto"/>
          <w:sz w:val="21"/>
          <w:szCs w:val="21"/>
          <w:highlight w:val="none"/>
          <w:u w:val="single"/>
          <w:lang w:val="en-US"/>
        </w:rPr>
        <w:t xml:space="preserve">     </w:t>
      </w:r>
      <w:r>
        <w:rPr>
          <w:rStyle w:val="46"/>
          <w:rFonts w:hint="eastAsia" w:ascii="宋体" w:hAnsi="宋体" w:eastAsia="宋体" w:cs="宋体"/>
          <w:color w:val="auto"/>
          <w:sz w:val="21"/>
          <w:szCs w:val="21"/>
          <w:highlight w:val="none"/>
        </w:rPr>
        <w:t>标段施工的投标。我方愿意无条件地、不可撤销地就承包人履行与你方订立的合同，向你方提供担保。</w:t>
      </w:r>
    </w:p>
    <w:p w14:paraId="4E591DF7">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1.担保金额人民币</w:t>
      </w:r>
      <w:r>
        <w:rPr>
          <w:rFonts w:hint="eastAsia" w:ascii="宋体" w:hAnsi="宋体" w:eastAsia="宋体" w:cs="宋体"/>
          <w:color w:val="auto"/>
          <w:highlight w:val="none"/>
          <w:u w:val="single"/>
        </w:rPr>
        <w:t>（大写）</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元（￥</w:t>
      </w:r>
      <w:r>
        <w:rPr>
          <w:rFonts w:hint="eastAsia" w:ascii="宋体" w:hAnsi="宋体" w:eastAsia="宋体" w:cs="宋体"/>
          <w:color w:val="auto"/>
          <w:highlight w:val="none"/>
          <w:u w:val="single"/>
        </w:rPr>
        <w:tab/>
      </w:r>
      <w:r>
        <w:rPr>
          <w:rFonts w:hint="eastAsia" w:ascii="宋体" w:hAnsi="宋体" w:eastAsia="宋体" w:cs="宋体"/>
          <w:color w:val="auto"/>
          <w:highlight w:val="none"/>
          <w:u w:val="single"/>
        </w:rPr>
        <w:t>）</w:t>
      </w:r>
      <w:r>
        <w:rPr>
          <w:rFonts w:hint="eastAsia" w:ascii="宋体" w:hAnsi="宋体" w:eastAsia="宋体" w:cs="宋体"/>
          <w:color w:val="auto"/>
          <w:highlight w:val="none"/>
        </w:rPr>
        <w:t>。</w:t>
      </w:r>
    </w:p>
    <w:p w14:paraId="7F18AC43">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2.担保有效期自发包人与承包人签订的合同生效之日起至发包人签发交工验收证书且承包人按照合同约定缴纳质量保证金之日止。</w:t>
      </w:r>
      <w:r>
        <w:rPr>
          <w:rStyle w:val="32"/>
          <w:rFonts w:hint="eastAsia" w:ascii="宋体" w:hAnsi="宋体" w:eastAsia="宋体" w:cs="宋体"/>
          <w:color w:val="auto"/>
          <w:highlight w:val="none"/>
        </w:rPr>
        <w:footnoteReference w:id="1"/>
      </w:r>
    </w:p>
    <w:p w14:paraId="18FEAFC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3.在本担保有效期内，因承包人违反合同约定的义务给你方造成经济损失时， 我方在收到你方以书面形式提出的在担保金额内的赔偿要求后，在 7 日内无条件支付，无须你方出具证明或陈述理由。</w:t>
      </w:r>
    </w:p>
    <w:p w14:paraId="0A9157A8">
      <w:pPr>
        <w:pageBreakBefore w:val="0"/>
        <w:kinsoku/>
        <w:overflowPunct/>
        <w:topLinePunct w:val="0"/>
        <w:autoSpaceDE/>
        <w:autoSpaceDN/>
        <w:bidi w:val="0"/>
        <w:spacing w:line="360" w:lineRule="auto"/>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4.发包人和承包人按合同条款第 15 条变更合同时，无论我方是否收到该变更， 我方承担本担保规定的义务不变。</w:t>
      </w:r>
    </w:p>
    <w:p w14:paraId="168DD0F8">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担保人名称：</w:t>
      </w:r>
      <w:r>
        <w:rPr>
          <w:rFonts w:hint="eastAsia" w:ascii="宋体" w:hAnsi="宋体" w:eastAsia="宋体" w:cs="宋体"/>
          <w:color w:val="auto"/>
          <w:highlight w:val="none"/>
        </w:rPr>
        <w:tab/>
      </w:r>
      <w:r>
        <w:rPr>
          <w:rFonts w:hint="eastAsia" w:ascii="宋体" w:hAnsi="宋体" w:eastAsia="宋体" w:cs="宋体"/>
          <w:color w:val="auto"/>
          <w:highlight w:val="none"/>
        </w:rPr>
        <w:t>（盖单位章）</w:t>
      </w:r>
    </w:p>
    <w:p w14:paraId="7300AEAD">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法定代表人或其委托代理人：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签字）</w:t>
      </w:r>
    </w:p>
    <w:p w14:paraId="1828459A">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地   址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11A060B0">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u w:val="single"/>
        </w:rPr>
      </w:pPr>
      <w:r>
        <w:rPr>
          <w:rFonts w:hint="eastAsia" w:ascii="宋体" w:hAnsi="宋体" w:eastAsia="宋体" w:cs="宋体"/>
          <w:color w:val="auto"/>
          <w:highlight w:val="none"/>
        </w:rPr>
        <w:t>邮政编码：</w:t>
      </w:r>
    </w:p>
    <w:p w14:paraId="7528A3AB">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电    </w:t>
      </w:r>
      <w:r>
        <w:rPr>
          <w:rFonts w:hint="eastAsia" w:ascii="宋体" w:hAnsi="宋体" w:eastAsia="宋体" w:cs="宋体"/>
          <w:color w:val="auto"/>
          <w:highlight w:val="none"/>
        </w:rPr>
        <w:tab/>
      </w:r>
      <w:r>
        <w:rPr>
          <w:rFonts w:hint="eastAsia" w:ascii="宋体" w:hAnsi="宋体" w:eastAsia="宋体" w:cs="宋体"/>
          <w:color w:val="auto"/>
          <w:highlight w:val="none"/>
        </w:rPr>
        <w:t>话：</w:t>
      </w:r>
    </w:p>
    <w:p w14:paraId="72555267">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传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真： </w:t>
      </w:r>
      <w:r>
        <w:rPr>
          <w:rFonts w:hint="eastAsia" w:ascii="宋体" w:hAnsi="宋体" w:eastAsia="宋体" w:cs="宋体"/>
          <w:color w:val="auto"/>
          <w:highlight w:val="none"/>
        </w:rPr>
        <w:tab/>
      </w:r>
      <w:r>
        <w:rPr>
          <w:rFonts w:hint="eastAsia" w:ascii="宋体" w:hAnsi="宋体" w:eastAsia="宋体" w:cs="宋体"/>
          <w:color w:val="auto"/>
          <w:highlight w:val="none"/>
        </w:rPr>
        <w:tab/>
      </w:r>
    </w:p>
    <w:p w14:paraId="742DD633">
      <w:pPr>
        <w:pageBreakBefore w:val="0"/>
        <w:kinsoku/>
        <w:overflowPunct/>
        <w:topLinePunct w:val="0"/>
        <w:autoSpaceDE/>
        <w:autoSpaceDN/>
        <w:bidi w:val="0"/>
        <w:spacing w:line="360" w:lineRule="auto"/>
        <w:ind w:left="2940" w:leftChars="1400"/>
        <w:textAlignment w:val="auto"/>
        <w:rPr>
          <w:rFonts w:hint="eastAsia" w:ascii="宋体" w:hAnsi="宋体" w:eastAsia="宋体" w:cs="宋体"/>
          <w:color w:val="auto"/>
          <w:sz w:val="24"/>
          <w:highlight w:val="none"/>
        </w:rPr>
      </w:pPr>
      <w:r>
        <w:rPr>
          <w:rFonts w:hint="eastAsia" w:ascii="宋体" w:hAnsi="宋体" w:eastAsia="宋体" w:cs="宋体"/>
          <w:color w:val="auto"/>
          <w:highlight w:val="none"/>
        </w:rPr>
        <w:t xml:space="preserve">年   月 </w:t>
      </w:r>
      <w:r>
        <w:rPr>
          <w:rFonts w:hint="eastAsia" w:ascii="宋体" w:hAnsi="宋体" w:eastAsia="宋体" w:cs="宋体"/>
          <w:color w:val="auto"/>
          <w:highlight w:val="none"/>
        </w:rPr>
        <w:tab/>
      </w:r>
      <w:r>
        <w:rPr>
          <w:rFonts w:hint="eastAsia" w:ascii="宋体" w:hAnsi="宋体" w:eastAsia="宋体" w:cs="宋体"/>
          <w:color w:val="auto"/>
          <w:highlight w:val="none"/>
        </w:rPr>
        <w:t xml:space="preserve">日 </w:t>
      </w:r>
    </w:p>
    <w:p w14:paraId="796919FD">
      <w:pPr>
        <w:pageBreakBefore w:val="0"/>
        <w:tabs>
          <w:tab w:val="left" w:pos="3261"/>
        </w:tabs>
        <w:kinsoku/>
        <w:overflowPunct/>
        <w:topLinePunct w:val="0"/>
        <w:autoSpaceDE/>
        <w:autoSpaceDN/>
        <w:bidi w:val="0"/>
        <w:spacing w:line="360" w:lineRule="auto"/>
        <w:contextualSpacing/>
        <w:jc w:val="both"/>
        <w:textAlignment w:val="auto"/>
        <w:rPr>
          <w:rFonts w:hint="eastAsia" w:ascii="宋体" w:hAnsi="宋体" w:eastAsia="宋体" w:cs="宋体"/>
          <w:b/>
          <w:bCs/>
          <w:color w:val="auto"/>
          <w:highlight w:val="none"/>
        </w:rPr>
        <w:sectPr>
          <w:pgSz w:w="11911" w:h="16838"/>
          <w:pgMar w:top="1134" w:right="1134" w:bottom="1134" w:left="1134" w:header="720" w:footer="720" w:gutter="0"/>
          <w:cols w:space="720" w:num="1"/>
        </w:sectPr>
      </w:pPr>
    </w:p>
    <w:p w14:paraId="7310F3D4">
      <w:pPr>
        <w:pStyle w:val="2"/>
        <w:spacing w:before="0" w:after="0" w:line="240" w:lineRule="auto"/>
        <w:jc w:val="center"/>
        <w:rPr>
          <w:rFonts w:hint="eastAsia" w:ascii="宋体" w:hAnsi="宋体" w:eastAsia="宋体" w:cs="宋体"/>
          <w:b w:val="0"/>
          <w:bCs w:val="0"/>
          <w:color w:val="auto"/>
          <w:highlight w:val="none"/>
        </w:rPr>
      </w:pPr>
      <w:bookmarkStart w:id="489" w:name="_Toc29015"/>
      <w:bookmarkStart w:id="490" w:name="_Toc407135283"/>
      <w:bookmarkStart w:id="491" w:name="_Toc10491"/>
      <w:r>
        <w:rPr>
          <w:rFonts w:hint="eastAsia" w:ascii="宋体" w:hAnsi="宋体" w:eastAsia="宋体" w:cs="宋体"/>
          <w:b w:val="0"/>
          <w:bCs w:val="0"/>
          <w:color w:val="auto"/>
          <w:highlight w:val="none"/>
        </w:rPr>
        <w:t>第七章 工程量清单</w:t>
      </w:r>
      <w:bookmarkEnd w:id="489"/>
      <w:bookmarkEnd w:id="490"/>
      <w:r>
        <w:rPr>
          <w:rFonts w:hint="eastAsia" w:ascii="宋体" w:hAnsi="宋体" w:eastAsia="宋体" w:cs="宋体"/>
          <w:b w:val="0"/>
          <w:bCs w:val="0"/>
          <w:color w:val="auto"/>
          <w:highlight w:val="none"/>
        </w:rPr>
        <w:t>、图纸</w:t>
      </w:r>
      <w:bookmarkEnd w:id="491"/>
    </w:p>
    <w:p w14:paraId="1E1FE76F">
      <w:pPr>
        <w:pStyle w:val="4"/>
        <w:spacing w:before="0" w:after="0" w:line="360" w:lineRule="auto"/>
        <w:jc w:val="center"/>
        <w:rPr>
          <w:rFonts w:hint="eastAsia" w:ascii="宋体" w:hAnsi="宋体" w:eastAsia="宋体" w:cs="宋体"/>
          <w:color w:val="auto"/>
          <w:highlight w:val="none"/>
        </w:rPr>
      </w:pPr>
    </w:p>
    <w:p w14:paraId="63487A9D">
      <w:pPr>
        <w:pStyle w:val="4"/>
        <w:spacing w:before="0" w:after="0" w:line="360" w:lineRule="auto"/>
        <w:rPr>
          <w:rFonts w:hint="eastAsia" w:ascii="宋体" w:hAnsi="宋体" w:eastAsia="宋体" w:cs="宋体"/>
          <w:color w:val="auto"/>
          <w:highlight w:val="none"/>
        </w:rPr>
      </w:pPr>
      <w:bookmarkStart w:id="492" w:name="_Toc122424260"/>
      <w:bookmarkStart w:id="493" w:name="_Toc122424011"/>
      <w:r>
        <w:rPr>
          <w:rFonts w:hint="eastAsia" w:ascii="宋体" w:hAnsi="宋体" w:eastAsia="宋体" w:cs="宋体"/>
          <w:color w:val="auto"/>
          <w:highlight w:val="none"/>
        </w:rPr>
        <w:t>1.工程量清单说明</w:t>
      </w:r>
      <w:bookmarkEnd w:id="492"/>
      <w:bookmarkEnd w:id="493"/>
    </w:p>
    <w:p w14:paraId="71B596F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1.1本工程量清单是根据磋商文件中包括的有合同约束力的工程量清单计量规则、图纸以及有关工程量清单的国家标准、行业标准、合同条款中约定的其他规则编制。约定计量规则中没有的子目，其工程量按照有合同约束力的图纸所标示尺寸的理论净量计算。计量采用中华人民共和国法定计量单位。</w:t>
      </w:r>
    </w:p>
    <w:p w14:paraId="75C176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1.2本工程量清单应与磋商文件中的供应商须知、通用合同条款、专用合同条款、工程量清单计量规则、技术规范及图纸等一起阅读和理解。</w:t>
      </w:r>
    </w:p>
    <w:p w14:paraId="6CFFC83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1.3本工程量清单中所列工程数量是估算的或设计的预计数量，仅作为竞标报价的共同基础，不能作为最终结算与支付的依据。实际支付应按实际完成的工程量， 由承包人按工程量清单计量规则规定的计量方法，以监理人认可的尺寸、断面计量， 按本工程量清单的单价和总额价计算支付金额；或根据具体情况，按合同条款第 15.4 款的规定，按监理人确定的单价或总额价计算支付额。</w:t>
      </w:r>
    </w:p>
    <w:p w14:paraId="45584B7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1.4工程量清单各章是按《公路工程标准施工招标文件》（2018年版）第八章“工程量清单计量规则”、第七章“技术规范”的相应章次编号的，因此，工程量清单中各章的工程子目的范围与计量等应与“工程量清单计量规则” “技术规范”相应章节的范围、计量与支付条款结合起来理解或解释。</w:t>
      </w:r>
    </w:p>
    <w:p w14:paraId="324C4CE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1.5对作业和材料的一般说明或规定，未重复写入工程量清单内，在给工程量清单各子目标价前，应参阅第七章“技术规范”的有关内容。</w:t>
      </w:r>
    </w:p>
    <w:p w14:paraId="2FA6CA7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1.6工程量清单中所列工程量的变动，丝毫不会降低或影响合同条款的效力， 也不免除承包人按规定的标准进行施工和修复缺陷的责任。</w:t>
      </w:r>
    </w:p>
    <w:p w14:paraId="13DAC832">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1.7图纸中所列的工程数量表及数量汇总表仅是提供资料，不是工程量清单的外延。当图纸与工程量清单所列数量不一致时，以工程量清单所列数量作为报价的依据。</w:t>
      </w:r>
    </w:p>
    <w:p w14:paraId="2D972167">
      <w:pPr>
        <w:pStyle w:val="4"/>
        <w:spacing w:before="0" w:after="0" w:line="360" w:lineRule="auto"/>
        <w:rPr>
          <w:rFonts w:hint="eastAsia" w:ascii="宋体" w:hAnsi="宋体" w:eastAsia="宋体" w:cs="宋体"/>
          <w:color w:val="auto"/>
          <w:highlight w:val="none"/>
        </w:rPr>
      </w:pPr>
      <w:bookmarkStart w:id="494" w:name="_Toc122424012"/>
      <w:bookmarkStart w:id="495" w:name="_Toc122424261"/>
      <w:bookmarkStart w:id="496" w:name="_Toc5517"/>
      <w:r>
        <w:rPr>
          <w:rFonts w:hint="eastAsia" w:ascii="宋体" w:hAnsi="宋体" w:eastAsia="宋体" w:cs="宋体"/>
          <w:color w:val="auto"/>
          <w:highlight w:val="none"/>
        </w:rPr>
        <w:t>2.竞标报价说明</w:t>
      </w:r>
      <w:bookmarkEnd w:id="494"/>
      <w:bookmarkEnd w:id="495"/>
      <w:bookmarkEnd w:id="496"/>
    </w:p>
    <w:p w14:paraId="2AF76204">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2.1工程量清单中的每一子目须填入单价或价格，且只允许有一个报价。</w:t>
      </w:r>
    </w:p>
    <w:p w14:paraId="5A8845C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2.2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64B3F7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2.3工程量清单中供应商没有填入单价或价格的子目，其费用视为已分摊在工程量清单中其他相关子目的单价或价格之中。承包人必须按监理人指令完成工程量清单中未填入单价或价格的子目，但不能得到结算与支付。</w:t>
      </w:r>
    </w:p>
    <w:p w14:paraId="3F1B532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2.4符合合同条款规定的全部费用应认为已被计入有标价的工程量清单所列各子目之中，未列子目不予计量的工作，其费用应视为已分摊在本合同工程的有关子目的单价或总额价之中。</w:t>
      </w:r>
    </w:p>
    <w:p w14:paraId="7E7515C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2.5承包人用于本合同工程的各类装备的提供、运输、维护、拆卸、拼装等支付的费用，已包括在工程量清单的单价与总额价之中。</w:t>
      </w:r>
    </w:p>
    <w:p w14:paraId="6D9BF53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2.6供应商应根据《公路水运工程安全生产监督管理办法》，在竞标总价中计入安全生产费用，安全生产费用应符合合同条款第 9.2.5 项的规定。工程量清单第 100 章内列有上述安全生产费的支付子目，由供应商按磋商文件的规定填写总额价。</w:t>
      </w:r>
    </w:p>
    <w:p w14:paraId="11541A78">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2.7工程量清单中各项金额均以人民币（元）结算。</w:t>
      </w:r>
    </w:p>
    <w:p w14:paraId="0DF95E99">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2.8暂列金额（不含计日工总额）的数量及拟用子目的说明：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59FA25E7">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2.9暂估价的数量及拟用子目的说明：</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u w:val="single"/>
          <w:lang w:val="en-US" w:eastAsia="zh-CN"/>
        </w:rPr>
        <w:t>详见工程量清单</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B7D0B80">
      <w:pPr>
        <w:pStyle w:val="4"/>
        <w:spacing w:before="0" w:after="0" w:line="360" w:lineRule="auto"/>
        <w:rPr>
          <w:rFonts w:hint="eastAsia" w:ascii="宋体" w:hAnsi="宋体" w:eastAsia="宋体" w:cs="宋体"/>
          <w:color w:val="auto"/>
          <w:highlight w:val="none"/>
        </w:rPr>
      </w:pPr>
      <w:bookmarkStart w:id="497" w:name="_Toc122424262"/>
      <w:bookmarkStart w:id="498" w:name="_Toc122424013"/>
      <w:bookmarkStart w:id="499" w:name="_Toc16130"/>
      <w:r>
        <w:rPr>
          <w:rFonts w:hint="eastAsia" w:ascii="宋体" w:hAnsi="宋体" w:eastAsia="宋体" w:cs="宋体"/>
          <w:color w:val="auto"/>
          <w:highlight w:val="none"/>
        </w:rPr>
        <w:t>3.计日工说明</w:t>
      </w:r>
      <w:bookmarkEnd w:id="497"/>
      <w:bookmarkEnd w:id="498"/>
      <w:bookmarkEnd w:id="499"/>
    </w:p>
    <w:p w14:paraId="26F0DDF6">
      <w:pPr>
        <w:pStyle w:val="5"/>
        <w:rPr>
          <w:rFonts w:hint="eastAsia" w:ascii="宋体" w:hAnsi="宋体" w:eastAsia="宋体" w:cs="宋体"/>
          <w:color w:val="auto"/>
          <w:highlight w:val="none"/>
        </w:rPr>
      </w:pPr>
      <w:bookmarkStart w:id="500" w:name="_Toc2050"/>
      <w:r>
        <w:rPr>
          <w:rFonts w:hint="eastAsia" w:ascii="宋体" w:hAnsi="宋体" w:eastAsia="宋体" w:cs="宋体"/>
          <w:color w:val="auto"/>
          <w:highlight w:val="none"/>
        </w:rPr>
        <w:t>3.1总则</w:t>
      </w:r>
      <w:bookmarkEnd w:id="500"/>
    </w:p>
    <w:p w14:paraId="2060E2CB">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（1）本说明应参照通用合同条款第 15.7 款一并理解。</w:t>
      </w:r>
    </w:p>
    <w:p w14:paraId="0CA9D3A6">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（2）未经监理人书面指令，任何工程不得按计日工施工；接到监理人按计日工施工的书面指令，承包人也不得拒绝。</w:t>
      </w:r>
    </w:p>
    <w:p w14:paraId="093906B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供应商应在计日工单价表中填列计日工子目的基本单价或租价，该基本单价或租价适用于监理人指令的任何数量的计日工的结算与支付。计日工的劳务、材料和施工机械由采购人（或发包人）列出正常的估计数量，供应商报出单价，计算出计日工总额后列入工程量清单汇总表中并进入评标价。</w:t>
      </w:r>
    </w:p>
    <w:p w14:paraId="1D6676D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（4）计日工不调价。</w:t>
      </w:r>
    </w:p>
    <w:p w14:paraId="0FC246C5">
      <w:pPr>
        <w:pStyle w:val="5"/>
        <w:rPr>
          <w:rFonts w:hint="eastAsia" w:ascii="宋体" w:hAnsi="宋体" w:eastAsia="宋体" w:cs="宋体"/>
          <w:color w:val="auto"/>
          <w:highlight w:val="none"/>
        </w:rPr>
      </w:pPr>
      <w:bookmarkStart w:id="501" w:name="_Toc13076"/>
      <w:r>
        <w:rPr>
          <w:rFonts w:hint="eastAsia" w:ascii="宋体" w:hAnsi="宋体" w:eastAsia="宋体" w:cs="宋体"/>
          <w:color w:val="auto"/>
          <w:highlight w:val="none"/>
        </w:rPr>
        <w:t>3.2计日工劳务</w:t>
      </w:r>
      <w:bookmarkEnd w:id="501"/>
    </w:p>
    <w:p w14:paraId="1F285A0E">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在计算应付给承包人的计日工工资时，工时应从工人到达施工现场，并开始从事指定的工作算起，到返回原出发地点为止，扣去用餐和休息的时间。只有直接从事指定的工作，且能胜任该工作的工人才能计工，随同工人一起做工的班长应计算在内，但不包括领工（工长）和其他质检管理人员。</w:t>
      </w:r>
    </w:p>
    <w:p w14:paraId="0617262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（2）承包人可以得到用于计日工劳务的全部工时的支付，此支付按承包人填报的“计日工劳务单价表”所列单价计算，该单价应包括基本单价及承包人的管理费、税费、利润等所有附加费，说明如下：</w:t>
      </w:r>
    </w:p>
    <w:p w14:paraId="1454B2D0">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a.劳务基本单价包括：承包人劳务的全部直接费用，如：工资、加班费、津贴、福利费及劳动保护费等。</w:t>
      </w:r>
    </w:p>
    <w:p w14:paraId="6CCDC7C5">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b.承包人的利润、管理、质检、保险、税费；易耗品的使用，水电及照明费， 工作台、脚手架、临时设施费，手动机具与工具的使用及维修，以及上述各项伴随而来的费用。</w:t>
      </w:r>
    </w:p>
    <w:p w14:paraId="1398C700">
      <w:pPr>
        <w:pStyle w:val="5"/>
        <w:rPr>
          <w:rFonts w:hint="eastAsia" w:ascii="宋体" w:hAnsi="宋体" w:eastAsia="宋体" w:cs="宋体"/>
          <w:color w:val="auto"/>
          <w:highlight w:val="none"/>
        </w:rPr>
      </w:pPr>
      <w:bookmarkStart w:id="502" w:name="_Toc23837"/>
      <w:r>
        <w:rPr>
          <w:rFonts w:hint="eastAsia" w:ascii="宋体" w:hAnsi="宋体" w:eastAsia="宋体" w:cs="宋体"/>
          <w:color w:val="auto"/>
          <w:highlight w:val="none"/>
        </w:rPr>
        <w:t>3.3计日工材料</w:t>
      </w:r>
      <w:bookmarkEnd w:id="502"/>
    </w:p>
    <w:p w14:paraId="64047BE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承包人可以得到计日工使用的材料费用（上述 3.2 款已计入劳务费内的材料费用除外）的支付，此费用按承包人“计日工材料单价表”中所填报的单价计算，该单价应包括基本单价及承包人的管理费、税费、利润等所有附加费，说明如下：</w:t>
      </w:r>
    </w:p>
    <w:p w14:paraId="0258FC1D">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（1）材料基本单价按供货价加运杂费（到达承包人现场仓库）、保险费、仓库管理费以及运输损耗等计算；</w:t>
      </w:r>
    </w:p>
    <w:p w14:paraId="15EA0D5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（2）承包人的利润、管理、质检、保险、税费及其他附加费；</w:t>
      </w:r>
    </w:p>
    <w:p w14:paraId="68614D5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（3）从现场运至使用地点的人工费和施工机械使用费不包括在上述基本单价内。</w:t>
      </w:r>
    </w:p>
    <w:p w14:paraId="3A40A3DA">
      <w:pPr>
        <w:pStyle w:val="5"/>
        <w:rPr>
          <w:rFonts w:hint="eastAsia" w:ascii="宋体" w:hAnsi="宋体" w:eastAsia="宋体" w:cs="宋体"/>
          <w:color w:val="auto"/>
          <w:highlight w:val="none"/>
        </w:rPr>
      </w:pPr>
      <w:r>
        <w:rPr>
          <w:rFonts w:hint="eastAsia" w:ascii="宋体" w:hAnsi="宋体" w:eastAsia="宋体" w:cs="宋体"/>
          <w:color w:val="auto"/>
          <w:highlight w:val="none"/>
        </w:rPr>
        <w:t>3.4计日工施工机械</w:t>
      </w:r>
    </w:p>
    <w:p w14:paraId="3677F121">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（1）承包人可以得到用于计日工作业的施工机械费用的支付，该费用按承包</w:t>
      </w:r>
    </w:p>
    <w:p w14:paraId="7AC0164C">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人填报的“计日工施工机械单价表”中的租价计算。该租价应包括施工机械的折旧、利息、维修、保养、零配件、油燃料、保险和其他消耗品的费用以及全部有关使用这些机械的管理费、税费、利润和司机与助手的劳务费等费用。</w:t>
      </w:r>
    </w:p>
    <w:p w14:paraId="7BAB24C3">
      <w:pPr>
        <w:spacing w:line="360" w:lineRule="auto"/>
        <w:ind w:firstLine="480"/>
        <w:rPr>
          <w:rFonts w:hint="eastAsia" w:ascii="宋体" w:hAnsi="宋体" w:eastAsia="宋体" w:cs="宋体"/>
          <w:color w:val="auto"/>
          <w:highlight w:val="none"/>
        </w:rPr>
      </w:pPr>
      <w:r>
        <w:rPr>
          <w:rFonts w:hint="eastAsia" w:ascii="宋体" w:hAnsi="宋体" w:eastAsia="宋体" w:cs="宋体"/>
          <w:color w:val="auto"/>
          <w:highlight w:val="none"/>
        </w:rPr>
        <w:t>（2）在计日工作业中，承包人计算所用的施工机械费用时，应按实际工作小时支付。除非经监理人的同意，计算的工作小时才能将施工机械从现场某处运到监理人指令的计日工作业的另一现场往返运送时间包括在内。</w:t>
      </w:r>
    </w:p>
    <w:p w14:paraId="6D3E3D2A">
      <w:pPr>
        <w:pStyle w:val="4"/>
        <w:spacing w:before="0" w:after="0" w:line="360" w:lineRule="auto"/>
        <w:rPr>
          <w:rFonts w:hint="eastAsia" w:ascii="宋体" w:hAnsi="宋体" w:eastAsia="宋体" w:cs="宋体"/>
          <w:color w:val="auto"/>
          <w:highlight w:val="none"/>
        </w:rPr>
      </w:pPr>
      <w:bookmarkStart w:id="503" w:name="_Toc122424263"/>
      <w:bookmarkStart w:id="504" w:name="_Toc25846"/>
      <w:bookmarkStart w:id="505" w:name="_Toc122424014"/>
      <w:r>
        <w:rPr>
          <w:rFonts w:hint="eastAsia" w:ascii="宋体" w:hAnsi="宋体" w:eastAsia="宋体" w:cs="宋体"/>
          <w:color w:val="auto"/>
          <w:highlight w:val="none"/>
        </w:rPr>
        <w:t>4.其他说明</w:t>
      </w:r>
      <w:bookmarkEnd w:id="503"/>
      <w:bookmarkEnd w:id="504"/>
      <w:bookmarkEnd w:id="505"/>
    </w:p>
    <w:p w14:paraId="4D1647B1">
      <w:pPr>
        <w:pStyle w:val="4"/>
        <w:spacing w:before="0" w:after="0"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工程量清单、图纸获取</w:t>
      </w:r>
    </w:p>
    <w:p w14:paraId="1C0769E5">
      <w:pPr>
        <w:tabs>
          <w:tab w:val="left" w:pos="3261"/>
        </w:tabs>
        <w:spacing w:line="360" w:lineRule="auto"/>
        <w:jc w:val="left"/>
        <w:rPr>
          <w:rFonts w:ascii="宋体" w:hAnsi="宋体" w:cs="宋体"/>
          <w:b/>
          <w:color w:val="auto"/>
          <w:sz w:val="44"/>
          <w:szCs w:val="44"/>
          <w:highlight w:val="none"/>
        </w:rPr>
      </w:pPr>
      <w:r>
        <w:rPr>
          <w:rFonts w:hint="eastAsia" w:ascii="宋体" w:hAnsi="宋体" w:eastAsia="宋体" w:cs="宋体"/>
          <w:color w:val="auto"/>
          <w:highlight w:val="none"/>
        </w:rPr>
        <w:t>获取方式：网上下载。本项目不发放</w:t>
      </w:r>
      <w:r>
        <w:rPr>
          <w:rFonts w:hint="eastAsia" w:ascii="宋体" w:hAnsi="宋体" w:eastAsia="宋体" w:cs="宋体"/>
          <w:color w:val="auto"/>
          <w:highlight w:val="none"/>
          <w:lang w:eastAsia="zh-CN"/>
        </w:rPr>
        <w:t>纸质版的</w:t>
      </w:r>
      <w:r>
        <w:rPr>
          <w:rFonts w:hint="eastAsia" w:ascii="宋体" w:hAnsi="宋体" w:eastAsia="宋体" w:cs="宋体"/>
          <w:color w:val="auto"/>
          <w:highlight w:val="none"/>
        </w:rPr>
        <w:t>工程量清单及图纸，由潜在供应商自行在</w:t>
      </w:r>
      <w:r>
        <w:rPr>
          <w:rFonts w:hint="eastAsia" w:ascii="宋体" w:hAnsi="宋体" w:eastAsia="宋体" w:cs="宋体"/>
          <w:color w:val="auto"/>
          <w:szCs w:val="21"/>
          <w:highlight w:val="none"/>
        </w:rPr>
        <w:t>广西政府采购云平台</w:t>
      </w:r>
      <w:r>
        <w:rPr>
          <w:rFonts w:hint="eastAsia" w:ascii="宋体" w:hAnsi="宋体" w:eastAsia="宋体" w:cs="宋体"/>
          <w:color w:val="auto"/>
          <w:highlight w:val="none"/>
        </w:rPr>
        <w:t>下载。</w:t>
      </w:r>
    </w:p>
    <w:p w14:paraId="66D2BE8E">
      <w:pPr>
        <w:tabs>
          <w:tab w:val="left" w:pos="3261"/>
        </w:tabs>
        <w:spacing w:line="360" w:lineRule="auto"/>
        <w:jc w:val="center"/>
        <w:rPr>
          <w:rFonts w:ascii="宋体" w:hAnsi="宋体" w:cs="宋体"/>
          <w:b/>
          <w:color w:val="auto"/>
          <w:sz w:val="44"/>
          <w:szCs w:val="44"/>
          <w:highlight w:val="none"/>
        </w:rPr>
      </w:pPr>
    </w:p>
    <w:p w14:paraId="36EBAD79">
      <w:pPr>
        <w:tabs>
          <w:tab w:val="left" w:pos="3261"/>
        </w:tabs>
        <w:spacing w:line="360" w:lineRule="auto"/>
        <w:jc w:val="center"/>
        <w:rPr>
          <w:rFonts w:ascii="宋体" w:hAnsi="宋体" w:cs="宋体"/>
          <w:b/>
          <w:color w:val="auto"/>
          <w:sz w:val="44"/>
          <w:szCs w:val="44"/>
          <w:highlight w:val="none"/>
        </w:rPr>
      </w:pPr>
    </w:p>
    <w:p w14:paraId="427E322B">
      <w:pPr>
        <w:widowControl/>
        <w:spacing w:line="360" w:lineRule="auto"/>
        <w:jc w:val="left"/>
        <w:rPr>
          <w:rFonts w:ascii="宋体" w:hAnsi="宋体" w:cs="宋体"/>
          <w:b/>
          <w:bCs/>
          <w:color w:val="auto"/>
          <w:sz w:val="44"/>
          <w:szCs w:val="44"/>
          <w:highlight w:val="none"/>
        </w:rPr>
        <w:sectPr>
          <w:pgSz w:w="11910" w:h="16840"/>
          <w:pgMar w:top="1340" w:right="1500" w:bottom="280" w:left="1680" w:header="720" w:footer="720" w:gutter="0"/>
          <w:cols w:space="720" w:num="1"/>
        </w:sectPr>
      </w:pPr>
    </w:p>
    <w:p w14:paraId="13171FD0">
      <w:pPr>
        <w:tabs>
          <w:tab w:val="left" w:pos="3261"/>
        </w:tabs>
        <w:spacing w:line="360" w:lineRule="auto"/>
        <w:jc w:val="center"/>
        <w:rPr>
          <w:rFonts w:ascii="宋体" w:hAnsi="宋体" w:cs="宋体"/>
          <w:b/>
          <w:color w:val="auto"/>
          <w:sz w:val="44"/>
          <w:szCs w:val="44"/>
          <w:highlight w:val="none"/>
        </w:rPr>
      </w:pPr>
    </w:p>
    <w:p w14:paraId="6257ADBA">
      <w:pPr>
        <w:tabs>
          <w:tab w:val="left" w:pos="3261"/>
        </w:tabs>
        <w:spacing w:line="360" w:lineRule="auto"/>
        <w:jc w:val="center"/>
        <w:rPr>
          <w:rFonts w:ascii="宋体" w:hAnsi="宋体" w:cs="宋体"/>
          <w:b/>
          <w:color w:val="auto"/>
          <w:sz w:val="44"/>
          <w:szCs w:val="44"/>
          <w:highlight w:val="none"/>
        </w:rPr>
      </w:pPr>
    </w:p>
    <w:p w14:paraId="69AA9C59">
      <w:pPr>
        <w:tabs>
          <w:tab w:val="left" w:pos="3261"/>
        </w:tabs>
        <w:spacing w:line="360" w:lineRule="auto"/>
        <w:jc w:val="center"/>
        <w:rPr>
          <w:rFonts w:ascii="宋体" w:hAnsi="宋体" w:cs="宋体"/>
          <w:b/>
          <w:color w:val="auto"/>
          <w:sz w:val="44"/>
          <w:szCs w:val="44"/>
          <w:highlight w:val="none"/>
        </w:rPr>
      </w:pPr>
    </w:p>
    <w:p w14:paraId="4EC8D1FD">
      <w:pPr>
        <w:tabs>
          <w:tab w:val="left" w:pos="3261"/>
        </w:tabs>
        <w:spacing w:line="360" w:lineRule="auto"/>
        <w:jc w:val="center"/>
        <w:rPr>
          <w:rFonts w:ascii="宋体" w:hAnsi="宋体" w:cs="宋体"/>
          <w:b/>
          <w:color w:val="auto"/>
          <w:sz w:val="44"/>
          <w:szCs w:val="44"/>
          <w:highlight w:val="none"/>
        </w:rPr>
      </w:pPr>
    </w:p>
    <w:p w14:paraId="47BD94DB">
      <w:pPr>
        <w:tabs>
          <w:tab w:val="left" w:pos="3261"/>
        </w:tabs>
        <w:spacing w:line="360" w:lineRule="auto"/>
        <w:jc w:val="center"/>
        <w:rPr>
          <w:rFonts w:ascii="宋体" w:hAnsi="宋体" w:cs="宋体"/>
          <w:b/>
          <w:color w:val="auto"/>
          <w:sz w:val="44"/>
          <w:szCs w:val="44"/>
          <w:highlight w:val="none"/>
        </w:rPr>
      </w:pPr>
    </w:p>
    <w:p w14:paraId="3611968D">
      <w:pPr>
        <w:pStyle w:val="2"/>
        <w:jc w:val="center"/>
        <w:rPr>
          <w:rFonts w:ascii="宋体" w:hAnsi="宋体" w:cs="宋体"/>
          <w:color w:val="auto"/>
          <w:highlight w:val="none"/>
        </w:rPr>
      </w:pPr>
      <w:bookmarkStart w:id="506" w:name="_Toc22933"/>
      <w:r>
        <w:rPr>
          <w:rFonts w:hint="eastAsia" w:ascii="宋体" w:hAnsi="宋体" w:cs="宋体"/>
          <w:b w:val="0"/>
          <w:color w:val="auto"/>
          <w:highlight w:val="none"/>
        </w:rPr>
        <w:t>第</w:t>
      </w:r>
      <w:r>
        <w:rPr>
          <w:rFonts w:hint="eastAsia" w:ascii="宋体" w:hAnsi="宋体" w:cs="宋体"/>
          <w:b w:val="0"/>
          <w:color w:val="auto"/>
          <w:highlight w:val="none"/>
          <w:lang w:val="en-US" w:eastAsia="zh-CN"/>
        </w:rPr>
        <w:t>八</w:t>
      </w:r>
      <w:r>
        <w:rPr>
          <w:rFonts w:hint="eastAsia" w:ascii="宋体" w:hAnsi="宋体" w:cs="宋体"/>
          <w:b w:val="0"/>
          <w:color w:val="auto"/>
          <w:highlight w:val="none"/>
        </w:rPr>
        <w:t>章 质疑、投诉材料格式</w:t>
      </w:r>
      <w:bookmarkEnd w:id="506"/>
    </w:p>
    <w:p w14:paraId="6A447DD9">
      <w:pPr>
        <w:widowControl/>
        <w:spacing w:line="576" w:lineRule="auto"/>
        <w:jc w:val="left"/>
        <w:rPr>
          <w:rFonts w:ascii="宋体" w:hAnsi="宋体" w:cs="宋体"/>
          <w:b/>
          <w:bCs/>
          <w:color w:val="auto"/>
          <w:kern w:val="44"/>
          <w:sz w:val="44"/>
          <w:szCs w:val="44"/>
          <w:highlight w:val="none"/>
        </w:rPr>
        <w:sectPr>
          <w:pgSz w:w="11910" w:h="16840"/>
          <w:pgMar w:top="1340" w:right="1500" w:bottom="280" w:left="1680" w:header="720" w:footer="720" w:gutter="0"/>
          <w:cols w:space="720" w:num="1"/>
        </w:sectPr>
      </w:pPr>
    </w:p>
    <w:p w14:paraId="184F0BFC">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质疑函（格式）</w:t>
      </w:r>
    </w:p>
    <w:p w14:paraId="1C949AB6">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一、质疑供应商基本信息：</w:t>
      </w:r>
    </w:p>
    <w:p w14:paraId="0C864950">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质疑供应商：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985C3F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B143407">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11196B3F">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p>
    <w:p w14:paraId="3DE6A2B3">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724C622C">
      <w:pPr>
        <w:pStyle w:val="15"/>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B54AC34">
      <w:pPr>
        <w:pStyle w:val="15"/>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二、质疑项目基本情况：</w:t>
      </w:r>
    </w:p>
    <w:p w14:paraId="5C99FDA8">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07" w:name="PO_3000001868_PM002_16"/>
      <w:r>
        <w:rPr>
          <w:rFonts w:hint="eastAsia" w:hAnsi="宋体" w:cs="宋体"/>
          <w:bCs/>
          <w:color w:val="auto"/>
          <w:sz w:val="24"/>
          <w:szCs w:val="24"/>
          <w:highlight w:val="none"/>
          <w:u w:val="single"/>
        </w:rPr>
        <w:t>[项目名称]</w:t>
      </w:r>
      <w:bookmarkEnd w:id="507"/>
      <w:r>
        <w:rPr>
          <w:rFonts w:hint="eastAsia" w:hAnsi="宋体" w:cs="宋体"/>
          <w:bCs/>
          <w:color w:val="auto"/>
          <w:sz w:val="24"/>
          <w:szCs w:val="24"/>
          <w:highlight w:val="none"/>
          <w:u w:val="single"/>
        </w:rPr>
        <w:t xml:space="preserve"> </w:t>
      </w:r>
    </w:p>
    <w:p w14:paraId="604E3E1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bCs/>
          <w:color w:val="auto"/>
          <w:sz w:val="24"/>
          <w:szCs w:val="24"/>
          <w:highlight w:val="none"/>
        </w:rPr>
        <w:t>质疑</w:t>
      </w:r>
      <w:r>
        <w:rPr>
          <w:rFonts w:hint="eastAsia" w:hAnsi="宋体" w:cs="宋体"/>
          <w:color w:val="auto"/>
          <w:sz w:val="24"/>
          <w:szCs w:val="24"/>
          <w:highlight w:val="none"/>
        </w:rPr>
        <w:t>项目的编号：</w:t>
      </w:r>
      <w:bookmarkStart w:id="508" w:name="PO_3000001868_PM001_13"/>
      <w:r>
        <w:rPr>
          <w:rFonts w:hint="eastAsia" w:hAnsi="宋体" w:cs="宋体"/>
          <w:bCs/>
          <w:color w:val="auto"/>
          <w:sz w:val="24"/>
          <w:szCs w:val="24"/>
          <w:highlight w:val="none"/>
          <w:u w:val="single"/>
        </w:rPr>
        <w:t>[项目编号]</w:t>
      </w:r>
      <w:bookmarkEnd w:id="508"/>
      <w:r>
        <w:rPr>
          <w:rFonts w:hint="eastAsia" w:hAnsi="宋体" w:cs="宋体"/>
          <w:bCs/>
          <w:color w:val="auto"/>
          <w:sz w:val="24"/>
          <w:szCs w:val="24"/>
          <w:highlight w:val="none"/>
          <w:u w:val="single"/>
        </w:rPr>
        <w:t xml:space="preserve"> </w:t>
      </w:r>
    </w:p>
    <w:p w14:paraId="404783D4">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09" w:name="PO_3000001868_PM026_7"/>
      <w:r>
        <w:rPr>
          <w:rFonts w:hint="eastAsia" w:hAnsi="宋体" w:cs="宋体"/>
          <w:bCs/>
          <w:color w:val="auto"/>
          <w:sz w:val="24"/>
          <w:szCs w:val="24"/>
          <w:highlight w:val="none"/>
          <w:u w:val="single"/>
        </w:rPr>
        <w:t>[采购人]</w:t>
      </w:r>
      <w:bookmarkEnd w:id="509"/>
      <w:r>
        <w:rPr>
          <w:rFonts w:hint="eastAsia" w:hAnsi="宋体" w:cs="宋体"/>
          <w:bCs/>
          <w:color w:val="auto"/>
          <w:sz w:val="24"/>
          <w:szCs w:val="24"/>
          <w:highlight w:val="none"/>
          <w:u w:val="single"/>
        </w:rPr>
        <w:t xml:space="preserve">  </w:t>
      </w:r>
    </w:p>
    <w:p w14:paraId="3440E47E">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w:t>
      </w:r>
    </w:p>
    <w:p w14:paraId="193DBD02">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□采购文件   采购文件获取日期：</w:t>
      </w:r>
      <w:r>
        <w:rPr>
          <w:rFonts w:hint="eastAsia" w:hAnsi="宋体" w:cs="宋体"/>
          <w:bCs/>
          <w:color w:val="auto"/>
          <w:sz w:val="24"/>
          <w:szCs w:val="24"/>
          <w:highlight w:val="none"/>
          <w:u w:val="single"/>
        </w:rPr>
        <w:t xml:space="preserve">                                   </w:t>
      </w:r>
    </w:p>
    <w:p w14:paraId="2AAFE539">
      <w:pPr>
        <w:pStyle w:val="15"/>
        <w:spacing w:line="360" w:lineRule="auto"/>
        <w:ind w:left="25" w:leftChars="12" w:firstLine="352" w:firstLineChars="147"/>
        <w:contextualSpacing/>
        <w:rPr>
          <w:rFonts w:hAnsi="宋体" w:cs="宋体"/>
          <w:color w:val="auto"/>
          <w:sz w:val="24"/>
          <w:szCs w:val="24"/>
          <w:highlight w:val="none"/>
        </w:rPr>
      </w:pPr>
      <w:r>
        <w:rPr>
          <w:rFonts w:hint="eastAsia" w:hAnsi="宋体" w:cs="宋体"/>
          <w:color w:val="auto"/>
          <w:sz w:val="24"/>
          <w:szCs w:val="24"/>
          <w:highlight w:val="none"/>
        </w:rPr>
        <w:t xml:space="preserve">□采购过程   </w:t>
      </w:r>
    </w:p>
    <w:p w14:paraId="3C7913A5">
      <w:pPr>
        <w:pStyle w:val="15"/>
        <w:spacing w:line="360" w:lineRule="auto"/>
        <w:ind w:left="25" w:leftChars="12" w:firstLine="352" w:firstLineChars="147"/>
        <w:contextualSpacing/>
        <w:rPr>
          <w:rFonts w:hAnsi="宋体" w:cs="宋体"/>
          <w:bCs/>
          <w:color w:val="auto"/>
          <w:sz w:val="24"/>
          <w:szCs w:val="24"/>
          <w:highlight w:val="none"/>
          <w:u w:val="single"/>
        </w:rPr>
      </w:pPr>
      <w:r>
        <w:rPr>
          <w:rFonts w:hint="eastAsia" w:hAnsi="宋体" w:cs="宋体"/>
          <w:color w:val="auto"/>
          <w:sz w:val="24"/>
          <w:szCs w:val="24"/>
          <w:highlight w:val="none"/>
        </w:rPr>
        <w:t xml:space="preserve">□成交结果   </w:t>
      </w:r>
    </w:p>
    <w:p w14:paraId="25F72D35">
      <w:pPr>
        <w:pStyle w:val="15"/>
        <w:spacing w:line="360" w:lineRule="auto"/>
        <w:ind w:left="25" w:leftChars="12" w:firstLine="472" w:firstLineChars="196"/>
        <w:contextualSpacing/>
        <w:rPr>
          <w:rFonts w:hAnsi="宋体" w:cs="宋体"/>
          <w:b/>
          <w:color w:val="auto"/>
          <w:sz w:val="24"/>
          <w:szCs w:val="24"/>
          <w:highlight w:val="none"/>
        </w:rPr>
      </w:pPr>
      <w:r>
        <w:rPr>
          <w:rFonts w:hint="eastAsia" w:hAnsi="宋体" w:cs="宋体"/>
          <w:b/>
          <w:color w:val="auto"/>
          <w:sz w:val="24"/>
          <w:szCs w:val="24"/>
          <w:highlight w:val="none"/>
        </w:rPr>
        <w:t>三、质疑事项具体内容</w:t>
      </w:r>
    </w:p>
    <w:p w14:paraId="725FC76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质疑事项1：</w:t>
      </w:r>
      <w:r>
        <w:rPr>
          <w:rFonts w:hint="eastAsia" w:hAnsi="宋体" w:cs="宋体"/>
          <w:bCs/>
          <w:color w:val="auto"/>
          <w:sz w:val="24"/>
          <w:szCs w:val="24"/>
          <w:highlight w:val="none"/>
          <w:u w:val="single"/>
        </w:rPr>
        <w:t xml:space="preserve">                                                                    </w:t>
      </w:r>
    </w:p>
    <w:p w14:paraId="101B65E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事实依据：</w:t>
      </w:r>
      <w:r>
        <w:rPr>
          <w:rFonts w:hint="eastAsia" w:hAnsi="宋体" w:cs="宋体"/>
          <w:bCs/>
          <w:color w:val="auto"/>
          <w:sz w:val="24"/>
          <w:szCs w:val="24"/>
          <w:highlight w:val="none"/>
          <w:u w:val="single"/>
        </w:rPr>
        <w:t xml:space="preserve">                                                                      </w:t>
      </w:r>
    </w:p>
    <w:p w14:paraId="171141B0">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法律依据：</w:t>
      </w:r>
      <w:r>
        <w:rPr>
          <w:rFonts w:hint="eastAsia" w:hAnsi="宋体" w:cs="宋体"/>
          <w:color w:val="auto"/>
          <w:sz w:val="24"/>
          <w:szCs w:val="24"/>
          <w:highlight w:val="none"/>
          <w:u w:val="single"/>
        </w:rPr>
        <w:t xml:space="preserve">                                                        </w:t>
      </w:r>
      <w:r>
        <w:rPr>
          <w:rFonts w:hint="eastAsia" w:hAnsi="宋体" w:cs="宋体"/>
          <w:bCs/>
          <w:color w:val="auto"/>
          <w:sz w:val="24"/>
          <w:szCs w:val="24"/>
          <w:highlight w:val="none"/>
          <w:u w:val="single"/>
        </w:rPr>
        <w:t xml:space="preserve">               </w:t>
      </w:r>
    </w:p>
    <w:p w14:paraId="1CF0B92B">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质疑事项2</w:t>
      </w:r>
    </w:p>
    <w:p w14:paraId="40486BDD">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w:t>
      </w:r>
    </w:p>
    <w:p w14:paraId="1CBCC3DF">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四、与质疑事项相关的质疑请求：</w:t>
      </w:r>
    </w:p>
    <w:p w14:paraId="25A492D2">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6A895AE8">
      <w:pPr>
        <w:pStyle w:val="15"/>
        <w:spacing w:line="360" w:lineRule="auto"/>
        <w:ind w:left="25" w:leftChars="12" w:firstLine="352" w:firstLineChars="147"/>
        <w:contextualSpacing/>
        <w:rPr>
          <w:rFonts w:hAnsi="宋体" w:cs="宋体"/>
          <w:color w:val="auto"/>
          <w:sz w:val="24"/>
          <w:szCs w:val="24"/>
          <w:highlight w:val="none"/>
        </w:rPr>
      </w:pPr>
    </w:p>
    <w:p w14:paraId="522DC549">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签字（签章）：                                       公章：</w:t>
      </w:r>
    </w:p>
    <w:p w14:paraId="26FE5019">
      <w:pPr>
        <w:pStyle w:val="15"/>
        <w:spacing w:line="360" w:lineRule="auto"/>
        <w:ind w:left="25" w:leftChars="12" w:firstLine="352" w:firstLineChars="147"/>
        <w:contextualSpacing/>
        <w:rPr>
          <w:rFonts w:hAnsi="宋体" w:cs="宋体"/>
          <w:color w:val="auto"/>
          <w:sz w:val="24"/>
          <w:szCs w:val="24"/>
          <w:highlight w:val="none"/>
        </w:rPr>
      </w:pPr>
    </w:p>
    <w:p w14:paraId="6DCE1AAA">
      <w:pPr>
        <w:pStyle w:val="15"/>
        <w:spacing w:line="360" w:lineRule="auto"/>
        <w:ind w:left="25" w:leftChars="12" w:firstLine="472" w:firstLineChars="197"/>
        <w:contextualSpacing/>
        <w:rPr>
          <w:rFonts w:hAnsi="宋体" w:cs="宋体"/>
          <w:color w:val="auto"/>
          <w:sz w:val="24"/>
          <w:szCs w:val="24"/>
          <w:highlight w:val="none"/>
        </w:rPr>
      </w:pPr>
      <w:r>
        <w:rPr>
          <w:rFonts w:hint="eastAsia" w:hAnsi="宋体" w:cs="宋体"/>
          <w:color w:val="auto"/>
          <w:sz w:val="24"/>
          <w:szCs w:val="24"/>
          <w:highlight w:val="none"/>
        </w:rPr>
        <w:t>日期：</w:t>
      </w:r>
    </w:p>
    <w:p w14:paraId="07187F3C">
      <w:pPr>
        <w:pStyle w:val="15"/>
        <w:spacing w:line="360" w:lineRule="auto"/>
        <w:rPr>
          <w:rFonts w:hAnsi="宋体" w:cs="宋体"/>
          <w:b/>
          <w:color w:val="auto"/>
          <w:sz w:val="24"/>
          <w:szCs w:val="24"/>
          <w:highlight w:val="none"/>
        </w:rPr>
      </w:pPr>
    </w:p>
    <w:p w14:paraId="2209715B">
      <w:pPr>
        <w:pStyle w:val="15"/>
        <w:spacing w:line="360" w:lineRule="auto"/>
        <w:rPr>
          <w:rFonts w:hAnsi="宋体" w:cs="宋体"/>
          <w:b/>
          <w:color w:val="auto"/>
          <w:sz w:val="24"/>
          <w:szCs w:val="24"/>
          <w:highlight w:val="none"/>
        </w:rPr>
      </w:pPr>
    </w:p>
    <w:p w14:paraId="46D2CE43">
      <w:pPr>
        <w:pStyle w:val="15"/>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6066C6F0">
      <w:pPr>
        <w:pStyle w:val="15"/>
        <w:spacing w:line="360" w:lineRule="auto"/>
        <w:ind w:left="25" w:leftChars="12" w:firstLine="354" w:firstLineChars="147"/>
        <w:contextualSpacing/>
        <w:rPr>
          <w:rFonts w:hAnsi="宋体" w:cs="宋体"/>
          <w:b/>
          <w:bCs/>
          <w:color w:val="auto"/>
          <w:sz w:val="24"/>
          <w:szCs w:val="24"/>
          <w:highlight w:val="none"/>
        </w:rPr>
      </w:pPr>
      <w:r>
        <w:rPr>
          <w:rFonts w:hint="eastAsia" w:hAnsi="宋体" w:cs="宋体"/>
          <w:b/>
          <w:color w:val="auto"/>
          <w:sz w:val="24"/>
          <w:szCs w:val="24"/>
          <w:highlight w:val="none"/>
        </w:rPr>
        <w:t>1.供应商提出质疑时，应提交质疑函和必要的证明材料</w:t>
      </w:r>
      <w:r>
        <w:rPr>
          <w:rFonts w:hint="eastAsia" w:hAnsi="宋体" w:cs="宋体"/>
          <w:b/>
          <w:bCs/>
          <w:color w:val="auto"/>
          <w:sz w:val="24"/>
          <w:szCs w:val="24"/>
          <w:highlight w:val="none"/>
        </w:rPr>
        <w:t>。</w:t>
      </w:r>
    </w:p>
    <w:p w14:paraId="4475D0E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7E05371">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3.质疑函的质疑事项应具体、明确，并有必要的事实依据和法律依据。</w:t>
      </w:r>
    </w:p>
    <w:p w14:paraId="69B82310">
      <w:pPr>
        <w:pStyle w:val="15"/>
        <w:spacing w:line="360" w:lineRule="auto"/>
        <w:ind w:left="25" w:leftChars="12" w:firstLine="354" w:firstLineChars="147"/>
        <w:contextualSpacing/>
        <w:rPr>
          <w:rFonts w:hAnsi="宋体" w:cs="宋体"/>
          <w:b/>
          <w:color w:val="auto"/>
          <w:sz w:val="24"/>
          <w:szCs w:val="24"/>
          <w:highlight w:val="none"/>
        </w:rPr>
      </w:pPr>
      <w:r>
        <w:rPr>
          <w:rFonts w:hint="eastAsia" w:hAnsi="宋体" w:cs="宋体"/>
          <w:b/>
          <w:color w:val="auto"/>
          <w:sz w:val="24"/>
          <w:szCs w:val="24"/>
          <w:highlight w:val="none"/>
        </w:rPr>
        <w:t>4.质疑函的质疑请求应与质疑事项相关。</w:t>
      </w:r>
    </w:p>
    <w:p w14:paraId="04676B08">
      <w:pPr>
        <w:pStyle w:val="15"/>
        <w:spacing w:line="360" w:lineRule="auto"/>
        <w:ind w:left="25" w:leftChars="12" w:firstLine="354" w:firstLineChars="147"/>
        <w:contextualSpacing/>
        <w:rPr>
          <w:rFonts w:hAnsi="宋体" w:cs="宋体"/>
          <w:b/>
          <w:color w:val="auto"/>
          <w:highlight w:val="none"/>
        </w:rPr>
      </w:pPr>
      <w:r>
        <w:rPr>
          <w:rFonts w:hint="eastAsia" w:hAnsi="宋体" w:cs="宋体"/>
          <w:b/>
          <w:color w:val="auto"/>
          <w:sz w:val="24"/>
          <w:szCs w:val="24"/>
          <w:highlight w:val="none"/>
        </w:rPr>
        <w:t>5.质疑供应商为法人或者其他组织的，质疑函应由法定代表人、主要负责人，或者其授权代表签字或者盖章，并加盖公章。</w:t>
      </w:r>
    </w:p>
    <w:p w14:paraId="19B98B13">
      <w:pPr>
        <w:pStyle w:val="15"/>
        <w:snapToGrid w:val="0"/>
        <w:rPr>
          <w:rFonts w:hAnsi="宋体" w:cs="宋体"/>
          <w:b/>
          <w:color w:val="auto"/>
          <w:sz w:val="24"/>
          <w:szCs w:val="24"/>
          <w:highlight w:val="none"/>
        </w:rPr>
      </w:pPr>
    </w:p>
    <w:p w14:paraId="51034394">
      <w:pPr>
        <w:spacing w:line="460" w:lineRule="exact"/>
        <w:jc w:val="center"/>
        <w:rPr>
          <w:rFonts w:ascii="宋体" w:hAnsi="宋体" w:cs="宋体"/>
          <w:color w:val="auto"/>
          <w:sz w:val="44"/>
          <w:highlight w:val="none"/>
        </w:rPr>
      </w:pPr>
      <w:r>
        <w:rPr>
          <w:rFonts w:hint="eastAsia" w:ascii="宋体" w:hAnsi="宋体" w:cs="宋体"/>
          <w:color w:val="auto"/>
          <w:sz w:val="44"/>
          <w:highlight w:val="none"/>
        </w:rPr>
        <w:br w:type="page"/>
      </w:r>
    </w:p>
    <w:p w14:paraId="1D1BFFD4">
      <w:pPr>
        <w:spacing w:line="360" w:lineRule="auto"/>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投诉书（格式）</w:t>
      </w:r>
    </w:p>
    <w:p w14:paraId="3388A916">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一、投诉相关主体基本情况：</w:t>
      </w:r>
    </w:p>
    <w:p w14:paraId="15D2A85A">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供应商：</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3D79A6D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12934866">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法定代表人/主要负责人：</w:t>
      </w:r>
      <w:r>
        <w:rPr>
          <w:rFonts w:hint="eastAsia" w:hAnsi="宋体" w:cs="宋体"/>
          <w:bCs/>
          <w:color w:val="auto"/>
          <w:sz w:val="24"/>
          <w:szCs w:val="24"/>
          <w:highlight w:val="none"/>
          <w:u w:val="single"/>
        </w:rPr>
        <w:t xml:space="preserve">                                                         </w:t>
      </w:r>
    </w:p>
    <w:p w14:paraId="4202DF3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3CD2C725">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授权代表：</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5E37AF24">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4A7CF432">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47A9362A">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被投诉人1：</w:t>
      </w:r>
    </w:p>
    <w:p w14:paraId="0E3AA1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p>
    <w:p w14:paraId="3778A90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06F94E7D">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p>
    <w:p w14:paraId="0B4362E1">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被投诉人2：</w:t>
      </w:r>
    </w:p>
    <w:p w14:paraId="3F41D6A8">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w:t>
      </w:r>
    </w:p>
    <w:p w14:paraId="5603B049">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相关供应商：</w:t>
      </w:r>
      <w:r>
        <w:rPr>
          <w:rFonts w:hint="eastAsia" w:hAnsi="宋体" w:cs="宋体"/>
          <w:bCs/>
          <w:color w:val="auto"/>
          <w:sz w:val="24"/>
          <w:szCs w:val="24"/>
          <w:highlight w:val="none"/>
          <w:u w:val="single"/>
        </w:rPr>
        <w:t xml:space="preserve">                                                                       </w:t>
      </w:r>
    </w:p>
    <w:p w14:paraId="69F5CC98">
      <w:pPr>
        <w:pStyle w:val="15"/>
        <w:snapToGrid w:val="0"/>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地址：</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邮编：</w:t>
      </w:r>
      <w:r>
        <w:rPr>
          <w:rFonts w:hint="eastAsia" w:hAnsi="宋体" w:cs="宋体"/>
          <w:bCs/>
          <w:color w:val="auto"/>
          <w:sz w:val="24"/>
          <w:szCs w:val="24"/>
          <w:highlight w:val="none"/>
          <w:u w:val="single"/>
        </w:rPr>
        <w:t xml:space="preserve">                         </w:t>
      </w:r>
    </w:p>
    <w:p w14:paraId="2F1C0400">
      <w:pPr>
        <w:pStyle w:val="15"/>
        <w:snapToGrid w:val="0"/>
        <w:spacing w:line="360" w:lineRule="auto"/>
        <w:ind w:firstLine="480" w:firstLineChars="200"/>
        <w:rPr>
          <w:rFonts w:hAnsi="宋体" w:cs="宋体"/>
          <w:bCs/>
          <w:color w:val="auto"/>
          <w:sz w:val="24"/>
          <w:szCs w:val="24"/>
          <w:highlight w:val="none"/>
        </w:rPr>
      </w:pPr>
      <w:r>
        <w:rPr>
          <w:rFonts w:hint="eastAsia" w:hAnsi="宋体" w:cs="宋体"/>
          <w:bCs/>
          <w:color w:val="auto"/>
          <w:sz w:val="24"/>
          <w:szCs w:val="24"/>
          <w:highlight w:val="none"/>
        </w:rPr>
        <w:t>联系人：</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联系电话：</w:t>
      </w:r>
      <w:r>
        <w:rPr>
          <w:rFonts w:hint="eastAsia" w:hAnsi="宋体" w:cs="宋体"/>
          <w:bCs/>
          <w:color w:val="auto"/>
          <w:sz w:val="24"/>
          <w:szCs w:val="24"/>
          <w:highlight w:val="none"/>
          <w:u w:val="single"/>
        </w:rPr>
        <w:t xml:space="preserve">                     </w:t>
      </w:r>
      <w:r>
        <w:rPr>
          <w:rFonts w:hint="eastAsia" w:hAnsi="宋体" w:cs="宋体"/>
          <w:bCs/>
          <w:color w:val="auto"/>
          <w:sz w:val="24"/>
          <w:szCs w:val="24"/>
          <w:highlight w:val="none"/>
        </w:rPr>
        <w:t xml:space="preserve">                </w:t>
      </w:r>
    </w:p>
    <w:p w14:paraId="6ECA316D">
      <w:pPr>
        <w:pStyle w:val="15"/>
        <w:snapToGrid w:val="0"/>
        <w:spacing w:line="360" w:lineRule="auto"/>
        <w:ind w:firstLine="482" w:firstLineChars="200"/>
        <w:rPr>
          <w:rFonts w:hAnsi="宋体" w:cs="宋体"/>
          <w:b/>
          <w:bCs/>
          <w:color w:val="auto"/>
          <w:sz w:val="24"/>
          <w:szCs w:val="24"/>
          <w:highlight w:val="none"/>
        </w:rPr>
      </w:pPr>
      <w:r>
        <w:rPr>
          <w:rFonts w:hint="eastAsia" w:hAnsi="宋体" w:cs="宋体"/>
          <w:b/>
          <w:bCs/>
          <w:color w:val="auto"/>
          <w:sz w:val="24"/>
          <w:szCs w:val="24"/>
          <w:highlight w:val="none"/>
        </w:rPr>
        <w:t>二、投诉项目基本情况：</w:t>
      </w:r>
    </w:p>
    <w:p w14:paraId="72BB51C9">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项目的名称：</w:t>
      </w:r>
      <w:r>
        <w:rPr>
          <w:rFonts w:hint="eastAsia" w:hAnsi="宋体" w:cs="宋体"/>
          <w:bCs/>
          <w:color w:val="auto"/>
          <w:sz w:val="24"/>
          <w:szCs w:val="24"/>
          <w:highlight w:val="none"/>
          <w:u w:val="single"/>
        </w:rPr>
        <w:t xml:space="preserve">  </w:t>
      </w:r>
      <w:bookmarkStart w:id="510" w:name="PO_3000001868_PM002_17"/>
      <w:r>
        <w:rPr>
          <w:rFonts w:hint="eastAsia" w:hAnsi="宋体" w:cs="宋体"/>
          <w:bCs/>
          <w:color w:val="auto"/>
          <w:sz w:val="24"/>
          <w:szCs w:val="24"/>
          <w:highlight w:val="none"/>
          <w:u w:val="single"/>
        </w:rPr>
        <w:t>[项目名称]</w:t>
      </w:r>
      <w:bookmarkEnd w:id="510"/>
      <w:r>
        <w:rPr>
          <w:rFonts w:hint="eastAsia" w:hAnsi="宋体" w:cs="宋体"/>
          <w:bCs/>
          <w:color w:val="auto"/>
          <w:sz w:val="24"/>
          <w:szCs w:val="24"/>
          <w:highlight w:val="none"/>
          <w:u w:val="single"/>
        </w:rPr>
        <w:t xml:space="preserve">    </w:t>
      </w:r>
    </w:p>
    <w:p w14:paraId="4B8B126C">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采购</w:t>
      </w:r>
      <w:r>
        <w:rPr>
          <w:rFonts w:hint="eastAsia" w:hAnsi="宋体" w:cs="宋体"/>
          <w:color w:val="auto"/>
          <w:sz w:val="24"/>
          <w:szCs w:val="24"/>
          <w:highlight w:val="none"/>
        </w:rPr>
        <w:t>项目的编号：</w:t>
      </w:r>
      <w:r>
        <w:rPr>
          <w:rFonts w:hint="eastAsia" w:hAnsi="宋体" w:cs="宋体"/>
          <w:bCs/>
          <w:color w:val="auto"/>
          <w:sz w:val="24"/>
          <w:szCs w:val="24"/>
          <w:highlight w:val="none"/>
          <w:u w:val="single"/>
        </w:rPr>
        <w:t xml:space="preserve">  </w:t>
      </w:r>
      <w:bookmarkStart w:id="511" w:name="PO_3000001868_PM001_14"/>
      <w:r>
        <w:rPr>
          <w:rFonts w:hint="eastAsia" w:hAnsi="宋体" w:cs="宋体"/>
          <w:bCs/>
          <w:color w:val="auto"/>
          <w:sz w:val="24"/>
          <w:szCs w:val="24"/>
          <w:highlight w:val="none"/>
          <w:u w:val="single"/>
        </w:rPr>
        <w:t>[项目编号]</w:t>
      </w:r>
      <w:bookmarkEnd w:id="511"/>
      <w:r>
        <w:rPr>
          <w:rFonts w:hint="eastAsia" w:hAnsi="宋体" w:cs="宋体"/>
          <w:bCs/>
          <w:color w:val="auto"/>
          <w:sz w:val="24"/>
          <w:szCs w:val="24"/>
          <w:highlight w:val="none"/>
          <w:u w:val="single"/>
        </w:rPr>
        <w:t xml:space="preserve">    </w:t>
      </w:r>
    </w:p>
    <w:p w14:paraId="45A75FB1">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采购人名称：</w:t>
      </w:r>
      <w:r>
        <w:rPr>
          <w:rFonts w:hint="eastAsia" w:hAnsi="宋体" w:cs="宋体"/>
          <w:bCs/>
          <w:color w:val="auto"/>
          <w:sz w:val="24"/>
          <w:szCs w:val="24"/>
          <w:highlight w:val="none"/>
          <w:u w:val="single"/>
        </w:rPr>
        <w:t xml:space="preserve"> </w:t>
      </w:r>
      <w:bookmarkStart w:id="512" w:name="PO_3000001868_PM026_8"/>
      <w:r>
        <w:rPr>
          <w:rFonts w:hint="eastAsia" w:hAnsi="宋体" w:cs="宋体"/>
          <w:bCs/>
          <w:color w:val="auto"/>
          <w:sz w:val="24"/>
          <w:szCs w:val="24"/>
          <w:highlight w:val="none"/>
          <w:u w:val="single"/>
        </w:rPr>
        <w:t>[采购人]</w:t>
      </w:r>
      <w:bookmarkEnd w:id="512"/>
      <w:r>
        <w:rPr>
          <w:rFonts w:hint="eastAsia" w:hAnsi="宋体" w:cs="宋体"/>
          <w:bCs/>
          <w:color w:val="auto"/>
          <w:sz w:val="24"/>
          <w:szCs w:val="24"/>
          <w:highlight w:val="none"/>
          <w:u w:val="single"/>
        </w:rPr>
        <w:t xml:space="preserve">                </w:t>
      </w:r>
    </w:p>
    <w:p w14:paraId="530AE79A">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代理机构名称：</w:t>
      </w:r>
      <w:r>
        <w:rPr>
          <w:rFonts w:hint="eastAsia" w:hAnsi="宋体" w:cs="宋体"/>
          <w:bCs/>
          <w:color w:val="auto"/>
          <w:sz w:val="24"/>
          <w:szCs w:val="24"/>
          <w:highlight w:val="none"/>
          <w:u w:val="single"/>
        </w:rPr>
        <w:t xml:space="preserve"> </w:t>
      </w:r>
      <w:bookmarkStart w:id="513" w:name="PO_3000001868_PM031_5"/>
      <w:r>
        <w:rPr>
          <w:rFonts w:hint="eastAsia" w:hAnsi="宋体" w:cs="宋体"/>
          <w:bCs/>
          <w:color w:val="auto"/>
          <w:sz w:val="24"/>
          <w:szCs w:val="24"/>
          <w:highlight w:val="none"/>
          <w:u w:val="single"/>
        </w:rPr>
        <w:t>[采购组织机构]</w:t>
      </w:r>
      <w:bookmarkEnd w:id="513"/>
      <w:r>
        <w:rPr>
          <w:rFonts w:hint="eastAsia" w:hAnsi="宋体" w:cs="宋体"/>
          <w:bCs/>
          <w:color w:val="auto"/>
          <w:sz w:val="24"/>
          <w:szCs w:val="24"/>
          <w:highlight w:val="none"/>
          <w:u w:val="single"/>
        </w:rPr>
        <w:t xml:space="preserve">                </w:t>
      </w:r>
    </w:p>
    <w:p w14:paraId="026B7C4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bCs/>
          <w:color w:val="auto"/>
          <w:sz w:val="24"/>
          <w:szCs w:val="24"/>
          <w:highlight w:val="none"/>
        </w:rPr>
        <w:t>招标文件公告：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47B7319B">
      <w:pPr>
        <w:pStyle w:val="15"/>
        <w:spacing w:line="360" w:lineRule="auto"/>
        <w:ind w:left="25" w:leftChars="12" w:firstLine="472" w:firstLineChars="197"/>
        <w:rPr>
          <w:rFonts w:hAnsi="宋体" w:cs="宋体"/>
          <w:b/>
          <w:color w:val="auto"/>
          <w:sz w:val="24"/>
          <w:szCs w:val="24"/>
          <w:highlight w:val="none"/>
        </w:rPr>
      </w:pPr>
      <w:r>
        <w:rPr>
          <w:rFonts w:hint="eastAsia" w:hAnsi="宋体" w:cs="宋体"/>
          <w:bCs/>
          <w:color w:val="auto"/>
          <w:sz w:val="24"/>
          <w:szCs w:val="24"/>
          <w:highlight w:val="none"/>
        </w:rPr>
        <w:t>采购结果公告：</w:t>
      </w:r>
      <w:r>
        <w:rPr>
          <w:rFonts w:hint="eastAsia" w:hAnsi="宋体" w:cs="宋体"/>
          <w:bCs/>
          <w:color w:val="auto"/>
          <w:sz w:val="24"/>
          <w:szCs w:val="24"/>
          <w:highlight w:val="none"/>
          <w:u w:val="single"/>
        </w:rPr>
        <w:t>是/否</w:t>
      </w:r>
      <w:r>
        <w:rPr>
          <w:rFonts w:hint="eastAsia" w:hAnsi="宋体" w:cs="宋体"/>
          <w:bCs/>
          <w:color w:val="auto"/>
          <w:sz w:val="24"/>
          <w:szCs w:val="24"/>
          <w:highlight w:val="none"/>
        </w:rPr>
        <w:t>公告期限：</w:t>
      </w:r>
      <w:r>
        <w:rPr>
          <w:rFonts w:hint="eastAsia" w:hAnsi="宋体" w:cs="宋体"/>
          <w:bCs/>
          <w:color w:val="auto"/>
          <w:sz w:val="24"/>
          <w:szCs w:val="24"/>
          <w:highlight w:val="none"/>
          <w:u w:val="single"/>
        </w:rPr>
        <w:t xml:space="preserve">                                                       </w:t>
      </w:r>
    </w:p>
    <w:p w14:paraId="6F05F42C">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三、质疑基本情况</w:t>
      </w:r>
    </w:p>
    <w:p w14:paraId="68B97B40">
      <w:pPr>
        <w:pStyle w:val="1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投诉人于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日，向</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提出质疑，质疑事项为：</w:t>
      </w:r>
    </w:p>
    <w:p w14:paraId="7188E55D">
      <w:pPr>
        <w:pStyle w:val="15"/>
        <w:spacing w:line="360" w:lineRule="auto"/>
        <w:ind w:firstLine="241"/>
        <w:rPr>
          <w:rFonts w:hAnsi="宋体" w:cs="宋体"/>
          <w:bCs/>
          <w:color w:val="auto"/>
          <w:sz w:val="24"/>
          <w:szCs w:val="24"/>
          <w:highlight w:val="none"/>
          <w:u w:val="single"/>
        </w:rPr>
      </w:pP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4F76E097">
      <w:pPr>
        <w:pStyle w:val="15"/>
        <w:spacing w:line="360" w:lineRule="auto"/>
        <w:ind w:firstLine="241"/>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FA0C1C8">
      <w:pPr>
        <w:pStyle w:val="15"/>
        <w:spacing w:line="360" w:lineRule="auto"/>
        <w:ind w:firstLine="480" w:firstLineChars="200"/>
        <w:rPr>
          <w:rFonts w:hAnsi="宋体" w:cs="宋体"/>
          <w:color w:val="auto"/>
          <w:sz w:val="24"/>
          <w:szCs w:val="24"/>
          <w:highlight w:val="none"/>
        </w:rPr>
      </w:pPr>
      <w:r>
        <w:rPr>
          <w:rFonts w:hint="eastAsia" w:hAnsi="宋体" w:cs="宋体"/>
          <w:bCs/>
          <w:color w:val="auto"/>
          <w:sz w:val="24"/>
          <w:szCs w:val="24"/>
          <w:highlight w:val="none"/>
          <w:u w:val="single"/>
        </w:rPr>
        <w:t>采购人/代理机构</w:t>
      </w:r>
      <w:r>
        <w:rPr>
          <w:rFonts w:hint="eastAsia" w:hAnsi="宋体" w:cs="宋体"/>
          <w:bCs/>
          <w:color w:val="auto"/>
          <w:sz w:val="24"/>
          <w:szCs w:val="24"/>
          <w:highlight w:val="none"/>
        </w:rPr>
        <w:t>于</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年</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月</w:t>
      </w:r>
      <w:r>
        <w:rPr>
          <w:rFonts w:hint="eastAsia" w:hAnsi="宋体" w:cs="宋体"/>
          <w:color w:val="auto"/>
          <w:sz w:val="24"/>
          <w:szCs w:val="24"/>
          <w:highlight w:val="none"/>
          <w:u w:val="single"/>
        </w:rPr>
        <w:t xml:space="preserve">   </w:t>
      </w:r>
      <w:r>
        <w:rPr>
          <w:rFonts w:hint="eastAsia" w:hAnsi="宋体" w:cs="宋体"/>
          <w:color w:val="auto"/>
          <w:sz w:val="24"/>
          <w:szCs w:val="24"/>
          <w:highlight w:val="none"/>
        </w:rPr>
        <w:t>日，</w:t>
      </w:r>
      <w:r>
        <w:rPr>
          <w:rFonts w:hint="eastAsia" w:hAnsi="宋体" w:cs="宋体"/>
          <w:bCs/>
          <w:color w:val="auto"/>
          <w:sz w:val="24"/>
          <w:szCs w:val="24"/>
          <w:highlight w:val="none"/>
        </w:rPr>
        <w:t xml:space="preserve">就质疑事项作出了答复/没有在法定期限内作出答复。                                                                                             </w:t>
      </w:r>
    </w:p>
    <w:p w14:paraId="365236DE">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四、投诉事项具体内容</w:t>
      </w:r>
    </w:p>
    <w:p w14:paraId="7BB75074">
      <w:pPr>
        <w:pStyle w:val="15"/>
        <w:spacing w:line="360" w:lineRule="auto"/>
        <w:ind w:left="25" w:leftChars="12" w:firstLine="472" w:firstLineChars="197"/>
        <w:rPr>
          <w:rFonts w:hAnsi="宋体" w:cs="宋体"/>
          <w:bCs/>
          <w:color w:val="auto"/>
          <w:sz w:val="24"/>
          <w:szCs w:val="24"/>
          <w:highlight w:val="none"/>
          <w:u w:val="single"/>
        </w:rPr>
      </w:pPr>
      <w:r>
        <w:rPr>
          <w:rFonts w:hint="eastAsia" w:hAnsi="宋体" w:cs="宋体"/>
          <w:color w:val="auto"/>
          <w:sz w:val="24"/>
          <w:szCs w:val="24"/>
          <w:highlight w:val="none"/>
        </w:rPr>
        <w:t>投诉事项1：</w:t>
      </w:r>
      <w:r>
        <w:rPr>
          <w:rFonts w:hint="eastAsia" w:hAnsi="宋体" w:cs="宋体"/>
          <w:bCs/>
          <w:color w:val="auto"/>
          <w:sz w:val="24"/>
          <w:szCs w:val="24"/>
          <w:highlight w:val="none"/>
          <w:u w:val="single"/>
        </w:rPr>
        <w:t xml:space="preserve">                                                                           </w:t>
      </w:r>
    </w:p>
    <w:p w14:paraId="7F2E95AB">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事实依据：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8A2F74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u w:val="single"/>
        </w:rPr>
        <w:t xml:space="preserve">                                                                                        </w:t>
      </w:r>
    </w:p>
    <w:p w14:paraId="6DE78242">
      <w:pPr>
        <w:pStyle w:val="15"/>
        <w:spacing w:line="360" w:lineRule="auto"/>
        <w:ind w:firstLine="480" w:firstLineChars="200"/>
        <w:rPr>
          <w:rFonts w:hAnsi="宋体" w:cs="宋体"/>
          <w:bCs/>
          <w:color w:val="auto"/>
          <w:sz w:val="24"/>
          <w:szCs w:val="24"/>
          <w:highlight w:val="none"/>
          <w:u w:val="single"/>
        </w:rPr>
      </w:pPr>
      <w:r>
        <w:rPr>
          <w:rFonts w:hint="eastAsia" w:hAnsi="宋体" w:cs="宋体"/>
          <w:bCs/>
          <w:color w:val="auto"/>
          <w:sz w:val="24"/>
          <w:szCs w:val="24"/>
          <w:highlight w:val="none"/>
        </w:rPr>
        <w:t>法律依据：</w:t>
      </w:r>
      <w:r>
        <w:rPr>
          <w:rFonts w:hint="eastAsia" w:hAnsi="宋体" w:cs="宋体"/>
          <w:color w:val="auto"/>
          <w:sz w:val="24"/>
          <w:szCs w:val="24"/>
          <w:highlight w:val="none"/>
        </w:rPr>
        <w:t xml:space="preserve"> </w:t>
      </w:r>
      <w:r>
        <w:rPr>
          <w:rFonts w:hint="eastAsia" w:hAnsi="宋体" w:cs="宋体"/>
          <w:bCs/>
          <w:color w:val="auto"/>
          <w:sz w:val="24"/>
          <w:szCs w:val="24"/>
          <w:highlight w:val="none"/>
          <w:u w:val="single"/>
        </w:rPr>
        <w:t xml:space="preserve">                                                                                      </w:t>
      </w:r>
    </w:p>
    <w:p w14:paraId="0D4EF1DA">
      <w:pPr>
        <w:pStyle w:val="15"/>
        <w:spacing w:line="360" w:lineRule="auto"/>
        <w:ind w:left="25" w:leftChars="12" w:firstLine="352" w:firstLineChars="147"/>
        <w:rPr>
          <w:rFonts w:hAnsi="宋体" w:cs="宋体"/>
          <w:bCs/>
          <w:color w:val="auto"/>
          <w:sz w:val="24"/>
          <w:szCs w:val="24"/>
          <w:highlight w:val="none"/>
          <w:u w:val="single"/>
        </w:rPr>
      </w:pPr>
      <w:r>
        <w:rPr>
          <w:rFonts w:hint="eastAsia" w:hAnsi="宋体" w:cs="宋体"/>
          <w:bCs/>
          <w:color w:val="auto"/>
          <w:sz w:val="24"/>
          <w:szCs w:val="24"/>
          <w:highlight w:val="none"/>
        </w:rPr>
        <w:t xml:space="preserve"> </w:t>
      </w:r>
      <w:r>
        <w:rPr>
          <w:rFonts w:hint="eastAsia" w:hAnsi="宋体" w:cs="宋体"/>
          <w:bCs/>
          <w:color w:val="auto"/>
          <w:sz w:val="24"/>
          <w:szCs w:val="24"/>
          <w:highlight w:val="none"/>
          <w:u w:val="single"/>
        </w:rPr>
        <w:t xml:space="preserve">                                                                                        </w:t>
      </w:r>
    </w:p>
    <w:p w14:paraId="7C3EB7C5">
      <w:pPr>
        <w:pStyle w:val="15"/>
        <w:spacing w:line="360" w:lineRule="auto"/>
        <w:ind w:left="25" w:leftChars="12" w:firstLine="472" w:firstLineChars="197"/>
        <w:rPr>
          <w:rFonts w:hAnsi="宋体" w:cs="宋体"/>
          <w:bCs/>
          <w:color w:val="auto"/>
          <w:sz w:val="24"/>
          <w:szCs w:val="24"/>
          <w:highlight w:val="none"/>
        </w:rPr>
      </w:pPr>
      <w:r>
        <w:rPr>
          <w:rFonts w:hint="eastAsia" w:hAnsi="宋体" w:cs="宋体"/>
          <w:color w:val="auto"/>
          <w:sz w:val="24"/>
          <w:szCs w:val="24"/>
          <w:highlight w:val="none"/>
        </w:rPr>
        <w:t xml:space="preserve">投诉事项2  </w:t>
      </w:r>
      <w:r>
        <w:rPr>
          <w:rFonts w:hint="eastAsia" w:hAnsi="宋体" w:cs="宋体"/>
          <w:bCs/>
          <w:color w:val="auto"/>
          <w:sz w:val="24"/>
          <w:szCs w:val="24"/>
          <w:highlight w:val="none"/>
        </w:rPr>
        <w:t xml:space="preserve">   </w:t>
      </w:r>
    </w:p>
    <w:p w14:paraId="402F2D16">
      <w:pPr>
        <w:pStyle w:val="15"/>
        <w:spacing w:line="360" w:lineRule="auto"/>
        <w:ind w:left="25" w:leftChars="12" w:firstLine="472" w:firstLineChars="197"/>
        <w:rPr>
          <w:rFonts w:hAnsi="宋体" w:cs="宋体"/>
          <w:bCs/>
          <w:color w:val="auto"/>
          <w:sz w:val="24"/>
          <w:szCs w:val="24"/>
          <w:highlight w:val="none"/>
        </w:rPr>
      </w:pPr>
      <w:r>
        <w:rPr>
          <w:rFonts w:hint="eastAsia" w:hAnsi="宋体" w:cs="宋体"/>
          <w:bCs/>
          <w:color w:val="auto"/>
          <w:sz w:val="24"/>
          <w:szCs w:val="24"/>
          <w:highlight w:val="none"/>
        </w:rPr>
        <w:t>……</w:t>
      </w:r>
    </w:p>
    <w:p w14:paraId="0461F2FB">
      <w:pPr>
        <w:pStyle w:val="15"/>
        <w:spacing w:line="360" w:lineRule="auto"/>
        <w:ind w:left="25" w:leftChars="12" w:firstLine="472" w:firstLineChars="196"/>
        <w:rPr>
          <w:rFonts w:hAnsi="宋体" w:cs="宋体"/>
          <w:b/>
          <w:color w:val="auto"/>
          <w:sz w:val="24"/>
          <w:szCs w:val="24"/>
          <w:highlight w:val="none"/>
        </w:rPr>
      </w:pPr>
      <w:r>
        <w:rPr>
          <w:rFonts w:hint="eastAsia" w:hAnsi="宋体" w:cs="宋体"/>
          <w:b/>
          <w:color w:val="auto"/>
          <w:sz w:val="24"/>
          <w:szCs w:val="24"/>
          <w:highlight w:val="none"/>
        </w:rPr>
        <w:t>五、与投诉事项相关的投诉请求：</w:t>
      </w:r>
    </w:p>
    <w:p w14:paraId="66DA0915">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请求：</w:t>
      </w:r>
      <w:r>
        <w:rPr>
          <w:rFonts w:hint="eastAsia" w:hAnsi="宋体" w:cs="宋体"/>
          <w:bCs/>
          <w:color w:val="auto"/>
          <w:sz w:val="24"/>
          <w:szCs w:val="24"/>
          <w:highlight w:val="none"/>
          <w:u w:val="single"/>
        </w:rPr>
        <w:t xml:space="preserve">                                                                                 </w:t>
      </w:r>
    </w:p>
    <w:p w14:paraId="1C91FB00">
      <w:pPr>
        <w:pStyle w:val="15"/>
        <w:spacing w:line="360" w:lineRule="auto"/>
        <w:ind w:left="25" w:leftChars="12" w:firstLine="352" w:firstLineChars="147"/>
        <w:rPr>
          <w:rFonts w:hAnsi="宋体" w:cs="宋体"/>
          <w:color w:val="auto"/>
          <w:sz w:val="24"/>
          <w:szCs w:val="24"/>
          <w:highlight w:val="none"/>
        </w:rPr>
      </w:pPr>
    </w:p>
    <w:p w14:paraId="189BB426">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签字（签章）：                                       公章：</w:t>
      </w:r>
    </w:p>
    <w:p w14:paraId="33078355">
      <w:pPr>
        <w:pStyle w:val="15"/>
        <w:spacing w:line="360" w:lineRule="auto"/>
        <w:ind w:left="25" w:leftChars="12" w:firstLine="352" w:firstLineChars="147"/>
        <w:rPr>
          <w:rFonts w:hAnsi="宋体" w:cs="宋体"/>
          <w:color w:val="auto"/>
          <w:sz w:val="24"/>
          <w:szCs w:val="24"/>
          <w:highlight w:val="none"/>
        </w:rPr>
      </w:pPr>
    </w:p>
    <w:p w14:paraId="1A10BBD1">
      <w:pPr>
        <w:pStyle w:val="15"/>
        <w:spacing w:line="360" w:lineRule="auto"/>
        <w:ind w:left="25" w:leftChars="12" w:firstLine="472" w:firstLineChars="197"/>
        <w:rPr>
          <w:rFonts w:hAnsi="宋体" w:cs="宋体"/>
          <w:color w:val="auto"/>
          <w:sz w:val="24"/>
          <w:szCs w:val="24"/>
          <w:highlight w:val="none"/>
        </w:rPr>
      </w:pPr>
      <w:r>
        <w:rPr>
          <w:rFonts w:hint="eastAsia" w:hAnsi="宋体" w:cs="宋体"/>
          <w:color w:val="auto"/>
          <w:sz w:val="24"/>
          <w:szCs w:val="24"/>
          <w:highlight w:val="none"/>
        </w:rPr>
        <w:t>日期：</w:t>
      </w:r>
    </w:p>
    <w:p w14:paraId="0A8DF963">
      <w:pPr>
        <w:pStyle w:val="15"/>
        <w:spacing w:line="360" w:lineRule="auto"/>
        <w:ind w:left="25" w:leftChars="12" w:firstLine="472" w:firstLineChars="197"/>
        <w:rPr>
          <w:rFonts w:hAnsi="宋体" w:cs="宋体"/>
          <w:color w:val="auto"/>
          <w:sz w:val="24"/>
          <w:szCs w:val="24"/>
          <w:highlight w:val="none"/>
        </w:rPr>
      </w:pPr>
      <w:r>
        <w:rPr>
          <w:rFonts w:hint="eastAsia" w:hAnsi="宋体" w:cs="宋体"/>
          <w:bCs/>
          <w:color w:val="auto"/>
          <w:sz w:val="24"/>
          <w:szCs w:val="24"/>
          <w:highlight w:val="none"/>
        </w:rPr>
        <w:t xml:space="preserve">                                                                                 </w:t>
      </w:r>
    </w:p>
    <w:p w14:paraId="6A061260">
      <w:pPr>
        <w:pStyle w:val="15"/>
        <w:snapToGrid w:val="0"/>
        <w:spacing w:line="360" w:lineRule="auto"/>
        <w:rPr>
          <w:rFonts w:hAnsi="宋体" w:cs="宋体"/>
          <w:b/>
          <w:color w:val="auto"/>
          <w:sz w:val="24"/>
          <w:szCs w:val="24"/>
          <w:highlight w:val="none"/>
        </w:rPr>
      </w:pPr>
    </w:p>
    <w:p w14:paraId="74BEFBA8">
      <w:pPr>
        <w:pStyle w:val="15"/>
        <w:snapToGrid w:val="0"/>
        <w:spacing w:line="360" w:lineRule="auto"/>
        <w:rPr>
          <w:rFonts w:hAnsi="宋体" w:cs="宋体"/>
          <w:b/>
          <w:color w:val="auto"/>
          <w:sz w:val="24"/>
          <w:szCs w:val="24"/>
          <w:highlight w:val="none"/>
        </w:rPr>
      </w:pPr>
      <w:r>
        <w:rPr>
          <w:rFonts w:hint="eastAsia" w:hAnsi="宋体" w:cs="宋体"/>
          <w:b/>
          <w:color w:val="auto"/>
          <w:sz w:val="24"/>
          <w:szCs w:val="24"/>
          <w:highlight w:val="none"/>
        </w:rPr>
        <w:t>说明：</w:t>
      </w:r>
    </w:p>
    <w:p w14:paraId="33EBF33F">
      <w:pPr>
        <w:pStyle w:val="15"/>
        <w:spacing w:line="360" w:lineRule="auto"/>
        <w:ind w:left="25" w:leftChars="12" w:firstLine="354" w:firstLineChars="147"/>
        <w:rPr>
          <w:rFonts w:hAnsi="宋体" w:cs="宋体"/>
          <w:b/>
          <w:bCs/>
          <w:color w:val="auto"/>
          <w:sz w:val="24"/>
          <w:szCs w:val="24"/>
          <w:highlight w:val="none"/>
        </w:rPr>
      </w:pPr>
      <w:r>
        <w:rPr>
          <w:rFonts w:hint="eastAsia" w:hAnsi="宋体" w:cs="宋体"/>
          <w:b/>
          <w:color w:val="auto"/>
          <w:sz w:val="24"/>
          <w:szCs w:val="24"/>
          <w:highlight w:val="none"/>
        </w:rPr>
        <w:t>1.投诉人提起投诉时，应当提交投诉书和必要的证明材料，并按照被投诉人和与投诉事项有关的供应商数量提供投诉书副本</w:t>
      </w:r>
      <w:r>
        <w:rPr>
          <w:rFonts w:hint="eastAsia" w:hAnsi="宋体" w:cs="宋体"/>
          <w:b/>
          <w:bCs/>
          <w:color w:val="auto"/>
          <w:sz w:val="24"/>
          <w:szCs w:val="24"/>
          <w:highlight w:val="none"/>
        </w:rPr>
        <w:t>。</w:t>
      </w:r>
    </w:p>
    <w:p w14:paraId="43620B2A">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7ED4D7E0">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3.投诉书应简要列明质疑事项，质疑函、质疑答复等作为附件材料提供。</w:t>
      </w:r>
    </w:p>
    <w:p w14:paraId="49E154CE">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4.投诉书的投诉事项应具体、明确，并有必要的事实依据和法律依据。</w:t>
      </w:r>
    </w:p>
    <w:p w14:paraId="6F4C0C8F">
      <w:pPr>
        <w:pStyle w:val="15"/>
        <w:spacing w:line="360" w:lineRule="auto"/>
        <w:ind w:left="25" w:leftChars="12" w:firstLine="354" w:firstLineChars="147"/>
        <w:rPr>
          <w:rFonts w:hAnsi="宋体" w:cs="宋体"/>
          <w:b/>
          <w:color w:val="auto"/>
          <w:sz w:val="24"/>
          <w:szCs w:val="24"/>
          <w:highlight w:val="none"/>
        </w:rPr>
      </w:pPr>
      <w:r>
        <w:rPr>
          <w:rFonts w:hint="eastAsia" w:hAnsi="宋体" w:cs="宋体"/>
          <w:b/>
          <w:color w:val="auto"/>
          <w:sz w:val="24"/>
          <w:szCs w:val="24"/>
          <w:highlight w:val="none"/>
        </w:rPr>
        <w:t>5.投诉书的投诉请求应与投诉事项相关。</w:t>
      </w:r>
    </w:p>
    <w:p w14:paraId="10A8889F">
      <w:pPr>
        <w:pStyle w:val="15"/>
        <w:spacing w:line="360" w:lineRule="auto"/>
        <w:ind w:left="25" w:leftChars="12" w:firstLine="354" w:firstLineChars="147"/>
        <w:rPr>
          <w:rFonts w:hAnsi="宋体" w:cs="宋体"/>
          <w:b/>
          <w:color w:val="auto"/>
          <w:highlight w:val="none"/>
        </w:rPr>
      </w:pPr>
      <w:r>
        <w:rPr>
          <w:rFonts w:hint="eastAsia" w:hAnsi="宋体" w:cs="宋体"/>
          <w:b/>
          <w:color w:val="auto"/>
          <w:sz w:val="24"/>
          <w:szCs w:val="24"/>
          <w:highlight w:val="none"/>
        </w:rPr>
        <w:t>6.投诉人为法人或者其他组织的，投诉书应由法定代表人、主要负责人，或者其授权代表签字或者盖章，并加盖公章。</w:t>
      </w:r>
    </w:p>
    <w:p w14:paraId="7F9627B7">
      <w:pPr>
        <w:rPr>
          <w:rFonts w:ascii="宋体" w:hAnsi="宋体" w:cs="宋体"/>
          <w:color w:val="auto"/>
          <w:highlight w:val="none"/>
        </w:rPr>
      </w:pPr>
    </w:p>
    <w:p w14:paraId="1D4931B4">
      <w:pPr>
        <w:rPr>
          <w:rFonts w:ascii="宋体" w:hAnsi="宋体" w:cs="宋体"/>
          <w:color w:val="auto"/>
          <w:highlight w:val="none"/>
        </w:rPr>
      </w:pPr>
    </w:p>
    <w:sectPr>
      <w:footerReference r:id="rId12" w:type="first"/>
      <w:footerReference r:id="rId11" w:type="default"/>
      <w:pgSz w:w="11910" w:h="16840"/>
      <w:pgMar w:top="1340" w:right="15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altName w:val="方正舒体"/>
    <w:panose1 w:val="02000000000000000000"/>
    <w:charset w:val="86"/>
    <w:family w:val="auto"/>
    <w:pitch w:val="default"/>
    <w:sig w:usb0="00000000" w:usb1="00000000" w:usb2="00000012" w:usb3="00000000" w:csb0="00040001" w:csb1="00000000"/>
  </w:font>
  <w:font w:name="方正舒体">
    <w:panose1 w:val="02010601030101010101"/>
    <w:charset w:val="86"/>
    <w:family w:val="auto"/>
    <w:pitch w:val="default"/>
    <w:sig w:usb0="00000003" w:usb1="080E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147F7">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3A9EAE">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53A9EAE">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A5D49">
    <w:pPr>
      <w:pStyle w:val="1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C81FCD">
                          <w:pPr>
                            <w:pStyle w:val="18"/>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6C81FCD">
                    <w:pPr>
                      <w:pStyle w:val="18"/>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35946">
    <w:pPr>
      <w:pStyle w:val="18"/>
      <w:jc w:val="right"/>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EF57D3">
                          <w:pPr>
                            <w:pStyle w:val="18"/>
                            <w:jc w:val="right"/>
                          </w:pPr>
                          <w:r>
                            <w:fldChar w:fldCharType="begin"/>
                          </w:r>
                          <w:r>
                            <w:instrText xml:space="preserve">PAGE   \* MERGEFORMAT</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0EF57D3">
                    <w:pPr>
                      <w:pStyle w:val="18"/>
                      <w:jc w:val="right"/>
                    </w:pPr>
                    <w:r>
                      <w:fldChar w:fldCharType="begin"/>
                    </w:r>
                    <w:r>
                      <w:instrText xml:space="preserve">PAGE   \* MERGEFORMAT</w:instrText>
                    </w:r>
                    <w:r>
                      <w:fldChar w:fldCharType="separate"/>
                    </w:r>
                    <w:r>
                      <w:t>5</w:t>
                    </w:r>
                    <w:r>
                      <w:fldChar w:fldCharType="end"/>
                    </w:r>
                  </w:p>
                </w:txbxContent>
              </v:textbox>
            </v:shape>
          </w:pict>
        </mc:Fallback>
      </mc:AlternateContent>
    </w:r>
  </w:p>
  <w:p w14:paraId="55FCA117">
    <w:pPr>
      <w:pStyle w:val="11"/>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49EC">
    <w:pPr>
      <w:pStyle w:val="18"/>
    </w:pPr>
    <w:r>
      <w:fldChar w:fldCharType="begin"/>
    </w:r>
    <w:r>
      <w:instrText xml:space="preserve">PAGE   \* MERGEFORMAT</w:instrText>
    </w:r>
    <w:r>
      <w:fldChar w:fldCharType="separate"/>
    </w:r>
    <w:r>
      <w:t>150</w:t>
    </w:r>
    <w:r>
      <w:fldChar w:fldCharType="end"/>
    </w:r>
  </w:p>
  <w:p w14:paraId="3D8FF921">
    <w:pPr>
      <w:pStyle w:val="11"/>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C2C91">
    <w:pPr>
      <w:pStyle w:val="18"/>
      <w:jc w:val="right"/>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4337E">
                          <w:pPr>
                            <w:pStyle w:val="18"/>
                            <w:jc w:val="right"/>
                          </w:pPr>
                          <w:r>
                            <w:fldChar w:fldCharType="begin"/>
                          </w:r>
                          <w:r>
                            <w:instrText xml:space="preserve">PAGE   \* MERGEFORMAT</w:instrText>
                          </w:r>
                          <w:r>
                            <w:fldChar w:fldCharType="separate"/>
                          </w:r>
                          <w:r>
                            <w:t>149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6454337E">
                    <w:pPr>
                      <w:pStyle w:val="18"/>
                      <w:jc w:val="right"/>
                    </w:pPr>
                    <w:r>
                      <w:fldChar w:fldCharType="begin"/>
                    </w:r>
                    <w:r>
                      <w:instrText xml:space="preserve">PAGE   \* MERGEFORMAT</w:instrText>
                    </w:r>
                    <w:r>
                      <w:fldChar w:fldCharType="separate"/>
                    </w:r>
                    <w:r>
                      <w:t>149</w:t>
                    </w:r>
                    <w:r>
                      <w:fldChar w:fldCharType="end"/>
                    </w:r>
                  </w:p>
                </w:txbxContent>
              </v:textbox>
            </v:shape>
          </w:pict>
        </mc:Fallback>
      </mc:AlternateContent>
    </w:r>
  </w:p>
  <w:p w14:paraId="260E7D84">
    <w:pPr>
      <w:pStyle w:val="11"/>
      <w:spacing w:line="14" w:lineRule="auto"/>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E0A13">
    <w:pPr>
      <w:pStyle w:val="11"/>
      <w:spacing w:line="14" w:lineRule="auto"/>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978CBE">
    <w:pPr>
      <w:pStyle w:val="1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170E56">
                          <w:pPr>
                            <w:pStyle w:val="18"/>
                            <w:jc w:val="center"/>
                          </w:pPr>
                          <w:r>
                            <w:fldChar w:fldCharType="begin"/>
                          </w:r>
                          <w:r>
                            <w:instrText xml:space="preserve"> PAGE  \* MERGEFORMAT </w:instrText>
                          </w:r>
                          <w:r>
                            <w:fldChar w:fldCharType="separate"/>
                          </w:r>
                          <w:r>
                            <w:t>84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170E56">
                    <w:pPr>
                      <w:pStyle w:val="18"/>
                      <w:jc w:val="center"/>
                    </w:pPr>
                    <w:r>
                      <w:fldChar w:fldCharType="begin"/>
                    </w:r>
                    <w:r>
                      <w:instrText xml:space="preserve"> PAGE  \* MERGEFORMAT </w:instrText>
                    </w:r>
                    <w:r>
                      <w:fldChar w:fldCharType="separate"/>
                    </w:r>
                    <w:r>
                      <w:t>84</w:t>
                    </w:r>
                    <w:r>
                      <w:fldChar w:fldCharType="end"/>
                    </w:r>
                  </w:p>
                </w:txbxContent>
              </v:textbox>
            </v:shape>
          </w:pict>
        </mc:Fallback>
      </mc:AlternateContent>
    </w:r>
  </w:p>
  <w:p w14:paraId="091A11A8">
    <w:pPr>
      <w:pStyle w:val="1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4C04E">
    <w:pPr>
      <w:pStyle w:val="18"/>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18350972">
                    <w:pPr>
                      <w:pStyle w:val="18"/>
                    </w:pPr>
                    <w:r>
                      <w:rPr>
                        <w:rFonts w:hint="eastAsia"/>
                      </w:rPr>
                      <w:fldChar w:fldCharType="begin"/>
                    </w:r>
                    <w:r>
                      <w:rPr>
                        <w:rFonts w:hint="eastAsia"/>
                      </w:rPr>
                      <w:instrText xml:space="preserve"> PAGE  \* MERGEFORMAT </w:instrText>
                    </w:r>
                    <w:r>
                      <w:rPr>
                        <w:rFonts w:hint="eastAsia"/>
                      </w:rPr>
                      <w:fldChar w:fldCharType="separate"/>
                    </w:r>
                    <w: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C1E3398">
      <w:pPr>
        <w:pStyle w:val="22"/>
        <w:spacing w:line="240" w:lineRule="auto"/>
        <w:ind w:firstLine="0"/>
        <w:rPr>
          <w:rFonts w:hint="eastAsia"/>
          <w:kern w:val="2"/>
        </w:rPr>
      </w:pPr>
      <w:r>
        <w:rPr>
          <w:rStyle w:val="32"/>
        </w:rPr>
        <w:footnoteRef/>
      </w:r>
      <w:r>
        <w:rPr>
          <w:rFonts w:hint="eastAsia"/>
        </w:rPr>
        <w:t>如果在招标阶段，招标人在图纸中直接指定了取土场和弃土场位置，且作为投标人投标报价的依据，则招标人应在项目专用合同条款中对本项规定进行调整。</w:t>
      </w:r>
    </w:p>
  </w:footnote>
  <w:footnote w:id="1">
    <w:p w14:paraId="2A36C7DA">
      <w:pPr>
        <w:pStyle w:val="22"/>
        <w:ind w:firstLine="360"/>
        <w:rPr>
          <w:rFonts w:hint="eastAsia"/>
          <w:kern w:val="2"/>
        </w:rPr>
      </w:pPr>
      <w:r>
        <w:rPr>
          <w:rStyle w:val="32"/>
        </w:rPr>
        <w:footnoteRef/>
      </w:r>
      <w:r>
        <w:rPr>
          <w:rFonts w:hint="eastAsia"/>
        </w:rPr>
        <w:t>本条内容可修改为：“本担保自（生效日期）之日起生效，至</w:t>
      </w:r>
      <w:r>
        <w:rPr>
          <w:rFonts w:hint="eastAsia"/>
        </w:rPr>
        <w:tab/>
      </w:r>
      <w:r>
        <w:rPr>
          <w:rFonts w:hint="eastAsia"/>
        </w:rPr>
        <w:t>（失效日期）之日失效。”</w:t>
      </w:r>
    </w:p>
    <w:p w14:paraId="7FDD9DEC">
      <w:pPr>
        <w:pStyle w:val="22"/>
        <w:ind w:firstLine="360"/>
        <w:rPr>
          <w:rFonts w:hint="eastAsia"/>
        </w:rPr>
      </w:pPr>
      <w:r>
        <w:rPr>
          <w:rFonts w:hint="eastAsia"/>
        </w:rPr>
        <w:t>如发包人接受履约保函采用固定有效期，在项目专用合同条款中应增加保证承包人在履约保函失效日前向发包人出具后续阶段履约保函的约束性条款，直至发包人签发交工验收证书且承包人按照合同约定缴纳质量保证金之日为止。</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A55C">
    <w:pPr>
      <w:pStyle w:val="19"/>
    </w:pPr>
    <w:r>
      <w:rPr>
        <w:rFonts w:hint="eastAsia"/>
        <w:lang w:val="en-US" w:eastAsia="zh-CN"/>
      </w:rPr>
      <w:t>防城港市上思县</w:t>
    </w:r>
    <w:r>
      <w:rPr>
        <w:rFonts w:hint="eastAsia"/>
      </w:rPr>
      <w:t>政府采购竞争性磋商采购文件（项目编号：</w:t>
    </w:r>
    <w:r>
      <w:rPr>
        <w:rFonts w:hint="eastAsia"/>
        <w:lang w:eastAsia="zh-CN"/>
      </w:rPr>
      <w:t>FCZC2025-C2-210122-GXZZ</w:t>
    </w:r>
    <w:r>
      <w:rPr>
        <w:rFonts w:hint="eastAsia"/>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BBD62"/>
    <w:multiLevelType w:val="singleLevel"/>
    <w:tmpl w:val="A0BBBD62"/>
    <w:lvl w:ilvl="0" w:tentative="0">
      <w:start w:val="1"/>
      <w:numFmt w:val="decimal"/>
      <w:suff w:val="nothing"/>
      <w:lvlText w:val="（%1）"/>
      <w:lvlJc w:val="left"/>
    </w:lvl>
  </w:abstractNum>
  <w:abstractNum w:abstractNumId="1">
    <w:nsid w:val="A1965E9C"/>
    <w:multiLevelType w:val="singleLevel"/>
    <w:tmpl w:val="A1965E9C"/>
    <w:lvl w:ilvl="0" w:tentative="0">
      <w:start w:val="1"/>
      <w:numFmt w:val="decimal"/>
      <w:suff w:val="nothing"/>
      <w:lvlText w:val="（%1）"/>
      <w:lvlJc w:val="left"/>
    </w:lvl>
  </w:abstractNum>
  <w:abstractNum w:abstractNumId="2">
    <w:nsid w:val="E2AD0F0F"/>
    <w:multiLevelType w:val="singleLevel"/>
    <w:tmpl w:val="E2AD0F0F"/>
    <w:lvl w:ilvl="0" w:tentative="0">
      <w:start w:val="12"/>
      <w:numFmt w:val="decimal"/>
      <w:suff w:val="nothing"/>
      <w:lvlText w:val="%1．"/>
      <w:lvlJc w:val="left"/>
    </w:lvl>
  </w:abstractNum>
  <w:abstractNum w:abstractNumId="3">
    <w:nsid w:val="EED7ECF8"/>
    <w:multiLevelType w:val="singleLevel"/>
    <w:tmpl w:val="EED7ECF8"/>
    <w:lvl w:ilvl="0" w:tentative="0">
      <w:start w:val="3"/>
      <w:numFmt w:val="chineseCounting"/>
      <w:suff w:val="space"/>
      <w:lvlText w:val="第%1节"/>
      <w:lvlJc w:val="left"/>
      <w:rPr>
        <w:rFonts w:hint="eastAsia"/>
      </w:rPr>
    </w:lvl>
  </w:abstractNum>
  <w:abstractNum w:abstractNumId="4">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177157EF"/>
    <w:multiLevelType w:val="singleLevel"/>
    <w:tmpl w:val="177157EF"/>
    <w:lvl w:ilvl="0" w:tentative="0">
      <w:start w:val="3"/>
      <w:numFmt w:val="chineseCounting"/>
      <w:suff w:val="nothing"/>
      <w:lvlText w:val="%1、"/>
      <w:lvlJc w:val="left"/>
      <w:rPr>
        <w:rFonts w:hint="eastAsia"/>
      </w:rPr>
    </w:lvl>
  </w:abstractNum>
  <w:abstractNum w:abstractNumId="6">
    <w:nsid w:val="2884BD95"/>
    <w:multiLevelType w:val="singleLevel"/>
    <w:tmpl w:val="2884BD95"/>
    <w:lvl w:ilvl="0" w:tentative="0">
      <w:start w:val="1"/>
      <w:numFmt w:val="decimal"/>
      <w:suff w:val="nothing"/>
      <w:lvlText w:val="%1、"/>
      <w:lvlJc w:val="left"/>
    </w:lvl>
  </w:abstractNum>
  <w:abstractNum w:abstractNumId="7">
    <w:nsid w:val="508D7A92"/>
    <w:multiLevelType w:val="singleLevel"/>
    <w:tmpl w:val="508D7A92"/>
    <w:lvl w:ilvl="0" w:tentative="0">
      <w:start w:val="1"/>
      <w:numFmt w:val="decimal"/>
      <w:suff w:val="nothing"/>
      <w:lvlText w:val="（%1）"/>
      <w:lvlJc w:val="left"/>
    </w:lvl>
  </w:abstractNum>
  <w:abstractNum w:abstractNumId="8">
    <w:nsid w:val="531434F1"/>
    <w:multiLevelType w:val="singleLevel"/>
    <w:tmpl w:val="531434F1"/>
    <w:lvl w:ilvl="0" w:tentative="0">
      <w:start w:val="1"/>
      <w:numFmt w:val="decimal"/>
      <w:suff w:val="nothing"/>
      <w:lvlText w:val="（%1）"/>
      <w:lvlJc w:val="left"/>
    </w:lvl>
  </w:abstractNum>
  <w:abstractNum w:abstractNumId="9">
    <w:nsid w:val="5B39FDE6"/>
    <w:multiLevelType w:val="singleLevel"/>
    <w:tmpl w:val="5B39FDE6"/>
    <w:lvl w:ilvl="0" w:tentative="0">
      <w:start w:val="1"/>
      <w:numFmt w:val="decimal"/>
      <w:suff w:val="nothing"/>
      <w:lvlText w:val="（%1）"/>
      <w:lvlJc w:val="left"/>
      <w:pPr>
        <w:ind w:left="0" w:firstLine="0"/>
      </w:pPr>
    </w:lvl>
  </w:abstractNum>
  <w:abstractNum w:abstractNumId="10">
    <w:nsid w:val="72668605"/>
    <w:multiLevelType w:val="singleLevel"/>
    <w:tmpl w:val="72668605"/>
    <w:lvl w:ilvl="0" w:tentative="0">
      <w:start w:val="1"/>
      <w:numFmt w:val="decimal"/>
      <w:pStyle w:val="7"/>
      <w:lvlText w:val="%1."/>
      <w:lvlJc w:val="left"/>
      <w:pPr>
        <w:tabs>
          <w:tab w:val="left" w:pos="360"/>
        </w:tabs>
        <w:ind w:left="360" w:hanging="360"/>
      </w:pPr>
    </w:lvl>
  </w:abstractNum>
  <w:num w:numId="1">
    <w:abstractNumId w:val="10"/>
  </w:num>
  <w:num w:numId="2">
    <w:abstractNumId w:val="7"/>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9"/>
    <w:lvlOverride w:ilvl="0">
      <w:startOverride w:val="1"/>
    </w:lvlOverride>
  </w:num>
  <w:num w:numId="8">
    <w:abstractNumId w:val="1"/>
  </w:num>
  <w:num w:numId="9">
    <w:abstractNumId w:val="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4"/>
    <w:footnote w:id="5"/>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1MGY0MTZhNzRiZjhmNWIwNjBhN2QyNGI5MmIwMWQifQ=="/>
  </w:docVars>
  <w:rsids>
    <w:rsidRoot w:val="72590521"/>
    <w:rsid w:val="000510B6"/>
    <w:rsid w:val="0014006B"/>
    <w:rsid w:val="0015420E"/>
    <w:rsid w:val="001E77F1"/>
    <w:rsid w:val="002738D5"/>
    <w:rsid w:val="003E0F2D"/>
    <w:rsid w:val="00444F54"/>
    <w:rsid w:val="00733D07"/>
    <w:rsid w:val="00733FD2"/>
    <w:rsid w:val="00773247"/>
    <w:rsid w:val="00854C70"/>
    <w:rsid w:val="00896A26"/>
    <w:rsid w:val="00B477E1"/>
    <w:rsid w:val="00E02320"/>
    <w:rsid w:val="00E076C4"/>
    <w:rsid w:val="019D115B"/>
    <w:rsid w:val="01A544B3"/>
    <w:rsid w:val="01E12EDC"/>
    <w:rsid w:val="03FB241F"/>
    <w:rsid w:val="05F4078D"/>
    <w:rsid w:val="06A41694"/>
    <w:rsid w:val="07757BDE"/>
    <w:rsid w:val="07CA4C73"/>
    <w:rsid w:val="08783670"/>
    <w:rsid w:val="08910034"/>
    <w:rsid w:val="089D5EE4"/>
    <w:rsid w:val="08E9253E"/>
    <w:rsid w:val="09024057"/>
    <w:rsid w:val="099427CD"/>
    <w:rsid w:val="0AE02C20"/>
    <w:rsid w:val="0BEC2D80"/>
    <w:rsid w:val="0C973ECB"/>
    <w:rsid w:val="0D1F511A"/>
    <w:rsid w:val="0DC05864"/>
    <w:rsid w:val="0DC07915"/>
    <w:rsid w:val="0ED10695"/>
    <w:rsid w:val="0EE643B4"/>
    <w:rsid w:val="0F764D32"/>
    <w:rsid w:val="11140D0D"/>
    <w:rsid w:val="11162CD7"/>
    <w:rsid w:val="112D117D"/>
    <w:rsid w:val="11543B08"/>
    <w:rsid w:val="131F22A7"/>
    <w:rsid w:val="14B542EB"/>
    <w:rsid w:val="14C65C60"/>
    <w:rsid w:val="14E80D87"/>
    <w:rsid w:val="16C2757B"/>
    <w:rsid w:val="18083A36"/>
    <w:rsid w:val="1811456D"/>
    <w:rsid w:val="18A701A3"/>
    <w:rsid w:val="1AEF0255"/>
    <w:rsid w:val="1DAD75B8"/>
    <w:rsid w:val="1DC37378"/>
    <w:rsid w:val="1E1F4DBD"/>
    <w:rsid w:val="1F1A4A57"/>
    <w:rsid w:val="1F212D50"/>
    <w:rsid w:val="2120569A"/>
    <w:rsid w:val="2139502F"/>
    <w:rsid w:val="22B569E9"/>
    <w:rsid w:val="239530E4"/>
    <w:rsid w:val="23CF3DE7"/>
    <w:rsid w:val="23E838BA"/>
    <w:rsid w:val="24C02C1C"/>
    <w:rsid w:val="259C7F06"/>
    <w:rsid w:val="27064F56"/>
    <w:rsid w:val="271C2272"/>
    <w:rsid w:val="2725381D"/>
    <w:rsid w:val="28BA341B"/>
    <w:rsid w:val="2A2A6F25"/>
    <w:rsid w:val="2A6308E4"/>
    <w:rsid w:val="2AD156A3"/>
    <w:rsid w:val="2B637489"/>
    <w:rsid w:val="2DA82AB1"/>
    <w:rsid w:val="2DD161DF"/>
    <w:rsid w:val="2F7B74D5"/>
    <w:rsid w:val="3179279B"/>
    <w:rsid w:val="31946B55"/>
    <w:rsid w:val="327C2994"/>
    <w:rsid w:val="340547BA"/>
    <w:rsid w:val="346B4DFC"/>
    <w:rsid w:val="350D3D50"/>
    <w:rsid w:val="35AA4124"/>
    <w:rsid w:val="35D3093F"/>
    <w:rsid w:val="36990528"/>
    <w:rsid w:val="37015A22"/>
    <w:rsid w:val="379A790F"/>
    <w:rsid w:val="38757231"/>
    <w:rsid w:val="39333B77"/>
    <w:rsid w:val="39414E76"/>
    <w:rsid w:val="395028AA"/>
    <w:rsid w:val="3A7D30CD"/>
    <w:rsid w:val="3B4C7172"/>
    <w:rsid w:val="3CE65E70"/>
    <w:rsid w:val="3D3D401B"/>
    <w:rsid w:val="3EDB25AD"/>
    <w:rsid w:val="3EEF6155"/>
    <w:rsid w:val="3F0A4723"/>
    <w:rsid w:val="3FD20B5E"/>
    <w:rsid w:val="41310CE3"/>
    <w:rsid w:val="41D2177E"/>
    <w:rsid w:val="434D1256"/>
    <w:rsid w:val="436D5ED7"/>
    <w:rsid w:val="43804DDE"/>
    <w:rsid w:val="440A3726"/>
    <w:rsid w:val="45F97FFB"/>
    <w:rsid w:val="4614088C"/>
    <w:rsid w:val="47036501"/>
    <w:rsid w:val="470C7D34"/>
    <w:rsid w:val="473D0DA5"/>
    <w:rsid w:val="487041FF"/>
    <w:rsid w:val="488643E5"/>
    <w:rsid w:val="48E91EBC"/>
    <w:rsid w:val="493A429A"/>
    <w:rsid w:val="493F3E72"/>
    <w:rsid w:val="497C6E74"/>
    <w:rsid w:val="49E66D09"/>
    <w:rsid w:val="4A6F7BCC"/>
    <w:rsid w:val="4B1530DD"/>
    <w:rsid w:val="4B931AB6"/>
    <w:rsid w:val="4BE43E1D"/>
    <w:rsid w:val="4C0F2086"/>
    <w:rsid w:val="4C3374BB"/>
    <w:rsid w:val="4C7139AC"/>
    <w:rsid w:val="4C925E54"/>
    <w:rsid w:val="4CB66890"/>
    <w:rsid w:val="4CE0771A"/>
    <w:rsid w:val="4D2B1E2E"/>
    <w:rsid w:val="4DB513F5"/>
    <w:rsid w:val="4DBA440F"/>
    <w:rsid w:val="4E0E32EC"/>
    <w:rsid w:val="4E6A1991"/>
    <w:rsid w:val="4E6F6C65"/>
    <w:rsid w:val="4FD55530"/>
    <w:rsid w:val="500A1A11"/>
    <w:rsid w:val="50125E3D"/>
    <w:rsid w:val="50D420F0"/>
    <w:rsid w:val="510A6F88"/>
    <w:rsid w:val="519F45AD"/>
    <w:rsid w:val="52285CE0"/>
    <w:rsid w:val="52CA68C2"/>
    <w:rsid w:val="52CD68BD"/>
    <w:rsid w:val="546227DC"/>
    <w:rsid w:val="54F26A43"/>
    <w:rsid w:val="566E6C91"/>
    <w:rsid w:val="56D57BC4"/>
    <w:rsid w:val="57600F2A"/>
    <w:rsid w:val="5829145C"/>
    <w:rsid w:val="582A3264"/>
    <w:rsid w:val="5855720E"/>
    <w:rsid w:val="58814E71"/>
    <w:rsid w:val="58E40592"/>
    <w:rsid w:val="58F86F27"/>
    <w:rsid w:val="5AB126F6"/>
    <w:rsid w:val="5B0171D9"/>
    <w:rsid w:val="5B3C46B5"/>
    <w:rsid w:val="5C1B4AA7"/>
    <w:rsid w:val="5C5B1863"/>
    <w:rsid w:val="5D34405E"/>
    <w:rsid w:val="5D98486A"/>
    <w:rsid w:val="5EDC1325"/>
    <w:rsid w:val="5F5E109E"/>
    <w:rsid w:val="5FA40A7B"/>
    <w:rsid w:val="60492303"/>
    <w:rsid w:val="61B01959"/>
    <w:rsid w:val="61BF6C65"/>
    <w:rsid w:val="6300246C"/>
    <w:rsid w:val="634F3056"/>
    <w:rsid w:val="64073002"/>
    <w:rsid w:val="64485466"/>
    <w:rsid w:val="64CE0732"/>
    <w:rsid w:val="654D349C"/>
    <w:rsid w:val="65622F6B"/>
    <w:rsid w:val="666A1688"/>
    <w:rsid w:val="66A20783"/>
    <w:rsid w:val="66BB6220"/>
    <w:rsid w:val="66F94245"/>
    <w:rsid w:val="672229B1"/>
    <w:rsid w:val="67D768A8"/>
    <w:rsid w:val="68481CB4"/>
    <w:rsid w:val="684D788C"/>
    <w:rsid w:val="69643755"/>
    <w:rsid w:val="69E76134"/>
    <w:rsid w:val="6A3505E0"/>
    <w:rsid w:val="6AD70C43"/>
    <w:rsid w:val="6C5664BB"/>
    <w:rsid w:val="6D5F0968"/>
    <w:rsid w:val="6D90547A"/>
    <w:rsid w:val="6EC06D60"/>
    <w:rsid w:val="6EE73126"/>
    <w:rsid w:val="71DF335D"/>
    <w:rsid w:val="72590521"/>
    <w:rsid w:val="727D13E4"/>
    <w:rsid w:val="72FF10A6"/>
    <w:rsid w:val="737F2F3A"/>
    <w:rsid w:val="73C92407"/>
    <w:rsid w:val="740F250F"/>
    <w:rsid w:val="75930F1E"/>
    <w:rsid w:val="75F210A5"/>
    <w:rsid w:val="779A3713"/>
    <w:rsid w:val="77F74806"/>
    <w:rsid w:val="788C05D2"/>
    <w:rsid w:val="788D26EB"/>
    <w:rsid w:val="7895331B"/>
    <w:rsid w:val="794C1B10"/>
    <w:rsid w:val="79D44CC5"/>
    <w:rsid w:val="7A7F5410"/>
    <w:rsid w:val="7C464F3C"/>
    <w:rsid w:val="7C8342AF"/>
    <w:rsid w:val="7CF00243"/>
    <w:rsid w:val="7D3C187C"/>
    <w:rsid w:val="7E6D4A02"/>
    <w:rsid w:val="7ED740F4"/>
    <w:rsid w:val="7F701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tabs>
        <w:tab w:val="left" w:pos="2155"/>
      </w:tabs>
      <w:adjustRightInd w:val="0"/>
      <w:spacing w:before="120" w:line="360" w:lineRule="auto"/>
      <w:ind w:left="2155" w:hanging="1078"/>
      <w:textAlignment w:val="baseline"/>
      <w:outlineLvl w:val="3"/>
    </w:pPr>
    <w:rPr>
      <w:rFonts w:ascii="Arial" w:eastAsia="黑体"/>
      <w:kern w:val="0"/>
      <w:sz w:val="28"/>
      <w:szCs w:val="20"/>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List Number"/>
    <w:basedOn w:val="1"/>
    <w:autoRedefine/>
    <w:qFormat/>
    <w:uiPriority w:val="0"/>
    <w:pPr>
      <w:numPr>
        <w:ilvl w:val="0"/>
        <w:numId w:val="1"/>
      </w:numPr>
    </w:pPr>
  </w:style>
  <w:style w:type="paragraph" w:styleId="8">
    <w:name w:val="Normal Indent"/>
    <w:basedOn w:val="1"/>
    <w:autoRedefine/>
    <w:qFormat/>
    <w:uiPriority w:val="99"/>
    <w:pPr>
      <w:ind w:firstLine="420"/>
    </w:pPr>
    <w:rPr>
      <w:szCs w:val="20"/>
    </w:rPr>
  </w:style>
  <w:style w:type="paragraph" w:styleId="9">
    <w:name w:val="annotation text"/>
    <w:basedOn w:val="1"/>
    <w:autoRedefine/>
    <w:qFormat/>
    <w:uiPriority w:val="0"/>
    <w:pPr>
      <w:jc w:val="left"/>
    </w:pPr>
  </w:style>
  <w:style w:type="paragraph" w:styleId="10">
    <w:name w:val="Body Text 3"/>
    <w:basedOn w:val="1"/>
    <w:autoRedefine/>
    <w:unhideWhenUsed/>
    <w:qFormat/>
    <w:uiPriority w:val="99"/>
    <w:pPr>
      <w:spacing w:after="120"/>
    </w:pPr>
    <w:rPr>
      <w:sz w:val="16"/>
      <w:szCs w:val="16"/>
    </w:rPr>
  </w:style>
  <w:style w:type="paragraph" w:styleId="11">
    <w:name w:val="Body Text"/>
    <w:basedOn w:val="1"/>
    <w:autoRedefine/>
    <w:unhideWhenUsed/>
    <w:qFormat/>
    <w:uiPriority w:val="0"/>
    <w:pPr>
      <w:spacing w:after="120"/>
    </w:pPr>
  </w:style>
  <w:style w:type="paragraph" w:styleId="12">
    <w:name w:val="Body Text Indent"/>
    <w:basedOn w:val="1"/>
    <w:autoRedefine/>
    <w:qFormat/>
    <w:uiPriority w:val="0"/>
    <w:pPr>
      <w:ind w:firstLine="830" w:firstLineChars="352"/>
    </w:pPr>
    <w:rPr>
      <w:rFonts w:ascii="仿宋_GB2312" w:eastAsia="仿宋_GB2312"/>
      <w:kern w:val="0"/>
      <w:sz w:val="32"/>
      <w:szCs w:val="20"/>
    </w:rPr>
  </w:style>
  <w:style w:type="paragraph" w:styleId="13">
    <w:name w:val="List 2"/>
    <w:basedOn w:val="1"/>
    <w:autoRedefine/>
    <w:unhideWhenUsed/>
    <w:qFormat/>
    <w:uiPriority w:val="99"/>
    <w:pPr>
      <w:ind w:left="100" w:leftChars="200" w:hanging="200" w:hangingChars="200"/>
      <w:contextualSpacing/>
    </w:pPr>
  </w:style>
  <w:style w:type="paragraph" w:styleId="14">
    <w:name w:val="toc 3"/>
    <w:basedOn w:val="1"/>
    <w:next w:val="1"/>
    <w:autoRedefine/>
    <w:unhideWhenUsed/>
    <w:qFormat/>
    <w:uiPriority w:val="39"/>
    <w:pPr>
      <w:ind w:left="840" w:leftChars="400"/>
    </w:pPr>
  </w:style>
  <w:style w:type="paragraph" w:styleId="15">
    <w:name w:val="Plain Text"/>
    <w:basedOn w:val="1"/>
    <w:next w:val="1"/>
    <w:autoRedefine/>
    <w:qFormat/>
    <w:uiPriority w:val="0"/>
    <w:rPr>
      <w:rFonts w:ascii="宋体" w:hAnsi="Courier New"/>
      <w:kern w:val="0"/>
      <w:sz w:val="20"/>
      <w:szCs w:val="21"/>
    </w:rPr>
  </w:style>
  <w:style w:type="paragraph" w:styleId="16">
    <w:name w:val="Body Text Indent 2"/>
    <w:basedOn w:val="1"/>
    <w:autoRedefine/>
    <w:qFormat/>
    <w:uiPriority w:val="99"/>
    <w:pPr>
      <w:spacing w:after="120" w:line="480" w:lineRule="auto"/>
      <w:ind w:left="420" w:leftChars="200"/>
    </w:pPr>
    <w:rPr>
      <w:sz w:val="24"/>
    </w:rPr>
  </w:style>
  <w:style w:type="paragraph" w:styleId="17">
    <w:name w:val="Balloon Text"/>
    <w:basedOn w:val="1"/>
    <w:link w:val="43"/>
    <w:autoRedefine/>
    <w:qFormat/>
    <w:uiPriority w:val="0"/>
    <w:rPr>
      <w:sz w:val="18"/>
      <w:szCs w:val="18"/>
    </w:rPr>
  </w:style>
  <w:style w:type="paragraph" w:styleId="18">
    <w:name w:val="footer"/>
    <w:basedOn w:val="1"/>
    <w:autoRedefine/>
    <w:unhideWhenUsed/>
    <w:qFormat/>
    <w:uiPriority w:val="99"/>
    <w:pPr>
      <w:tabs>
        <w:tab w:val="center" w:pos="4153"/>
        <w:tab w:val="right" w:pos="8306"/>
      </w:tabs>
      <w:snapToGrid w:val="0"/>
      <w:jc w:val="left"/>
    </w:pPr>
    <w:rPr>
      <w:kern w:val="0"/>
      <w:sz w:val="18"/>
      <w:szCs w:val="18"/>
    </w:rPr>
  </w:style>
  <w:style w:type="paragraph" w:styleId="19">
    <w:name w:val="header"/>
    <w:basedOn w:val="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autoRedefine/>
    <w:unhideWhenUsed/>
    <w:qFormat/>
    <w:uiPriority w:val="39"/>
  </w:style>
  <w:style w:type="paragraph" w:styleId="21">
    <w:name w:val="List"/>
    <w:basedOn w:val="1"/>
    <w:autoRedefine/>
    <w:unhideWhenUsed/>
    <w:qFormat/>
    <w:uiPriority w:val="99"/>
    <w:pPr>
      <w:ind w:left="200" w:hanging="200" w:hangingChars="200"/>
      <w:contextualSpacing/>
    </w:pPr>
  </w:style>
  <w:style w:type="paragraph" w:styleId="22">
    <w:name w:val="footnote text"/>
    <w:basedOn w:val="1"/>
    <w:autoRedefine/>
    <w:qFormat/>
    <w:uiPriority w:val="0"/>
    <w:pPr>
      <w:adjustRightInd w:val="0"/>
      <w:spacing w:line="312" w:lineRule="atLeast"/>
      <w:jc w:val="left"/>
      <w:textAlignment w:val="baseline"/>
    </w:pPr>
    <w:rPr>
      <w:kern w:val="0"/>
      <w:sz w:val="18"/>
      <w:szCs w:val="18"/>
    </w:rPr>
  </w:style>
  <w:style w:type="paragraph" w:styleId="23">
    <w:name w:val="toc 2"/>
    <w:basedOn w:val="1"/>
    <w:next w:val="1"/>
    <w:autoRedefine/>
    <w:unhideWhenUsed/>
    <w:qFormat/>
    <w:uiPriority w:val="39"/>
    <w:pPr>
      <w:tabs>
        <w:tab w:val="right" w:leader="dot" w:pos="8296"/>
      </w:tabs>
      <w:ind w:left="420" w:leftChars="200"/>
    </w:pPr>
  </w:style>
  <w:style w:type="paragraph" w:styleId="24">
    <w:name w:val="Normal (Web)"/>
    <w:basedOn w:val="1"/>
    <w:autoRedefine/>
    <w:qFormat/>
    <w:uiPriority w:val="0"/>
    <w:pPr>
      <w:spacing w:before="100" w:beforeAutospacing="1" w:after="100" w:afterAutospacing="1"/>
      <w:jc w:val="left"/>
    </w:pPr>
    <w:rPr>
      <w:kern w:val="0"/>
      <w:sz w:val="24"/>
    </w:rPr>
  </w:style>
  <w:style w:type="paragraph" w:styleId="25">
    <w:name w:val="Body Text First Indent 2"/>
    <w:basedOn w:val="12"/>
    <w:autoRedefine/>
    <w:unhideWhenUsed/>
    <w:qFormat/>
    <w:uiPriority w:val="99"/>
    <w:pPr>
      <w:ind w:firstLine="420" w:firstLineChars="200"/>
    </w:p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basedOn w:val="28"/>
    <w:qFormat/>
    <w:uiPriority w:val="0"/>
  </w:style>
  <w:style w:type="character" w:styleId="30">
    <w:name w:val="Hyperlink"/>
    <w:autoRedefine/>
    <w:unhideWhenUsed/>
    <w:qFormat/>
    <w:uiPriority w:val="99"/>
    <w:rPr>
      <w:color w:val="0000FF"/>
      <w:u w:val="single"/>
    </w:rPr>
  </w:style>
  <w:style w:type="character" w:styleId="31">
    <w:name w:val="annotation reference"/>
    <w:basedOn w:val="28"/>
    <w:autoRedefine/>
    <w:qFormat/>
    <w:uiPriority w:val="99"/>
    <w:rPr>
      <w:sz w:val="21"/>
      <w:szCs w:val="21"/>
    </w:rPr>
  </w:style>
  <w:style w:type="character" w:styleId="32">
    <w:name w:val="footnote reference"/>
    <w:autoRedefine/>
    <w:unhideWhenUsed/>
    <w:qFormat/>
    <w:uiPriority w:val="0"/>
    <w:rPr>
      <w:vertAlign w:val="superscript"/>
    </w:rPr>
  </w:style>
  <w:style w:type="paragraph" w:customStyle="1" w:styleId="33">
    <w:name w:val="Title1"/>
    <w:basedOn w:val="1"/>
    <w:next w:val="1"/>
    <w:autoRedefine/>
    <w:qFormat/>
    <w:uiPriority w:val="0"/>
    <w:pPr>
      <w:jc w:val="center"/>
      <w:outlineLvl w:val="0"/>
    </w:pPr>
    <w:rPr>
      <w:rFonts w:ascii="Calibri Light" w:hAnsi="Calibri Light" w:eastAsia="Arial Unicode MS"/>
      <w:b/>
    </w:rPr>
  </w:style>
  <w:style w:type="paragraph" w:customStyle="1" w:styleId="34">
    <w:name w:val="表格文字115"/>
    <w:basedOn w:val="1"/>
    <w:autoRedefine/>
    <w:qFormat/>
    <w:uiPriority w:val="0"/>
    <w:pPr>
      <w:spacing w:before="25" w:after="25"/>
      <w:jc w:val="left"/>
    </w:pPr>
    <w:rPr>
      <w:bCs/>
      <w:spacing w:val="10"/>
      <w:kern w:val="0"/>
      <w:sz w:val="24"/>
    </w:rPr>
  </w:style>
  <w:style w:type="paragraph" w:customStyle="1" w:styleId="35">
    <w:name w:val="正文-公1"/>
    <w:basedOn w:val="1"/>
    <w:autoRedefine/>
    <w:qFormat/>
    <w:uiPriority w:val="0"/>
    <w:pPr>
      <w:ind w:firstLine="200" w:firstLineChars="200"/>
      <w:jc w:val="left"/>
    </w:pPr>
    <w:rPr>
      <w:rFonts w:eastAsia="仿宋_GB2312"/>
    </w:rPr>
  </w:style>
  <w:style w:type="paragraph" w:customStyle="1" w:styleId="36">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sz w:val="24"/>
      <w:szCs w:val="24"/>
      <w:lang w:val="en-US" w:eastAsia="zh-CN" w:bidi="ar-SA"/>
    </w:rPr>
  </w:style>
  <w:style w:type="paragraph" w:customStyle="1" w:styleId="37">
    <w:name w:val="正文2"/>
    <w:basedOn w:val="1"/>
    <w:autoRedefine/>
    <w:qFormat/>
    <w:uiPriority w:val="0"/>
    <w:pPr>
      <w:adjustRightInd w:val="0"/>
      <w:spacing w:before="156" w:line="360" w:lineRule="auto"/>
      <w:ind w:firstLine="510" w:firstLineChars="200"/>
    </w:pPr>
    <w:rPr>
      <w:kern w:val="0"/>
      <w:sz w:val="24"/>
      <w:szCs w:val="20"/>
    </w:rPr>
  </w:style>
  <w:style w:type="paragraph" w:customStyle="1" w:styleId="38">
    <w:name w:val="样式5"/>
    <w:basedOn w:val="1"/>
    <w:autoRedefine/>
    <w:qFormat/>
    <w:uiPriority w:val="99"/>
    <w:pPr>
      <w:adjustRightInd w:val="0"/>
      <w:spacing w:line="440" w:lineRule="exact"/>
      <w:ind w:left="2" w:firstLine="480" w:firstLineChars="200"/>
    </w:pPr>
    <w:rPr>
      <w:rFonts w:ascii="仿宋_GB2312" w:hAnsi="仿宋" w:eastAsia="仿宋_GB2312"/>
      <w:sz w:val="24"/>
    </w:rPr>
  </w:style>
  <w:style w:type="paragraph" w:customStyle="1" w:styleId="39">
    <w:name w:val="正文缩进1"/>
    <w:basedOn w:val="1"/>
    <w:next w:val="12"/>
    <w:autoRedefine/>
    <w:qFormat/>
    <w:uiPriority w:val="99"/>
    <w:pPr>
      <w:autoSpaceDE w:val="0"/>
      <w:autoSpaceDN w:val="0"/>
      <w:adjustRightInd w:val="0"/>
      <w:snapToGrid w:val="0"/>
      <w:spacing w:after="120" w:line="360" w:lineRule="auto"/>
      <w:ind w:left="420" w:leftChars="200" w:firstLine="480" w:firstLineChars="200"/>
    </w:pPr>
    <w:rPr>
      <w:sz w:val="24"/>
      <w:szCs w:val="21"/>
    </w:rPr>
  </w:style>
  <w:style w:type="paragraph" w:customStyle="1" w:styleId="40">
    <w:name w:val="Table Paragraph"/>
    <w:basedOn w:val="1"/>
    <w:autoRedefine/>
    <w:qFormat/>
    <w:uiPriority w:val="1"/>
    <w:pPr>
      <w:jc w:val="left"/>
    </w:pPr>
    <w:rPr>
      <w:rFonts w:ascii="Calibri" w:hAnsi="Calibri"/>
      <w:kern w:val="0"/>
      <w:sz w:val="22"/>
      <w:szCs w:val="22"/>
      <w:lang w:eastAsia="en-US"/>
    </w:rPr>
  </w:style>
  <w:style w:type="character" w:customStyle="1" w:styleId="41">
    <w:name w:val="font91"/>
    <w:basedOn w:val="28"/>
    <w:autoRedefine/>
    <w:qFormat/>
    <w:uiPriority w:val="0"/>
    <w:rPr>
      <w:rFonts w:hint="eastAsia" w:ascii="黑体" w:hAnsi="宋体" w:eastAsia="黑体" w:cs="黑体"/>
      <w:color w:val="000000"/>
      <w:sz w:val="21"/>
      <w:szCs w:val="21"/>
      <w:u w:val="none"/>
    </w:rPr>
  </w:style>
  <w:style w:type="character" w:customStyle="1" w:styleId="42">
    <w:name w:val="font61"/>
    <w:basedOn w:val="28"/>
    <w:autoRedefine/>
    <w:qFormat/>
    <w:uiPriority w:val="0"/>
    <w:rPr>
      <w:rFonts w:hint="default" w:ascii="Times New Roman" w:hAnsi="Times New Roman" w:cs="Times New Roman"/>
      <w:color w:val="000000"/>
      <w:sz w:val="21"/>
      <w:szCs w:val="21"/>
      <w:u w:val="none"/>
      <w:vertAlign w:val="superscript"/>
    </w:rPr>
  </w:style>
  <w:style w:type="character" w:customStyle="1" w:styleId="43">
    <w:name w:val="批注框文本 字符"/>
    <w:basedOn w:val="28"/>
    <w:link w:val="17"/>
    <w:autoRedefine/>
    <w:qFormat/>
    <w:uiPriority w:val="0"/>
    <w:rPr>
      <w:kern w:val="2"/>
      <w:sz w:val="18"/>
      <w:szCs w:val="18"/>
    </w:rPr>
  </w:style>
  <w:style w:type="paragraph" w:customStyle="1" w:styleId="44">
    <w:name w:val="首行缩进"/>
    <w:basedOn w:val="1"/>
    <w:autoRedefine/>
    <w:qFormat/>
    <w:uiPriority w:val="99"/>
    <w:pPr>
      <w:ind w:firstLine="480" w:firstLineChars="200"/>
    </w:pPr>
    <w:rPr>
      <w:lang w:val="zh-CN"/>
    </w:rPr>
  </w:style>
  <w:style w:type="paragraph" w:customStyle="1" w:styleId="45">
    <w:name w:val="正文文本 (2)4"/>
    <w:basedOn w:val="1"/>
    <w:autoRedefine/>
    <w:qFormat/>
    <w:uiPriority w:val="0"/>
    <w:pPr>
      <w:shd w:val="clear" w:color="auto" w:fill="FFFFFF"/>
      <w:autoSpaceDE/>
      <w:autoSpaceDN/>
      <w:adjustRightInd/>
      <w:spacing w:before="300" w:line="439" w:lineRule="exact"/>
      <w:jc w:val="distribute"/>
    </w:pPr>
    <w:rPr>
      <w:rFonts w:hint="default" w:ascii="MingLiU" w:hAnsi="MingLiU" w:eastAsia="MingLiU"/>
      <w:spacing w:val="20"/>
      <w:sz w:val="22"/>
      <w:szCs w:val="22"/>
      <w:shd w:val="clear" w:color="auto" w:fill="FFFFFF"/>
    </w:rPr>
  </w:style>
  <w:style w:type="character" w:customStyle="1" w:styleId="46">
    <w:name w:val="正文文本 (2) + 间距 0 pt2"/>
    <w:autoRedefine/>
    <w:qFormat/>
    <w:uiPriority w:val="0"/>
    <w:rPr>
      <w:rFonts w:ascii="MingLiU" w:hAnsi="MingLiU" w:eastAsia="MingLiU" w:cs="MingLiU"/>
      <w:color w:val="000000"/>
      <w:spacing w:val="0"/>
      <w:w w:val="100"/>
      <w:position w:val="0"/>
      <w:sz w:val="22"/>
      <w:szCs w:val="22"/>
      <w:u w:val="none"/>
      <w:shd w:val="clear" w:color="auto" w:fill="FFFFFF"/>
      <w:lang w:val="zh-CN" w:eastAsia="zh-CN" w:bidi="zh-CN"/>
    </w:rPr>
  </w:style>
  <w:style w:type="paragraph" w:customStyle="1" w:styleId="47">
    <w:name w:val="Body text|1"/>
    <w:basedOn w:val="1"/>
    <w:autoRedefine/>
    <w:qFormat/>
    <w:uiPriority w:val="0"/>
    <w:pPr>
      <w:spacing w:line="360" w:lineRule="auto"/>
      <w:ind w:firstLine="400"/>
    </w:pPr>
    <w:rPr>
      <w:rFonts w:ascii="宋体" w:hAnsi="宋体" w:eastAsia="宋体" w:cs="宋体"/>
      <w:color w:val="auto"/>
      <w:szCs w:val="20"/>
      <w:lang w:val="zh-CN" w:eastAsia="zh-CN" w:bidi="zh-CN"/>
    </w:rPr>
  </w:style>
  <w:style w:type="character" w:customStyle="1" w:styleId="48">
    <w:name w:val="fontstyle01"/>
    <w:basedOn w:val="28"/>
    <w:qFormat/>
    <w:uiPriority w:val="0"/>
    <w:rPr>
      <w:rFonts w:ascii="宋体" w:hAnsi="宋体" w:eastAsia="宋体" w:cs="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w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158</Pages>
  <Words>6667</Words>
  <Characters>7880</Characters>
  <Lines>6178</Lines>
  <Paragraphs>2622</Paragraphs>
  <TotalTime>7</TotalTime>
  <ScaleCrop>false</ScaleCrop>
  <LinksUpToDate>false</LinksUpToDate>
  <CharactersWithSpaces>7990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2023-06-13T17:54:00Z</dcterms:created>
  <dc:creator>Max</dc:creator>
  <cp:lastModifiedBy>翔燕</cp:lastModifiedBy>
  <cp:lastPrinted>2024-01-03T08:56:00Z</cp:lastPrinted>
  <dcterms:modified xsi:type="dcterms:W3CDTF">2025-11-07T02:34:40Z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5CA9615C026D4F4AAF4F9BA0A2B9DF0A_13</vt:lpwstr>
  </property>
  <property fmtid="{D5CDD505-2E9C-101B-9397-08002B2CF9AE}" pid="4" name="KSOTemplateDocerSaveRecord">
    <vt:lpwstr>eyJoZGlkIjoiYWYyNmVkMWFkNDVmM2QxNzc3YmI4OWMzYzY0M2UzZWUiLCJ1c2VySWQiOiI3MzA1OTU2MDgifQ==</vt:lpwstr>
  </property>
</Properties>
</file>