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防城港市上思县</w:t>
      </w:r>
      <w:r>
        <w:rPr>
          <w:rFonts w:hint="eastAsia" w:ascii="宋体" w:hAnsi="宋体" w:cs="宋体"/>
          <w:color w:val="auto"/>
          <w:sz w:val="52"/>
          <w:szCs w:val="52"/>
          <w:highlight w:val="none"/>
        </w:rPr>
        <w:t>政府采购</w:t>
      </w: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3FEC3126">
      <w:pPr>
        <w:spacing w:line="360" w:lineRule="auto"/>
        <w:jc w:val="center"/>
        <w:rPr>
          <w:rFonts w:ascii="宋体" w:hAnsi="宋体" w:cs="宋体"/>
          <w:b/>
          <w:color w:val="auto"/>
          <w:sz w:val="32"/>
          <w:szCs w:val="32"/>
          <w:highlight w:val="none"/>
        </w:rPr>
      </w:pPr>
    </w:p>
    <w:p w14:paraId="4C027CE0">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2025年在妙镇在妙村雷旺屯、叫吞屯产业道路硬化项目</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rPr>
        <w:fldChar w:fldCharType="begin"/>
      </w:r>
      <w:r>
        <w:rPr>
          <w:rFonts w:hint="eastAsia" w:hAnsi="宋体" w:cs="宋体"/>
          <w:b/>
          <w:bCs/>
          <w:color w:val="auto"/>
          <w:sz w:val="30"/>
          <w:szCs w:val="30"/>
          <w:highlight w:val="none"/>
        </w:rPr>
        <w:instrText xml:space="preserve"> HYPERLINK "https://www.gcy.zfcg.gxzf.gov.cn/gaea/api/project/flow/redirect?projectId=7228424328079736838&amp;newUrl=https://www.gcy.zfcg.gxzf.gov.cn/micro-app-back-index/blank?_flow_type_=agency&amp;_flow_projectId_=7228424328079736838&amp;_jump_page_type_=project_procurement_management_flow&amp;_app_=zcy.procurement&amp;oldUrl=https://www.gcy.zfcg.gxzf.gov.cn/project-center/_procurement_/project-result-detail/7228424328079736838" \t "https://www.gcy.zfcg.gxzf.gov.cn/project-center/_procurement_/self-project/_blank" </w:instrText>
      </w:r>
      <w:r>
        <w:rPr>
          <w:rFonts w:hint="eastAsia" w:hAnsi="宋体" w:cs="宋体"/>
          <w:b/>
          <w:bCs/>
          <w:color w:val="auto"/>
          <w:sz w:val="30"/>
          <w:szCs w:val="30"/>
          <w:highlight w:val="none"/>
        </w:rPr>
        <w:fldChar w:fldCharType="separate"/>
      </w:r>
      <w:r>
        <w:rPr>
          <w:rFonts w:hint="eastAsia" w:hAnsi="宋体" w:cs="宋体"/>
          <w:b/>
          <w:bCs/>
          <w:color w:val="auto"/>
          <w:sz w:val="30"/>
          <w:szCs w:val="30"/>
          <w:highlight w:val="none"/>
        </w:rPr>
        <w:t>FCZC2025-C2-210118-GXZZ</w:t>
      </w:r>
      <w:r>
        <w:rPr>
          <w:rFonts w:hint="eastAsia" w:hAnsi="宋体" w:cs="宋体"/>
          <w:b/>
          <w:bCs/>
          <w:color w:val="auto"/>
          <w:sz w:val="30"/>
          <w:szCs w:val="30"/>
          <w:highlight w:val="none"/>
        </w:rPr>
        <w:fldChar w:fldCharType="end"/>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23882"/>
      <w:bookmarkStart w:id="3" w:name="_Toc31224"/>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SSZC2025-C2-01147</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防城港市上思县</w:t>
      </w:r>
      <w:r>
        <w:rPr>
          <w:rFonts w:hint="eastAsia" w:hAnsi="宋体" w:cs="宋体"/>
          <w:b/>
          <w:bCs/>
          <w:color w:val="auto"/>
          <w:sz w:val="30"/>
          <w:szCs w:val="30"/>
          <w:highlight w:val="none"/>
        </w:rPr>
        <w:t xml:space="preserve">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上思县农业农村局</w:t>
      </w:r>
    </w:p>
    <w:p w14:paraId="2C3FB451">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广西中泽诚信工程项目管理有限公司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10</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31</w:t>
      </w:r>
      <w:r>
        <w:rPr>
          <w:rFonts w:hint="eastAsia" w:hAnsi="宋体" w:cs="宋体"/>
          <w:b/>
          <w:bCs/>
          <w:color w:val="auto"/>
          <w:w w:val="95"/>
          <w:sz w:val="30"/>
          <w:szCs w:val="30"/>
          <w:highlight w:val="none"/>
        </w:rPr>
        <w:t>日</w:t>
      </w:r>
    </w:p>
    <w:p w14:paraId="6BB46A5A">
      <w:pPr>
        <w:widowControl/>
        <w:spacing w:line="360" w:lineRule="auto"/>
        <w:jc w:val="left"/>
        <w:rPr>
          <w:rFonts w:ascii="宋体" w:hAnsi="宋体" w:cs="宋体"/>
          <w:b/>
          <w:bCs/>
          <w:color w:val="auto"/>
          <w:w w:val="95"/>
          <w:kern w:val="0"/>
          <w:sz w:val="30"/>
          <w:szCs w:val="30"/>
          <w:highlight w:val="none"/>
        </w:rPr>
        <w:sectPr>
          <w:head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30474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6D49C5">
      <w:pPr>
        <w:pStyle w:val="23"/>
        <w:tabs>
          <w:tab w:val="right" w:leader="dot" w:pos="8879"/>
          <w:tab w:val="clear" w:pos="8296"/>
        </w:tabs>
        <w:rPr>
          <w:rFonts w:hint="default" w:eastAsia="宋体"/>
          <w:color w:val="auto"/>
          <w:highlight w:val="none"/>
          <w:lang w:val="en-US" w:eastAsia="zh-CN"/>
        </w:rPr>
      </w:pPr>
      <w:r>
        <w:rPr>
          <w:rFonts w:hint="eastAsia" w:ascii="宋体" w:hAnsi="宋体" w:cs="宋体"/>
          <w:color w:val="auto"/>
          <w:szCs w:val="28"/>
          <w:highlight w:val="none"/>
        </w:rPr>
        <w:t>合同</w:t>
      </w:r>
      <w:r>
        <w:rPr>
          <w:rFonts w:hint="eastAsia" w:ascii="宋体" w:hAnsi="宋体" w:cs="宋体"/>
          <w:color w:val="auto"/>
          <w:szCs w:val="28"/>
          <w:highlight w:val="none"/>
          <w:lang w:val="en-US" w:eastAsia="zh-CN"/>
        </w:rPr>
        <w:t>协议书</w:t>
      </w:r>
      <w:r>
        <w:rPr>
          <w:rFonts w:hint="eastAsia" w:ascii="宋体" w:hAnsi="宋体" w:cs="宋体"/>
          <w:color w:val="auto"/>
          <w:highlight w:val="none"/>
        </w:rPr>
        <w:tab/>
      </w:r>
      <w:r>
        <w:rPr>
          <w:rFonts w:hint="eastAsia" w:ascii="宋体" w:hAnsi="宋体" w:cs="宋体"/>
          <w:color w:val="auto"/>
          <w:highlight w:val="none"/>
          <w:lang w:val="en-US" w:eastAsia="zh-CN"/>
        </w:rPr>
        <w:t>...72</w:t>
      </w:r>
    </w:p>
    <w:p w14:paraId="5FEDE307">
      <w:pPr>
        <w:pStyle w:val="23"/>
        <w:tabs>
          <w:tab w:val="right" w:leader="dot" w:pos="8879"/>
          <w:tab w:val="clear" w:pos="829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 xml:space="preserve">第一部分 </w:t>
      </w:r>
      <w:r>
        <w:rPr>
          <w:rFonts w:hint="eastAsia" w:ascii="宋体" w:hAnsi="宋体" w:cs="宋体"/>
          <w:color w:val="auto"/>
          <w:szCs w:val="28"/>
          <w:highlight w:val="none"/>
          <w:lang w:eastAsia="zh-CN"/>
        </w:rPr>
        <w:t>通用合同条款</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4534ADED">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09</w:t>
      </w:r>
    </w:p>
    <w:p w14:paraId="479C21F2">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 xml:space="preserve">第三部分 </w:t>
      </w:r>
      <w:r>
        <w:rPr>
          <w:rFonts w:hint="eastAsia" w:ascii="宋体" w:hAnsi="宋体" w:cs="宋体"/>
          <w:color w:val="auto"/>
          <w:szCs w:val="28"/>
          <w:highlight w:val="none"/>
          <w:lang w:val="en-US" w:eastAsia="zh-CN"/>
        </w:rPr>
        <w:t>合同附件格式</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48</w:t>
      </w:r>
    </w:p>
    <w:p w14:paraId="419D5869">
      <w:pPr>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w:t>
      </w:r>
      <w:r>
        <w:rPr>
          <w:rFonts w:hint="eastAsia" w:ascii="宋体" w:hAnsi="宋体" w:cs="宋体"/>
          <w:color w:val="auto"/>
          <w:highlight w:val="none"/>
          <w:lang w:val="en-US" w:eastAsia="zh-CN"/>
        </w:rPr>
        <w:t xml:space="preserve"> 工程量清单、图纸..........................................................1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51</w:t>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八</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5CAF0477">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5769DC2C">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28359089"/>
      <w:bookmarkStart w:id="10" w:name="_Toc35393629"/>
      <w:bookmarkStart w:id="11" w:name="_Toc35393798"/>
      <w:bookmarkStart w:id="12" w:name="_Toc44229878"/>
      <w:bookmarkStart w:id="13" w:name="_Toc28359012"/>
      <w:bookmarkStart w:id="14" w:name="_Toc35393792"/>
      <w:bookmarkStart w:id="15" w:name="_Toc28359081"/>
      <w:bookmarkStart w:id="16" w:name="_Toc35393623"/>
      <w:bookmarkStart w:id="17" w:name="_Toc28359004"/>
    </w:p>
    <w:p w14:paraId="5ED37E36">
      <w:pPr>
        <w:rPr>
          <w:rFonts w:ascii="宋体" w:hAnsi="宋体" w:cs="宋体"/>
          <w:color w:val="auto"/>
          <w:highlight w:val="none"/>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2025年在妙镇在妙村雷旺屯、叫吞屯产业道路硬化项目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rPr>
              <w:t>09点30分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1.项目编号：FCZC2025-C2-210118-GXZZ</w:t>
      </w:r>
    </w:p>
    <w:p w14:paraId="12635E3D">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2025年在妙镇在妙村雷旺屯、叫吞屯产业道路硬化项目</w:t>
      </w:r>
    </w:p>
    <w:p w14:paraId="75A38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0B6646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749000.00</w:t>
      </w:r>
      <w:r>
        <w:rPr>
          <w:rFonts w:hint="eastAsia" w:ascii="宋体" w:hAnsi="宋体" w:cs="宋体"/>
          <w:color w:val="auto"/>
          <w:szCs w:val="21"/>
          <w:highlight w:val="none"/>
        </w:rPr>
        <w:t>元</w:t>
      </w:r>
    </w:p>
    <w:p w14:paraId="1289B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03F9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6"/>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27"/>
        <w:gridCol w:w="819"/>
        <w:gridCol w:w="763"/>
        <w:gridCol w:w="5601"/>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19"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01"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4301F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04074463">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727" w:type="dxa"/>
            <w:tcBorders>
              <w:top w:val="single" w:color="auto" w:sz="4" w:space="0"/>
              <w:left w:val="single" w:color="auto" w:sz="4" w:space="0"/>
              <w:bottom w:val="single" w:color="auto" w:sz="4" w:space="0"/>
              <w:right w:val="single" w:color="auto" w:sz="4" w:space="0"/>
            </w:tcBorders>
            <w:vAlign w:val="center"/>
          </w:tcPr>
          <w:p w14:paraId="568C81C1">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2025年在妙镇在妙村雷旺屯、叫吞屯产业道路</w:t>
            </w:r>
            <w:r>
              <w:rPr>
                <w:rFonts w:hint="eastAsia" w:ascii="宋体" w:hAnsi="宋体" w:cs="宋体"/>
                <w:color w:val="auto"/>
                <w:szCs w:val="21"/>
                <w:highlight w:val="none"/>
                <w:lang w:val="en-US" w:eastAsia="zh-CN"/>
              </w:rPr>
              <w:t>硬化</w:t>
            </w:r>
            <w:r>
              <w:rPr>
                <w:rFonts w:hint="eastAsia" w:ascii="宋体" w:hAnsi="宋体" w:cs="宋体"/>
                <w:color w:val="auto"/>
                <w:szCs w:val="21"/>
                <w:highlight w:val="none"/>
                <w:lang w:eastAsia="zh-CN"/>
              </w:rPr>
              <w:t>项目</w:t>
            </w:r>
          </w:p>
        </w:tc>
        <w:tc>
          <w:tcPr>
            <w:tcW w:w="819" w:type="dxa"/>
            <w:tcBorders>
              <w:top w:val="single" w:color="auto" w:sz="4" w:space="0"/>
              <w:left w:val="single" w:color="auto" w:sz="4" w:space="0"/>
              <w:bottom w:val="single" w:color="auto" w:sz="4" w:space="0"/>
              <w:right w:val="single" w:color="auto" w:sz="4" w:space="0"/>
            </w:tcBorders>
            <w:vAlign w:val="center"/>
          </w:tcPr>
          <w:p w14:paraId="3E8BADAA">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763" w:type="dxa"/>
            <w:tcBorders>
              <w:top w:val="single" w:color="auto" w:sz="4" w:space="0"/>
              <w:left w:val="single" w:color="auto" w:sz="4" w:space="0"/>
              <w:bottom w:val="single" w:color="auto" w:sz="4" w:space="0"/>
              <w:right w:val="single" w:color="auto" w:sz="4" w:space="0"/>
            </w:tcBorders>
            <w:vAlign w:val="center"/>
          </w:tcPr>
          <w:p w14:paraId="5DD74153">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601" w:type="dxa"/>
            <w:tcBorders>
              <w:top w:val="single" w:color="auto" w:sz="4" w:space="0"/>
              <w:left w:val="single" w:color="auto" w:sz="4" w:space="0"/>
              <w:bottom w:val="single" w:color="auto" w:sz="4" w:space="0"/>
              <w:right w:val="single" w:color="auto" w:sz="4" w:space="0"/>
            </w:tcBorders>
            <w:vAlign w:val="center"/>
          </w:tcPr>
          <w:p w14:paraId="4C0E5D0D">
            <w:pPr>
              <w:spacing w:line="34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2025年在妙镇在妙村雷旺屯、叫吞屯产业道路项目，在妙镇在妙村雷旺屯、叫吞屯修建产业路约1.5公里，并修建错车道、挡土墙、排水涵管等附属配套设施。</w:t>
            </w:r>
            <w:r>
              <w:rPr>
                <w:rFonts w:hint="eastAsia" w:ascii="宋体" w:hAnsi="宋体" w:cs="宋体"/>
                <w:color w:val="auto"/>
                <w:szCs w:val="21"/>
                <w:highlight w:val="none"/>
                <w:lang w:val="en-US" w:eastAsia="zh-CN"/>
              </w:rPr>
              <w:t>具体内容见工程量清单及图纸。</w:t>
            </w:r>
          </w:p>
        </w:tc>
      </w:tr>
    </w:tbl>
    <w:p w14:paraId="59FAC3C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1A999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0DE9AD2E">
      <w:pPr>
        <w:spacing w:line="360" w:lineRule="auto"/>
        <w:ind w:firstLine="482" w:firstLineChars="200"/>
        <w:rPr>
          <w:rFonts w:ascii="宋体" w:hAnsi="宋体" w:cs="宋体"/>
          <w:bCs/>
          <w:color w:val="auto"/>
          <w:sz w:val="24"/>
          <w:highlight w:val="none"/>
        </w:rPr>
      </w:pPr>
      <w:bookmarkStart w:id="19" w:name="_Toc28359013"/>
      <w:bookmarkStart w:id="20" w:name="_Toc35393630"/>
      <w:bookmarkStart w:id="21" w:name="_Toc28359090"/>
      <w:bookmarkStart w:id="22" w:name="_Toc44229879"/>
      <w:bookmarkStart w:id="23" w:name="_Toc35393799"/>
      <w:r>
        <w:rPr>
          <w:rFonts w:hint="eastAsia" w:ascii="宋体" w:hAnsi="宋体" w:cs="宋体"/>
          <w:b/>
          <w:color w:val="auto"/>
          <w:kern w:val="44"/>
          <w:sz w:val="24"/>
          <w:highlight w:val="none"/>
        </w:rPr>
        <w:t>二、供应商的资格条件</w:t>
      </w:r>
      <w:bookmarkEnd w:id="19"/>
      <w:bookmarkEnd w:id="20"/>
      <w:bookmarkEnd w:id="21"/>
      <w:bookmarkEnd w:id="22"/>
      <w:bookmarkEnd w:id="23"/>
      <w:bookmarkStart w:id="514" w:name="_GoBack"/>
      <w:bookmarkEnd w:id="514"/>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供应商拟投入的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)注册建造师资格，并持有省级或以上交通运输行政主管部门颁发的安全生产考核合格证(“三类人员”B 类证书)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拟投入的安全员应具有省级（或以上）交通主管部门颁发的《安全生产考核合格证书》C证。</w:t>
      </w:r>
    </w:p>
    <w:p w14:paraId="6ABF0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4" w:name="_Toc35393624"/>
      <w:bookmarkStart w:id="25" w:name="_Toc28359082"/>
      <w:bookmarkStart w:id="26" w:name="_Toc28359005"/>
      <w:bookmarkStart w:id="27" w:name="_Toc35393793"/>
      <w:r>
        <w:rPr>
          <w:rFonts w:hint="eastAsia" w:ascii="宋体" w:hAnsi="宋体" w:cs="宋体"/>
          <w:color w:val="auto"/>
          <w:szCs w:val="21"/>
          <w:highlight w:val="none"/>
        </w:rPr>
        <w:t>时间：</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31</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r>
        <w:rPr>
          <w:rFonts w:hint="eastAsia" w:ascii="宋体" w:hAnsi="宋体" w:cs="宋体"/>
          <w:color w:val="auto"/>
          <w:szCs w:val="21"/>
          <w:highlight w:val="none"/>
        </w:rPr>
        <w:t>。</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76F1A4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日09点30分</w:t>
      </w:r>
    </w:p>
    <w:p w14:paraId="434EC14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21B5604">
      <w:pPr>
        <w:spacing w:line="360" w:lineRule="auto"/>
        <w:ind w:firstLine="420" w:firstLineChars="200"/>
        <w:rPr>
          <w:rFonts w:ascii="宋体" w:hAnsi="宋体" w:cs="宋体"/>
          <w:bCs/>
          <w:color w:val="auto"/>
          <w:szCs w:val="21"/>
          <w:highlight w:val="none"/>
          <w:u w:val="single"/>
        </w:rPr>
      </w:pPr>
      <w:bookmarkStart w:id="28" w:name="_Toc28359007"/>
      <w:bookmarkStart w:id="29" w:name="_Toc35393625"/>
      <w:bookmarkStart w:id="30" w:name="_Toc35393794"/>
      <w:bookmarkStart w:id="31" w:name="_Toc28359084"/>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后</w:t>
      </w:r>
    </w:p>
    <w:p w14:paraId="40CBBDE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2.地点：广西壮族自治区防城港市开标</w:t>
      </w:r>
      <w:r>
        <w:rPr>
          <w:rFonts w:hint="eastAsia" w:ascii="宋体" w:hAnsi="宋体" w:cs="宋体"/>
          <w:color w:val="auto"/>
          <w:szCs w:val="21"/>
          <w:highlight w:val="none"/>
        </w:rPr>
        <w:t>室</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 xml:space="preserve">1 </w:t>
      </w:r>
    </w:p>
    <w:p w14:paraId="505A10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8"/>
      <w:bookmarkEnd w:id="29"/>
      <w:bookmarkEnd w:id="30"/>
      <w:bookmarkEnd w:id="31"/>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4F9362F">
      <w:pPr>
        <w:spacing w:line="360" w:lineRule="auto"/>
        <w:ind w:firstLine="482" w:firstLineChars="200"/>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15A765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455AAB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5F32413C">
      <w:pPr>
        <w:spacing w:line="360" w:lineRule="auto"/>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http://www.ccgp-guangxi.gov.cn/site/detail?categoryCode=ZcyAnnouncement&amp;parentId=66485&amp;articleId=ALpCIyVjAqyBtfsrydBmiw==</w:t>
      </w:r>
    </w:p>
    <w:p w14:paraId="3538194D">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1BCF1F1A">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中国政府采购网（www.ccgp.gov.cn）、广西壮族自治区政府采购网（http://zfcg.gxzf.gov.cn/）、全国公共资源交易平台(广西·防城港)（http://ggzy.jgswj.gxzf.gov.cn/fcgggzy/）</w:t>
      </w:r>
    </w:p>
    <w:p w14:paraId="3869C1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3F4A760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EB5A86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02592E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BDB454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EFB97C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.在线竞标响应（电子竞标）说明及注意事项</w:t>
      </w:r>
    </w:p>
    <w:p w14:paraId="1E147C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6F590AD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E21778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76177C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18DA035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6B24E9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48819F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70B2708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939DD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46F0DC3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监督部门：上思县政府采购中心，电话：0770-8521708。</w:t>
      </w:r>
    </w:p>
    <w:p w14:paraId="1D7E78D3">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9</w:t>
      </w:r>
      <w:r>
        <w:rPr>
          <w:rFonts w:hint="eastAsia" w:ascii="宋体" w:hAnsi="宋体" w:cs="宋体"/>
          <w:b/>
          <w:bCs/>
          <w:color w:val="auto"/>
          <w:kern w:val="0"/>
          <w:szCs w:val="21"/>
          <w:highlight w:val="none"/>
        </w:rPr>
        <w:t>.评标说明：本项目为远程异地全流程电子评标。</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0070EB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w:t>
      </w:r>
      <w:bookmarkStart w:id="37" w:name="_Toc10702"/>
      <w:r>
        <w:rPr>
          <w:rFonts w:hint="eastAsia" w:ascii="宋体" w:hAnsi="宋体" w:cs="宋体"/>
          <w:color w:val="auto"/>
          <w:szCs w:val="21"/>
          <w:highlight w:val="none"/>
        </w:rPr>
        <w:t>1.采购人信息</w:t>
      </w:r>
    </w:p>
    <w:p w14:paraId="59D8DF1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上思县农业农村局</w:t>
      </w:r>
    </w:p>
    <w:p w14:paraId="2D66BF6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上思县思阳镇仁甫西路农业农村局</w:t>
      </w:r>
    </w:p>
    <w:p w14:paraId="63213EF6">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陆俊吉</w:t>
      </w:r>
    </w:p>
    <w:p w14:paraId="0E34F65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78C8163E">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554A2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广西中泽诚信工程项目管理有限公司</w:t>
      </w:r>
    </w:p>
    <w:p w14:paraId="6A4932D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bCs/>
          <w:color w:val="auto"/>
          <w:kern w:val="0"/>
          <w:szCs w:val="21"/>
          <w:highlight w:val="none"/>
        </w:rPr>
        <w:t>南宁市青秀区中柬路8号龙光世纪B座4223-4228</w:t>
      </w:r>
      <w:r>
        <w:rPr>
          <w:rFonts w:hint="eastAsia" w:ascii="宋体" w:hAnsi="宋体" w:cs="宋体"/>
          <w:bCs/>
          <w:color w:val="auto"/>
          <w:kern w:val="0"/>
          <w:szCs w:val="21"/>
          <w:highlight w:val="none"/>
          <w:lang w:val="en-US" w:eastAsia="zh-CN"/>
        </w:rPr>
        <w:t>号</w:t>
      </w:r>
    </w:p>
    <w:p w14:paraId="0CAC1FB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bCs/>
          <w:color w:val="auto"/>
          <w:kern w:val="0"/>
          <w:szCs w:val="21"/>
          <w:highlight w:val="none"/>
          <w:lang w:val="en-US" w:eastAsia="zh-CN"/>
        </w:rPr>
        <w:t>0771-8096968</w:t>
      </w:r>
    </w:p>
    <w:p w14:paraId="6FAC88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14103BE6">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bCs/>
          <w:color w:val="auto"/>
          <w:kern w:val="0"/>
          <w:szCs w:val="21"/>
          <w:highlight w:val="none"/>
          <w:lang w:val="en-US" w:eastAsia="zh-CN"/>
        </w:rPr>
        <w:t>0771-8096968</w:t>
      </w:r>
    </w:p>
    <w:p w14:paraId="13B11FD1">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广西中泽诚信工程项目管理有限公司</w:t>
      </w:r>
    </w:p>
    <w:p w14:paraId="5C56F9C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日</w:t>
      </w:r>
    </w:p>
    <w:p w14:paraId="14960183">
      <w:pPr>
        <w:spacing w:line="360" w:lineRule="auto"/>
        <w:ind w:firstLine="210" w:firstLineChars="100"/>
        <w:jc w:val="right"/>
        <w:rPr>
          <w:rFonts w:ascii="宋体" w:hAnsi="宋体" w:cs="宋体"/>
          <w:color w:val="auto"/>
          <w:highlight w:val="none"/>
        </w:rPr>
      </w:pPr>
    </w:p>
    <w:p w14:paraId="5FDC8921">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7F1980E2">
      <w:pPr>
        <w:pStyle w:val="9"/>
        <w:spacing w:line="4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791B24F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22E07AB8">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2688DFA">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893622C">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3A135887">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3F65E53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6751923E">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.本采购标的所属行业：</w:t>
      </w:r>
      <w:r>
        <w:rPr>
          <w:rFonts w:hint="eastAsia" w:ascii="宋体" w:hAnsi="宋体" w:cs="宋体"/>
          <w:color w:val="auto"/>
          <w:szCs w:val="21"/>
          <w:highlight w:val="none"/>
          <w:lang w:val="en-US" w:eastAsia="zh-CN"/>
        </w:rPr>
        <w:t>建筑业</w:t>
      </w:r>
      <w:r>
        <w:rPr>
          <w:rFonts w:hint="eastAsia" w:ascii="宋体" w:hAnsi="宋体" w:cs="宋体"/>
          <w:color w:val="auto"/>
          <w:szCs w:val="21"/>
          <w:highlight w:val="none"/>
        </w:rPr>
        <w:t>（详见附件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75289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tcBorders>
              <w:left w:val="single" w:color="auto" w:sz="4" w:space="0"/>
              <w:right w:val="single" w:color="auto" w:sz="4" w:space="0"/>
            </w:tcBorders>
          </w:tcPr>
          <w:p w14:paraId="7966CB7F">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13C962C8">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6E97B2BF">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2025年在妙镇在妙村雷旺屯、叫吞屯产业道路</w:t>
            </w:r>
            <w:r>
              <w:rPr>
                <w:rFonts w:hint="eastAsia" w:ascii="宋体" w:hAnsi="宋体" w:cs="宋体"/>
                <w:color w:val="auto"/>
                <w:szCs w:val="21"/>
                <w:highlight w:val="none"/>
                <w:lang w:val="en-US" w:eastAsia="zh-CN"/>
              </w:rPr>
              <w:t>硬化</w:t>
            </w:r>
            <w:r>
              <w:rPr>
                <w:rFonts w:hint="eastAsia" w:ascii="宋体" w:hAnsi="宋体" w:cs="宋体"/>
                <w:color w:val="auto"/>
                <w:szCs w:val="21"/>
                <w:highlight w:val="none"/>
                <w:lang w:eastAsia="zh-CN"/>
              </w:rPr>
              <w:t>项目</w:t>
            </w:r>
          </w:p>
        </w:tc>
        <w:tc>
          <w:tcPr>
            <w:tcW w:w="464" w:type="dxa"/>
            <w:tcBorders>
              <w:top w:val="single" w:color="auto" w:sz="4" w:space="0"/>
              <w:left w:val="single" w:color="auto" w:sz="4" w:space="0"/>
              <w:right w:val="single" w:color="auto" w:sz="4" w:space="0"/>
            </w:tcBorders>
            <w:vAlign w:val="center"/>
          </w:tcPr>
          <w:p w14:paraId="5CB6FC67">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4BCF504C">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418979C9">
            <w:pPr>
              <w:pStyle w:val="33"/>
              <w:jc w:val="left"/>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一、建设地点：妙镇在妙村雷旺屯、叫吞屯</w:t>
            </w:r>
          </w:p>
          <w:p w14:paraId="422C75D4">
            <w:pPr>
              <w:pStyle w:val="33"/>
              <w:jc w:val="left"/>
              <w:rPr>
                <w:rFonts w:hint="eastAsia" w:ascii="宋体" w:hAnsi="宋体" w:eastAsia="宋体" w:cs="宋体"/>
                <w:b w:val="0"/>
                <w:bCs/>
                <w:color w:val="auto"/>
                <w:highlight w:val="none"/>
                <w:lang w:val="en-US" w:eastAsia="zh-CN"/>
              </w:rPr>
            </w:pPr>
            <w:r>
              <w:rPr>
                <w:rFonts w:hint="eastAsia" w:ascii="宋体" w:hAnsi="宋体" w:eastAsia="宋体" w:cs="宋体"/>
                <w:color w:val="auto"/>
                <w:highlight w:val="none"/>
                <w:lang w:val="en-US" w:eastAsia="zh-CN"/>
              </w:rPr>
              <w:t>二、</w:t>
            </w:r>
            <w:r>
              <w:rPr>
                <w:rFonts w:hint="eastAsia" w:ascii="宋体" w:hAnsi="宋体" w:eastAsia="宋体" w:cs="宋体"/>
                <w:b w:val="0"/>
                <w:bCs/>
                <w:color w:val="auto"/>
                <w:highlight w:val="none"/>
                <w:lang w:val="en-US" w:eastAsia="zh-CN"/>
              </w:rPr>
              <w:t>项目采购范围（工程内容）：2025年在妙镇在妙村雷旺屯、叫吞屯产业道路项目，在妙镇在妙村雷旺屯、叫吞屯修建产业路约1.5公里，并修建错车道、挡土墙、排水涵管等附属配套设施。具体内容见工程量清单及图纸。</w:t>
            </w:r>
          </w:p>
          <w:p w14:paraId="29CA4340">
            <w:pPr>
              <w:rPr>
                <w:rFonts w:hint="eastAsia" w:ascii="宋体" w:hAnsi="宋体" w:eastAsia="宋体" w:cs="宋体"/>
                <w:color w:val="auto"/>
                <w:highlight w:val="none"/>
              </w:rPr>
            </w:pP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技术标准：</w:t>
            </w:r>
            <w:r>
              <w:rPr>
                <w:rFonts w:hint="eastAsia" w:ascii="宋体" w:hAnsi="宋体" w:eastAsia="宋体" w:cs="宋体"/>
                <w:color w:val="auto"/>
                <w:highlight w:val="none"/>
                <w:lang w:val="en-US" w:eastAsia="zh-CN"/>
              </w:rPr>
              <w:t>按交通部颁发的《公路工程技术标准》（JTG B01-2014）规定四级公路标准，并参照《小交通量农村公路工程技术标准》（JTG 2111—2019）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符合现行国家相关标准、行业标准、地方标准或者其他标准、规范。</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lang w:eastAsia="zh-CN"/>
              </w:rPr>
              <w:t>国家、行业和地方有新的规范、标准、规程出台的，应执行新的规范、标准、规程。</w:t>
            </w:r>
          </w:p>
        </w:tc>
        <w:tc>
          <w:tcPr>
            <w:tcW w:w="727" w:type="dxa"/>
            <w:tcBorders>
              <w:top w:val="single" w:color="auto" w:sz="4" w:space="0"/>
              <w:left w:val="single" w:color="auto" w:sz="4" w:space="0"/>
              <w:right w:val="single" w:color="auto" w:sz="4" w:space="0"/>
            </w:tcBorders>
            <w:vAlign w:val="center"/>
          </w:tcPr>
          <w:p w14:paraId="22B0358F">
            <w:pPr>
              <w:spacing w:line="360" w:lineRule="exact"/>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749000.00</w:t>
            </w:r>
          </w:p>
        </w:tc>
        <w:tc>
          <w:tcPr>
            <w:tcW w:w="1188" w:type="dxa"/>
            <w:tcBorders>
              <w:top w:val="single" w:color="auto" w:sz="4" w:space="0"/>
              <w:left w:val="single" w:color="auto" w:sz="4" w:space="0"/>
              <w:right w:val="single" w:color="auto" w:sz="4" w:space="0"/>
            </w:tcBorders>
            <w:vAlign w:val="center"/>
          </w:tcPr>
          <w:p w14:paraId="145335C1">
            <w:pPr>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建筑业</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4AC23C5D">
            <w:pPr>
              <w:spacing w:line="360" w:lineRule="exact"/>
              <w:jc w:val="center"/>
              <w:rPr>
                <w:rFonts w:ascii="宋体" w:hAnsi="宋体" w:cs="宋体"/>
                <w:color w:val="auto"/>
                <w:highlight w:val="none"/>
              </w:rPr>
            </w:pPr>
          </w:p>
          <w:p w14:paraId="521000FB">
            <w:pPr>
              <w:spacing w:line="360" w:lineRule="exact"/>
              <w:jc w:val="center"/>
              <w:rPr>
                <w:rFonts w:ascii="宋体" w:hAnsi="宋体" w:cs="宋体"/>
                <w:color w:val="auto"/>
                <w:highlight w:val="none"/>
              </w:rPr>
            </w:pPr>
          </w:p>
          <w:p w14:paraId="3F973325">
            <w:pPr>
              <w:spacing w:line="3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606C5AC7">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90日历天</w:t>
            </w:r>
            <w:r>
              <w:rPr>
                <w:rFonts w:hint="eastAsia" w:ascii="宋体" w:hAnsi="宋体" w:cs="宋体"/>
                <w:color w:val="auto"/>
                <w:szCs w:val="21"/>
                <w:highlight w:val="none"/>
              </w:rPr>
              <w:t>。</w:t>
            </w:r>
          </w:p>
          <w:p w14:paraId="7B04BB8A">
            <w:pPr>
              <w:widowControl/>
              <w:shd w:val="clear" w:color="auto" w:fill="FFFFFF"/>
              <w:spacing w:line="360" w:lineRule="exact"/>
              <w:ind w:firstLine="630" w:firstLineChars="3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：自合同签订之日起至项目验收完成。</w:t>
            </w:r>
          </w:p>
          <w:p w14:paraId="7FE44AD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、提交服务成果地点：采购人指定地点。</w:t>
            </w:r>
          </w:p>
          <w:p w14:paraId="6307AC8F">
            <w:pPr>
              <w:widowControl/>
              <w:shd w:val="clear" w:color="auto" w:fill="FFFFFF"/>
              <w:spacing w:line="360" w:lineRule="exac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r>
              <w:rPr>
                <w:rFonts w:hint="eastAsia" w:ascii="宋体" w:hAnsi="宋体" w:cs="宋体"/>
                <w:color w:val="auto"/>
                <w:highlight w:val="none"/>
                <w:lang w:eastAsia="zh-CN"/>
              </w:rPr>
              <w:t>。</w:t>
            </w:r>
          </w:p>
          <w:p w14:paraId="42A2E793">
            <w:pPr>
              <w:widowControl/>
              <w:shd w:val="clear" w:color="auto" w:fill="FFFFFF"/>
              <w:spacing w:line="360" w:lineRule="exact"/>
              <w:ind w:firstLine="630" w:firstLineChars="300"/>
              <w:rPr>
                <w:rFonts w:hint="eastAsia" w:ascii="宋体" w:hAnsi="宋体" w:cs="宋体"/>
                <w:color w:val="auto"/>
                <w:highlight w:val="none"/>
                <w:lang w:eastAsia="zh-CN"/>
              </w:rPr>
            </w:pPr>
            <w:r>
              <w:rPr>
                <w:rStyle w:val="46"/>
                <w:rFonts w:hint="eastAsia" w:ascii="宋体" w:hAnsi="宋体" w:eastAsia="宋体" w:cs="宋体"/>
                <w:color w:val="auto"/>
                <w:sz w:val="21"/>
                <w:szCs w:val="21"/>
                <w:highlight w:val="none"/>
              </w:rPr>
              <w:t>工程安全目标</w:t>
            </w:r>
            <w:r>
              <w:rPr>
                <w:rStyle w:val="46"/>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不允许发生安全事故，即使发生，</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须对事故负责。</w:t>
            </w:r>
          </w:p>
          <w:p w14:paraId="2F2081DB">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、其他要求：</w:t>
            </w:r>
          </w:p>
          <w:p w14:paraId="4EB83627">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4C0338F2">
            <w:pPr>
              <w:widowControl/>
              <w:shd w:val="clear" w:color="auto" w:fill="FFFFFF"/>
              <w:spacing w:line="360" w:lineRule="exact"/>
              <w:ind w:firstLine="422" w:firstLineChars="200"/>
              <w:rPr>
                <w:rFonts w:hint="eastAsia" w:ascii="宋体" w:hAnsi="宋体" w:cs="宋体"/>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380C6BC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 xml:space="preserve"> 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 xml:space="preserve"> 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0397FC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2.10编制依据：</w:t>
            </w:r>
          </w:p>
          <w:p w14:paraId="419439A5">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2.10.1交通部发布的《公路工程基本建设工程概算预算编制办法》(JTG 3830 -2018)。</w:t>
            </w:r>
          </w:p>
          <w:p w14:paraId="5A3E55F6">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2.10.2交通部文发布的《公路工程预算定额》(JTG/T 3832- 2018)；</w:t>
            </w:r>
          </w:p>
          <w:p w14:paraId="2E8DB6A5">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2.10.3交通部发布的《公路工程机械台班费用定额》(JTG/T 3833 -2018)。</w:t>
            </w:r>
          </w:p>
          <w:p w14:paraId="2259AB9E">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2.10.4、《关于印发公路工程建设项目估算概算预算编制办法广西补充规定的通知》（桂交建管发[2019]39 号）（简称广西补充规定）。</w:t>
            </w:r>
          </w:p>
          <w:p w14:paraId="215601C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2.10.5施工图设计计算的工程数量及确定的施工方案。</w:t>
            </w:r>
          </w:p>
          <w:p w14:paraId="0E933DF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2.10.6《防城港市建设工程造价信息》2025 第8 期。</w:t>
            </w:r>
          </w:p>
          <w:p w14:paraId="06F4E75D">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2.11 </w:t>
            </w:r>
            <w:r>
              <w:rPr>
                <w:rFonts w:hint="default" w:ascii="宋体" w:hAnsi="宋体" w:cs="宋体"/>
                <w:color w:val="auto"/>
                <w:highlight w:val="none"/>
                <w:lang w:val="en-US" w:eastAsia="zh-CN"/>
              </w:rPr>
              <w:t>工程取费有关说明</w:t>
            </w:r>
            <w:r>
              <w:rPr>
                <w:rFonts w:hint="eastAsia" w:ascii="宋体" w:hAnsi="宋体" w:cs="宋体"/>
                <w:color w:val="auto"/>
                <w:highlight w:val="none"/>
                <w:lang w:val="en-US" w:eastAsia="zh-CN"/>
              </w:rPr>
              <w:t>：</w:t>
            </w:r>
          </w:p>
          <w:p w14:paraId="649F5E6D">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2.11.1</w:t>
            </w:r>
            <w:r>
              <w:rPr>
                <w:rFonts w:hint="default" w:ascii="宋体" w:hAnsi="宋体" w:cs="宋体"/>
                <w:color w:val="auto"/>
                <w:highlight w:val="none"/>
                <w:lang w:val="en-US" w:eastAsia="zh-CN"/>
              </w:rPr>
              <w:t>人工费：本工程地处广西辖区，根据“编制办法”及“广西补充规定”，</w:t>
            </w:r>
          </w:p>
          <w:p w14:paraId="64468CA7">
            <w:pPr>
              <w:widowControl/>
              <w:shd w:val="clear" w:color="auto" w:fill="FFFFFF"/>
              <w:spacing w:line="360" w:lineRule="exact"/>
              <w:rPr>
                <w:rFonts w:hint="default" w:ascii="宋体" w:hAnsi="宋体" w:cs="宋体"/>
                <w:color w:val="auto"/>
                <w:highlight w:val="none"/>
                <w:lang w:val="en-US" w:eastAsia="zh-CN"/>
              </w:rPr>
            </w:pPr>
            <w:r>
              <w:rPr>
                <w:rFonts w:hint="default" w:ascii="宋体" w:hAnsi="宋体" w:cs="宋体"/>
                <w:color w:val="auto"/>
                <w:highlight w:val="none"/>
                <w:lang w:val="en-US" w:eastAsia="zh-CN"/>
              </w:rPr>
              <w:t>计算人工费单价（含机械人工、船员）全区统一为101.25 元/ 工日。</w:t>
            </w:r>
          </w:p>
          <w:p w14:paraId="1AB0D81A">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2.11.2</w:t>
            </w:r>
            <w:r>
              <w:rPr>
                <w:rFonts w:hint="default" w:ascii="宋体" w:hAnsi="宋体" w:cs="宋体"/>
                <w:color w:val="auto"/>
                <w:highlight w:val="none"/>
                <w:lang w:val="en-US" w:eastAsia="zh-CN"/>
              </w:rPr>
              <w:t>材料费：外购材料及地方性材料采用地方调查价，汽车运往工地，片石、</w:t>
            </w:r>
          </w:p>
          <w:p w14:paraId="6D8CDFDC">
            <w:pPr>
              <w:widowControl/>
              <w:shd w:val="clear" w:color="auto" w:fill="FFFFFF"/>
              <w:spacing w:line="360" w:lineRule="exact"/>
              <w:rPr>
                <w:rFonts w:hint="default" w:ascii="宋体" w:hAnsi="宋体" w:cs="宋体"/>
                <w:color w:val="auto"/>
                <w:highlight w:val="none"/>
                <w:lang w:val="en-US" w:eastAsia="zh-CN"/>
              </w:rPr>
            </w:pPr>
            <w:r>
              <w:rPr>
                <w:rFonts w:hint="default" w:ascii="宋体" w:hAnsi="宋体" w:cs="宋体"/>
                <w:color w:val="auto"/>
                <w:highlight w:val="none"/>
                <w:lang w:val="en-US" w:eastAsia="zh-CN"/>
              </w:rPr>
              <w:t>碎石由万鑫石场供应，路面用砂由明江砂场购买，水泥、钢筋在上思县城购买，石油沥青在上思县城购买。根据现场调查运到工地的材料运距为34 公里。</w:t>
            </w:r>
          </w:p>
          <w:p w14:paraId="2A64AFB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2.12其他直接费、现场经费、间接费取费标准：</w:t>
            </w:r>
          </w:p>
          <w:p w14:paraId="6B70898D">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2.12.1按编制办法划分，我区无冬季和准冬季气温区，因此不列冬季施工增加费和职工取暖补贴费。</w:t>
            </w:r>
          </w:p>
          <w:p w14:paraId="412922DB">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2.12.2本工程地处Ⅱ区雨量区，雨季期为六个月，按编制办法规定计列雨季施工增加费。</w:t>
            </w:r>
          </w:p>
          <w:p w14:paraId="7C7CE54C">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2.12.3安全及文明施工措施费按编制办法计算；沿海地区工程施工增加费、施工期间封闭施工行车干扰、夜间施工增加费不计列。</w:t>
            </w:r>
          </w:p>
          <w:p w14:paraId="2644D1FD">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2.12.4临时设施费、施工辅助按交通部《公路基本建设工程概算预算编制办法》计。</w:t>
            </w:r>
          </w:p>
          <w:p w14:paraId="41DE0CBE">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2.12.5工地转移：工地距地级城市（防城港市）所在地100公里。</w:t>
            </w:r>
          </w:p>
          <w:p w14:paraId="0203AA5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2.12.6工程所在地不属高原和风沙地区、不设高原地区施工增加费、风沙地区施工增加费。</w:t>
            </w:r>
          </w:p>
          <w:p w14:paraId="35771B2D">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2.12.7规费按《广西补充规定》按以下费率计列：养老保险费16%、失业保险费0.5%、医疗保险费7.5%、工伤保险费1%、住房公积金8.5%，合计规费费率为33.5%。</w:t>
            </w:r>
          </w:p>
          <w:p w14:paraId="07746525">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2.12.8</w:t>
            </w:r>
            <w:r>
              <w:rPr>
                <w:rFonts w:hint="default" w:ascii="宋体" w:hAnsi="宋体" w:cs="宋体"/>
                <w:color w:val="auto"/>
                <w:highlight w:val="none"/>
                <w:lang w:val="en-US" w:eastAsia="zh-CN"/>
              </w:rPr>
              <w:t>安全生产费按建筑安装工程费（不含安全生产费本身）1.5%计列。</w:t>
            </w:r>
          </w:p>
          <w:p w14:paraId="190EB5EB">
            <w:pPr>
              <w:widowControl/>
              <w:numPr>
                <w:ilvl w:val="0"/>
                <w:numId w:val="0"/>
              </w:numPr>
              <w:shd w:val="clear" w:color="auto" w:fill="FFFFFF"/>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w:t>
            </w:r>
            <w:r>
              <w:rPr>
                <w:rFonts w:hint="eastAsia" w:ascii="宋体" w:hAnsi="宋体" w:cs="宋体"/>
                <w:color w:val="auto"/>
                <w:highlight w:val="none"/>
              </w:rPr>
              <w:t>付款方式：</w:t>
            </w:r>
            <w:r>
              <w:rPr>
                <w:rFonts w:hint="eastAsia" w:ascii="宋体" w:hAnsi="宋体" w:cs="宋体"/>
                <w:color w:val="auto"/>
                <w:highlight w:val="none"/>
                <w:lang w:val="en-US" w:eastAsia="zh-CN"/>
              </w:rPr>
              <w:t>详见专用合同</w:t>
            </w:r>
            <w:r>
              <w:rPr>
                <w:rFonts w:hint="eastAsia" w:ascii="宋体" w:hAnsi="宋体" w:cs="宋体"/>
                <w:color w:val="auto"/>
                <w:highlight w:val="none"/>
              </w:rPr>
              <w:t>。</w:t>
            </w:r>
          </w:p>
        </w:tc>
      </w:tr>
    </w:tbl>
    <w:p w14:paraId="43753FDA">
      <w:pPr>
        <w:pStyle w:val="15"/>
        <w:jc w:val="left"/>
        <w:rPr>
          <w:rFonts w:hint="eastAsia" w:hAnsi="宋体" w:cs="宋体"/>
          <w:color w:val="auto"/>
          <w:sz w:val="32"/>
          <w:szCs w:val="32"/>
          <w:highlight w:val="none"/>
        </w:rPr>
      </w:pPr>
    </w:p>
    <w:p w14:paraId="72399CE7">
      <w:pPr>
        <w:pStyle w:val="15"/>
        <w:jc w:val="left"/>
        <w:rPr>
          <w:rFonts w:hint="eastAsia" w:hAnsi="宋体" w:cs="宋体"/>
          <w:color w:val="auto"/>
          <w:sz w:val="32"/>
          <w:szCs w:val="32"/>
          <w:highlight w:val="none"/>
        </w:rPr>
      </w:pPr>
    </w:p>
    <w:p w14:paraId="24971E0C">
      <w:pPr>
        <w:pStyle w:val="15"/>
        <w:jc w:val="left"/>
        <w:rPr>
          <w:rFonts w:hint="eastAsia" w:hAnsi="宋体" w:cs="宋体"/>
          <w:color w:val="auto"/>
          <w:sz w:val="32"/>
          <w:szCs w:val="32"/>
          <w:highlight w:val="none"/>
        </w:rPr>
      </w:pPr>
    </w:p>
    <w:p w14:paraId="2DA29C08">
      <w:pPr>
        <w:pStyle w:val="15"/>
        <w:jc w:val="left"/>
        <w:rPr>
          <w:rFonts w:hint="eastAsia" w:hAnsi="宋体" w:cs="宋体"/>
          <w:color w:val="auto"/>
          <w:sz w:val="32"/>
          <w:szCs w:val="32"/>
          <w:highlight w:val="none"/>
        </w:rPr>
      </w:pPr>
    </w:p>
    <w:p w14:paraId="1490E324">
      <w:pPr>
        <w:pStyle w:val="15"/>
        <w:jc w:val="left"/>
        <w:rPr>
          <w:rFonts w:hint="eastAsia" w:hAnsi="宋体" w:cs="宋体"/>
          <w:color w:val="auto"/>
          <w:sz w:val="32"/>
          <w:szCs w:val="32"/>
          <w:highlight w:val="none"/>
        </w:rPr>
      </w:pPr>
    </w:p>
    <w:p w14:paraId="24905768">
      <w:pPr>
        <w:pStyle w:val="15"/>
        <w:jc w:val="left"/>
        <w:rPr>
          <w:rFonts w:hint="eastAsia" w:hAnsi="宋体" w:cs="宋体"/>
          <w:color w:val="auto"/>
          <w:sz w:val="32"/>
          <w:szCs w:val="32"/>
          <w:highlight w:val="none"/>
        </w:rPr>
      </w:pPr>
    </w:p>
    <w:p w14:paraId="5DDA53E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A8603A7">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8E0ACF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7B2DEC">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25D8E1E7">
      <w:pPr>
        <w:pStyle w:val="3"/>
        <w:jc w:val="center"/>
        <w:rPr>
          <w:rFonts w:ascii="宋体" w:hAnsi="宋体" w:cs="宋体"/>
          <w:b w:val="0"/>
          <w:color w:val="auto"/>
          <w:highlight w:val="none"/>
        </w:rPr>
      </w:pPr>
      <w:bookmarkStart w:id="40" w:name="_Toc28882"/>
      <w:r>
        <w:rPr>
          <w:rFonts w:hint="eastAsia" w:ascii="宋体" w:hAnsi="宋体" w:cs="宋体"/>
          <w:b w:val="0"/>
          <w:color w:val="auto"/>
          <w:highlight w:val="none"/>
        </w:rPr>
        <w:t>第一节 供应商须知前附表</w:t>
      </w:r>
      <w:bookmarkEnd w:id="40"/>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90A3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
                <w:bCs/>
                <w:color w:val="auto"/>
                <w:szCs w:val="21"/>
                <w:highlight w:val="none"/>
              </w:rPr>
              <w:t>（必须提供，否则响应文件按无效响应处理）</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28C2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16DC39">
            <w:pPr>
              <w:spacing w:line="360" w:lineRule="auto"/>
              <w:rPr>
                <w:rFonts w:hint="eastAsia" w:ascii="微软雅黑" w:hAnsi="微软雅黑" w:eastAsia="微软雅黑" w:cs="微软雅黑"/>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资格要求</w:t>
            </w:r>
            <w:r>
              <w:rPr>
                <w:rFonts w:hint="eastAsia" w:ascii="宋体" w:hAnsi="宋体" w:cs="宋体"/>
                <w:color w:val="auto"/>
                <w:szCs w:val="21"/>
                <w:highlight w:val="none"/>
                <w:lang w:eastAsia="zh-CN"/>
              </w:rPr>
              <w:t>：</w:t>
            </w:r>
            <w:r>
              <w:rPr>
                <w:rFonts w:hint="default" w:ascii="Calibri" w:hAnsi="Calibri" w:cs="Calibri"/>
                <w:color w:val="auto"/>
                <w:szCs w:val="21"/>
                <w:highlight w:val="none"/>
                <w:lang w:eastAsia="zh-CN"/>
              </w:rPr>
              <w:t>①</w:t>
            </w:r>
            <w:r>
              <w:rPr>
                <w:rFonts w:hint="eastAsia" w:ascii="宋体" w:hAnsi="宋体" w:cs="宋体"/>
                <w:color w:val="auto"/>
                <w:szCs w:val="21"/>
                <w:highlight w:val="none"/>
              </w:rPr>
              <w:t>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r>
              <w:rPr>
                <w:rFonts w:hint="default" w:ascii="Calibri" w:hAnsi="Calibri" w:cs="Calibri"/>
                <w:color w:val="auto"/>
                <w:szCs w:val="21"/>
                <w:highlight w:val="none"/>
              </w:rPr>
              <w:t>②</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w:t>
            </w:r>
            <w:r>
              <w:rPr>
                <w:rFonts w:hint="eastAsia" w:ascii="宋体" w:hAnsi="宋体" w:eastAsia="宋体" w:cs="宋体"/>
                <w:color w:val="auto"/>
                <w:szCs w:val="21"/>
                <w:highlight w:val="none"/>
              </w:rPr>
              <w:t>运输行政主管部门颁发的安全生产考核合格证(“三类人员”B 类证书)</w:t>
            </w:r>
            <w:r>
              <w:rPr>
                <w:rFonts w:hint="eastAsia" w:ascii="宋体" w:hAnsi="宋体" w:eastAsia="宋体" w:cs="宋体"/>
                <w:color w:val="auto"/>
                <w:szCs w:val="21"/>
                <w:highlight w:val="none"/>
                <w:lang w:eastAsia="zh-CN"/>
              </w:rPr>
              <w:t>，</w:t>
            </w:r>
            <w:r>
              <w:rPr>
                <w:rFonts w:hint="default" w:ascii="Calibri" w:hAnsi="Calibri" w:eastAsia="宋体" w:cs="Calibri"/>
                <w:color w:val="auto"/>
                <w:szCs w:val="21"/>
                <w:highlight w:val="none"/>
                <w:lang w:eastAsia="zh-CN"/>
              </w:rPr>
              <w:t>③</w:t>
            </w:r>
            <w:r>
              <w:rPr>
                <w:rFonts w:hint="eastAsia" w:ascii="宋体" w:hAnsi="宋体" w:eastAsia="宋体" w:cs="宋体"/>
                <w:color w:val="auto"/>
                <w:szCs w:val="21"/>
                <w:highlight w:val="none"/>
                <w:lang w:val="en-US" w:eastAsia="zh-CN"/>
              </w:rPr>
              <w:t>拟投入本项目的安全员应具有省级（或以上）交通主管部门颁发的《安全生产考核合格证书》 C证。</w:t>
            </w:r>
          </w:p>
          <w:p w14:paraId="58F19C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05142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7.承诺函</w:t>
            </w:r>
            <w:r>
              <w:rPr>
                <w:rFonts w:hint="eastAsia" w:ascii="宋体" w:hAnsi="宋体" w:cs="宋体"/>
                <w:color w:val="auto"/>
                <w:szCs w:val="21"/>
                <w:highlight w:val="none"/>
              </w:rPr>
              <w:t>（格式后附）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6F6A049">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B23575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C1E3F7A">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91A2CF">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5.施工组织设计；</w:t>
            </w:r>
            <w:r>
              <w:rPr>
                <w:rFonts w:hint="eastAsia" w:ascii="宋体" w:hAnsi="宋体" w:cs="宋体"/>
                <w:b/>
                <w:bCs/>
                <w:color w:val="auto"/>
                <w:szCs w:val="21"/>
                <w:highlight w:val="none"/>
              </w:rPr>
              <w:t>（必须提供，否则响应文件按无效响应处理）</w:t>
            </w:r>
          </w:p>
          <w:p w14:paraId="6340961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项目实施人员一览表</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p w14:paraId="58912178">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default" w:ascii="宋体" w:hAnsi="宋体" w:cs="宋体"/>
                <w:color w:val="auto"/>
                <w:szCs w:val="21"/>
                <w:highlight w:val="none"/>
                <w:lang w:val="en-US" w:eastAsia="zh-CN"/>
              </w:rPr>
              <w:t>.代理服务费承诺书（格式后附）；</w:t>
            </w:r>
          </w:p>
          <w:p w14:paraId="7A418BBD">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default" w:ascii="宋体" w:hAnsi="宋体" w:cs="宋体"/>
                <w:color w:val="auto"/>
                <w:szCs w:val="21"/>
                <w:highlight w:val="none"/>
                <w:lang w:val="en-US" w:eastAsia="zh-CN"/>
              </w:rPr>
              <w:t>.对应采购需求的服务需求、商务条款提供的其他文件资料；</w:t>
            </w:r>
          </w:p>
          <w:p w14:paraId="3CDBF3B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2C2EF8F0">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广西中泽诚信工程项目管理有限公司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0771-8096968</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bCs/>
                <w:color w:val="auto"/>
                <w:kern w:val="0"/>
                <w:szCs w:val="21"/>
                <w:highlight w:val="none"/>
                <w:u w:val="single"/>
              </w:rPr>
              <w:t>南宁市青秀区中柬路8号龙光世纪B座4223-4228</w:t>
            </w:r>
            <w:r>
              <w:rPr>
                <w:rFonts w:hint="eastAsia" w:ascii="宋体" w:hAnsi="宋体" w:cs="宋体"/>
                <w:bCs/>
                <w:color w:val="auto"/>
                <w:kern w:val="0"/>
                <w:szCs w:val="21"/>
                <w:highlight w:val="none"/>
                <w:u w:val="single"/>
                <w:lang w:val="en-US" w:eastAsia="zh-CN"/>
              </w:rPr>
              <w:t>号</w:t>
            </w:r>
            <w:r>
              <w:rPr>
                <w:rFonts w:hint="eastAsia" w:ascii="宋体" w:hAnsi="宋体" w:cs="宋体"/>
                <w:color w:val="auto"/>
                <w:szCs w:val="21"/>
                <w:highlight w:val="none"/>
              </w:rPr>
              <w:t xml:space="preserve">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上思县农业农村局</w:t>
            </w:r>
            <w:r>
              <w:rPr>
                <w:rFonts w:hint="eastAsia" w:ascii="宋体" w:hAnsi="宋体" w:cs="宋体"/>
                <w:color w:val="auto"/>
                <w:szCs w:val="21"/>
                <w:highlight w:val="none"/>
              </w:rPr>
              <w:t>部门；</w:t>
            </w:r>
          </w:p>
          <w:p w14:paraId="4F026B9D">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0770-8509177</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上思县思阳镇仁甫西路农业农村局</w:t>
            </w:r>
            <w:r>
              <w:rPr>
                <w:rFonts w:hint="eastAsia" w:ascii="宋体" w:hAnsi="宋体" w:cs="宋体"/>
                <w:color w:val="auto"/>
                <w:szCs w:val="21"/>
                <w:highlight w:val="none"/>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DC8AD2B">
            <w:pPr>
              <w:snapToGrid w:val="0"/>
              <w:spacing w:line="380" w:lineRule="exact"/>
              <w:rPr>
                <w:rFonts w:ascii="宋体" w:hAnsi="宋体" w:cs="宋体"/>
                <w:color w:val="auto"/>
                <w:highlight w:val="none"/>
              </w:rPr>
            </w:pPr>
            <w:r>
              <w:rPr>
                <w:rFonts w:hint="eastAsia" w:ascii="宋体" w:hAnsi="宋体" w:cs="宋体"/>
                <w:color w:val="auto"/>
                <w:highlight w:val="none"/>
              </w:rPr>
              <w:t>名称：上思县政府采购中心</w:t>
            </w:r>
          </w:p>
          <w:p w14:paraId="249962BF">
            <w:pPr>
              <w:snapToGrid w:val="0"/>
              <w:spacing w:line="380" w:lineRule="exact"/>
              <w:rPr>
                <w:rFonts w:ascii="宋体" w:hAnsi="宋体" w:cs="宋体"/>
                <w:color w:val="auto"/>
                <w:highlight w:val="none"/>
              </w:rPr>
            </w:pPr>
            <w:r>
              <w:rPr>
                <w:rFonts w:hint="eastAsia" w:ascii="宋体" w:hAnsi="宋体" w:cs="宋体"/>
                <w:color w:val="auto"/>
                <w:highlight w:val="none"/>
              </w:rPr>
              <w:t>地址：上思县思阳镇更生路财政大厦</w:t>
            </w:r>
          </w:p>
          <w:p w14:paraId="6032D124">
            <w:pPr>
              <w:snapToGrid w:val="0"/>
              <w:spacing w:line="380" w:lineRule="exact"/>
              <w:rPr>
                <w:rFonts w:ascii="宋体" w:hAnsi="宋体" w:cs="宋体"/>
                <w:color w:val="auto"/>
                <w:highlight w:val="none"/>
              </w:rPr>
            </w:pPr>
            <w:r>
              <w:rPr>
                <w:rFonts w:hint="eastAsia" w:ascii="宋体" w:hAnsi="宋体" w:cs="宋体"/>
                <w:color w:val="auto"/>
                <w:highlight w:val="none"/>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616EDE8">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230BF54B">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本项目采购代理费按以下费率采用累进法计算，并以成交金额为基价计取采购代理费。采购代理费由采购代理机构向成交供应商收取。成交供应商在领取成交通知书前一次性向采购代理机构付清采购代理费。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w:t>
                  </w:r>
                </w:p>
              </w:tc>
            </w:tr>
          </w:tbl>
          <w:p w14:paraId="18E3B210">
            <w:pPr>
              <w:pStyle w:val="15"/>
              <w:snapToGrid w:val="0"/>
              <w:spacing w:line="380" w:lineRule="exact"/>
              <w:rPr>
                <w:rFonts w:hAnsi="宋体" w:cs="宋体"/>
                <w:color w:val="auto"/>
                <w:sz w:val="21"/>
                <w:highlight w:val="none"/>
              </w:rPr>
            </w:pP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5D33DA">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p w14:paraId="6EC46F26">
            <w:pPr>
              <w:rPr>
                <w:rFonts w:hint="default" w:eastAsia="宋体"/>
                <w:color w:val="auto"/>
                <w:highlight w:val="none"/>
                <w:lang w:val="en-US" w:eastAsia="zh-CN"/>
              </w:rPr>
            </w:pPr>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73FD994D">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3" w:name="_Toc254970532"/>
      <w:bookmarkStart w:id="44" w:name="_Toc254970673"/>
      <w:r>
        <w:rPr>
          <w:rFonts w:hint="eastAsia" w:ascii="宋体" w:hAnsi="宋体" w:cs="宋体"/>
          <w:b/>
          <w:bCs/>
          <w:color w:val="auto"/>
          <w:sz w:val="24"/>
          <w:highlight w:val="none"/>
        </w:rPr>
        <w:t>7.特别说明</w:t>
      </w:r>
      <w:bookmarkEnd w:id="43"/>
      <w:bookmarkEnd w:id="44"/>
    </w:p>
    <w:p w14:paraId="2C89F6E8">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7" w:name="_Toc254970534"/>
      <w:bookmarkStart w:id="48" w:name="_Toc5567"/>
      <w:bookmarkStart w:id="49" w:name="_Toc254970675"/>
      <w:r>
        <w:rPr>
          <w:rFonts w:hint="eastAsia" w:ascii="宋体" w:hAnsi="宋体" w:cs="宋体"/>
          <w:b w:val="0"/>
          <w:bCs w:val="0"/>
          <w:color w:val="auto"/>
          <w:highlight w:val="none"/>
        </w:rPr>
        <w:t>二、磋商文件</w:t>
      </w:r>
      <w:bookmarkEnd w:id="47"/>
      <w:bookmarkEnd w:id="48"/>
      <w:bookmarkEnd w:id="49"/>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68C531F4">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第七章 </w:t>
      </w:r>
      <w:r>
        <w:rPr>
          <w:rFonts w:hint="eastAsia" w:ascii="宋体" w:hAnsi="宋体" w:eastAsia="宋体" w:cs="宋体"/>
          <w:b w:val="0"/>
          <w:bCs w:val="0"/>
          <w:color w:val="auto"/>
          <w:highlight w:val="none"/>
        </w:rPr>
        <w:t>工程量清单、图纸</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7"/>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5AF1CD76">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7A120D4">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E7FB631">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0"/>
          <w:rFonts w:hint="eastAsia" w:ascii="宋体" w:hAnsi="宋体" w:cs="宋体"/>
          <w:color w:val="auto"/>
          <w:highlight w:val="none"/>
        </w:rPr>
        <w:t>www.creditchina.gov.cn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0"/>
          <w:rFonts w:hint="eastAsia" w:ascii="宋体" w:hAnsi="宋体" w:cs="宋体"/>
          <w:color w:val="auto"/>
          <w:highlight w:val="none"/>
        </w:rPr>
        <w:t>www.ccgp.gov.cn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ascii="宋体" w:hAnsi="宋体" w:cs="宋体"/>
                <w:b/>
                <w:color w:val="auto"/>
                <w:kern w:val="0"/>
                <w:szCs w:val="21"/>
                <w:highlight w:val="none"/>
              </w:rPr>
              <w:t>施工组织设计评分标准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099A86BD">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zh-CN"/>
              </w:rPr>
              <w:t>总体施工组织布置及规划</w:t>
            </w:r>
          </w:p>
        </w:tc>
        <w:tc>
          <w:tcPr>
            <w:tcW w:w="7110" w:type="dxa"/>
            <w:vAlign w:val="center"/>
          </w:tcPr>
          <w:p w14:paraId="18E44691">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一档（0分）：未提供施工总平面布置图，或提供的施工总平面布置图与本项目无关的。</w:t>
            </w:r>
          </w:p>
          <w:p w14:paraId="6F58B83C">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二档（1分）：有施工总平面布置图，但安排不合理，不符合本项目施工实际要求或不符合安全、文明生产要求。</w:t>
            </w:r>
          </w:p>
          <w:p w14:paraId="6C27C3A6">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三档（3分）：有施工总平面布置图，安排基本科学合理，基本符合本项目施工实际要求。</w:t>
            </w:r>
          </w:p>
          <w:p w14:paraId="07338A4D">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四档（5分）：有施工总平面布置图，安排科学合理，符合本项目施工实际要求。</w:t>
            </w:r>
          </w:p>
        </w:tc>
        <w:tc>
          <w:tcPr>
            <w:tcW w:w="772" w:type="dxa"/>
            <w:vAlign w:val="center"/>
          </w:tcPr>
          <w:p w14:paraId="13328BBC">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748136D">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施工方案、方法与技术措施</w:t>
            </w:r>
          </w:p>
        </w:tc>
        <w:tc>
          <w:tcPr>
            <w:tcW w:w="7110" w:type="dxa"/>
            <w:vAlign w:val="center"/>
          </w:tcPr>
          <w:p w14:paraId="5434298F">
            <w:pPr>
              <w:spacing w:line="400" w:lineRule="exact"/>
              <w:ind w:firstLine="42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一档（0分）：未提供主要工程项目的施工方案、方法与技术措施，或提供的方案与本项目无关的。</w:t>
            </w:r>
          </w:p>
          <w:p w14:paraId="00A8EC0F">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档（5分）：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方法与技术措施不完整</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lang w:val="en-US" w:eastAsia="zh-CN"/>
              </w:rPr>
              <w:t>基本满足项目实施需求，但不能确保施工安全</w:t>
            </w:r>
            <w:r>
              <w:rPr>
                <w:rFonts w:hint="eastAsia" w:ascii="宋体" w:hAnsi="宋体" w:cs="宋体"/>
                <w:bCs/>
                <w:color w:val="auto"/>
                <w:kern w:val="0"/>
                <w:szCs w:val="21"/>
                <w:highlight w:val="none"/>
              </w:rPr>
              <w:t xml:space="preserve">。 </w:t>
            </w:r>
          </w:p>
          <w:p w14:paraId="4D786C5D">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档（10分）：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方法与技术措施完整，</w:t>
            </w:r>
            <w:r>
              <w:rPr>
                <w:rFonts w:hint="eastAsia" w:ascii="宋体" w:hAnsi="宋体" w:cs="宋体"/>
                <w:bCs/>
                <w:color w:val="auto"/>
                <w:kern w:val="0"/>
                <w:szCs w:val="21"/>
                <w:highlight w:val="none"/>
              </w:rPr>
              <w:t xml:space="preserve">有详尽的施工技术方案，有主要分部工程施工步骤、施工要点，能指导具体施工并确保安全。 </w:t>
            </w:r>
          </w:p>
          <w:p w14:paraId="29C76F73">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w:t>
            </w:r>
            <w:r>
              <w:rPr>
                <w:rFonts w:hint="eastAsia" w:ascii="宋体" w:hAnsi="宋体" w:cs="宋体"/>
                <w:bCs/>
                <w:color w:val="auto"/>
                <w:kern w:val="0"/>
                <w:szCs w:val="21"/>
                <w:highlight w:val="none"/>
              </w:rPr>
              <w:t>档（15分）：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方法与技术措施详尽完整，</w:t>
            </w:r>
            <w:r>
              <w:rPr>
                <w:rFonts w:hint="eastAsia" w:ascii="宋体" w:hAnsi="宋体" w:cs="宋体"/>
                <w:bCs/>
                <w:color w:val="auto"/>
                <w:kern w:val="0"/>
                <w:szCs w:val="21"/>
                <w:highlight w:val="none"/>
              </w:rPr>
              <w:t>各主要分部施工方法符合项目实际，有详尽的施工技术方案，主要分部工程施工工序、施工步骤、施工要点、施工工艺方案具有先进性，施工准备、技术准备或交底、各工种施工配合方案具有针对性，能高效指导具体施工并确保安全。</w:t>
            </w:r>
          </w:p>
        </w:tc>
        <w:tc>
          <w:tcPr>
            <w:tcW w:w="772" w:type="dxa"/>
            <w:vAlign w:val="center"/>
          </w:tcPr>
          <w:p w14:paraId="04CAFB12">
            <w:pPr>
              <w:spacing w:line="360" w:lineRule="exact"/>
              <w:jc w:val="center"/>
              <w:rPr>
                <w:rFonts w:ascii="宋体" w:hAnsi="宋体" w:cs="宋体"/>
                <w:color w:val="auto"/>
                <w:kern w:val="0"/>
                <w:szCs w:val="21"/>
                <w:highlight w:val="none"/>
              </w:rPr>
            </w:pPr>
            <w:r>
              <w:rPr>
                <w:rFonts w:ascii="宋体" w:hAnsi="宋体" w:cs="宋体"/>
                <w:bCs/>
                <w:color w:val="auto"/>
                <w:kern w:val="0"/>
                <w:szCs w:val="21"/>
                <w:highlight w:val="none"/>
              </w:rPr>
              <w:t>15</w:t>
            </w:r>
            <w:r>
              <w:rPr>
                <w:rFonts w:hint="eastAsia" w:ascii="宋体" w:hAnsi="宋体" w:cs="宋体"/>
                <w:bCs/>
                <w:color w:val="auto"/>
                <w:kern w:val="0"/>
                <w:szCs w:val="21"/>
                <w:highlight w:val="none"/>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拟投入的主要物资计划、劳动力安排计划方案</w:t>
            </w:r>
          </w:p>
        </w:tc>
        <w:tc>
          <w:tcPr>
            <w:tcW w:w="7110" w:type="dxa"/>
            <w:vAlign w:val="center"/>
          </w:tcPr>
          <w:p w14:paraId="17B69B93">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一档（0分）：</w:t>
            </w:r>
            <w:r>
              <w:rPr>
                <w:rFonts w:hint="eastAsia" w:ascii="宋体" w:hAnsi="宋体" w:eastAsia="宋体" w:cs="宋体"/>
                <w:bCs/>
                <w:color w:val="auto"/>
                <w:sz w:val="21"/>
                <w:highlight w:val="none"/>
                <w:lang w:val="en-US" w:eastAsia="zh-CN"/>
              </w:rPr>
              <w:t>没有提供</w:t>
            </w:r>
            <w:r>
              <w:rPr>
                <w:rFonts w:hint="eastAsia" w:ascii="宋体" w:hAnsi="宋体" w:eastAsia="宋体" w:cs="宋体"/>
                <w:bCs/>
                <w:color w:val="auto"/>
                <w:sz w:val="21"/>
                <w:highlight w:val="none"/>
              </w:rPr>
              <w:t>拟投入的主要物资计划、劳动力安排计划方案</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lang w:val="en-US" w:eastAsia="zh-CN"/>
              </w:rPr>
              <w:t>或内容与本项目无关。</w:t>
            </w:r>
          </w:p>
          <w:p w14:paraId="25290D39">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二</w:t>
            </w:r>
            <w:r>
              <w:rPr>
                <w:rFonts w:hint="eastAsia" w:ascii="宋体" w:hAnsi="宋体" w:eastAsia="宋体" w:cs="宋体"/>
                <w:bCs/>
                <w:color w:val="auto"/>
                <w:sz w:val="21"/>
                <w:highlight w:val="none"/>
              </w:rPr>
              <w:t>档（</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分）：投入的施工材料有组织计划，基本满足施工需要。各主</w:t>
            </w:r>
            <w:r>
              <w:rPr>
                <w:rFonts w:hint="eastAsia" w:hAnsi="宋体" w:cs="宋体"/>
                <w:bCs/>
                <w:color w:val="auto"/>
                <w:sz w:val="21"/>
                <w:highlight w:val="none"/>
              </w:rPr>
              <w:t>要施工工序有劳动力安排计划，有各工种劳动力安排计划，基本能满足施工需要。</w:t>
            </w:r>
          </w:p>
          <w:p w14:paraId="0ADFD14E">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三</w:t>
            </w:r>
            <w:r>
              <w:rPr>
                <w:rFonts w:hint="eastAsia" w:hAnsi="宋体" w:cs="宋体"/>
                <w:bCs/>
                <w:color w:val="auto"/>
                <w:sz w:val="21"/>
                <w:highlight w:val="none"/>
              </w:rPr>
              <w:t>档（</w:t>
            </w:r>
            <w:r>
              <w:rPr>
                <w:rFonts w:hint="eastAsia" w:hAnsi="宋体" w:cs="宋体"/>
                <w:bCs/>
                <w:color w:val="auto"/>
                <w:sz w:val="21"/>
                <w:highlight w:val="none"/>
                <w:lang w:val="en-US" w:eastAsia="zh-CN"/>
              </w:rPr>
              <w:t>6</w:t>
            </w:r>
            <w:r>
              <w:rPr>
                <w:rFonts w:hint="eastAsia" w:hAnsi="宋体" w:cs="宋体"/>
                <w:bCs/>
                <w:color w:val="auto"/>
                <w:sz w:val="21"/>
                <w:highlight w:val="none"/>
              </w:rPr>
              <w:t>分）：投入的主要物资计划与进度计划呼应，满足施工需要，定量定点堆放物资。各主要施工工序有周密的劳动力安排计划，不窝工，有各工种劳动力安排计划，能满足施工需要。</w:t>
            </w:r>
          </w:p>
          <w:p w14:paraId="58050F66">
            <w:pPr>
              <w:pStyle w:val="15"/>
              <w:spacing w:line="400" w:lineRule="exact"/>
              <w:ind w:firstLine="420" w:firstLineChars="200"/>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四</w:t>
            </w:r>
            <w:r>
              <w:rPr>
                <w:rFonts w:hint="eastAsia" w:hAnsi="宋体" w:cs="宋体"/>
                <w:bCs/>
                <w:color w:val="auto"/>
                <w:sz w:val="21"/>
                <w:highlight w:val="none"/>
              </w:rPr>
              <w:t>档（1</w:t>
            </w:r>
            <w:r>
              <w:rPr>
                <w:rFonts w:hint="eastAsia" w:hAnsi="宋体" w:cs="宋体"/>
                <w:bCs/>
                <w:color w:val="auto"/>
                <w:sz w:val="21"/>
                <w:highlight w:val="none"/>
                <w:lang w:val="en-US" w:eastAsia="zh-CN"/>
              </w:rPr>
              <w:t>0</w:t>
            </w:r>
            <w:r>
              <w:rPr>
                <w:rFonts w:hint="eastAsia" w:hAnsi="宋体" w:cs="宋体"/>
                <w:bCs/>
                <w:color w:val="auto"/>
                <w:sz w:val="21"/>
                <w:highlight w:val="none"/>
              </w:rPr>
              <w:t>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tc>
        <w:tc>
          <w:tcPr>
            <w:tcW w:w="772" w:type="dxa"/>
            <w:vAlign w:val="center"/>
          </w:tcPr>
          <w:p w14:paraId="0A43CAE9">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工程质量管理体系及保证措施</w:t>
            </w:r>
          </w:p>
        </w:tc>
        <w:tc>
          <w:tcPr>
            <w:tcW w:w="7110" w:type="dxa"/>
            <w:vAlign w:val="center"/>
          </w:tcPr>
          <w:p w14:paraId="144CD6D2">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一档（0分）：没有工程质量管理体系及保证措施的</w:t>
            </w:r>
            <w:r>
              <w:rPr>
                <w:rFonts w:hint="eastAsia" w:hAnsi="宋体" w:cs="宋体"/>
                <w:bCs/>
                <w:color w:val="auto"/>
                <w:sz w:val="21"/>
                <w:highlight w:val="none"/>
                <w:lang w:val="en-US" w:eastAsia="zh-CN"/>
              </w:rPr>
              <w:t>，或内容与本项目无关。</w:t>
            </w:r>
          </w:p>
          <w:p w14:paraId="2C7A3F51">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二档（1分）：主要工序无质量技术保证措施和手段，自控体系不完整，或不能有效保证技术质量，达不到承诺的质量标准。</w:t>
            </w:r>
          </w:p>
          <w:p w14:paraId="2AB5CCB0">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三档（3分）：主要工序有质量技术保证措施和手段，自控体系基本完整，基本能有效保证技术质量，达到承诺的质量标准。</w:t>
            </w:r>
          </w:p>
          <w:p w14:paraId="7315B3BA">
            <w:pPr>
              <w:pStyle w:val="15"/>
              <w:spacing w:line="400" w:lineRule="exact"/>
              <w:ind w:firstLine="420" w:firstLineChars="200"/>
              <w:rPr>
                <w:rFonts w:hint="default"/>
                <w:color w:val="auto"/>
                <w:highlight w:val="none"/>
                <w:lang w:val="en-US" w:eastAsia="zh-CN"/>
              </w:rPr>
            </w:pPr>
            <w:r>
              <w:rPr>
                <w:rFonts w:hint="eastAsia" w:ascii="宋体" w:hAnsi="宋体" w:eastAsia="宋体" w:cs="宋体"/>
                <w:bCs/>
                <w:color w:val="auto"/>
                <w:sz w:val="21"/>
                <w:highlight w:val="none"/>
                <w:lang w:val="en-US" w:eastAsia="zh-CN"/>
              </w:rPr>
              <w:t>四档（5分）：主要工序有详细的质量技术保证措施和手段，自控体系完整，能有效保证技术质量，达到承诺的质量标准。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安全生产管理体系及保证措施</w:t>
            </w:r>
          </w:p>
        </w:tc>
        <w:tc>
          <w:tcPr>
            <w:tcW w:w="7110" w:type="dxa"/>
            <w:vAlign w:val="center"/>
          </w:tcPr>
          <w:p w14:paraId="620F91BB">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一档（0分）：没有安全生产管理体系及保证措施</w:t>
            </w:r>
            <w:r>
              <w:rPr>
                <w:rFonts w:hint="eastAsia" w:hAnsi="宋体" w:cs="宋体"/>
                <w:bCs/>
                <w:color w:val="auto"/>
                <w:sz w:val="21"/>
                <w:highlight w:val="none"/>
                <w:lang w:val="en-US" w:eastAsia="zh-CN"/>
              </w:rPr>
              <w:t>，或内容与本项目无关。</w:t>
            </w:r>
          </w:p>
          <w:p w14:paraId="3123E724">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无专门的安全管理人员或制度，或人员配备不合理，制度不健全，或各道工序安全技术措施无针对性，不符合实际不满足有关安全技术标准要求。或现场防火、应急救援、社会治安安全措施不可行。</w:t>
            </w:r>
          </w:p>
          <w:p w14:paraId="1219E35C">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三档（3分）：有专门的安全管理人员（至少1名）和制度，制度健全，各道工序安全技术措施有针对性，满足施工安全技术标准要求。现场防火、应急救援、社会治安安全措施基本可行。</w:t>
            </w:r>
          </w:p>
          <w:p w14:paraId="179DB0BF">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四档（5分）：有专门的安全管理人员（至少2名）和制度，且人员配备合理，制度健全，各道工序安全技术措施针对性强，符合项目实际且满足施工安全技术标准要求。现场防火、应急救援、社会治安安全措施得力。</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7B24EA84">
            <w:pPr>
              <w:adjustRightInd w:val="0"/>
              <w:spacing w:line="400" w:lineRule="exact"/>
              <w:jc w:val="center"/>
              <w:textAlignment w:val="baseline"/>
              <w:rPr>
                <w:rFonts w:ascii="宋体" w:hAnsi="宋体" w:cs="宋体"/>
                <w:bCs/>
                <w:color w:val="auto"/>
                <w:kern w:val="0"/>
                <w:szCs w:val="21"/>
                <w:highlight w:val="none"/>
              </w:rPr>
            </w:pPr>
            <w:r>
              <w:rPr>
                <w:rFonts w:ascii="宋体" w:hAnsi="宋体" w:cs="宋体"/>
                <w:bCs/>
                <w:color w:val="auto"/>
                <w:kern w:val="0"/>
                <w:szCs w:val="21"/>
                <w:highlight w:val="none"/>
              </w:rPr>
              <w:t>工期保证体系及保证措施</w:t>
            </w:r>
          </w:p>
        </w:tc>
        <w:tc>
          <w:tcPr>
            <w:tcW w:w="7110" w:type="dxa"/>
            <w:vAlign w:val="center"/>
          </w:tcPr>
          <w:p w14:paraId="26CAE670">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ascii="宋体" w:hAnsi="宋体" w:eastAsia="宋体" w:cs="宋体"/>
                <w:bCs/>
                <w:color w:val="auto"/>
                <w:sz w:val="21"/>
                <w:highlight w:val="none"/>
                <w:lang w:val="zh-CN"/>
              </w:rPr>
              <w:t>没有确保工期的技术组织措施。</w:t>
            </w:r>
          </w:p>
          <w:p w14:paraId="5D9BFA77">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二档（1分）：无保证工期的具体措施或措施不得当。或者无控制工期的施工进度计划。或者无施工总进度表或施工网络图，或各项计划图表编制不完善，安排不合理，不符合本项目施工实际要求。</w:t>
            </w:r>
          </w:p>
          <w:p w14:paraId="676F7CC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r>
              <w:rPr>
                <w:rFonts w:hint="eastAsia" w:hAnsi="宋体" w:cs="宋体"/>
                <w:bCs/>
                <w:color w:val="auto"/>
                <w:sz w:val="21"/>
                <w:highlight w:val="none"/>
              </w:rPr>
              <w:t>。</w:t>
            </w:r>
          </w:p>
          <w:p w14:paraId="4B6C96AC">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772" w:type="dxa"/>
            <w:vAlign w:val="center"/>
          </w:tcPr>
          <w:p w14:paraId="5178397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265D00B0">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文明施工、文物保护保证体系及保证措施</w:t>
            </w:r>
          </w:p>
        </w:tc>
        <w:tc>
          <w:tcPr>
            <w:tcW w:w="7110" w:type="dxa"/>
            <w:vAlign w:val="center"/>
          </w:tcPr>
          <w:p w14:paraId="7556D67C">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无现场</w:t>
            </w:r>
            <w:r>
              <w:rPr>
                <w:rFonts w:hint="eastAsia" w:hAnsi="宋体" w:cs="宋体"/>
                <w:bCs/>
                <w:color w:val="auto"/>
                <w:sz w:val="21"/>
                <w:highlight w:val="none"/>
              </w:rPr>
              <w:t>文明施工、文物保护保证体系及保证措施</w:t>
            </w:r>
            <w:r>
              <w:rPr>
                <w:rFonts w:hint="eastAsia" w:ascii="宋体" w:hAnsi="宋体" w:eastAsia="宋体" w:cs="宋体"/>
                <w:bCs/>
                <w:color w:val="auto"/>
                <w:sz w:val="21"/>
                <w:highlight w:val="none"/>
                <w:lang w:val="zh-CN"/>
              </w:rPr>
              <w:t>，</w:t>
            </w:r>
            <w:r>
              <w:rPr>
                <w:rFonts w:hint="eastAsia" w:hAnsi="宋体" w:cs="宋体"/>
                <w:bCs/>
                <w:color w:val="auto"/>
                <w:sz w:val="21"/>
                <w:highlight w:val="none"/>
                <w:lang w:val="en-US" w:eastAsia="zh-CN"/>
              </w:rPr>
              <w:t>或内容与本项目无关。</w:t>
            </w:r>
          </w:p>
          <w:p w14:paraId="1D1FDE8B">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ascii="宋体" w:hAnsi="宋体" w:eastAsia="宋体" w:cs="宋体"/>
                <w:bCs/>
                <w:color w:val="auto"/>
                <w:sz w:val="21"/>
                <w:highlight w:val="none"/>
                <w:lang w:val="zh-CN"/>
              </w:rPr>
              <w:t>环境保护措施内容达不到</w:t>
            </w:r>
            <w:r>
              <w:rPr>
                <w:rFonts w:hint="eastAsia" w:ascii="宋体" w:hAnsi="宋体" w:eastAsia="宋体" w:cs="宋体"/>
                <w:bCs/>
                <w:color w:val="auto"/>
                <w:sz w:val="21"/>
                <w:highlight w:val="none"/>
                <w:lang w:val="en-US" w:eastAsia="zh-CN"/>
              </w:rPr>
              <w:t>采购需求</w:t>
            </w:r>
            <w:r>
              <w:rPr>
                <w:rFonts w:hint="eastAsia" w:ascii="宋体" w:hAnsi="宋体" w:eastAsia="宋体" w:cs="宋体"/>
                <w:bCs/>
                <w:color w:val="auto"/>
                <w:sz w:val="21"/>
                <w:highlight w:val="none"/>
                <w:lang w:val="zh-CN"/>
              </w:rPr>
              <w:t>，各项措施不可行。</w:t>
            </w:r>
          </w:p>
          <w:p w14:paraId="23D3FF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，且各项措施内容具体、基本可行</w:t>
            </w:r>
            <w:r>
              <w:rPr>
                <w:rFonts w:hint="eastAsia" w:hAnsi="宋体" w:cs="宋体"/>
                <w:bCs/>
                <w:color w:val="auto"/>
                <w:sz w:val="21"/>
                <w:highlight w:val="none"/>
              </w:rPr>
              <w:t>。</w:t>
            </w:r>
          </w:p>
          <w:p w14:paraId="328298F4">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四档（5分）：现场文明施工、文物保护保证体系</w:t>
            </w:r>
            <w:r>
              <w:rPr>
                <w:rFonts w:hint="eastAsia" w:hAnsi="宋体" w:cs="宋体"/>
                <w:bCs/>
                <w:color w:val="auto"/>
                <w:sz w:val="21"/>
                <w:highlight w:val="none"/>
                <w:lang w:val="zh-CN"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符合项目实际</w:t>
            </w:r>
            <w:r>
              <w:rPr>
                <w:rFonts w:hint="eastAsia" w:hAnsi="宋体" w:cs="宋体"/>
                <w:bCs/>
                <w:color w:val="auto"/>
                <w:sz w:val="21"/>
                <w:highlight w:val="none"/>
                <w:lang w:val="zh-CN"/>
              </w:rPr>
              <w:t>，且</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各项措施内容周全、具体、</w:t>
            </w:r>
            <w:r>
              <w:rPr>
                <w:rFonts w:hint="eastAsia" w:hAnsi="宋体" w:cs="宋体"/>
                <w:bCs/>
                <w:color w:val="auto"/>
                <w:sz w:val="21"/>
                <w:highlight w:val="none"/>
                <w:lang w:val="en-US" w:eastAsia="zh-CN"/>
              </w:rPr>
              <w:t>可行性高</w:t>
            </w:r>
            <w:r>
              <w:rPr>
                <w:rFonts w:hint="eastAsia" w:hAnsi="宋体" w:cs="宋体"/>
                <w:bCs/>
                <w:color w:val="auto"/>
                <w:sz w:val="21"/>
                <w:highlight w:val="none"/>
                <w:lang w:val="zh-CN"/>
              </w:rPr>
              <w:t>。</w:t>
            </w:r>
          </w:p>
        </w:tc>
        <w:tc>
          <w:tcPr>
            <w:tcW w:w="772" w:type="dxa"/>
            <w:vAlign w:val="center"/>
          </w:tcPr>
          <w:p w14:paraId="1A23E98F">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145EF377">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项目风险预测与防范，事故应急预案</w:t>
            </w:r>
          </w:p>
        </w:tc>
        <w:tc>
          <w:tcPr>
            <w:tcW w:w="7110" w:type="dxa"/>
            <w:vAlign w:val="center"/>
          </w:tcPr>
          <w:p w14:paraId="3B331186">
            <w:pPr>
              <w:pStyle w:val="15"/>
              <w:spacing w:line="400" w:lineRule="exact"/>
              <w:ind w:firstLine="420" w:firstLineChars="200"/>
              <w:rPr>
                <w:rFonts w:hint="default" w:hAnsi="宋体" w:eastAsia="宋体" w:cs="宋体"/>
                <w:bCs/>
                <w:color w:val="auto"/>
                <w:sz w:val="21"/>
                <w:highlight w:val="none"/>
                <w:lang w:val="en-US" w:eastAsia="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w:t>
            </w:r>
            <w:r>
              <w:rPr>
                <w:rFonts w:hint="eastAsia" w:hAnsi="宋体" w:cs="宋体"/>
                <w:bCs/>
                <w:color w:val="auto"/>
                <w:sz w:val="21"/>
                <w:highlight w:val="none"/>
              </w:rPr>
              <w:t>项目风险预测与防范，事故应急预案</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或内容与本项目无关。</w:t>
            </w:r>
          </w:p>
          <w:p w14:paraId="4052C58C">
            <w:pPr>
              <w:pStyle w:val="15"/>
              <w:spacing w:line="40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w:t>
            </w:r>
            <w:r>
              <w:rPr>
                <w:rFonts w:hint="eastAsia" w:hAnsi="宋体" w:cs="宋体"/>
                <w:bCs/>
                <w:color w:val="auto"/>
                <w:sz w:val="21"/>
                <w:highlight w:val="none"/>
                <w:lang w:val="en-US" w:eastAsia="zh-CN"/>
              </w:rPr>
              <w:t>2</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en-US"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en-US" w:eastAsia="zh-CN"/>
              </w:rPr>
              <w:t>内容不完整</w:t>
            </w:r>
            <w:r>
              <w:rPr>
                <w:rFonts w:hint="eastAsia" w:hAnsi="宋体" w:cs="宋体"/>
                <w:bCs/>
                <w:color w:val="auto"/>
                <w:sz w:val="21"/>
                <w:highlight w:val="none"/>
                <w:lang w:val="zh-CN"/>
              </w:rPr>
              <w:t>，</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rPr>
              <w:t>不</w:t>
            </w:r>
            <w:r>
              <w:rPr>
                <w:rFonts w:hint="eastAsia" w:hAnsi="宋体" w:cs="宋体"/>
                <w:bCs/>
                <w:color w:val="auto"/>
                <w:sz w:val="21"/>
                <w:highlight w:val="none"/>
                <w:lang w:val="en-US" w:eastAsia="zh-CN"/>
              </w:rPr>
              <w:t>可行</w:t>
            </w:r>
            <w:r>
              <w:rPr>
                <w:rFonts w:hint="eastAsia" w:hAnsi="宋体" w:cs="宋体"/>
                <w:bCs/>
                <w:color w:val="auto"/>
                <w:sz w:val="21"/>
                <w:highlight w:val="none"/>
                <w:lang w:val="zh-CN"/>
              </w:rPr>
              <w:t>。</w:t>
            </w:r>
          </w:p>
          <w:p w14:paraId="327218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6</w:t>
            </w:r>
            <w:r>
              <w:rPr>
                <w:rFonts w:hint="eastAsia" w:hAnsi="宋体" w:cs="宋体"/>
                <w:bCs/>
                <w:color w:val="auto"/>
                <w:sz w:val="21"/>
                <w:highlight w:val="none"/>
              </w:rPr>
              <w:t>分）：</w:t>
            </w:r>
            <w:r>
              <w:rPr>
                <w:rFonts w:hint="eastAsia" w:hAnsi="宋体" w:cs="宋体"/>
                <w:bCs/>
                <w:color w:val="auto"/>
                <w:sz w:val="21"/>
                <w:highlight w:val="none"/>
                <w:lang w:val="zh-CN"/>
              </w:rPr>
              <w:t>针对本工程项目特点，风险预测</w:t>
            </w:r>
            <w:r>
              <w:rPr>
                <w:rFonts w:hint="eastAsia" w:hAnsi="宋体" w:cs="宋体"/>
                <w:bCs/>
                <w:color w:val="auto"/>
                <w:sz w:val="21"/>
                <w:highlight w:val="none"/>
                <w:lang w:val="zh-CN" w:eastAsia="zh-CN"/>
              </w:rPr>
              <w:t>与防范</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eastAsia="zh-CN"/>
              </w:rPr>
              <w:t>、事故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齐全</w:t>
            </w:r>
            <w:r>
              <w:rPr>
                <w:rFonts w:hint="eastAsia" w:hAnsi="宋体" w:cs="宋体"/>
                <w:bCs/>
                <w:color w:val="auto"/>
                <w:sz w:val="21"/>
                <w:highlight w:val="none"/>
                <w:lang w:val="zh-CN"/>
              </w:rPr>
              <w:t>，且各项措施具体、</w:t>
            </w:r>
            <w:r>
              <w:rPr>
                <w:rFonts w:hint="eastAsia" w:hAnsi="宋体" w:cs="宋体"/>
                <w:bCs/>
                <w:color w:val="auto"/>
                <w:sz w:val="21"/>
                <w:highlight w:val="none"/>
                <w:lang w:val="en-US" w:eastAsia="zh-CN"/>
              </w:rPr>
              <w:t>可行</w:t>
            </w:r>
            <w:r>
              <w:rPr>
                <w:rFonts w:hint="eastAsia" w:hAnsi="宋体" w:cs="宋体"/>
                <w:bCs/>
                <w:color w:val="auto"/>
                <w:sz w:val="21"/>
                <w:highlight w:val="none"/>
              </w:rPr>
              <w:t>。</w:t>
            </w:r>
          </w:p>
          <w:p w14:paraId="422E2C8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w:t>
            </w:r>
            <w:r>
              <w:rPr>
                <w:rFonts w:hint="eastAsia" w:hAnsi="宋体" w:cs="宋体"/>
                <w:bCs/>
                <w:color w:val="auto"/>
                <w:sz w:val="21"/>
                <w:highlight w:val="none"/>
                <w:lang w:val="en-US" w:eastAsia="zh-CN"/>
              </w:rPr>
              <w:t>10</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zh-CN"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完整详细，且符合项目实际</w:t>
            </w:r>
            <w:r>
              <w:rPr>
                <w:rFonts w:hint="eastAsia" w:hAnsi="宋体" w:cs="宋体"/>
                <w:bCs/>
                <w:color w:val="auto"/>
                <w:sz w:val="21"/>
                <w:highlight w:val="none"/>
                <w:lang w:val="zh-CN"/>
              </w:rPr>
              <w:t>，各项措施周全、具体、有效。</w:t>
            </w:r>
          </w:p>
        </w:tc>
        <w:tc>
          <w:tcPr>
            <w:tcW w:w="772" w:type="dxa"/>
            <w:vAlign w:val="center"/>
          </w:tcPr>
          <w:p w14:paraId="7BA5140F">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7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544F54">
            <w:pPr>
              <w:widowControl/>
              <w:spacing w:line="360" w:lineRule="exact"/>
              <w:jc w:val="center"/>
              <w:rPr>
                <w:rFonts w:hint="default" w:ascii="宋体" w:hAnsi="宋体" w:eastAsia="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2.9</w:t>
            </w:r>
          </w:p>
        </w:tc>
        <w:tc>
          <w:tcPr>
            <w:tcW w:w="1086" w:type="dxa"/>
            <w:vAlign w:val="center"/>
          </w:tcPr>
          <w:p w14:paraId="6960F4DB">
            <w:pPr>
              <w:widowControl/>
              <w:spacing w:line="360" w:lineRule="exact"/>
              <w:jc w:val="center"/>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项目实施人员</w:t>
            </w:r>
          </w:p>
        </w:tc>
        <w:tc>
          <w:tcPr>
            <w:tcW w:w="7110" w:type="dxa"/>
            <w:vAlign w:val="center"/>
          </w:tcPr>
          <w:p w14:paraId="0A11B51D">
            <w:pPr>
              <w:pStyle w:val="15"/>
              <w:numPr>
                <w:ilvl w:val="0"/>
                <w:numId w:val="0"/>
              </w:numPr>
              <w:spacing w:line="400" w:lineRule="exact"/>
              <w:rPr>
                <w:rFonts w:hint="eastAsia" w:hAnsi="宋体" w:cs="宋体"/>
                <w:bCs/>
                <w:color w:val="auto"/>
                <w:sz w:val="21"/>
                <w:highlight w:val="none"/>
                <w:lang w:val="en-US" w:eastAsia="zh-CN"/>
              </w:rPr>
            </w:pPr>
            <w:r>
              <w:rPr>
                <w:rFonts w:hint="eastAsia" w:ascii="宋体" w:hAnsi="宋体" w:eastAsia="宋体" w:cs="宋体"/>
                <w:bCs/>
                <w:color w:val="auto"/>
                <w:kern w:val="0"/>
                <w:sz w:val="21"/>
                <w:szCs w:val="21"/>
                <w:highlight w:val="none"/>
                <w:lang w:val="en-US" w:eastAsia="zh-CN" w:bidi="ar-SA"/>
              </w:rPr>
              <w:t>（1）</w:t>
            </w:r>
            <w:r>
              <w:rPr>
                <w:rFonts w:hint="eastAsia" w:hAnsi="宋体" w:cs="宋体"/>
                <w:bCs/>
                <w:color w:val="auto"/>
                <w:sz w:val="21"/>
                <w:highlight w:val="none"/>
                <w:lang w:val="en-US" w:eastAsia="zh-CN"/>
              </w:rPr>
              <w:t>项目经理：</w:t>
            </w:r>
            <w:r>
              <w:rPr>
                <w:rFonts w:hAnsi="宋体" w:cs="宋体"/>
                <w:bCs/>
                <w:color w:val="auto"/>
                <w:sz w:val="21"/>
                <w:highlight w:val="none"/>
              </w:rPr>
              <w:t>拟投入本项目的</w:t>
            </w:r>
            <w:r>
              <w:rPr>
                <w:rFonts w:hint="eastAsia" w:hAnsi="宋体" w:cs="宋体"/>
                <w:bCs/>
                <w:color w:val="auto"/>
                <w:sz w:val="21"/>
                <w:highlight w:val="none"/>
                <w:lang w:val="en-US" w:eastAsia="zh-CN"/>
              </w:rPr>
              <w:t>项目经理具有中级及以上技术职称得4分。</w:t>
            </w:r>
          </w:p>
          <w:p w14:paraId="6F57E2CA">
            <w:pPr>
              <w:pStyle w:val="15"/>
              <w:numPr>
                <w:ilvl w:val="0"/>
                <w:numId w:val="0"/>
              </w:numPr>
              <w:spacing w:line="400" w:lineRule="exact"/>
              <w:rPr>
                <w:rFonts w:hint="default"/>
                <w:color w:val="auto"/>
                <w:highlight w:val="none"/>
                <w:lang w:val="en-US" w:eastAsia="zh-CN"/>
              </w:rPr>
            </w:pPr>
            <w:r>
              <w:rPr>
                <w:rFonts w:hint="eastAsia"/>
                <w:color w:val="auto"/>
                <w:highlight w:val="none"/>
                <w:lang w:val="en-US" w:eastAsia="zh-CN"/>
              </w:rPr>
              <w:t>（2）技术负责人：</w:t>
            </w:r>
            <w:r>
              <w:rPr>
                <w:rFonts w:hAnsi="宋体" w:cs="宋体"/>
                <w:bCs/>
                <w:color w:val="auto"/>
                <w:sz w:val="21"/>
                <w:highlight w:val="none"/>
              </w:rPr>
              <w:t>拟投入本项目的</w:t>
            </w:r>
            <w:r>
              <w:rPr>
                <w:rFonts w:hint="eastAsia" w:hAnsi="宋体" w:cs="宋体"/>
                <w:bCs/>
                <w:color w:val="auto"/>
                <w:sz w:val="21"/>
                <w:highlight w:val="none"/>
                <w:lang w:val="en-US" w:eastAsia="zh-CN"/>
              </w:rPr>
              <w:t>技术负责人具有公路工程类专用中级及以上技术职称得2分。</w:t>
            </w:r>
          </w:p>
          <w:p w14:paraId="1DCFB39A">
            <w:pPr>
              <w:widowControl/>
              <w:spacing w:line="360" w:lineRule="exact"/>
              <w:jc w:val="lef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其他人员（不含项目经理）：拟投入本项目的其他人员至少包括安全员、施工员、质量员、材料员，且均具有相应岗位资格证书的，得基础分2分，拟投入其他人员中具有初级及以上技术职称证书的，每人加1分，最高加2分。此项满分4分。</w:t>
            </w:r>
          </w:p>
          <w:p w14:paraId="0EA5AD80">
            <w:pPr>
              <w:widowControl/>
              <w:spacing w:line="360" w:lineRule="exact"/>
              <w:jc w:val="lef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4D6C011D">
            <w:pPr>
              <w:widowControl/>
              <w:spacing w:line="360" w:lineRule="exact"/>
              <w:jc w:val="center"/>
              <w:rPr>
                <w:rFonts w:hint="default" w:ascii="宋体" w:hAnsi="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BA4AB58">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5D69147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6F10E2E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5B6D0B06">
            <w:pPr>
              <w:widowControl/>
              <w:spacing w:line="36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业绩</w:t>
            </w:r>
          </w:p>
        </w:tc>
        <w:tc>
          <w:tcPr>
            <w:tcW w:w="7110" w:type="dxa"/>
          </w:tcPr>
          <w:p w14:paraId="0F1E83C3">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竞标人20</w:t>
            </w:r>
            <w:r>
              <w:rPr>
                <w:rFonts w:hint="eastAsia" w:hAnsi="宋体" w:cs="宋体"/>
                <w:color w:val="auto"/>
                <w:sz w:val="21"/>
                <w:highlight w:val="none"/>
                <w:lang w:val="en-US" w:eastAsia="zh-CN"/>
              </w:rPr>
              <w:t>22</w:t>
            </w:r>
            <w:r>
              <w:rPr>
                <w:rFonts w:hint="eastAsia" w:hAnsi="宋体" w:cs="宋体"/>
                <w:color w:val="auto"/>
                <w:sz w:val="21"/>
                <w:highlight w:val="none"/>
              </w:rPr>
              <w:t>年1月1日以来</w:t>
            </w:r>
            <w:r>
              <w:rPr>
                <w:rFonts w:hint="eastAsia" w:hAnsi="宋体" w:cs="宋体"/>
                <w:bCs/>
                <w:color w:val="auto"/>
                <w:sz w:val="21"/>
                <w:highlight w:val="none"/>
              </w:rPr>
              <w:t>完成</w:t>
            </w:r>
            <w:r>
              <w:rPr>
                <w:rFonts w:hint="eastAsia" w:hAnsi="宋体" w:cs="宋体"/>
                <w:bCs/>
                <w:color w:val="auto"/>
                <w:sz w:val="21"/>
                <w:highlight w:val="none"/>
                <w:lang w:val="en-US" w:eastAsia="zh-CN"/>
              </w:rPr>
              <w:t>或承接</w:t>
            </w:r>
            <w:r>
              <w:rPr>
                <w:rFonts w:hint="eastAsia" w:hAnsi="宋体" w:cs="宋体"/>
                <w:bCs/>
                <w:color w:val="auto"/>
                <w:sz w:val="21"/>
                <w:highlight w:val="none"/>
              </w:rPr>
              <w:t>过</w:t>
            </w:r>
            <w:r>
              <w:rPr>
                <w:rFonts w:hint="eastAsia" w:hAnsi="宋体" w:cs="宋体"/>
                <w:bCs/>
                <w:color w:val="auto"/>
                <w:sz w:val="21"/>
                <w:highlight w:val="none"/>
                <w:lang w:val="en-US" w:eastAsia="zh-CN"/>
              </w:rPr>
              <w:t>类似</w:t>
            </w:r>
            <w:r>
              <w:rPr>
                <w:rFonts w:hint="eastAsia" w:hAnsi="宋体" w:cs="宋体"/>
                <w:color w:val="auto"/>
                <w:sz w:val="21"/>
                <w:highlight w:val="none"/>
              </w:rPr>
              <w:t>项目业绩的，每个得</w:t>
            </w:r>
            <w:r>
              <w:rPr>
                <w:rFonts w:hint="eastAsia" w:hAnsi="宋体" w:cs="宋体"/>
                <w:color w:val="auto"/>
                <w:sz w:val="21"/>
                <w:highlight w:val="none"/>
                <w:lang w:val="en-US" w:eastAsia="zh-CN"/>
              </w:rPr>
              <w:t>5</w:t>
            </w:r>
            <w:r>
              <w:rPr>
                <w:rFonts w:hint="eastAsia" w:hAnsi="宋体" w:cs="宋体"/>
                <w:color w:val="auto"/>
                <w:sz w:val="21"/>
                <w:highlight w:val="none"/>
              </w:rPr>
              <w:t>分，此项满分</w:t>
            </w:r>
            <w:r>
              <w:rPr>
                <w:rFonts w:hint="eastAsia" w:hAnsi="宋体" w:cs="宋体"/>
                <w:color w:val="auto"/>
                <w:sz w:val="21"/>
                <w:highlight w:val="none"/>
                <w:lang w:val="en-US" w:eastAsia="zh-CN"/>
              </w:rPr>
              <w:t>15</w:t>
            </w:r>
            <w:r>
              <w:rPr>
                <w:rFonts w:hint="eastAsia" w:hAnsi="宋体" w:cs="宋体"/>
                <w:color w:val="auto"/>
                <w:sz w:val="21"/>
                <w:highlight w:val="none"/>
              </w:rPr>
              <w:t>分。</w:t>
            </w:r>
          </w:p>
          <w:p w14:paraId="4219F1E7">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注：</w:t>
            </w:r>
            <w:r>
              <w:rPr>
                <w:rFonts w:hint="eastAsia" w:hAnsi="宋体" w:cs="宋体"/>
                <w:color w:val="auto"/>
                <w:sz w:val="21"/>
                <w:highlight w:val="none"/>
                <w:lang w:val="en-US" w:eastAsia="zh-CN"/>
              </w:rPr>
              <w:t>类似项目指建设内容包含道路（或公路）新建或改扩建或维修（维护或硬化）类等施工项目。</w:t>
            </w:r>
            <w:r>
              <w:rPr>
                <w:rFonts w:hint="eastAsia" w:hAnsi="宋体" w:cs="宋体"/>
                <w:color w:val="auto"/>
                <w:sz w:val="21"/>
                <w:highlight w:val="none"/>
              </w:rPr>
              <w:t>响应文件中需提供以下对应材料，并加盖竞标人单位公章，不按照要求提供资料不得分。</w:t>
            </w:r>
          </w:p>
          <w:p w14:paraId="401A835D">
            <w:pPr>
              <w:pStyle w:val="15"/>
              <w:numPr>
                <w:ilvl w:val="0"/>
                <w:numId w:val="0"/>
              </w:numPr>
              <w:spacing w:line="360" w:lineRule="exact"/>
              <w:ind w:left="420" w:lef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①提供业绩一览表；</w:t>
            </w:r>
          </w:p>
          <w:p w14:paraId="741FCF65">
            <w:pPr>
              <w:pStyle w:val="15"/>
              <w:spacing w:line="360" w:lineRule="exact"/>
              <w:ind w:firstLine="420" w:firstLineChars="200"/>
              <w:rPr>
                <w:rFonts w:hint="default" w:eastAsia="宋体"/>
                <w:color w:val="auto"/>
                <w:highlight w:val="none"/>
                <w:lang w:val="en-US" w:eastAsia="zh-CN"/>
              </w:rPr>
            </w:pPr>
            <w:r>
              <w:rPr>
                <w:rFonts w:hint="eastAsia" w:ascii="宋体" w:hAnsi="宋体" w:eastAsia="宋体" w:cs="宋体"/>
                <w:color w:val="auto"/>
                <w:sz w:val="21"/>
                <w:highlight w:val="none"/>
              </w:rPr>
              <w:t>②提供合同或中标通知书复印件。</w:t>
            </w:r>
          </w:p>
        </w:tc>
        <w:tc>
          <w:tcPr>
            <w:tcW w:w="772" w:type="dxa"/>
            <w:vAlign w:val="center"/>
          </w:tcPr>
          <w:p w14:paraId="6EBDAFF6">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2D2DFA20">
      <w:pPr>
        <w:spacing w:line="360" w:lineRule="auto"/>
        <w:ind w:firstLine="420" w:firstLineChars="200"/>
        <w:rPr>
          <w:rFonts w:ascii="宋体" w:hAnsi="宋体" w:cs="宋体"/>
          <w:b w:val="0"/>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BCB96F5">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3DFA46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4" w:name="_Toc23409"/>
      <w:bookmarkStart w:id="65" w:name="_Toc80205936"/>
      <w:r>
        <w:rPr>
          <w:rFonts w:hint="eastAsia" w:ascii="宋体" w:hAnsi="宋体" w:cs="宋体"/>
          <w:b w:val="0"/>
          <w:color w:val="auto"/>
          <w:highlight w:val="none"/>
        </w:rPr>
        <w:t>第三节 评审过程的保密与录像</w:t>
      </w:r>
      <w:bookmarkEnd w:id="64"/>
      <w:bookmarkEnd w:id="65"/>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068E6DB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7" w:name="_Toc80205938"/>
      <w:bookmarkStart w:id="68" w:name="_Toc7129"/>
      <w:r>
        <w:rPr>
          <w:rFonts w:hint="eastAsia" w:ascii="宋体" w:hAnsi="宋体" w:cs="宋体"/>
          <w:b w:val="0"/>
          <w:color w:val="auto"/>
          <w:highlight w:val="none"/>
        </w:rPr>
        <w:t>第一节 封面格式</w:t>
      </w:r>
      <w:bookmarkEnd w:id="67"/>
      <w:bookmarkEnd w:id="68"/>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78052D5">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1" w:name="_Toc80205939"/>
      <w:bookmarkStart w:id="72" w:name="_Toc30886"/>
      <w:r>
        <w:rPr>
          <w:rFonts w:hint="eastAsia" w:ascii="宋体" w:hAnsi="宋体" w:cs="宋体"/>
          <w:bCs w:val="0"/>
          <w:color w:val="auto"/>
          <w:highlight w:val="none"/>
        </w:rPr>
        <w:t>第二节 资格证明文件格式</w:t>
      </w:r>
      <w:bookmarkEnd w:id="71"/>
      <w:bookmarkEnd w:id="72"/>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493E3E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一、营业执照(或事业法人登记证或其他工商等登记证明材料)复印件（供应商为自然人的，须提供自然人的身份证明）…………………………………………（页码）</w:t>
      </w:r>
    </w:p>
    <w:p w14:paraId="710725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二、竞标人根据防财监〔2023〕58 号文要求提供的《防城港市政府采购供应商信用承诺函》……………………………………………………………………（页码）</w:t>
      </w:r>
    </w:p>
    <w:p w14:paraId="6BAAB7E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、供应商直接控股股东信息…………………………………………………（页码）</w:t>
      </w:r>
    </w:p>
    <w:p w14:paraId="4A9AB89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、供应商直接关联关系信息表………………………………………………（页码）</w:t>
      </w:r>
    </w:p>
    <w:p w14:paraId="2952EC3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、竞标声明…………………………………………………………………（页码）</w:t>
      </w:r>
    </w:p>
    <w:p w14:paraId="171B65C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、中小企业声明函或残疾人福利性单位声明函或属于监狱企业的证明文件…（页码）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资格条件正面材料：</w:t>
      </w:r>
      <w:r>
        <w:rPr>
          <w:rFonts w:hint="default" w:ascii="宋体" w:hAnsi="宋体" w:eastAsia="宋体" w:cs="宋体"/>
          <w:color w:val="auto"/>
          <w:sz w:val="24"/>
          <w:highlight w:val="none"/>
          <w:lang w:eastAsia="zh-CN"/>
        </w:rPr>
        <w:t>①</w:t>
      </w:r>
      <w:r>
        <w:rPr>
          <w:rFonts w:hint="eastAsia" w:ascii="宋体" w:hAnsi="宋体" w:eastAsia="宋体" w:cs="宋体"/>
          <w:color w:val="auto"/>
          <w:sz w:val="24"/>
          <w:highlight w:val="none"/>
        </w:rPr>
        <w:t>供应商须具备公路工程施工总承包叁级(含)以上资质，</w:t>
      </w:r>
      <w:r>
        <w:rPr>
          <w:rFonts w:hint="eastAsia" w:ascii="宋体" w:hAnsi="宋体" w:eastAsia="宋体" w:cs="宋体"/>
          <w:color w:val="auto"/>
          <w:sz w:val="24"/>
          <w:highlight w:val="none"/>
          <w:lang w:val="en-US" w:eastAsia="zh-CN"/>
        </w:rPr>
        <w:t>同时</w:t>
      </w:r>
      <w:r>
        <w:rPr>
          <w:rFonts w:hint="eastAsia" w:ascii="宋体" w:hAnsi="宋体" w:eastAsia="宋体" w:cs="宋体"/>
          <w:color w:val="auto"/>
          <w:sz w:val="24"/>
          <w:highlight w:val="none"/>
        </w:rPr>
        <w:t>持有省级及以上建设行政主管部门颁发的安全生产许可证；</w:t>
      </w:r>
      <w:r>
        <w:rPr>
          <w:rFonts w:hint="default"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拟投入本项目的</w:t>
      </w:r>
      <w:r>
        <w:rPr>
          <w:rFonts w:hint="eastAsia" w:ascii="宋体" w:hAnsi="宋体" w:eastAsia="宋体" w:cs="宋体"/>
          <w:color w:val="auto"/>
          <w:sz w:val="24"/>
          <w:highlight w:val="none"/>
        </w:rPr>
        <w:t>项目经理须</w:t>
      </w:r>
      <w:r>
        <w:rPr>
          <w:rFonts w:hint="eastAsia" w:ascii="宋体" w:hAnsi="宋体" w:eastAsia="宋体" w:cs="宋体"/>
          <w:color w:val="auto"/>
          <w:sz w:val="24"/>
          <w:highlight w:val="none"/>
          <w:lang w:val="en-US" w:eastAsia="zh-CN"/>
        </w:rPr>
        <w:t>具备</w:t>
      </w:r>
      <w:r>
        <w:rPr>
          <w:rFonts w:hint="eastAsia" w:ascii="宋体" w:hAnsi="宋体" w:eastAsia="宋体" w:cs="宋体"/>
          <w:color w:val="auto"/>
          <w:sz w:val="24"/>
          <w:highlight w:val="none"/>
        </w:rPr>
        <w:t>公路工程专业</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级以上(含</w:t>
      </w:r>
      <w:r>
        <w:rPr>
          <w:rFonts w:hint="eastAsia" w:ascii="宋体" w:hAnsi="宋体" w:eastAsia="宋体" w:cs="宋体"/>
          <w:color w:val="auto"/>
          <w:sz w:val="24"/>
          <w:highlight w:val="none"/>
          <w:lang w:val="en-US" w:eastAsia="zh-CN"/>
        </w:rPr>
        <w:t>贰级</w:t>
      </w:r>
      <w:r>
        <w:rPr>
          <w:rFonts w:hint="eastAsia" w:ascii="宋体" w:hAnsi="宋体" w:eastAsia="宋体" w:cs="宋体"/>
          <w:color w:val="auto"/>
          <w:sz w:val="24"/>
          <w:highlight w:val="none"/>
        </w:rPr>
        <w:t>)注册建造师资格，并持有省级或以上交通运输行政主管部门颁发的安全生产考核合格证(“三类人员”B 类证书)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eastAsia="zh-CN"/>
        </w:rPr>
        <w:t>③</w:t>
      </w:r>
      <w:r>
        <w:rPr>
          <w:rFonts w:hint="eastAsia" w:ascii="宋体" w:hAnsi="宋体" w:eastAsia="宋体" w:cs="宋体"/>
          <w:color w:val="auto"/>
          <w:sz w:val="24"/>
          <w:highlight w:val="none"/>
          <w:lang w:val="en-US" w:eastAsia="zh-CN"/>
        </w:rPr>
        <w:t>拟投入本项目的安全员应具有省级（或以上）交通主管部门颁发的《安全生产考核合格证书》 C证</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53E1D3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八、承诺函</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067D8614">
      <w:pPr>
        <w:spacing w:line="300" w:lineRule="auto"/>
        <w:rPr>
          <w:rFonts w:ascii="宋体" w:hAnsi="宋体" w:cs="宋体"/>
          <w:color w:val="auto"/>
          <w:szCs w:val="21"/>
          <w:highlight w:val="none"/>
        </w:rPr>
      </w:pPr>
    </w:p>
    <w:p w14:paraId="13003AB2">
      <w:pPr>
        <w:spacing w:line="300" w:lineRule="auto"/>
        <w:rPr>
          <w:rFonts w:ascii="宋体" w:hAnsi="宋体" w:cs="宋体"/>
          <w:color w:val="auto"/>
          <w:szCs w:val="21"/>
          <w:highlight w:val="none"/>
        </w:rPr>
      </w:pPr>
    </w:p>
    <w:p w14:paraId="12BFA9DB">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auto"/>
          <w:sz w:val="30"/>
          <w:szCs w:val="30"/>
          <w:highlight w:val="none"/>
        </w:rPr>
      </w:pPr>
    </w:p>
    <w:p w14:paraId="7F0A09C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B52F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5E0FAC">
      <w:pPr>
        <w:snapToGrid w:val="0"/>
        <w:spacing w:before="120" w:beforeLines="50" w:after="50"/>
        <w:rPr>
          <w:rFonts w:ascii="宋体" w:hAnsi="宋体" w:cs="宋体"/>
          <w:color w:val="auto"/>
          <w:sz w:val="24"/>
          <w:szCs w:val="20"/>
          <w:highlight w:val="none"/>
        </w:rPr>
      </w:pPr>
    </w:p>
    <w:p w14:paraId="73768C22">
      <w:pPr>
        <w:pStyle w:val="15"/>
        <w:spacing w:line="360" w:lineRule="auto"/>
        <w:ind w:firstLine="602" w:firstLineChars="200"/>
        <w:rPr>
          <w:rFonts w:ascii="宋体" w:hAnsi="宋体"/>
          <w:b/>
          <w:color w:val="auto"/>
          <w:sz w:val="32"/>
          <w:szCs w:val="32"/>
          <w:highlight w:val="none"/>
        </w:rPr>
      </w:pPr>
      <w:r>
        <w:rPr>
          <w:rFonts w:hint="eastAsia" w:hAnsi="宋体" w:cs="宋体"/>
          <w:b/>
          <w:color w:val="auto"/>
          <w:sz w:val="30"/>
          <w:szCs w:val="30"/>
          <w:highlight w:val="none"/>
        </w:rPr>
        <w:t>二、</w:t>
      </w:r>
      <w:r>
        <w:rPr>
          <w:rFonts w:hint="eastAsia" w:ascii="宋体" w:hAnsi="宋体"/>
          <w:b/>
          <w:color w:val="auto"/>
          <w:sz w:val="32"/>
          <w:szCs w:val="32"/>
          <w:highlight w:val="none"/>
        </w:rPr>
        <w:t>防城港市政府采购供应商信用承诺函（格式）</w:t>
      </w:r>
    </w:p>
    <w:p w14:paraId="30AF43E6">
      <w:pPr>
        <w:spacing w:line="320" w:lineRule="exact"/>
        <w:jc w:val="left"/>
        <w:rPr>
          <w:rFonts w:hint="eastAsia" w:ascii="宋体" w:hAnsi="宋体"/>
          <w:color w:val="auto"/>
          <w:szCs w:val="21"/>
          <w:highlight w:val="none"/>
        </w:rPr>
      </w:pPr>
    </w:p>
    <w:p w14:paraId="64F9D388">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FF7945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C5FD3E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82A2526">
      <w:pPr>
        <w:spacing w:line="360" w:lineRule="auto"/>
        <w:jc w:val="left"/>
        <w:rPr>
          <w:rFonts w:hint="eastAsia" w:ascii="宋体" w:hAnsi="宋体"/>
          <w:color w:val="auto"/>
          <w:sz w:val="24"/>
          <w:highlight w:val="none"/>
        </w:rPr>
      </w:pPr>
    </w:p>
    <w:p w14:paraId="1BFBC2B1">
      <w:pPr>
        <w:spacing w:line="360" w:lineRule="auto"/>
        <w:jc w:val="left"/>
        <w:rPr>
          <w:rFonts w:hint="eastAsia" w:ascii="宋体" w:hAnsi="宋体"/>
          <w:color w:val="auto"/>
          <w:sz w:val="24"/>
          <w:highlight w:val="none"/>
        </w:rPr>
      </w:pPr>
    </w:p>
    <w:p w14:paraId="4F22FB9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30FE837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CCD54F8">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E217232">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7C1DD595">
      <w:pPr>
        <w:spacing w:line="360" w:lineRule="auto"/>
        <w:jc w:val="left"/>
        <w:rPr>
          <w:rFonts w:hint="eastAsia" w:ascii="宋体" w:hAnsi="宋体"/>
          <w:color w:val="auto"/>
          <w:sz w:val="24"/>
          <w:highlight w:val="none"/>
        </w:rPr>
      </w:pPr>
    </w:p>
    <w:p w14:paraId="21CD3949">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09C7706C">
      <w:pPr>
        <w:autoSpaceDE w:val="0"/>
        <w:autoSpaceDN w:val="0"/>
        <w:spacing w:line="360" w:lineRule="auto"/>
        <w:jc w:val="left"/>
        <w:rPr>
          <w:rFonts w:ascii="宋体" w:hAnsi="宋体" w:cs="宋体"/>
          <w:b/>
          <w:bCs/>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1E3FC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B948841">
      <w:pPr>
        <w:snapToGrid w:val="0"/>
        <w:spacing w:before="120" w:beforeLines="50" w:after="50" w:line="360" w:lineRule="auto"/>
        <w:jc w:val="center"/>
        <w:rPr>
          <w:rFonts w:ascii="宋体" w:hAnsi="宋体" w:cs="宋体"/>
          <w:b/>
          <w:color w:val="auto"/>
          <w:sz w:val="24"/>
          <w:highlight w:val="none"/>
        </w:rPr>
      </w:pPr>
    </w:p>
    <w:p w14:paraId="5E59C8FC">
      <w:pPr>
        <w:spacing w:line="360" w:lineRule="auto"/>
        <w:ind w:firstLine="596" w:firstLineChars="198"/>
        <w:rPr>
          <w:rFonts w:hint="eastAsia" w:ascii="宋体" w:hAnsi="宋体" w:cs="宋体"/>
          <w:b/>
          <w:color w:val="auto"/>
          <w:kern w:val="0"/>
          <w:sz w:val="30"/>
          <w:szCs w:val="30"/>
          <w:highlight w:val="none"/>
          <w:lang w:val="en-US" w:eastAsia="zh-CN"/>
        </w:rPr>
      </w:pPr>
    </w:p>
    <w:p w14:paraId="2749F17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3521153E">
      <w:pPr>
        <w:spacing w:line="360" w:lineRule="auto"/>
        <w:jc w:val="center"/>
        <w:rPr>
          <w:rFonts w:ascii="宋体" w:hAnsi="宋体" w:cs="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E46BB0B">
      <w:pPr>
        <w:autoSpaceDE w:val="0"/>
        <w:autoSpaceDN w:val="0"/>
        <w:spacing w:line="360" w:lineRule="auto"/>
        <w:ind w:firstLine="6120" w:firstLineChars="2550"/>
        <w:rPr>
          <w:rFonts w:hint="eastAsia" w:ascii="宋体" w:hAnsi="宋体" w:cs="宋体"/>
          <w:color w:val="auto"/>
          <w:kern w:val="0"/>
          <w:sz w:val="24"/>
          <w:highlight w:val="none"/>
          <w:lang w:val="zh-CN"/>
        </w:rPr>
      </w:pPr>
    </w:p>
    <w:p w14:paraId="0C212B16">
      <w:pPr>
        <w:autoSpaceDE w:val="0"/>
        <w:autoSpaceDN w:val="0"/>
        <w:spacing w:line="360" w:lineRule="auto"/>
        <w:ind w:firstLine="6120" w:firstLineChars="2550"/>
        <w:rPr>
          <w:rFonts w:hint="eastAsia" w:ascii="宋体" w:hAnsi="宋体" w:cs="宋体"/>
          <w:color w:val="auto"/>
          <w:kern w:val="0"/>
          <w:sz w:val="24"/>
          <w:highlight w:val="none"/>
          <w:lang w:val="zh-CN"/>
        </w:rPr>
      </w:pPr>
    </w:p>
    <w:p w14:paraId="00019FCF">
      <w:pPr>
        <w:autoSpaceDE w:val="0"/>
        <w:autoSpaceDN w:val="0"/>
        <w:spacing w:line="360" w:lineRule="auto"/>
        <w:ind w:firstLine="6120" w:firstLineChars="2550"/>
        <w:rPr>
          <w:rFonts w:hint="eastAsia" w:ascii="宋体" w:hAnsi="宋体" w:cs="宋体"/>
          <w:color w:val="auto"/>
          <w:kern w:val="0"/>
          <w:sz w:val="24"/>
          <w:highlight w:val="none"/>
          <w:lang w:val="zh-CN"/>
        </w:rPr>
      </w:pPr>
    </w:p>
    <w:p w14:paraId="397C911A">
      <w:pPr>
        <w:autoSpaceDE w:val="0"/>
        <w:autoSpaceDN w:val="0"/>
        <w:spacing w:line="360" w:lineRule="auto"/>
        <w:ind w:firstLine="6120" w:firstLineChars="2550"/>
        <w:rPr>
          <w:rFonts w:hint="eastAsia" w:ascii="宋体" w:hAnsi="宋体" w:cs="宋体"/>
          <w:color w:val="auto"/>
          <w:kern w:val="0"/>
          <w:sz w:val="24"/>
          <w:highlight w:val="none"/>
          <w:lang w:val="zh-CN"/>
        </w:rPr>
      </w:pPr>
    </w:p>
    <w:p w14:paraId="6C3CF9D0">
      <w:pPr>
        <w:autoSpaceDE w:val="0"/>
        <w:autoSpaceDN w:val="0"/>
        <w:spacing w:line="360" w:lineRule="auto"/>
        <w:ind w:firstLine="6120" w:firstLineChars="2550"/>
        <w:rPr>
          <w:rFonts w:hint="eastAsia" w:ascii="宋体" w:hAnsi="宋体" w:cs="宋体"/>
          <w:color w:val="auto"/>
          <w:kern w:val="0"/>
          <w:sz w:val="24"/>
          <w:highlight w:val="none"/>
          <w:lang w:val="zh-CN"/>
        </w:rPr>
      </w:pPr>
    </w:p>
    <w:p w14:paraId="220FA833">
      <w:pPr>
        <w:autoSpaceDE w:val="0"/>
        <w:autoSpaceDN w:val="0"/>
        <w:spacing w:line="360" w:lineRule="auto"/>
        <w:ind w:firstLine="6120" w:firstLineChars="2550"/>
        <w:rPr>
          <w:rFonts w:hint="eastAsia" w:ascii="宋体" w:hAnsi="宋体" w:cs="宋体"/>
          <w:color w:val="auto"/>
          <w:kern w:val="0"/>
          <w:sz w:val="24"/>
          <w:highlight w:val="none"/>
          <w:lang w:val="zh-CN"/>
        </w:rPr>
      </w:pPr>
    </w:p>
    <w:p w14:paraId="47BCC198">
      <w:pPr>
        <w:autoSpaceDE w:val="0"/>
        <w:autoSpaceDN w:val="0"/>
        <w:spacing w:line="360" w:lineRule="auto"/>
        <w:ind w:firstLine="6120" w:firstLineChars="2550"/>
        <w:rPr>
          <w:rFonts w:hint="eastAsia" w:ascii="宋体" w:hAnsi="宋体" w:cs="宋体"/>
          <w:color w:val="auto"/>
          <w:kern w:val="0"/>
          <w:sz w:val="24"/>
          <w:highlight w:val="none"/>
          <w:lang w:val="zh-CN"/>
        </w:rPr>
      </w:pPr>
    </w:p>
    <w:p w14:paraId="2024A463">
      <w:pPr>
        <w:snapToGrid w:val="0"/>
        <w:rPr>
          <w:rFonts w:ascii="宋体" w:hAnsi="宋体" w:cs="宋体"/>
          <w:b/>
          <w:color w:val="auto"/>
          <w:kern w:val="0"/>
          <w:sz w:val="30"/>
          <w:szCs w:val="30"/>
          <w:highlight w:val="none"/>
        </w:rPr>
      </w:pPr>
    </w:p>
    <w:p w14:paraId="7CADC32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94A2964">
      <w:pPr>
        <w:spacing w:line="360" w:lineRule="auto"/>
        <w:ind w:right="480" w:firstLine="240" w:firstLineChars="100"/>
        <w:contextualSpacing/>
        <w:jc w:val="center"/>
        <w:rPr>
          <w:rFonts w:hint="eastAsia" w:ascii="宋体" w:hAnsi="宋体" w:cs="宋体"/>
          <w:color w:val="auto"/>
          <w:sz w:val="24"/>
          <w:highlight w:val="none"/>
        </w:rPr>
      </w:pPr>
    </w:p>
    <w:p w14:paraId="59CA8F17">
      <w:pPr>
        <w:spacing w:line="360" w:lineRule="auto"/>
        <w:ind w:right="480" w:firstLine="240" w:firstLineChars="100"/>
        <w:contextualSpacing/>
        <w:jc w:val="center"/>
        <w:rPr>
          <w:rFonts w:hint="eastAsia" w:ascii="宋体" w:hAnsi="宋体" w:cs="宋体"/>
          <w:color w:val="auto"/>
          <w:sz w:val="24"/>
          <w:highlight w:val="none"/>
        </w:rPr>
      </w:pPr>
    </w:p>
    <w:p w14:paraId="25986098">
      <w:pPr>
        <w:spacing w:line="360" w:lineRule="auto"/>
        <w:ind w:right="480" w:firstLine="240" w:firstLineChars="100"/>
        <w:contextualSpacing/>
        <w:jc w:val="center"/>
        <w:rPr>
          <w:rFonts w:hint="eastAsia" w:ascii="宋体" w:hAnsi="宋体" w:cs="宋体"/>
          <w:color w:val="auto"/>
          <w:sz w:val="24"/>
          <w:highlight w:val="none"/>
        </w:rPr>
      </w:pPr>
    </w:p>
    <w:p w14:paraId="58D75740">
      <w:pPr>
        <w:spacing w:line="360" w:lineRule="auto"/>
        <w:ind w:right="480" w:firstLine="240" w:firstLineChars="100"/>
        <w:contextualSpacing/>
        <w:jc w:val="center"/>
        <w:rPr>
          <w:rFonts w:hint="eastAsia" w:ascii="宋体" w:hAnsi="宋体" w:cs="宋体"/>
          <w:color w:val="auto"/>
          <w:sz w:val="24"/>
          <w:highlight w:val="none"/>
        </w:rPr>
      </w:pPr>
    </w:p>
    <w:p w14:paraId="1A7C2EB3">
      <w:pPr>
        <w:spacing w:line="360" w:lineRule="auto"/>
        <w:ind w:right="480" w:firstLine="240" w:firstLineChars="100"/>
        <w:contextualSpacing/>
        <w:jc w:val="center"/>
        <w:rPr>
          <w:rFonts w:hint="eastAsia" w:ascii="宋体" w:hAnsi="宋体" w:cs="宋体"/>
          <w:color w:val="auto"/>
          <w:sz w:val="24"/>
          <w:highlight w:val="none"/>
        </w:rPr>
      </w:pPr>
    </w:p>
    <w:p w14:paraId="18019E04">
      <w:pPr>
        <w:spacing w:line="360" w:lineRule="auto"/>
        <w:ind w:right="480" w:firstLine="240" w:firstLineChars="100"/>
        <w:contextualSpacing/>
        <w:jc w:val="center"/>
        <w:rPr>
          <w:rFonts w:hint="eastAsia" w:ascii="宋体" w:hAnsi="宋体" w:cs="宋体"/>
          <w:color w:val="auto"/>
          <w:sz w:val="24"/>
          <w:highlight w:val="none"/>
        </w:rPr>
      </w:pPr>
    </w:p>
    <w:p w14:paraId="32E75FED">
      <w:pPr>
        <w:spacing w:line="360" w:lineRule="auto"/>
        <w:ind w:right="480" w:firstLine="240" w:firstLineChars="100"/>
        <w:contextualSpacing/>
        <w:jc w:val="center"/>
        <w:rPr>
          <w:rFonts w:hint="eastAsia" w:ascii="宋体" w:hAnsi="宋体" w:cs="宋体"/>
          <w:color w:val="auto"/>
          <w:sz w:val="24"/>
          <w:highlight w:val="none"/>
        </w:rPr>
      </w:pPr>
    </w:p>
    <w:p w14:paraId="3803614B">
      <w:pPr>
        <w:spacing w:line="360" w:lineRule="auto"/>
        <w:ind w:right="480" w:firstLine="240" w:firstLineChars="100"/>
        <w:contextualSpacing/>
        <w:jc w:val="center"/>
        <w:rPr>
          <w:rFonts w:hint="eastAsia" w:ascii="宋体" w:hAnsi="宋体" w:cs="宋体"/>
          <w:color w:val="auto"/>
          <w:sz w:val="24"/>
          <w:highlight w:val="none"/>
        </w:rPr>
      </w:pPr>
    </w:p>
    <w:p w14:paraId="0B1AFD75">
      <w:pPr>
        <w:spacing w:line="360" w:lineRule="auto"/>
        <w:ind w:right="480" w:firstLine="240" w:firstLineChars="100"/>
        <w:contextualSpacing/>
        <w:jc w:val="center"/>
        <w:rPr>
          <w:rFonts w:hint="eastAsia" w:ascii="宋体" w:hAnsi="宋体" w:cs="宋体"/>
          <w:color w:val="auto"/>
          <w:sz w:val="24"/>
          <w:highlight w:val="none"/>
        </w:rPr>
      </w:pPr>
    </w:p>
    <w:p w14:paraId="5974DDA5">
      <w:pPr>
        <w:spacing w:line="360" w:lineRule="auto"/>
        <w:ind w:right="480" w:firstLine="240" w:firstLineChars="100"/>
        <w:contextualSpacing/>
        <w:jc w:val="center"/>
        <w:rPr>
          <w:rFonts w:hint="eastAsia" w:ascii="宋体" w:hAnsi="宋体" w:cs="宋体"/>
          <w:color w:val="auto"/>
          <w:sz w:val="24"/>
          <w:highlight w:val="none"/>
        </w:rPr>
      </w:pPr>
    </w:p>
    <w:p w14:paraId="7B639FE7">
      <w:pPr>
        <w:spacing w:line="360" w:lineRule="auto"/>
        <w:ind w:right="480" w:firstLine="240" w:firstLineChars="100"/>
        <w:contextualSpacing/>
        <w:jc w:val="center"/>
        <w:rPr>
          <w:rFonts w:hint="eastAsia" w:ascii="宋体" w:hAnsi="宋体" w:cs="宋体"/>
          <w:color w:val="auto"/>
          <w:sz w:val="24"/>
          <w:highlight w:val="none"/>
        </w:rPr>
      </w:pPr>
    </w:p>
    <w:p w14:paraId="6FEAC6EA">
      <w:pPr>
        <w:spacing w:line="360" w:lineRule="auto"/>
        <w:ind w:right="480" w:firstLine="240" w:firstLineChars="100"/>
        <w:contextualSpacing/>
        <w:jc w:val="center"/>
        <w:rPr>
          <w:rFonts w:hint="eastAsia" w:ascii="宋体" w:hAnsi="宋体" w:cs="宋体"/>
          <w:color w:val="auto"/>
          <w:sz w:val="24"/>
          <w:highlight w:val="none"/>
        </w:rPr>
      </w:pPr>
    </w:p>
    <w:p w14:paraId="78203386">
      <w:pPr>
        <w:spacing w:line="360" w:lineRule="auto"/>
        <w:ind w:right="480"/>
        <w:contextualSpacing/>
        <w:jc w:val="both"/>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5D49B1B">
      <w:pPr>
        <w:spacing w:line="320" w:lineRule="exact"/>
        <w:jc w:val="both"/>
        <w:rPr>
          <w:rFonts w:ascii="宋体" w:hAnsi="宋体" w:cs="宋体"/>
          <w:b/>
          <w:color w:val="auto"/>
          <w:sz w:val="32"/>
          <w:szCs w:val="32"/>
          <w:highlight w:val="none"/>
        </w:rPr>
      </w:pPr>
    </w:p>
    <w:p w14:paraId="3E1742AD">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035F08CA">
      <w:pPr>
        <w:spacing w:line="320" w:lineRule="exact"/>
        <w:jc w:val="center"/>
        <w:rPr>
          <w:rFonts w:ascii="宋体" w:hAnsi="宋体" w:cs="宋体"/>
          <w:color w:val="auto"/>
          <w:sz w:val="24"/>
          <w:szCs w:val="20"/>
          <w:highlight w:val="none"/>
        </w:rPr>
      </w:pPr>
    </w:p>
    <w:p w14:paraId="3355E3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64A7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A3D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6DB7E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B8061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01E9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10E23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3A0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A823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3284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46DD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AEC5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5412F6E">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1DE3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1BA4A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0E5BA56">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9E16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2D6BF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5AAF223">
      <w:pPr>
        <w:spacing w:line="360" w:lineRule="auto"/>
        <w:contextualSpacing/>
        <w:jc w:val="left"/>
        <w:rPr>
          <w:rFonts w:hint="eastAsia" w:ascii="宋体" w:hAnsi="宋体" w:cs="宋体"/>
          <w:b/>
          <w:color w:val="auto"/>
          <w:sz w:val="24"/>
          <w:highlight w:val="none"/>
        </w:rPr>
      </w:pPr>
    </w:p>
    <w:p w14:paraId="7A82FC17">
      <w:pPr>
        <w:spacing w:line="360" w:lineRule="auto"/>
        <w:contextualSpacing/>
        <w:jc w:val="left"/>
        <w:rPr>
          <w:rFonts w:hint="eastAsia" w:ascii="宋体" w:hAnsi="宋体" w:cs="宋体"/>
          <w:color w:val="auto"/>
          <w:szCs w:val="21"/>
          <w:highlight w:val="none"/>
        </w:rPr>
      </w:pPr>
    </w:p>
    <w:p w14:paraId="21E00605">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47A7D065">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464BB6EB">
      <w:pPr>
        <w:widowControl/>
        <w:spacing w:line="360" w:lineRule="auto"/>
        <w:jc w:val="left"/>
        <w:rPr>
          <w:rFonts w:hint="eastAsia"/>
          <w:color w:val="auto"/>
          <w:sz w:val="24"/>
          <w:szCs w:val="24"/>
          <w:highlight w:val="none"/>
          <w:lang w:val="zh-CN"/>
        </w:rPr>
        <w:sectPr>
          <w:pgSz w:w="11910" w:h="16840"/>
          <w:pgMar w:top="1340" w:right="1500" w:bottom="280" w:left="1680" w:header="720" w:footer="720" w:gutter="0"/>
          <w:cols w:space="720" w:num="1"/>
        </w:sect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w:t>
      </w:r>
    </w:p>
    <w:p w14:paraId="17188202">
      <w:pPr>
        <w:pStyle w:val="33"/>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auto"/>
          <w:sz w:val="30"/>
          <w:szCs w:val="30"/>
          <w:highlight w:val="none"/>
        </w:rPr>
      </w:pPr>
    </w:p>
    <w:p w14:paraId="6263F00C">
      <w:pPr>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资格条件证明材料：</w:t>
      </w:r>
      <w:r>
        <w:rPr>
          <w:rFonts w:hint="eastAsia" w:ascii="宋体" w:hAnsi="宋体" w:cs="宋体"/>
          <w:b/>
          <w:bCs/>
          <w:color w:val="auto"/>
          <w:sz w:val="24"/>
          <w:highlight w:val="none"/>
          <w:lang w:eastAsia="zh-CN"/>
        </w:rPr>
        <w:t>①</w:t>
      </w:r>
      <w:r>
        <w:rPr>
          <w:rFonts w:hint="eastAsia" w:ascii="宋体" w:hAnsi="宋体" w:cs="宋体"/>
          <w:b/>
          <w:bCs/>
          <w:color w:val="auto"/>
          <w:sz w:val="24"/>
          <w:highlight w:val="none"/>
        </w:rPr>
        <w:t>供应商须具备公路工程施工总承包叁级(含)以上资质，</w:t>
      </w:r>
      <w:r>
        <w:rPr>
          <w:rFonts w:hint="eastAsia" w:ascii="宋体" w:hAnsi="宋体" w:cs="宋体"/>
          <w:b/>
          <w:bCs/>
          <w:color w:val="auto"/>
          <w:sz w:val="24"/>
          <w:highlight w:val="none"/>
          <w:lang w:val="en-US" w:eastAsia="zh-CN"/>
        </w:rPr>
        <w:t>同时</w:t>
      </w:r>
      <w:r>
        <w:rPr>
          <w:rFonts w:hint="eastAsia" w:ascii="宋体" w:hAnsi="宋体" w:cs="宋体"/>
          <w:b/>
          <w:bCs/>
          <w:color w:val="auto"/>
          <w:sz w:val="24"/>
          <w:highlight w:val="none"/>
        </w:rPr>
        <w:t>持有省级及以上建设行政主管部门颁发的安全生产许可证；②</w:t>
      </w:r>
      <w:r>
        <w:rPr>
          <w:rFonts w:hint="eastAsia" w:ascii="宋体" w:hAnsi="宋体" w:cs="宋体"/>
          <w:b/>
          <w:bCs/>
          <w:color w:val="auto"/>
          <w:sz w:val="24"/>
          <w:highlight w:val="none"/>
          <w:lang w:val="en-US" w:eastAsia="zh-CN"/>
        </w:rPr>
        <w:t>拟投入本项目的</w:t>
      </w:r>
      <w:r>
        <w:rPr>
          <w:rFonts w:hint="eastAsia" w:ascii="宋体" w:hAnsi="宋体" w:cs="宋体"/>
          <w:b/>
          <w:bCs/>
          <w:color w:val="auto"/>
          <w:sz w:val="24"/>
          <w:highlight w:val="none"/>
        </w:rPr>
        <w:t>项目经理须</w:t>
      </w:r>
      <w:r>
        <w:rPr>
          <w:rFonts w:hint="eastAsia" w:ascii="宋体" w:hAnsi="宋体" w:cs="宋体"/>
          <w:b/>
          <w:bCs/>
          <w:color w:val="auto"/>
          <w:sz w:val="24"/>
          <w:highlight w:val="none"/>
          <w:lang w:val="en-US" w:eastAsia="zh-CN"/>
        </w:rPr>
        <w:t>具备</w:t>
      </w:r>
      <w:r>
        <w:rPr>
          <w:rFonts w:hint="eastAsia" w:ascii="宋体" w:hAnsi="宋体" w:cs="宋体"/>
          <w:b/>
          <w:bCs/>
          <w:color w:val="auto"/>
          <w:sz w:val="24"/>
          <w:highlight w:val="none"/>
        </w:rPr>
        <w:t>公路工程专业</w:t>
      </w:r>
      <w:r>
        <w:rPr>
          <w:rFonts w:hint="eastAsia" w:ascii="宋体" w:hAnsi="宋体" w:cs="宋体"/>
          <w:b/>
          <w:bCs/>
          <w:color w:val="auto"/>
          <w:sz w:val="24"/>
          <w:highlight w:val="none"/>
          <w:lang w:val="en-US" w:eastAsia="zh-CN"/>
        </w:rPr>
        <w:t>贰</w:t>
      </w:r>
      <w:r>
        <w:rPr>
          <w:rFonts w:hint="eastAsia" w:ascii="宋体" w:hAnsi="宋体" w:cs="宋体"/>
          <w:b/>
          <w:bCs/>
          <w:color w:val="auto"/>
          <w:sz w:val="24"/>
          <w:highlight w:val="none"/>
        </w:rPr>
        <w:t>级以上(含</w:t>
      </w:r>
      <w:r>
        <w:rPr>
          <w:rFonts w:hint="eastAsia" w:ascii="宋体" w:hAnsi="宋体" w:cs="宋体"/>
          <w:b/>
          <w:bCs/>
          <w:color w:val="auto"/>
          <w:sz w:val="24"/>
          <w:highlight w:val="none"/>
          <w:lang w:val="en-US" w:eastAsia="zh-CN"/>
        </w:rPr>
        <w:t>贰级</w:t>
      </w:r>
      <w:r>
        <w:rPr>
          <w:rFonts w:hint="eastAsia" w:ascii="宋体" w:hAnsi="宋体" w:cs="宋体"/>
          <w:b/>
          <w:bCs/>
          <w:color w:val="auto"/>
          <w:sz w:val="24"/>
          <w:highlight w:val="none"/>
        </w:rPr>
        <w:t>)注册建造师资格，并持有省级或以上交通运输行政主管部门颁发的安全生产考核合格证(“三类人员”B 类证书)</w:t>
      </w:r>
      <w:r>
        <w:rPr>
          <w:rFonts w:hint="eastAsia" w:ascii="宋体" w:hAnsi="宋体" w:cs="宋体"/>
          <w:b/>
          <w:bCs/>
          <w:color w:val="auto"/>
          <w:sz w:val="24"/>
          <w:highlight w:val="none"/>
          <w:lang w:eastAsia="zh-CN"/>
        </w:rPr>
        <w:t>，③</w:t>
      </w:r>
      <w:r>
        <w:rPr>
          <w:rFonts w:hint="eastAsia" w:ascii="宋体" w:hAnsi="宋体" w:cs="宋体"/>
          <w:b/>
          <w:bCs/>
          <w:color w:val="auto"/>
          <w:sz w:val="24"/>
          <w:highlight w:val="none"/>
          <w:lang w:val="en-US" w:eastAsia="zh-CN"/>
        </w:rPr>
        <w:t>拟投入本项目的安全员应具有省级（或以上）交通主管部门颁发的《安全生产考核合格证书》 C证</w:t>
      </w:r>
    </w:p>
    <w:p w14:paraId="06B57C75">
      <w:pPr>
        <w:snapToGrid w:val="0"/>
        <w:spacing w:line="360" w:lineRule="auto"/>
        <w:ind w:firstLine="602" w:firstLineChars="200"/>
        <w:rPr>
          <w:rFonts w:ascii="宋体" w:hAnsi="宋体" w:cs="宋体"/>
          <w:b/>
          <w:color w:val="auto"/>
          <w:sz w:val="30"/>
          <w:szCs w:val="30"/>
          <w:highlight w:val="none"/>
        </w:rPr>
      </w:pPr>
    </w:p>
    <w:p w14:paraId="7FC72565">
      <w:pPr>
        <w:spacing w:line="360" w:lineRule="auto"/>
        <w:contextualSpacing/>
        <w:rPr>
          <w:rFonts w:hint="eastAsia" w:ascii="宋体" w:hAnsi="宋体" w:cs="宋体"/>
          <w:color w:val="auto"/>
          <w:sz w:val="24"/>
          <w:highlight w:val="none"/>
          <w:lang w:val="zh-CN" w:eastAsia="zh-CN"/>
        </w:rPr>
      </w:pPr>
    </w:p>
    <w:p w14:paraId="1636AEB2">
      <w:pPr>
        <w:spacing w:line="360" w:lineRule="auto"/>
        <w:contextualSpacing/>
        <w:rPr>
          <w:rFonts w:hint="eastAsia" w:ascii="宋体" w:hAnsi="宋体" w:cs="宋体"/>
          <w:color w:val="auto"/>
          <w:sz w:val="24"/>
          <w:highlight w:val="none"/>
          <w:lang w:val="zh-CN" w:eastAsia="zh-CN"/>
        </w:rPr>
      </w:pPr>
    </w:p>
    <w:p w14:paraId="759FE6ED">
      <w:pPr>
        <w:spacing w:line="360" w:lineRule="auto"/>
        <w:contextualSpacing/>
        <w:rPr>
          <w:rFonts w:hint="eastAsia" w:ascii="宋体" w:hAnsi="宋体" w:cs="宋体"/>
          <w:color w:val="auto"/>
          <w:sz w:val="24"/>
          <w:highlight w:val="none"/>
          <w:lang w:val="zh-CN" w:eastAsia="zh-CN"/>
        </w:rPr>
      </w:pPr>
    </w:p>
    <w:p w14:paraId="116D9287">
      <w:pPr>
        <w:spacing w:line="360" w:lineRule="auto"/>
        <w:contextualSpacing/>
        <w:rPr>
          <w:rFonts w:hint="eastAsia" w:ascii="宋体" w:hAnsi="宋体" w:cs="宋体"/>
          <w:color w:val="auto"/>
          <w:sz w:val="24"/>
          <w:highlight w:val="none"/>
          <w:lang w:val="en-US" w:eastAsia="zh-CN"/>
        </w:rPr>
      </w:pPr>
    </w:p>
    <w:p w14:paraId="4EBB53D3">
      <w:pPr>
        <w:spacing w:line="360" w:lineRule="auto"/>
        <w:contextualSpacing/>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八、承诺函</w:t>
      </w:r>
    </w:p>
    <w:p w14:paraId="7BB63DEA">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承诺函（一）</w:t>
      </w:r>
    </w:p>
    <w:p w14:paraId="6C5EEC3D">
      <w:pPr>
        <w:spacing w:before="240" w:after="240" w:line="500" w:lineRule="exact"/>
        <w:rPr>
          <w:rFonts w:ascii="宋体" w:hAnsi="宋体" w:cs="宋体"/>
          <w:color w:val="auto"/>
          <w:szCs w:val="21"/>
          <w:highlight w:val="none"/>
          <w:u w:val="single"/>
        </w:rPr>
      </w:pPr>
      <w:r>
        <w:rPr>
          <w:rFonts w:hint="eastAsia" w:ascii="宋体" w:hAnsi="宋体" w:cs="宋体"/>
          <w:color w:val="auto"/>
          <w:szCs w:val="21"/>
          <w:highlight w:val="none"/>
          <w:u w:val="single"/>
        </w:rPr>
        <w:t>致：（</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rPr>
        <w:t>名称）：</w:t>
      </w:r>
    </w:p>
    <w:p w14:paraId="4548A3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我公司决定参加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采购活动</w:t>
      </w:r>
      <w:r>
        <w:rPr>
          <w:rFonts w:hint="eastAsia" w:ascii="宋体" w:hAnsi="宋体" w:cs="宋体"/>
          <w:color w:val="auto"/>
          <w:szCs w:val="21"/>
          <w:highlight w:val="none"/>
        </w:rPr>
        <w:t>并作出如下承诺：</w:t>
      </w:r>
    </w:p>
    <w:p w14:paraId="061355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一、我公司保证在递交</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文件截止之日止，在已完或在建的项目中没有存在拖欠或克扣农民工工资的行为；</w:t>
      </w:r>
    </w:p>
    <w:p w14:paraId="38A0C3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后，同意按工程</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价的2%缴纳农民工工资保障金；</w:t>
      </w:r>
    </w:p>
    <w:p w14:paraId="52B306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，保证依法足额支付农民工工资，一旦本公司承建的项目出现拖欠农民工工资的，可由劳动保障、交通主管部门（或交通主管部门授权的机构）及建设单位根据相关规定从本公司的农民工工资保障金中先予支取。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四、农民工工资保障金按现金支票或银行汇票的方式汇到发包人指定帐户。</w:t>
      </w:r>
    </w:p>
    <w:p w14:paraId="2458A83C">
      <w:pPr>
        <w:spacing w:line="500" w:lineRule="exact"/>
        <w:ind w:left="420" w:firstLine="480"/>
        <w:rPr>
          <w:rFonts w:ascii="宋体" w:hAnsi="宋体" w:cs="宋体"/>
          <w:color w:val="auto"/>
          <w:szCs w:val="21"/>
          <w:highlight w:val="none"/>
        </w:rPr>
      </w:pPr>
    </w:p>
    <w:p w14:paraId="06357AA1">
      <w:pPr>
        <w:ind w:left="420" w:firstLine="480"/>
        <w:rPr>
          <w:rFonts w:ascii="宋体" w:hAnsi="宋体" w:cs="宋体"/>
          <w:color w:val="auto"/>
          <w:szCs w:val="21"/>
          <w:highlight w:val="none"/>
        </w:rPr>
      </w:pPr>
    </w:p>
    <w:p w14:paraId="7198323A">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B71D1EE">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17B29707">
      <w:pPr>
        <w:spacing w:line="500" w:lineRule="exact"/>
        <w:rPr>
          <w:rFonts w:ascii="宋体" w:hAnsi="宋体" w:cs="宋体"/>
          <w:color w:val="auto"/>
          <w:szCs w:val="21"/>
          <w:highlight w:val="none"/>
        </w:rPr>
      </w:pPr>
    </w:p>
    <w:p w14:paraId="60056B36">
      <w:pPr>
        <w:spacing w:before="240" w:after="240" w:line="500" w:lineRule="exact"/>
        <w:jc w:val="center"/>
        <w:rPr>
          <w:rFonts w:ascii="宋体" w:hAnsi="宋体" w:cs="宋体"/>
          <w:color w:val="auto"/>
          <w:sz w:val="24"/>
          <w:highlight w:val="none"/>
        </w:rPr>
      </w:pPr>
    </w:p>
    <w:p w14:paraId="6F11D844">
      <w:pPr>
        <w:spacing w:before="240" w:after="240" w:line="500" w:lineRule="exact"/>
        <w:jc w:val="center"/>
        <w:rPr>
          <w:rFonts w:ascii="宋体" w:hAnsi="宋体" w:cs="宋体"/>
          <w:color w:val="auto"/>
          <w:sz w:val="24"/>
          <w:highlight w:val="none"/>
        </w:rPr>
      </w:pPr>
    </w:p>
    <w:p w14:paraId="4AB3E01A">
      <w:pPr>
        <w:spacing w:before="240" w:after="240" w:line="500" w:lineRule="exact"/>
        <w:jc w:val="center"/>
        <w:rPr>
          <w:rFonts w:ascii="宋体" w:hAnsi="宋体" w:cs="宋体"/>
          <w:color w:val="auto"/>
          <w:sz w:val="24"/>
          <w:highlight w:val="none"/>
        </w:rPr>
      </w:pPr>
    </w:p>
    <w:p w14:paraId="1C5A128E">
      <w:pPr>
        <w:spacing w:before="240" w:after="240" w:line="500" w:lineRule="exact"/>
        <w:jc w:val="center"/>
        <w:rPr>
          <w:rFonts w:ascii="宋体" w:hAnsi="宋体" w:cs="宋体"/>
          <w:color w:val="auto"/>
          <w:sz w:val="24"/>
          <w:highlight w:val="none"/>
        </w:rPr>
      </w:pPr>
    </w:p>
    <w:p w14:paraId="21E33121">
      <w:pPr>
        <w:spacing w:before="240" w:after="240" w:line="500" w:lineRule="exact"/>
        <w:jc w:val="center"/>
        <w:rPr>
          <w:rFonts w:ascii="宋体" w:hAnsi="宋体" w:cs="宋体"/>
          <w:color w:val="auto"/>
          <w:sz w:val="24"/>
          <w:highlight w:val="none"/>
        </w:rPr>
      </w:pPr>
    </w:p>
    <w:p w14:paraId="4B157C99">
      <w:pPr>
        <w:spacing w:before="240" w:after="240" w:line="500" w:lineRule="exact"/>
        <w:jc w:val="center"/>
        <w:rPr>
          <w:rFonts w:ascii="宋体" w:hAnsi="宋体" w:cs="宋体"/>
          <w:color w:val="auto"/>
          <w:sz w:val="24"/>
          <w:highlight w:val="none"/>
        </w:rPr>
      </w:pPr>
    </w:p>
    <w:p w14:paraId="2230DED1">
      <w:pPr>
        <w:spacing w:before="240" w:after="240" w:line="500" w:lineRule="exact"/>
        <w:jc w:val="center"/>
        <w:rPr>
          <w:rFonts w:ascii="宋体" w:hAnsi="宋体" w:cs="宋体"/>
          <w:color w:val="auto"/>
          <w:sz w:val="24"/>
          <w:highlight w:val="none"/>
        </w:rPr>
      </w:pPr>
    </w:p>
    <w:p w14:paraId="20FFDE64">
      <w:pPr>
        <w:spacing w:before="240" w:after="240" w:line="500" w:lineRule="exact"/>
        <w:jc w:val="center"/>
        <w:rPr>
          <w:rFonts w:ascii="宋体" w:hAnsi="宋体" w:cs="宋体"/>
          <w:color w:val="auto"/>
          <w:sz w:val="24"/>
          <w:highlight w:val="none"/>
        </w:rPr>
      </w:pPr>
    </w:p>
    <w:p w14:paraId="044F1C95">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承诺函（二）</w:t>
      </w:r>
    </w:p>
    <w:p w14:paraId="21817D1E">
      <w:pPr>
        <w:spacing w:before="240" w:after="240"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名称）：</w:t>
      </w:r>
    </w:p>
    <w:p w14:paraId="256D07C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我方参加了</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en-US" w:eastAsia="zh-CN"/>
        </w:rPr>
        <w:t>的采购活动</w:t>
      </w:r>
      <w:r>
        <w:rPr>
          <w:rFonts w:hint="eastAsia" w:ascii="宋体" w:hAnsi="宋体" w:cs="宋体"/>
          <w:color w:val="auto"/>
          <w:szCs w:val="21"/>
          <w:highlight w:val="none"/>
        </w:rPr>
        <w:t>，若我方</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，我方在此承诺：</w:t>
      </w:r>
    </w:p>
    <w:p w14:paraId="13BFC8C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文件未要求我方在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人向我方发出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通知书之前，我方将按照合同附件提出的最低要求填报派驻本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的其他主要管理人员和技术人员及主要机械设备和试验检测设备，在经</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人审批后作为派驻本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的项目管理机构主要人员和主要设备且不进行更换，如需更换须经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w:t>
      </w:r>
    </w:p>
    <w:p w14:paraId="1B5E8B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若我方已按本项目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的其他主要管理人员和技术人员及主要机械设备和试验检测设备，我方将严格按照在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如我方违背了上述承诺，本项目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人有权取消我方的</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人将我方的违约行为上报交通行政主管部门，作为不良记录纳入公路建设市场信息管理系统。</w:t>
      </w:r>
    </w:p>
    <w:p w14:paraId="747FAB11">
      <w:pPr>
        <w:spacing w:line="500" w:lineRule="exact"/>
        <w:rPr>
          <w:rFonts w:ascii="宋体" w:hAnsi="宋体" w:cs="宋体"/>
          <w:color w:val="auto"/>
          <w:szCs w:val="21"/>
          <w:highlight w:val="none"/>
        </w:rPr>
      </w:pPr>
    </w:p>
    <w:p w14:paraId="02088AF4">
      <w:pPr>
        <w:rPr>
          <w:rFonts w:ascii="宋体" w:hAnsi="宋体" w:cs="宋体"/>
          <w:color w:val="auto"/>
          <w:szCs w:val="21"/>
          <w:highlight w:val="none"/>
        </w:rPr>
      </w:pPr>
    </w:p>
    <w:p w14:paraId="21FBB139">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8EA6F23">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2B57718B">
      <w:pPr>
        <w:numPr>
          <w:ilvl w:val="0"/>
          <w:numId w:val="0"/>
        </w:numPr>
        <w:snapToGrid w:val="0"/>
        <w:spacing w:line="360" w:lineRule="auto"/>
        <w:rPr>
          <w:rFonts w:hint="eastAsia" w:ascii="宋体" w:hAnsi="宋体" w:eastAsia="宋体" w:cs="宋体"/>
          <w:b/>
          <w:color w:val="auto"/>
          <w:sz w:val="30"/>
          <w:szCs w:val="30"/>
          <w:highlight w:val="none"/>
          <w:lang w:val="en-US" w:eastAsia="zh-CN"/>
        </w:rPr>
      </w:pPr>
    </w:p>
    <w:p w14:paraId="279F1344">
      <w:pPr>
        <w:pStyle w:val="3"/>
        <w:jc w:val="center"/>
        <w:rPr>
          <w:rFonts w:hint="eastAsia" w:ascii="宋体" w:hAnsi="宋体" w:cs="宋体"/>
          <w:b w:val="0"/>
          <w:bCs w:val="0"/>
          <w:color w:val="auto"/>
          <w:highlight w:val="none"/>
        </w:rPr>
      </w:pPr>
      <w:bookmarkStart w:id="75" w:name="_Toc10861"/>
      <w:bookmarkStart w:id="76" w:name="_Toc80205940"/>
    </w:p>
    <w:p w14:paraId="17A5EFEF">
      <w:pPr>
        <w:pStyle w:val="3"/>
        <w:jc w:val="both"/>
        <w:rPr>
          <w:rFonts w:hint="eastAsia" w:ascii="宋体" w:hAnsi="宋体" w:cs="宋体"/>
          <w:b w:val="0"/>
          <w:bCs w:val="0"/>
          <w:color w:val="auto"/>
          <w:highlight w:val="none"/>
        </w:rPr>
      </w:pPr>
    </w:p>
    <w:p w14:paraId="546F607B">
      <w:pPr>
        <w:rPr>
          <w:rFonts w:hint="eastAsia"/>
          <w:color w:val="auto"/>
          <w:highlight w:val="none"/>
        </w:rPr>
      </w:pPr>
    </w:p>
    <w:p w14:paraId="2139C090">
      <w:pPr>
        <w:pStyle w:val="3"/>
        <w:jc w:val="center"/>
        <w:rPr>
          <w:rFonts w:hint="eastAsia" w:ascii="宋体" w:hAnsi="宋体" w:cs="宋体"/>
          <w:b w:val="0"/>
          <w:bCs w:val="0"/>
          <w:color w:val="auto"/>
          <w:highlight w:val="none"/>
        </w:rPr>
      </w:pPr>
    </w:p>
    <w:p w14:paraId="1794892C">
      <w:pPr>
        <w:rPr>
          <w:rFonts w:hint="eastAsia" w:ascii="宋体" w:hAnsi="宋体" w:cs="宋体"/>
          <w:b w:val="0"/>
          <w:bCs w:val="0"/>
          <w:color w:val="auto"/>
          <w:highlight w:val="none"/>
        </w:rPr>
      </w:pPr>
    </w:p>
    <w:p w14:paraId="46E6DBD6">
      <w:pP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5"/>
      <w:bookmarkEnd w:id="76"/>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7" w:name="PO_3000001868_PM002_6"/>
      <w:r>
        <w:rPr>
          <w:rFonts w:hint="eastAsia" w:ascii="宋体" w:hAnsi="宋体" w:cs="宋体"/>
          <w:bCs/>
          <w:color w:val="auto"/>
          <w:sz w:val="32"/>
          <w:szCs w:val="32"/>
          <w:highlight w:val="none"/>
        </w:rPr>
        <w:t>[项目名称]</w:t>
      </w:r>
      <w:bookmarkEnd w:id="77"/>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8" w:name="PO_3000001868_PM001_7"/>
      <w:r>
        <w:rPr>
          <w:rFonts w:hint="eastAsia" w:ascii="宋体" w:hAnsi="宋体" w:cs="宋体"/>
          <w:bCs/>
          <w:color w:val="auto"/>
          <w:sz w:val="32"/>
          <w:szCs w:val="32"/>
          <w:highlight w:val="none"/>
        </w:rPr>
        <w:t>[项目编号]</w:t>
      </w:r>
      <w:bookmarkEnd w:id="78"/>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3F39D35">
      <w:pPr>
        <w:pStyle w:val="8"/>
        <w:snapToGrid w:val="0"/>
        <w:spacing w:before="50" w:after="50"/>
        <w:ind w:firstLine="720" w:firstLineChars="225"/>
        <w:rPr>
          <w:rFonts w:ascii="宋体" w:hAnsi="宋体" w:cs="宋体"/>
          <w:bCs/>
          <w:color w:val="auto"/>
          <w:sz w:val="32"/>
          <w:szCs w:val="32"/>
          <w:highlight w:val="none"/>
        </w:rPr>
      </w:pPr>
    </w:p>
    <w:p w14:paraId="575584AC">
      <w:pPr>
        <w:pStyle w:val="8"/>
        <w:snapToGrid w:val="0"/>
        <w:spacing w:before="50" w:after="50"/>
        <w:ind w:firstLine="720" w:firstLineChars="225"/>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2E08F2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6CB65DD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512BB0A">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7245A7B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、项目实施人员一览表……………………………………（页码）</w:t>
      </w:r>
    </w:p>
    <w:p w14:paraId="1EDA5D46">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代理服务费承诺书</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290299">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E6C50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DFCE5D1">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650C3F5">
      <w:pPr>
        <w:adjustRightInd w:val="0"/>
        <w:snapToGrid w:val="0"/>
        <w:spacing w:line="300" w:lineRule="auto"/>
        <w:jc w:val="left"/>
        <w:rPr>
          <w:rFonts w:ascii="宋体" w:hAnsi="宋体" w:cs="宋体"/>
          <w:b/>
          <w:color w:val="auto"/>
          <w:szCs w:val="21"/>
          <w:highlight w:val="none"/>
        </w:rPr>
      </w:pPr>
    </w:p>
    <w:p w14:paraId="04209AD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9" w:name="PO_3000001868_PM031_7"/>
      <w:r>
        <w:rPr>
          <w:rFonts w:hint="eastAsia" w:ascii="宋体" w:hAnsi="宋体" w:cs="宋体"/>
          <w:color w:val="auto"/>
          <w:sz w:val="24"/>
          <w:highlight w:val="none"/>
          <w:u w:val="single"/>
        </w:rPr>
        <w:t>[采购组织机构]</w:t>
      </w:r>
      <w:bookmarkEnd w:id="79"/>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0" w:name="PO_3000001868_PM002_7"/>
      <w:r>
        <w:rPr>
          <w:rFonts w:hint="eastAsia" w:ascii="宋体" w:hAnsi="宋体" w:cs="宋体"/>
          <w:color w:val="auto"/>
          <w:sz w:val="24"/>
          <w:highlight w:val="none"/>
          <w:u w:val="single"/>
        </w:rPr>
        <w:t>[项目名称]</w:t>
      </w:r>
      <w:bookmarkEnd w:id="8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         法定代表人（签字或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 xml:space="preserve">）：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3EEF038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1" w:name="PO_3000001868_PM001_8"/>
      <w:r>
        <w:rPr>
          <w:rFonts w:hint="eastAsia" w:ascii="宋体" w:hAnsi="宋体" w:cs="宋体"/>
          <w:color w:val="auto"/>
          <w:sz w:val="24"/>
          <w:highlight w:val="none"/>
          <w:u w:val="single"/>
        </w:rPr>
        <w:t>[项目编号]</w:t>
      </w:r>
      <w:bookmarkEnd w:id="81"/>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2" w:name="PO_3000001868_PM002_8"/>
      <w:r>
        <w:rPr>
          <w:rFonts w:hint="eastAsia" w:ascii="宋体" w:hAnsi="宋体" w:cs="宋体"/>
          <w:color w:val="auto"/>
          <w:sz w:val="24"/>
          <w:highlight w:val="none"/>
          <w:u w:val="single"/>
        </w:rPr>
        <w:t>[项目名称]</w:t>
      </w:r>
      <w:bookmarkEnd w:id="82"/>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81FC9AF">
      <w:pPr>
        <w:snapToGrid w:val="0"/>
        <w:spacing w:line="360" w:lineRule="auto"/>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施工组织设计</w:t>
      </w:r>
    </w:p>
    <w:p w14:paraId="5B7251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w:t>
      </w:r>
      <w:r>
        <w:rPr>
          <w:rFonts w:hint="eastAsia" w:ascii="宋体" w:hAnsi="宋体" w:cs="宋体"/>
          <w:color w:val="auto"/>
          <w:sz w:val="24"/>
          <w:highlight w:val="none"/>
          <w:lang w:val="en-US" w:eastAsia="zh-CN"/>
        </w:rPr>
        <w:t>评审办法内容编制</w:t>
      </w:r>
      <w:r>
        <w:rPr>
          <w:rFonts w:hint="eastAsia" w:ascii="宋体" w:hAnsi="宋体" w:cs="宋体"/>
          <w:color w:val="auto"/>
          <w:sz w:val="24"/>
          <w:highlight w:val="none"/>
        </w:rPr>
        <w:t>）</w:t>
      </w:r>
    </w:p>
    <w:p w14:paraId="0DE13E75">
      <w:pPr>
        <w:rPr>
          <w:rFonts w:ascii="宋体" w:hAnsi="宋体" w:cs="宋体"/>
          <w:b/>
          <w:bCs/>
          <w:color w:val="auto"/>
          <w:kern w:val="0"/>
          <w:sz w:val="24"/>
          <w:highlight w:val="none"/>
          <w:lang w:val="zh-CN"/>
        </w:rPr>
      </w:pPr>
      <w:bookmarkStart w:id="83"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83"/>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auto"/>
                <w:sz w:val="24"/>
                <w:highlight w:val="none"/>
              </w:rPr>
            </w:pPr>
          </w:p>
          <w:p w14:paraId="34B3BD3F">
            <w:pPr>
              <w:spacing w:line="360" w:lineRule="auto"/>
              <w:rPr>
                <w:rFonts w:ascii="宋体" w:hAnsi="宋体" w:cs="宋体"/>
                <w:color w:val="auto"/>
                <w:sz w:val="24"/>
                <w:highlight w:val="none"/>
              </w:rPr>
            </w:pPr>
          </w:p>
          <w:p w14:paraId="3940FA5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auto"/>
                <w:sz w:val="24"/>
                <w:highlight w:val="none"/>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auto"/>
                <w:sz w:val="24"/>
                <w:highlight w:val="none"/>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auto"/>
                <w:sz w:val="24"/>
                <w:highlight w:val="none"/>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auto"/>
                <w:sz w:val="24"/>
                <w:highlight w:val="none"/>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auto"/>
                <w:sz w:val="24"/>
                <w:highlight w:val="none"/>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auto"/>
                <w:sz w:val="24"/>
                <w:highlight w:val="none"/>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auto"/>
                <w:sz w:val="24"/>
                <w:highlight w:val="none"/>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auto"/>
                <w:sz w:val="24"/>
                <w:highlight w:val="none"/>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auto"/>
                <w:sz w:val="24"/>
                <w:highlight w:val="none"/>
              </w:rPr>
            </w:pPr>
          </w:p>
        </w:tc>
      </w:tr>
    </w:tbl>
    <w:p w14:paraId="45496A85">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58FA0A8">
      <w:pPr>
        <w:snapToGrid w:val="0"/>
        <w:spacing w:line="360" w:lineRule="auto"/>
        <w:ind w:firstLine="602" w:firstLineChars="200"/>
        <w:rPr>
          <w:rFonts w:ascii="宋体" w:hAnsi="宋体" w:cs="宋体"/>
          <w:b/>
          <w:color w:val="auto"/>
          <w:sz w:val="30"/>
          <w:szCs w:val="30"/>
          <w:highlight w:val="none"/>
        </w:rPr>
      </w:pPr>
    </w:p>
    <w:p w14:paraId="772F6764">
      <w:pPr>
        <w:snapToGrid w:val="0"/>
        <w:spacing w:line="360" w:lineRule="auto"/>
        <w:ind w:firstLine="602" w:firstLineChars="200"/>
        <w:rPr>
          <w:rFonts w:ascii="宋体" w:hAnsi="宋体" w:cs="宋体"/>
          <w:b/>
          <w:color w:val="auto"/>
          <w:sz w:val="30"/>
          <w:szCs w:val="30"/>
          <w:highlight w:val="none"/>
        </w:rPr>
      </w:pPr>
    </w:p>
    <w:p w14:paraId="06F58BF3">
      <w:pPr>
        <w:snapToGrid w:val="0"/>
        <w:spacing w:line="360" w:lineRule="auto"/>
        <w:ind w:firstLine="602" w:firstLineChars="200"/>
        <w:rPr>
          <w:rFonts w:ascii="宋体" w:hAnsi="宋体" w:cs="宋体"/>
          <w:b/>
          <w:color w:val="auto"/>
          <w:sz w:val="30"/>
          <w:szCs w:val="30"/>
          <w:highlight w:val="none"/>
        </w:rPr>
      </w:pPr>
    </w:p>
    <w:p w14:paraId="579046E5">
      <w:pPr>
        <w:snapToGrid w:val="0"/>
        <w:spacing w:line="360" w:lineRule="auto"/>
        <w:ind w:firstLine="602" w:firstLineChars="200"/>
        <w:rPr>
          <w:rFonts w:ascii="宋体" w:hAnsi="宋体" w:cs="宋体"/>
          <w:b/>
          <w:color w:val="auto"/>
          <w:sz w:val="30"/>
          <w:szCs w:val="30"/>
          <w:highlight w:val="none"/>
        </w:rPr>
      </w:pPr>
    </w:p>
    <w:p w14:paraId="13838507">
      <w:pPr>
        <w:snapToGrid w:val="0"/>
        <w:spacing w:line="360" w:lineRule="auto"/>
        <w:ind w:firstLine="602" w:firstLineChars="200"/>
        <w:rPr>
          <w:rFonts w:ascii="宋体" w:hAnsi="宋体" w:cs="宋体"/>
          <w:b/>
          <w:color w:val="auto"/>
          <w:sz w:val="30"/>
          <w:szCs w:val="30"/>
          <w:highlight w:val="none"/>
        </w:rPr>
      </w:pPr>
    </w:p>
    <w:p w14:paraId="36D574AC">
      <w:pPr>
        <w:snapToGrid w:val="0"/>
        <w:spacing w:line="360" w:lineRule="auto"/>
        <w:ind w:firstLine="602" w:firstLineChars="200"/>
        <w:rPr>
          <w:rFonts w:ascii="宋体" w:hAnsi="宋体" w:cs="宋体"/>
          <w:b/>
          <w:color w:val="auto"/>
          <w:sz w:val="30"/>
          <w:szCs w:val="30"/>
          <w:highlight w:val="none"/>
        </w:rPr>
      </w:pPr>
    </w:p>
    <w:p w14:paraId="36CB11AB">
      <w:pPr>
        <w:snapToGrid w:val="0"/>
        <w:spacing w:line="360" w:lineRule="auto"/>
        <w:ind w:firstLine="602" w:firstLineChars="200"/>
        <w:rPr>
          <w:rFonts w:ascii="宋体" w:hAnsi="宋体" w:cs="宋体"/>
          <w:b/>
          <w:color w:val="auto"/>
          <w:sz w:val="30"/>
          <w:szCs w:val="30"/>
          <w:highlight w:val="none"/>
        </w:rPr>
      </w:pPr>
    </w:p>
    <w:p w14:paraId="23031F9F">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E140D7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auto"/>
                <w:sz w:val="24"/>
                <w:highlight w:val="none"/>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auto"/>
                <w:sz w:val="24"/>
                <w:highlight w:val="none"/>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auto"/>
                <w:sz w:val="24"/>
                <w:highlight w:val="none"/>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auto"/>
                <w:sz w:val="24"/>
                <w:highlight w:val="none"/>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auto"/>
                <w:sz w:val="24"/>
                <w:highlight w:val="none"/>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auto"/>
                <w:sz w:val="24"/>
                <w:highlight w:val="none"/>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auto"/>
                <w:sz w:val="24"/>
                <w:highlight w:val="none"/>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auto"/>
                <w:sz w:val="24"/>
                <w:highlight w:val="none"/>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auto"/>
                <w:sz w:val="24"/>
                <w:highlight w:val="none"/>
              </w:rPr>
            </w:pPr>
          </w:p>
        </w:tc>
      </w:tr>
    </w:tbl>
    <w:p w14:paraId="37A3158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D203269">
      <w:pPr>
        <w:autoSpaceDE w:val="0"/>
        <w:autoSpaceDN w:val="0"/>
        <w:spacing w:line="360" w:lineRule="auto"/>
        <w:rPr>
          <w:rFonts w:ascii="宋体" w:hAnsi="宋体" w:cs="宋体"/>
          <w:b/>
          <w:color w:val="auto"/>
          <w:sz w:val="24"/>
          <w:highlight w:val="none"/>
        </w:rPr>
      </w:pPr>
    </w:p>
    <w:p w14:paraId="7550E53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本项目的</w:t>
      </w:r>
      <w:r>
        <w:rPr>
          <w:rFonts w:hint="eastAsia" w:ascii="宋体" w:hAnsi="宋体" w:cs="宋体"/>
          <w:b/>
          <w:color w:val="auto"/>
          <w:sz w:val="24"/>
          <w:highlight w:val="none"/>
          <w:lang w:val="en-US" w:eastAsia="zh-CN"/>
        </w:rPr>
        <w:t>其他</w:t>
      </w:r>
      <w:r>
        <w:rPr>
          <w:rFonts w:hint="eastAsia" w:ascii="宋体" w:hAnsi="宋体" w:cs="宋体"/>
          <w:b/>
          <w:color w:val="auto"/>
          <w:sz w:val="24"/>
          <w:highlight w:val="none"/>
        </w:rPr>
        <w:t>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116"/>
        <w:gridCol w:w="1254"/>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116"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执业资格证书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54"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7154520B">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代理服务费承诺书</w:t>
      </w:r>
    </w:p>
    <w:p w14:paraId="3C468F40">
      <w:pPr>
        <w:numPr>
          <w:ilvl w:val="0"/>
          <w:numId w:val="0"/>
        </w:numPr>
        <w:snapToGrid w:val="0"/>
        <w:spacing w:line="360" w:lineRule="auto"/>
        <w:ind w:firstLine="2409" w:firstLineChars="800"/>
        <w:rPr>
          <w:rFonts w:hint="eastAsia" w:ascii="宋体" w:hAnsi="宋体" w:cs="宋体"/>
          <w:b/>
          <w:color w:val="auto"/>
          <w:sz w:val="30"/>
          <w:szCs w:val="30"/>
          <w:highlight w:val="none"/>
        </w:rPr>
      </w:pPr>
      <w:r>
        <w:rPr>
          <w:rFonts w:hint="eastAsia" w:ascii="宋体" w:hAnsi="宋体" w:cs="宋体"/>
          <w:b/>
          <w:color w:val="auto"/>
          <w:sz w:val="30"/>
          <w:szCs w:val="30"/>
          <w:highlight w:val="none"/>
        </w:rPr>
        <w:t>代理服务费承诺书</w:t>
      </w:r>
    </w:p>
    <w:p w14:paraId="5D8C1990">
      <w:pPr>
        <w:snapToGrid w:val="0"/>
        <w:spacing w:before="120" w:beforeLines="50" w:after="50"/>
        <w:jc w:val="center"/>
        <w:rPr>
          <w:rFonts w:hint="eastAsia" w:ascii="宋体" w:hAnsi="宋体"/>
          <w:b/>
          <w:color w:val="auto"/>
          <w:sz w:val="24"/>
          <w:highlight w:val="none"/>
        </w:rPr>
      </w:pPr>
    </w:p>
    <w:p w14:paraId="270C85F7">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16A9D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D8C12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5422D89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C56E23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95F0B1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CD5845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A28EE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E3DF54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02C2D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394F6F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78C603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112B7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2E11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2473CA">
      <w:pPr>
        <w:spacing w:line="440" w:lineRule="exact"/>
        <w:rPr>
          <w:rFonts w:hint="eastAsia" w:ascii="宋体" w:hAnsi="宋体"/>
          <w:color w:val="auto"/>
          <w:sz w:val="24"/>
          <w:highlight w:val="none"/>
        </w:rPr>
      </w:pPr>
    </w:p>
    <w:p w14:paraId="6932DBFE">
      <w:pPr>
        <w:spacing w:line="440" w:lineRule="exact"/>
        <w:rPr>
          <w:rFonts w:hint="eastAsia" w:ascii="宋体" w:hAnsi="宋体"/>
          <w:color w:val="auto"/>
          <w:sz w:val="24"/>
          <w:highlight w:val="none"/>
        </w:rPr>
      </w:pPr>
    </w:p>
    <w:p w14:paraId="1DE8A481">
      <w:pPr>
        <w:spacing w:line="440" w:lineRule="exact"/>
        <w:rPr>
          <w:rFonts w:hint="eastAsia" w:ascii="宋体" w:hAnsi="宋体"/>
          <w:color w:val="auto"/>
          <w:sz w:val="24"/>
          <w:highlight w:val="none"/>
        </w:rPr>
      </w:pPr>
    </w:p>
    <w:p w14:paraId="384721A7">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CC3B378">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37416EBB">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DCA8217">
      <w:pPr>
        <w:snapToGrid w:val="0"/>
        <w:spacing w:line="360" w:lineRule="auto"/>
        <w:ind w:firstLine="602" w:firstLineChars="200"/>
        <w:rPr>
          <w:rFonts w:hint="eastAsia" w:ascii="宋体" w:hAnsi="宋体" w:cs="宋体"/>
          <w:b/>
          <w:color w:val="auto"/>
          <w:sz w:val="30"/>
          <w:szCs w:val="30"/>
          <w:highlight w:val="none"/>
        </w:rPr>
      </w:pPr>
    </w:p>
    <w:p w14:paraId="734FBB0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.供应商认为需要提供的其他有关资料。</w:t>
      </w:r>
    </w:p>
    <w:p w14:paraId="1ECDE605">
      <w:pPr>
        <w:autoSpaceDE w:val="0"/>
        <w:autoSpaceDN w:val="0"/>
        <w:spacing w:line="360" w:lineRule="auto"/>
        <w:ind w:firstLine="6505" w:firstLineChars="2700"/>
        <w:rPr>
          <w:rFonts w:ascii="宋体" w:hAnsi="宋体" w:cs="宋体"/>
          <w:b/>
          <w:bCs/>
          <w:color w:val="auto"/>
          <w:sz w:val="24"/>
          <w:highlight w:val="none"/>
        </w:rPr>
      </w:pPr>
    </w:p>
    <w:p w14:paraId="2C9FD35A">
      <w:pPr>
        <w:pStyle w:val="3"/>
        <w:jc w:val="center"/>
        <w:rPr>
          <w:rFonts w:ascii="宋体" w:hAnsi="宋体" w:cs="宋体"/>
          <w:color w:val="auto"/>
          <w:highlight w:val="none"/>
        </w:rPr>
      </w:pPr>
      <w:bookmarkStart w:id="84" w:name="_Toc32512"/>
      <w:bookmarkStart w:id="85" w:name="_Toc80205941"/>
      <w:r>
        <w:rPr>
          <w:rFonts w:hint="eastAsia" w:ascii="宋体" w:hAnsi="宋体" w:cs="宋体"/>
          <w:color w:val="auto"/>
          <w:highlight w:val="none"/>
        </w:rPr>
        <w:t>第四节 报价文件格式</w:t>
      </w:r>
      <w:bookmarkEnd w:id="84"/>
      <w:bookmarkEnd w:id="85"/>
    </w:p>
    <w:p w14:paraId="31806E0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4420DF0">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6" w:name="PO_3000001868_PM002_9"/>
      <w:r>
        <w:rPr>
          <w:rFonts w:hint="eastAsia" w:ascii="宋体" w:hAnsi="宋体" w:cs="宋体"/>
          <w:bCs/>
          <w:color w:val="auto"/>
          <w:sz w:val="32"/>
          <w:szCs w:val="32"/>
          <w:highlight w:val="none"/>
        </w:rPr>
        <w:t>[项目名称]</w:t>
      </w:r>
      <w:bookmarkEnd w:id="86"/>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7" w:name="PO_3000001868_PM001_9"/>
      <w:r>
        <w:rPr>
          <w:rFonts w:hint="eastAsia" w:ascii="宋体" w:hAnsi="宋体" w:cs="宋体"/>
          <w:bCs/>
          <w:color w:val="auto"/>
          <w:sz w:val="32"/>
          <w:szCs w:val="32"/>
          <w:highlight w:val="none"/>
        </w:rPr>
        <w:t>[项目编号]</w:t>
      </w:r>
      <w:bookmarkEnd w:id="87"/>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6934453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三、已标价工程量清单</w:t>
      </w:r>
      <w:r>
        <w:rPr>
          <w:rFonts w:hint="eastAsia" w:ascii="宋体" w:hAnsi="宋体" w:eastAsia="宋体" w:cs="宋体"/>
          <w:color w:val="auto"/>
          <w:kern w:val="0"/>
          <w:sz w:val="24"/>
          <w:highlight w:val="none"/>
        </w:rPr>
        <w:t>………………………………………（页码）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8"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采购人或采购代理机构</w:t>
      </w:r>
      <w:r>
        <w:rPr>
          <w:rFonts w:hint="eastAsia" w:hAnsi="宋体" w:cs="宋体"/>
          <w:color w:val="auto"/>
          <w:sz w:val="21"/>
          <w:szCs w:val="21"/>
          <w:highlight w:val="none"/>
          <w:u w:val="single"/>
        </w:rPr>
        <w:t>]</w:t>
      </w:r>
      <w:bookmarkEnd w:id="88"/>
      <w:r>
        <w:rPr>
          <w:rFonts w:hint="eastAsia" w:hAnsi="宋体" w:cs="宋体"/>
          <w:color w:val="auto"/>
          <w:sz w:val="21"/>
          <w:szCs w:val="21"/>
          <w:highlight w:val="none"/>
          <w:u w:val="single"/>
        </w:rPr>
        <w:t xml:space="preserve"> </w:t>
      </w:r>
    </w:p>
    <w:p w14:paraId="678089CB">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9" w:name="PO_3000001868_PM002_10"/>
      <w:r>
        <w:rPr>
          <w:rFonts w:hint="eastAsia" w:hAnsi="宋体" w:cs="宋体"/>
          <w:color w:val="auto"/>
          <w:sz w:val="21"/>
          <w:szCs w:val="21"/>
          <w:highlight w:val="none"/>
          <w:u w:val="single"/>
        </w:rPr>
        <w:t>[项目名称]</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0" w:name="PO_3000001868_PM001_10"/>
      <w:r>
        <w:rPr>
          <w:rFonts w:hint="eastAsia" w:hAnsi="宋体" w:cs="宋体"/>
          <w:color w:val="auto"/>
          <w:sz w:val="21"/>
          <w:szCs w:val="21"/>
          <w:highlight w:val="none"/>
          <w:u w:val="single"/>
        </w:rPr>
        <w:t>[项目编号]</w:t>
      </w:r>
      <w:bookmarkEnd w:id="90"/>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5540207E">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035C89">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2C0E7845">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三、资格证明文件电子版（包含按“第三章供应商须知”提交的全部文件）；</w:t>
      </w:r>
    </w:p>
    <w:p w14:paraId="26466CF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51947E0E">
      <w:pPr>
        <w:pStyle w:val="15"/>
        <w:numPr>
          <w:ilvl w:val="0"/>
          <w:numId w:val="3"/>
        </w:numPr>
        <w:spacing w:line="360" w:lineRule="auto"/>
        <w:ind w:firstLine="482"/>
        <w:rPr>
          <w:rFonts w:hint="eastAsia" w:hAnsi="宋体" w:cs="宋体"/>
          <w:color w:val="auto"/>
          <w:sz w:val="21"/>
          <w:szCs w:val="21"/>
          <w:highlight w:val="none"/>
          <w:lang w:eastAsia="zh-CN"/>
        </w:rPr>
      </w:pPr>
      <w:r>
        <w:rPr>
          <w:rFonts w:hint="eastAsia" w:hAnsi="宋体" w:cs="宋体"/>
          <w:color w:val="auto"/>
          <w:sz w:val="21"/>
          <w:szCs w:val="21"/>
          <w:highlight w:val="none"/>
        </w:rPr>
        <w:t>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w:t>
      </w:r>
      <w:r>
        <w:rPr>
          <w:rFonts w:hint="eastAsia" w:hAnsi="宋体" w:cs="宋体"/>
          <w:color w:val="auto"/>
          <w:sz w:val="21"/>
          <w:szCs w:val="21"/>
          <w:highlight w:val="none"/>
          <w:lang w:val="en-US" w:eastAsia="zh-CN"/>
        </w:rPr>
        <w:t>磋商总</w:t>
      </w:r>
      <w:r>
        <w:rPr>
          <w:rFonts w:hint="eastAsia" w:hAnsi="宋体" w:cs="宋体"/>
          <w:color w:val="auto"/>
          <w:sz w:val="21"/>
          <w:szCs w:val="21"/>
          <w:highlight w:val="none"/>
        </w:rPr>
        <w:t>报价，</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工程质量：</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，安全目标：</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按合同约定实施和完成承包工程，修补工程中的任何缺陷。</w:t>
      </w:r>
    </w:p>
    <w:p w14:paraId="060BE9B5">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其中（有分标时填写）：</w:t>
      </w:r>
    </w:p>
    <w:p w14:paraId="592B084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7253DDE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29BCF914">
      <w:pPr>
        <w:pStyle w:val="15"/>
        <w:spacing w:line="360" w:lineRule="auto"/>
        <w:ind w:firstLine="482"/>
        <w:rPr>
          <w:rFonts w:hint="eastAsia"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59F1DB7">
      <w:pPr>
        <w:pStyle w:val="15"/>
        <w:spacing w:line="360" w:lineRule="auto"/>
        <w:ind w:firstLine="482"/>
        <w:rPr>
          <w:color w:val="auto"/>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4B8E1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2B6FFA5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58B4DB06">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4042A0D2">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10B95B00">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1C67007F">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1BA5889C">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29957F1B">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74A41332">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1AFBF7C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63D70748">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757FF7C3">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3C617004">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FD11976">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01A5E67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57792856">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72891655">
      <w:pPr>
        <w:spacing w:line="360" w:lineRule="auto"/>
        <w:jc w:val="left"/>
        <w:rPr>
          <w:rFonts w:ascii="宋体" w:hAnsi="宋体" w:cs="宋体"/>
          <w:color w:val="auto"/>
          <w:sz w:val="21"/>
          <w:szCs w:val="21"/>
          <w:highlight w:val="none"/>
        </w:rPr>
      </w:pPr>
    </w:p>
    <w:p w14:paraId="189F3616">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7EB2622">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32965081">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1" w:name="PO_3000001868_PM002_11"/>
      <w:r>
        <w:rPr>
          <w:rFonts w:hint="eastAsia" w:ascii="宋体" w:hAnsi="宋体" w:cs="宋体"/>
          <w:color w:val="auto"/>
          <w:sz w:val="24"/>
          <w:highlight w:val="none"/>
          <w:u w:val="single"/>
        </w:rPr>
        <w:t>[项目名称]</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2" w:name="PO_3000001868_PM001_11"/>
      <w:r>
        <w:rPr>
          <w:rFonts w:hint="eastAsia" w:ascii="宋体" w:hAnsi="宋体" w:cs="宋体"/>
          <w:color w:val="auto"/>
          <w:sz w:val="24"/>
          <w:highlight w:val="none"/>
          <w:u w:val="single"/>
        </w:rPr>
        <w:t>[项目编号]</w:t>
      </w:r>
      <w:bookmarkEnd w:id="9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2A72FC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2C9DBF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DE3E686">
      <w:pPr>
        <w:widowControl/>
        <w:jc w:val="left"/>
        <w:rPr>
          <w:rFonts w:ascii="宋体" w:hAnsi="宋体" w:cs="宋体"/>
          <w:color w:val="auto"/>
          <w:kern w:val="0"/>
          <w:sz w:val="24"/>
          <w:szCs w:val="21"/>
          <w:highlight w:val="none"/>
          <w:lang w:val="zh-CN"/>
        </w:rPr>
      </w:pPr>
    </w:p>
    <w:p w14:paraId="6CCC7493">
      <w:pPr>
        <w:numPr>
          <w:ilvl w:val="0"/>
          <w:numId w:val="5"/>
        </w:numPr>
        <w:spacing w:line="520" w:lineRule="exact"/>
        <w:ind w:firstLine="643" w:firstLineChars="200"/>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w:t>
      </w:r>
    </w:p>
    <w:p w14:paraId="2452D375">
      <w:pPr>
        <w:bidi w:val="0"/>
        <w:rPr>
          <w:rFonts w:hint="eastAsia"/>
          <w:color w:val="auto"/>
          <w:highlight w:val="none"/>
        </w:rPr>
      </w:pPr>
      <w:bookmarkStart w:id="93" w:name="_Toc44229899"/>
      <w:bookmarkEnd w:id="93"/>
      <w:bookmarkStart w:id="94" w:name="_Toc31728084"/>
      <w:bookmarkEnd w:id="94"/>
      <w:bookmarkStart w:id="95" w:name="_Toc35611438"/>
      <w:bookmarkEnd w:id="95"/>
      <w:bookmarkStart w:id="96" w:name="_Toc35611516"/>
      <w:bookmarkEnd w:id="96"/>
      <w:bookmarkStart w:id="97" w:name="_Toc31723070"/>
      <w:bookmarkEnd w:id="97"/>
      <w:bookmarkStart w:id="98" w:name="_Toc15428"/>
      <w:bookmarkStart w:id="99" w:name="_Toc80205942"/>
      <w:r>
        <w:rPr>
          <w:rFonts w:hint="eastAsia"/>
          <w:color w:val="auto"/>
          <w:highlight w:val="none"/>
        </w:rPr>
        <w:t>供应商应按照第</w:t>
      </w:r>
      <w:r>
        <w:rPr>
          <w:rFonts w:hint="eastAsia"/>
          <w:color w:val="auto"/>
          <w:highlight w:val="none"/>
          <w:lang w:eastAsia="zh-CN"/>
        </w:rPr>
        <w:t>七</w:t>
      </w:r>
      <w:r>
        <w:rPr>
          <w:rFonts w:hint="eastAsia"/>
          <w:color w:val="auto"/>
          <w:highlight w:val="none"/>
        </w:rPr>
        <w:t>章“工程量清单、图纸”的要求逐项填报工程量清单，包括工程量清单说明、投标报价说明、计日工说明、其他说明及工程量清单各项表格。</w:t>
      </w:r>
    </w:p>
    <w:p w14:paraId="3C7E95B0">
      <w:pPr>
        <w:bidi w:val="0"/>
        <w:jc w:val="right"/>
        <w:rPr>
          <w:rFonts w:hint="eastAsia"/>
          <w:color w:val="auto"/>
          <w:highlight w:val="none"/>
        </w:rPr>
      </w:pPr>
      <w:r>
        <w:rPr>
          <w:rFonts w:hint="eastAsia" w:ascii="宋体" w:hAnsi="宋体" w:cs="宋体"/>
          <w:color w:val="auto"/>
          <w:kern w:val="0"/>
          <w:sz w:val="24"/>
          <w:highlight w:val="none"/>
        </w:rPr>
        <w:t>供应商名称（电子签章）：</w:t>
      </w:r>
    </w:p>
    <w:bookmarkEnd w:id="98"/>
    <w:bookmarkEnd w:id="99"/>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79810BA5">
      <w:pPr>
        <w:pStyle w:val="2"/>
        <w:jc w:val="center"/>
        <w:rPr>
          <w:rFonts w:ascii="宋体" w:hAnsi="宋体" w:cs="宋体"/>
          <w:b w:val="0"/>
          <w:bCs w:val="0"/>
          <w:color w:val="auto"/>
          <w:highlight w:val="none"/>
        </w:rPr>
      </w:pPr>
      <w:bookmarkStart w:id="100"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0"/>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5E395FAA">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2BC9BB51">
      <w:pPr>
        <w:spacing w:line="360" w:lineRule="auto"/>
        <w:ind w:firstLine="420" w:firstLineChars="200"/>
        <w:rPr>
          <w:rFonts w:hint="eastAsia" w:ascii="宋体" w:hAnsi="宋体" w:cs="宋体"/>
          <w:color w:val="auto"/>
          <w:highlight w:val="none"/>
          <w:lang w:val="en-US" w:eastAsia="zh-CN"/>
        </w:rPr>
      </w:pPr>
    </w:p>
    <w:p w14:paraId="7EF60780">
      <w:pPr>
        <w:spacing w:line="360" w:lineRule="auto"/>
        <w:ind w:firstLine="420" w:firstLineChars="200"/>
        <w:rPr>
          <w:rFonts w:hint="eastAsia" w:ascii="宋体" w:hAnsi="宋体" w:cs="宋体"/>
          <w:color w:val="auto"/>
          <w:highlight w:val="none"/>
          <w:lang w:val="en-US" w:eastAsia="zh-CN"/>
        </w:rPr>
      </w:pPr>
    </w:p>
    <w:p w14:paraId="536CA060">
      <w:pPr>
        <w:spacing w:line="360" w:lineRule="auto"/>
        <w:ind w:firstLine="420" w:firstLineChars="200"/>
        <w:rPr>
          <w:rFonts w:hint="eastAsia" w:ascii="宋体" w:hAnsi="宋体" w:cs="宋体"/>
          <w:color w:val="auto"/>
          <w:highlight w:val="none"/>
          <w:lang w:val="en-US" w:eastAsia="zh-CN"/>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1" w:name="PO_3000001868_PM002_15"/>
      <w:r>
        <w:rPr>
          <w:rFonts w:hint="eastAsia" w:ascii="宋体" w:hAnsi="宋体" w:cs="宋体"/>
          <w:b/>
          <w:bCs/>
          <w:color w:val="auto"/>
          <w:sz w:val="44"/>
          <w:highlight w:val="none"/>
          <w:u w:val="single"/>
        </w:rPr>
        <w:t>[项目名称]</w:t>
      </w:r>
      <w:bookmarkEnd w:id="101"/>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2" w:name="PO_3000001868_PM026_4"/>
      <w:r>
        <w:rPr>
          <w:rFonts w:hint="eastAsia" w:ascii="宋体" w:hAnsi="宋体" w:cs="宋体"/>
          <w:b/>
          <w:color w:val="auto"/>
          <w:sz w:val="36"/>
          <w:szCs w:val="36"/>
          <w:highlight w:val="none"/>
          <w:u w:val="single"/>
        </w:rPr>
        <w:t>[采购人]</w:t>
      </w:r>
      <w:bookmarkEnd w:id="102"/>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004EF04A">
      <w:pPr>
        <w:snapToGrid w:val="0"/>
        <w:spacing w:line="360" w:lineRule="auto"/>
        <w:rPr>
          <w:rFonts w:hint="eastAsia" w:ascii="宋体" w:hAnsi="宋体" w:cs="宋体"/>
          <w:b/>
          <w:bCs/>
          <w:color w:val="auto"/>
          <w:sz w:val="44"/>
          <w:highlight w:val="none"/>
        </w:rPr>
      </w:pPr>
    </w:p>
    <w:p w14:paraId="002DC788">
      <w:pPr>
        <w:snapToGrid w:val="0"/>
        <w:spacing w:line="360" w:lineRule="auto"/>
        <w:rPr>
          <w:rFonts w:hint="eastAsia" w:ascii="宋体" w:hAnsi="宋体" w:cs="宋体"/>
          <w:b/>
          <w:bCs/>
          <w:color w:val="auto"/>
          <w:sz w:val="44"/>
          <w:highlight w:val="none"/>
        </w:rPr>
      </w:pPr>
    </w:p>
    <w:p w14:paraId="2D4D429B">
      <w:pPr>
        <w:snapToGrid w:val="0"/>
        <w:spacing w:line="360" w:lineRule="auto"/>
        <w:rPr>
          <w:rFonts w:hint="eastAsia" w:ascii="宋体" w:hAnsi="宋体" w:cs="宋体"/>
          <w:b/>
          <w:bCs/>
          <w:color w:val="auto"/>
          <w:sz w:val="44"/>
          <w:highlight w:val="none"/>
        </w:rPr>
      </w:pPr>
    </w:p>
    <w:p w14:paraId="53A546AC">
      <w:pPr>
        <w:snapToGrid w:val="0"/>
        <w:spacing w:line="360" w:lineRule="auto"/>
        <w:rPr>
          <w:rFonts w:hint="eastAsia" w:ascii="宋体" w:hAnsi="宋体" w:cs="宋体"/>
          <w:b/>
          <w:bCs/>
          <w:color w:val="auto"/>
          <w:sz w:val="44"/>
          <w:highlight w:val="none"/>
        </w:rPr>
      </w:pPr>
    </w:p>
    <w:p w14:paraId="6BF8CE95">
      <w:pPr>
        <w:snapToGrid w:val="0"/>
        <w:spacing w:line="360" w:lineRule="auto"/>
        <w:jc w:val="center"/>
        <w:rPr>
          <w:rFonts w:ascii="宋体" w:hAnsi="宋体" w:cs="宋体"/>
          <w:color w:val="auto"/>
          <w:kern w:val="0"/>
          <w:sz w:val="24"/>
          <w:highlight w:val="none"/>
        </w:rPr>
      </w:pPr>
      <w:r>
        <w:rPr>
          <w:rFonts w:hint="eastAsia" w:ascii="宋体" w:hAnsi="宋体" w:eastAsia="宋体" w:cs="宋体"/>
          <w:b/>
          <w:color w:val="auto"/>
          <w:sz w:val="56"/>
          <w:szCs w:val="56"/>
          <w:highlight w:val="none"/>
        </w:rPr>
        <w:t>公路工程施工合同</w:t>
      </w:r>
    </w:p>
    <w:p w14:paraId="6DBDE096">
      <w:pPr>
        <w:snapToGrid w:val="0"/>
        <w:spacing w:line="360" w:lineRule="auto"/>
        <w:rPr>
          <w:rFonts w:ascii="宋体" w:hAnsi="宋体" w:cs="宋体"/>
          <w:color w:val="auto"/>
          <w:kern w:val="0"/>
          <w:sz w:val="24"/>
          <w:highlight w:val="none"/>
        </w:rPr>
      </w:pPr>
    </w:p>
    <w:p w14:paraId="74FA5546">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68362E4">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bookmarkStart w:id="103" w:name="_Toc2532"/>
      <w:bookmarkStart w:id="104" w:name="_Toc367270683"/>
      <w:bookmarkStart w:id="105" w:name="_Toc517163145"/>
      <w:bookmarkStart w:id="106" w:name="_Toc511595186"/>
      <w:bookmarkStart w:id="107" w:name="_Toc514759025"/>
      <w:bookmarkStart w:id="108" w:name="_Toc508779702"/>
      <w:bookmarkStart w:id="109" w:name="_Toc394929411"/>
      <w:r>
        <w:rPr>
          <w:rFonts w:hint="eastAsia" w:ascii="宋体" w:hAnsi="宋体" w:eastAsia="宋体" w:cs="宋体"/>
          <w:b/>
          <w:bCs/>
          <w:color w:val="auto"/>
          <w:sz w:val="28"/>
          <w:szCs w:val="28"/>
          <w:highlight w:val="none"/>
        </w:rPr>
        <w:t>合 同 协 议 书</w:t>
      </w:r>
    </w:p>
    <w:p w14:paraId="1BC3CB24">
      <w:pPr>
        <w:pStyle w:val="45"/>
        <w:pageBreakBefore w:val="0"/>
        <w:shd w:val="clear" w:color="auto" w:fill="auto"/>
        <w:tabs>
          <w:tab w:val="left" w:leader="underscore" w:pos="1756"/>
          <w:tab w:val="left" w:leader="underscore" w:pos="8354"/>
        </w:tabs>
        <w:kinsoku/>
        <w:wordWrap w:val="0"/>
        <w:overflowPunct/>
        <w:topLinePunct w:val="0"/>
        <w:autoSpaceDE/>
        <w:autoSpaceDN/>
        <w:bidi w:val="0"/>
        <w:spacing w:before="0" w:line="360" w:lineRule="auto"/>
        <w:ind w:firstLine="75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u w:val="single"/>
        </w:rPr>
        <w:t>(发包人名称，以下简称“发包人”）</w:t>
      </w:r>
      <w:r>
        <w:rPr>
          <w:rStyle w:val="46"/>
          <w:rFonts w:hint="eastAsia" w:ascii="宋体" w:hAnsi="宋体" w:eastAsia="宋体" w:cs="宋体"/>
          <w:color w:val="auto"/>
          <w:sz w:val="21"/>
          <w:szCs w:val="21"/>
          <w:highlight w:val="none"/>
        </w:rPr>
        <w:t>为实施</w:t>
      </w:r>
      <w:r>
        <w:rPr>
          <w:rStyle w:val="46"/>
          <w:rFonts w:hint="eastAsia" w:ascii="宋体" w:hAnsi="宋体" w:eastAsia="宋体" w:cs="宋体"/>
          <w:color w:val="auto"/>
          <w:sz w:val="21"/>
          <w:szCs w:val="21"/>
          <w:highlight w:val="none"/>
          <w:u w:val="single"/>
        </w:rPr>
        <w:t>(项目名称)</w:t>
      </w:r>
      <w:r>
        <w:rPr>
          <w:rStyle w:val="46"/>
          <w:rFonts w:hint="eastAsia" w:ascii="宋体" w:hAnsi="宋体" w:eastAsia="宋体" w:cs="宋体"/>
          <w:color w:val="auto"/>
          <w:sz w:val="21"/>
          <w:szCs w:val="21"/>
          <w:highlight w:val="none"/>
        </w:rPr>
        <w:t>，已接受</w:t>
      </w:r>
      <w:r>
        <w:rPr>
          <w:rStyle w:val="46"/>
          <w:rFonts w:hint="eastAsia" w:ascii="宋体" w:hAnsi="宋体" w:eastAsia="宋体" w:cs="宋体"/>
          <w:color w:val="auto"/>
          <w:sz w:val="21"/>
          <w:szCs w:val="21"/>
          <w:highlight w:val="none"/>
          <w:u w:val="single"/>
        </w:rPr>
        <w:t>(承包人名称，以下简称“承包人”）</w:t>
      </w:r>
      <w:r>
        <w:rPr>
          <w:rStyle w:val="46"/>
          <w:rFonts w:hint="eastAsia" w:ascii="宋体" w:hAnsi="宋体" w:eastAsia="宋体" w:cs="宋体"/>
          <w:color w:val="auto"/>
          <w:sz w:val="21"/>
          <w:szCs w:val="21"/>
          <w:highlight w:val="none"/>
        </w:rPr>
        <w:t>对该项目</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u w:val="single"/>
        </w:rPr>
        <w:t>标段</w:t>
      </w:r>
      <w:r>
        <w:rPr>
          <w:rStyle w:val="46"/>
          <w:rFonts w:hint="eastAsia" w:ascii="宋体" w:hAnsi="宋体" w:eastAsia="宋体" w:cs="宋体"/>
          <w:color w:val="auto"/>
          <w:sz w:val="21"/>
          <w:szCs w:val="21"/>
          <w:highlight w:val="none"/>
        </w:rPr>
        <w:t>施工的投标。发包人和承包人共同达成如下协议。</w:t>
      </w:r>
    </w:p>
    <w:p w14:paraId="457455A5">
      <w:pPr>
        <w:pStyle w:val="45"/>
        <w:pageBreakBefore w:val="0"/>
        <w:shd w:val="clear" w:color="auto" w:fill="auto"/>
        <w:tabs>
          <w:tab w:val="left" w:pos="1074"/>
        </w:tabs>
        <w:kinsoku/>
        <w:wordWrap w:val="0"/>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1．建设内容：</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w:t>
      </w:r>
    </w:p>
    <w:p w14:paraId="41F2000B">
      <w:pPr>
        <w:pStyle w:val="45"/>
        <w:pageBreakBefore w:val="0"/>
        <w:shd w:val="clear" w:color="auto" w:fill="auto"/>
        <w:tabs>
          <w:tab w:val="left" w:pos="1098"/>
        </w:tabs>
        <w:kinsoku/>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2．下列文件应视为构成合同文件的组成部分：</w:t>
      </w:r>
    </w:p>
    <w:p w14:paraId="4B5B98CA">
      <w:pPr>
        <w:pStyle w:val="45"/>
        <w:pageBreakBefore w:val="0"/>
        <w:shd w:val="clear" w:color="auto" w:fill="auto"/>
        <w:tabs>
          <w:tab w:val="left" w:pos="1373"/>
        </w:tabs>
        <w:kinsoku/>
        <w:overflowPunct/>
        <w:topLinePunct w:val="0"/>
        <w:autoSpaceDE/>
        <w:autoSpaceDN/>
        <w:bidi w:val="0"/>
        <w:spacing w:before="0" w:line="360" w:lineRule="auto"/>
        <w:jc w:val="left"/>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（1）本协议书及各种合同附件（含评标期间和合同谈判过程中的澄清文件和补充资料）；</w:t>
      </w:r>
    </w:p>
    <w:p w14:paraId="3708FA0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（2）成交通知书；</w:t>
      </w:r>
    </w:p>
    <w:p w14:paraId="38DE822C">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（3）项目专用合同条款；</w:t>
      </w:r>
    </w:p>
    <w:p w14:paraId="1AF08D0F">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4</w:t>
      </w:r>
      <w:r>
        <w:rPr>
          <w:rStyle w:val="46"/>
          <w:rFonts w:hint="eastAsia" w:ascii="宋体" w:hAnsi="宋体" w:eastAsia="宋体" w:cs="宋体"/>
          <w:color w:val="auto"/>
          <w:sz w:val="21"/>
          <w:szCs w:val="21"/>
          <w:highlight w:val="none"/>
        </w:rPr>
        <w:t>）公路工程专用合同条款；</w:t>
      </w:r>
    </w:p>
    <w:p w14:paraId="6A2E1108">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）通用合同条款；</w:t>
      </w:r>
    </w:p>
    <w:p w14:paraId="3E11377A">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）工程量清单计量规则；</w:t>
      </w:r>
    </w:p>
    <w:p w14:paraId="33510746">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7</w:t>
      </w:r>
      <w:r>
        <w:rPr>
          <w:rStyle w:val="46"/>
          <w:rFonts w:hint="eastAsia" w:ascii="宋体" w:hAnsi="宋体" w:eastAsia="宋体" w:cs="宋体"/>
          <w:color w:val="auto"/>
          <w:sz w:val="21"/>
          <w:szCs w:val="21"/>
          <w:highlight w:val="none"/>
        </w:rPr>
        <w:t>）技术规范；</w:t>
      </w:r>
    </w:p>
    <w:p w14:paraId="78B5BA5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）图纸；</w:t>
      </w:r>
    </w:p>
    <w:p w14:paraId="7AE999B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9</w:t>
      </w:r>
      <w:r>
        <w:rPr>
          <w:rStyle w:val="46"/>
          <w:rFonts w:hint="eastAsia" w:ascii="宋体" w:hAnsi="宋体" w:eastAsia="宋体" w:cs="宋体"/>
          <w:color w:val="auto"/>
          <w:sz w:val="21"/>
          <w:szCs w:val="21"/>
          <w:highlight w:val="none"/>
        </w:rPr>
        <w:t>）已标价工程量清单；</w:t>
      </w:r>
    </w:p>
    <w:p w14:paraId="300E1B9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0</w:t>
      </w:r>
      <w:r>
        <w:rPr>
          <w:rStyle w:val="46"/>
          <w:rFonts w:hint="eastAsia" w:ascii="宋体" w:hAnsi="宋体" w:eastAsia="宋体" w:cs="宋体"/>
          <w:color w:val="auto"/>
          <w:sz w:val="21"/>
          <w:szCs w:val="21"/>
          <w:highlight w:val="none"/>
        </w:rPr>
        <w:t>）承包人有关人员、设备投入的承诺及响应文件中的施工组织设计；</w:t>
      </w:r>
    </w:p>
    <w:p w14:paraId="43F889E3">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1</w:t>
      </w:r>
      <w:r>
        <w:rPr>
          <w:rStyle w:val="46"/>
          <w:rFonts w:hint="eastAsia" w:ascii="宋体" w:hAnsi="宋体" w:eastAsia="宋体" w:cs="宋体"/>
          <w:color w:val="auto"/>
          <w:sz w:val="21"/>
          <w:szCs w:val="21"/>
          <w:highlight w:val="none"/>
        </w:rPr>
        <w:t>）其他合同文件。</w:t>
      </w:r>
    </w:p>
    <w:p w14:paraId="3525C771">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上述合同文件互相补充和解释。如果合同文件之间存在矛盾或不一致之处，</w:t>
      </w:r>
    </w:p>
    <w:p w14:paraId="1B9A2025">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以上述文件的排列顺序在先者为准。</w:t>
      </w:r>
    </w:p>
    <w:p w14:paraId="7620D5C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3.</w:t>
      </w:r>
      <w:r>
        <w:rPr>
          <w:rStyle w:val="46"/>
          <w:rFonts w:hint="eastAsia" w:ascii="宋体" w:hAnsi="宋体" w:eastAsia="宋体" w:cs="宋体"/>
          <w:color w:val="auto"/>
          <w:sz w:val="21"/>
          <w:szCs w:val="21"/>
          <w:highlight w:val="none"/>
        </w:rPr>
        <w:t>根据工程量清单所列的预计数量和单价或总额价计算的签约合同价：人民币（大写）</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rPr>
        <w:t>）</w:t>
      </w:r>
      <w:r>
        <w:rPr>
          <w:rStyle w:val="46"/>
          <w:rFonts w:hint="eastAsia" w:ascii="宋体" w:hAnsi="宋体" w:eastAsia="宋体" w:cs="宋体"/>
          <w:color w:val="auto"/>
          <w:sz w:val="21"/>
          <w:szCs w:val="21"/>
          <w:highlight w:val="none"/>
        </w:rPr>
        <w:t>。</w:t>
      </w:r>
    </w:p>
    <w:p w14:paraId="40A8F581">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4.合同价格形式：综合单价合同。</w:t>
      </w:r>
    </w:p>
    <w:p w14:paraId="06766A04">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．承包人项目经理：</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。承包人项目总工：</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lang w:val="en-US"/>
        </w:rPr>
        <w:t xml:space="preserve"> </w:t>
      </w:r>
      <w:r>
        <w:rPr>
          <w:rStyle w:val="46"/>
          <w:rFonts w:hint="eastAsia" w:ascii="宋体" w:hAnsi="宋体" w:eastAsia="宋体" w:cs="宋体"/>
          <w:color w:val="auto"/>
          <w:sz w:val="21"/>
          <w:szCs w:val="21"/>
          <w:highlight w:val="none"/>
        </w:rPr>
        <w:t>。</w:t>
      </w:r>
    </w:p>
    <w:p w14:paraId="14031410">
      <w:pPr>
        <w:pStyle w:val="45"/>
        <w:pageBreakBefore w:val="0"/>
        <w:shd w:val="clear" w:color="auto" w:fill="auto"/>
        <w:tabs>
          <w:tab w:val="left" w:pos="1098"/>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6</w:t>
      </w:r>
      <w:r>
        <w:rPr>
          <w:rStyle w:val="46"/>
          <w:rFonts w:hint="eastAsia" w:ascii="宋体" w:hAnsi="宋体" w:eastAsia="宋体" w:cs="宋体"/>
          <w:color w:val="auto"/>
          <w:sz w:val="21"/>
          <w:szCs w:val="21"/>
          <w:highlight w:val="none"/>
        </w:rPr>
        <w:t>．工程质量符合</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标准。工程安全目标</w:t>
      </w:r>
      <w:r>
        <w:rPr>
          <w:rStyle w:val="46"/>
          <w:rFonts w:hint="eastAsia" w:ascii="宋体" w:hAnsi="宋体" w:eastAsia="宋体" w:cs="宋体"/>
          <w:color w:val="auto"/>
          <w:sz w:val="21"/>
          <w:szCs w:val="21"/>
          <w:highlight w:val="none"/>
          <w:u w:val="none"/>
        </w:rPr>
        <w:t>：</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w:t>
      </w:r>
    </w:p>
    <w:p w14:paraId="0A7FD8B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7</w:t>
      </w:r>
      <w:r>
        <w:rPr>
          <w:rStyle w:val="46"/>
          <w:rFonts w:hint="eastAsia" w:ascii="宋体" w:hAnsi="宋体" w:eastAsia="宋体" w:cs="宋体"/>
          <w:color w:val="auto"/>
          <w:sz w:val="21"/>
          <w:szCs w:val="21"/>
          <w:highlight w:val="none"/>
        </w:rPr>
        <w:t>．承包人承诺按合同约定承担工程的实施、完成及缺陷修复。</w:t>
      </w:r>
    </w:p>
    <w:p w14:paraId="569B736A">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．发包人承诺按合同约定的条件、时间和方式向承包人支付合同价款。</w:t>
      </w:r>
    </w:p>
    <w:p w14:paraId="63AA3753">
      <w:pPr>
        <w:pStyle w:val="45"/>
        <w:pageBreakBefore w:val="0"/>
        <w:shd w:val="clear" w:color="auto" w:fill="auto"/>
        <w:tabs>
          <w:tab w:val="left" w:pos="110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9</w:t>
      </w:r>
      <w:r>
        <w:rPr>
          <w:rStyle w:val="46"/>
          <w:rFonts w:hint="eastAsia" w:ascii="宋体" w:hAnsi="宋体" w:eastAsia="宋体" w:cs="宋体"/>
          <w:color w:val="auto"/>
          <w:sz w:val="21"/>
          <w:szCs w:val="21"/>
          <w:highlight w:val="none"/>
        </w:rPr>
        <w:t>．承包人应按照发包人指示开工，工期为_</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日历天。</w:t>
      </w:r>
    </w:p>
    <w:p w14:paraId="57B19DBB">
      <w:pPr>
        <w:pStyle w:val="45"/>
        <w:pageBreakBefore w:val="0"/>
        <w:shd w:val="clear" w:color="auto" w:fill="auto"/>
        <w:tabs>
          <w:tab w:val="left" w:pos="104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10</w:t>
      </w:r>
      <w:r>
        <w:rPr>
          <w:rStyle w:val="46"/>
          <w:rFonts w:hint="eastAsia" w:ascii="宋体" w:hAnsi="宋体" w:eastAsia="宋体" w:cs="宋体"/>
          <w:color w:val="auto"/>
          <w:sz w:val="21"/>
          <w:szCs w:val="21"/>
          <w:highlight w:val="none"/>
        </w:rPr>
        <w:t>．本协议书在承包人提供履约保证金后，由双方法定代表人或其委托代理人签署并加盖单位章后生效。全部工程完工后经交工验收合格、缺陷责任期满签发缺 陷责任终止证书后失效。</w:t>
      </w:r>
    </w:p>
    <w:p w14:paraId="03A8F031">
      <w:pPr>
        <w:pStyle w:val="45"/>
        <w:pageBreakBefore w:val="0"/>
        <w:shd w:val="clear" w:color="auto" w:fill="auto"/>
        <w:tabs>
          <w:tab w:val="left" w:leader="underscore" w:pos="4168"/>
          <w:tab w:val="left" w:leader="underscore" w:pos="828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1</w:t>
      </w:r>
      <w:r>
        <w:rPr>
          <w:rStyle w:val="46"/>
          <w:rFonts w:hint="eastAsia" w:ascii="宋体" w:hAnsi="宋体" w:eastAsia="宋体" w:cs="宋体"/>
          <w:color w:val="auto"/>
          <w:sz w:val="21"/>
          <w:szCs w:val="21"/>
          <w:highlight w:val="none"/>
        </w:rPr>
        <w:t>．本协议书正本二份、副本</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份，合同双方各执正本一份，副本</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份，</w:t>
      </w:r>
    </w:p>
    <w:p w14:paraId="0933875B">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当正本与副本的内容不一致时，以正本为准。</w:t>
      </w:r>
    </w:p>
    <w:p w14:paraId="63A510B0">
      <w:pPr>
        <w:numPr>
          <w:ilvl w:val="0"/>
          <w:numId w:val="6"/>
        </w:numPr>
        <w:bidi w:val="0"/>
        <w:rPr>
          <w:rFonts w:hint="eastAsia"/>
          <w:color w:val="auto"/>
          <w:highlight w:val="none"/>
        </w:rPr>
      </w:pPr>
      <w:r>
        <w:rPr>
          <w:rFonts w:hint="eastAsia"/>
          <w:color w:val="auto"/>
          <w:highlight w:val="none"/>
        </w:rPr>
        <w:t>合同未尽事宜，双方另行签订补充协议。补充协议是合同的组成部分。</w:t>
      </w:r>
    </w:p>
    <w:p w14:paraId="54F5B713">
      <w:pPr>
        <w:bidi w:val="0"/>
        <w:rPr>
          <w:rFonts w:hint="eastAsia" w:ascii="宋体" w:hAnsi="宋体" w:eastAsia="宋体" w:cs="宋体"/>
          <w:color w:val="auto"/>
          <w:highlight w:val="none"/>
        </w:rPr>
      </w:pPr>
    </w:p>
    <w:p w14:paraId="70CE3035">
      <w:pPr>
        <w:bidi w:val="0"/>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20349497">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0542D5CA">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经办人（签字或盖章）：                               经办人（签字或盖章）：</w:t>
      </w:r>
    </w:p>
    <w:p w14:paraId="5C44D738">
      <w:pPr>
        <w:pageBreakBefore w:val="0"/>
        <w:kinsoku/>
        <w:overflowPunct/>
        <w:topLinePunct w:val="0"/>
        <w:autoSpaceDE/>
        <w:autoSpaceDN/>
        <w:bidi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r>
        <w:rPr>
          <w:rFonts w:hint="eastAsia" w:ascii="宋体" w:hAnsi="宋体" w:eastAsia="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8F65DA">
      <w:pPr>
        <w:rPr>
          <w:rFonts w:hint="eastAsia" w:ascii="宋体" w:hAnsi="宋体" w:eastAsia="宋体" w:cs="宋体"/>
          <w:color w:val="auto"/>
          <w:highlight w:val="none"/>
        </w:rPr>
      </w:pPr>
    </w:p>
    <w:p w14:paraId="5C7DAD28">
      <w:pPr>
        <w:pStyle w:val="4"/>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第一节  通用合同条款</w:t>
      </w:r>
      <w:bookmarkEnd w:id="103"/>
      <w:bookmarkEnd w:id="104"/>
      <w:bookmarkEnd w:id="105"/>
      <w:bookmarkEnd w:id="106"/>
      <w:bookmarkEnd w:id="107"/>
      <w:bookmarkEnd w:id="108"/>
      <w:bookmarkEnd w:id="109"/>
    </w:p>
    <w:p w14:paraId="1014B2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10" w:name="_Toc122424433"/>
      <w:bookmarkStart w:id="111" w:name="_Toc122424184"/>
      <w:bookmarkStart w:id="112" w:name="_Toc27832"/>
      <w:r>
        <w:rPr>
          <w:rFonts w:hint="eastAsia" w:ascii="宋体" w:hAnsi="宋体" w:eastAsia="宋体" w:cs="宋体"/>
          <w:color w:val="auto"/>
          <w:highlight w:val="none"/>
        </w:rPr>
        <w:t>1. 一般约定</w:t>
      </w:r>
      <w:bookmarkEnd w:id="110"/>
      <w:bookmarkEnd w:id="111"/>
      <w:bookmarkEnd w:id="112"/>
    </w:p>
    <w:p w14:paraId="6F1A430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3" w:name="_Toc20252"/>
      <w:r>
        <w:rPr>
          <w:rFonts w:hint="eastAsia" w:ascii="宋体" w:hAnsi="宋体" w:eastAsia="宋体" w:cs="宋体"/>
          <w:color w:val="auto"/>
          <w:highlight w:val="none"/>
        </w:rPr>
        <w:t>1.1 词语定义</w:t>
      </w:r>
      <w:bookmarkEnd w:id="113"/>
    </w:p>
    <w:p w14:paraId="4A9475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1B9B6F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14:paraId="3E55C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14:paraId="1090719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14:paraId="565E48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14:paraId="3FC38F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投标函：指构成合同文件组成部分的由承包人填写并签署的投标函。</w:t>
      </w:r>
    </w:p>
    <w:p w14:paraId="7925A7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14:paraId="425823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技术标准和要求：指构成合同文件组成部分的名为技术标准和要求的文件，包括合同双方当事人约定对其所作的修改或补充。</w:t>
      </w:r>
    </w:p>
    <w:p w14:paraId="73ACA47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1.1.1.7图纸：指包含在合同中的工程图纸，以及由发包人按合同约定提供的任何补充和修改的图纸，包括配套的说明。</w:t>
      </w:r>
    </w:p>
    <w:p w14:paraId="6428722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14:paraId="2666F6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14:paraId="2A4E1F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7FE691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14:paraId="26B7AD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14:paraId="7ED60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承包人：指与发包人签订合同协议书的当事人。</w:t>
      </w:r>
    </w:p>
    <w:p w14:paraId="5A82E0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14:paraId="20BFE0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分包人：指从承包人处分包合同中某一部分工程，并与其签订分包合同的分包人。</w:t>
      </w:r>
    </w:p>
    <w:p w14:paraId="2AB94D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14:paraId="4F62A2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14:paraId="6CEB7D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2DE779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14:paraId="3564AF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14:paraId="64BD14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14:paraId="4863B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14:paraId="113AE1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14:paraId="59697B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14:paraId="3698DF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14:paraId="0AF8D6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14:paraId="09EBE6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14:paraId="209B30B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1.1.3.10 永久占地：指专用合同条款中指明为实施合同工程需永久占用的土地。</w:t>
      </w:r>
    </w:p>
    <w:p w14:paraId="6D1057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1.1.3.11 临时占地：指专用合同条款中指明为实施合同工程需临时占用的土地。</w:t>
      </w:r>
    </w:p>
    <w:p w14:paraId="5F4C61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日期</w:t>
      </w:r>
    </w:p>
    <w:p w14:paraId="2D0989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14:paraId="22A18F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14:paraId="514702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14:paraId="4368A8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竣工日期：指第1.1.4.3目约定工期届满时的日期。实际竣工日期以工程接收证书中写明的日期为准。</w:t>
      </w:r>
    </w:p>
    <w:p w14:paraId="32F54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缺陷责任期：指履行第19.2款约定的缺陷责任的期限，具体期限由专用合同条款约定，包括根据第19.3款约定所作的延长。</w:t>
      </w:r>
    </w:p>
    <w:p w14:paraId="6621CD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14:paraId="64E5E1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14:paraId="37A66B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14:paraId="693DA5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签约合同价：指签定合同时合同协议书中写明的，包括了暂列金额、暂估价的合同总金额。</w:t>
      </w:r>
    </w:p>
    <w:p w14:paraId="78465F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14:paraId="0D82E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14:paraId="23AC9F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2FC0CB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14:paraId="7FAF9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14:paraId="624893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14:paraId="514617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14:paraId="17B5A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14:paraId="6ED416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4" w:name="_Toc15769"/>
      <w:r>
        <w:rPr>
          <w:rFonts w:hint="eastAsia" w:ascii="宋体" w:hAnsi="宋体" w:eastAsia="宋体" w:cs="宋体"/>
          <w:color w:val="auto"/>
          <w:highlight w:val="none"/>
        </w:rPr>
        <w:t>1.2 语言文字</w:t>
      </w:r>
      <w:bookmarkEnd w:id="114"/>
    </w:p>
    <w:p w14:paraId="5E120F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367F6BA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5" w:name="_Toc11417"/>
      <w:r>
        <w:rPr>
          <w:rFonts w:hint="eastAsia" w:ascii="宋体" w:hAnsi="宋体" w:eastAsia="宋体" w:cs="宋体"/>
          <w:color w:val="auto"/>
          <w:highlight w:val="none"/>
        </w:rPr>
        <w:t>1.3 法律</w:t>
      </w:r>
      <w:bookmarkEnd w:id="115"/>
    </w:p>
    <w:p w14:paraId="6E94DE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2714FBD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6" w:name="_Toc32224"/>
      <w:r>
        <w:rPr>
          <w:rFonts w:hint="eastAsia" w:ascii="宋体" w:hAnsi="宋体" w:eastAsia="宋体" w:cs="宋体"/>
          <w:color w:val="auto"/>
          <w:highlight w:val="none"/>
        </w:rPr>
        <w:t>1.4 合同文件的优先顺序</w:t>
      </w:r>
      <w:bookmarkEnd w:id="116"/>
    </w:p>
    <w:p w14:paraId="31C65D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07A0B63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770FB3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A13619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14:paraId="05E858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14:paraId="2FD31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38CADE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3C88F3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14:paraId="17A7BB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14:paraId="566D81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14:paraId="0F5853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7" w:name="_Toc1568"/>
      <w:r>
        <w:rPr>
          <w:rFonts w:hint="eastAsia" w:ascii="宋体" w:hAnsi="宋体" w:eastAsia="宋体" w:cs="宋体"/>
          <w:color w:val="auto"/>
          <w:highlight w:val="none"/>
        </w:rPr>
        <w:t>1.5 合同协议书</w:t>
      </w:r>
      <w:bookmarkEnd w:id="117"/>
    </w:p>
    <w:p w14:paraId="7C0E63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7FE3387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8" w:name="_Toc13393"/>
      <w:r>
        <w:rPr>
          <w:rFonts w:hint="eastAsia" w:ascii="宋体" w:hAnsi="宋体" w:eastAsia="宋体" w:cs="宋体"/>
          <w:color w:val="auto"/>
          <w:highlight w:val="none"/>
        </w:rPr>
        <w:t>1.6 图纸和承包人文件</w:t>
      </w:r>
      <w:bookmarkEnd w:id="118"/>
    </w:p>
    <w:p w14:paraId="1002F6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14:paraId="4DDB32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除专用合同条款另有约定外，图纸应在合理的期限内按照合同约定的数量提供给承包人。由于发包人未按时提供图纸造成工期延误的，按第11.3款的约定办理。</w:t>
      </w:r>
    </w:p>
    <w:p w14:paraId="4611A2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14:paraId="422A19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按专用合同条款约定由承包人提供的文件，包括部分工程的大样图、加工图等，承包人应按约定的数量和期限报送监理人。监理人应在专用合同条款约定的期限内批复。</w:t>
      </w:r>
    </w:p>
    <w:p w14:paraId="29DFAD3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14:paraId="0A7E5A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75688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14:paraId="0BB6ED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04A06C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14:paraId="6F7AF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14:paraId="40D3DDC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9" w:name="_Toc25436"/>
      <w:r>
        <w:rPr>
          <w:rFonts w:hint="eastAsia" w:ascii="宋体" w:hAnsi="宋体" w:eastAsia="宋体" w:cs="宋体"/>
          <w:color w:val="auto"/>
          <w:highlight w:val="none"/>
        </w:rPr>
        <w:t>1.7 联络</w:t>
      </w:r>
      <w:bookmarkEnd w:id="119"/>
    </w:p>
    <w:p w14:paraId="5D0445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14:paraId="401837E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 第1.7.1项中的通知、批准、证明、证书、指示、要求、请求、同意、意见、确定和决定等来往函件，均应在合同约定的期限内送达指定地点和接收人，并办理签收手续。</w:t>
      </w:r>
    </w:p>
    <w:p w14:paraId="43E0023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0" w:name="_Toc15893"/>
      <w:r>
        <w:rPr>
          <w:rFonts w:hint="eastAsia" w:ascii="宋体" w:hAnsi="宋体" w:eastAsia="宋体" w:cs="宋体"/>
          <w:color w:val="auto"/>
          <w:highlight w:val="none"/>
        </w:rPr>
        <w:t>1.8 转让</w:t>
      </w:r>
      <w:bookmarkEnd w:id="120"/>
    </w:p>
    <w:p w14:paraId="162A0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37CC35E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1" w:name="_Toc30802"/>
      <w:r>
        <w:rPr>
          <w:rFonts w:hint="eastAsia" w:ascii="宋体" w:hAnsi="宋体" w:eastAsia="宋体" w:cs="宋体"/>
          <w:color w:val="auto"/>
          <w:highlight w:val="none"/>
        </w:rPr>
        <w:t>1.9 严禁贿赂</w:t>
      </w:r>
      <w:bookmarkEnd w:id="121"/>
    </w:p>
    <w:p w14:paraId="7B351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1EECDF8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2" w:name="_Toc9359"/>
      <w:r>
        <w:rPr>
          <w:rFonts w:hint="eastAsia" w:ascii="宋体" w:hAnsi="宋体" w:eastAsia="宋体" w:cs="宋体"/>
          <w:color w:val="auto"/>
          <w:highlight w:val="none"/>
        </w:rPr>
        <w:t>1.10 化石、文物</w:t>
      </w:r>
      <w:bookmarkEnd w:id="122"/>
    </w:p>
    <w:p w14:paraId="00215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E12CD2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14:paraId="06B34F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专利技术</w:t>
      </w:r>
    </w:p>
    <w:p w14:paraId="0AC527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51E7E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14:paraId="25B656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14:paraId="6FBDC4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3" w:name="_Toc8296"/>
      <w:r>
        <w:rPr>
          <w:rFonts w:hint="eastAsia" w:ascii="宋体" w:hAnsi="宋体" w:eastAsia="宋体" w:cs="宋体"/>
          <w:color w:val="auto"/>
          <w:highlight w:val="none"/>
        </w:rPr>
        <w:t>1.12 图纸和文件的保密</w:t>
      </w:r>
      <w:bookmarkEnd w:id="123"/>
    </w:p>
    <w:p w14:paraId="61F1F9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14:paraId="0AA696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承包人提供的文件，未经承包人同意，发包人和监理人不得为合同以外的目的泄露给他人或公开发表与引用。</w:t>
      </w:r>
    </w:p>
    <w:p w14:paraId="11B60628">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24" w:name="_Toc122424434"/>
      <w:bookmarkStart w:id="125" w:name="_Toc122424185"/>
      <w:bookmarkStart w:id="126" w:name="_Toc14047"/>
      <w:r>
        <w:rPr>
          <w:rFonts w:hint="eastAsia" w:ascii="宋体" w:hAnsi="宋体" w:eastAsia="宋体" w:cs="宋体"/>
          <w:color w:val="auto"/>
          <w:highlight w:val="none"/>
        </w:rPr>
        <w:t>2. 发包人义务</w:t>
      </w:r>
      <w:bookmarkEnd w:id="124"/>
      <w:bookmarkEnd w:id="125"/>
      <w:bookmarkEnd w:id="126"/>
    </w:p>
    <w:p w14:paraId="1DD2F6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7" w:name="_Toc29283"/>
      <w:r>
        <w:rPr>
          <w:rFonts w:hint="eastAsia" w:ascii="宋体" w:hAnsi="宋体" w:eastAsia="宋体" w:cs="宋体"/>
          <w:color w:val="auto"/>
          <w:highlight w:val="none"/>
        </w:rPr>
        <w:t>2.1 遵守法律</w:t>
      </w:r>
      <w:bookmarkEnd w:id="127"/>
    </w:p>
    <w:p w14:paraId="6AE9F4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448B3D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8" w:name="_Toc11340"/>
      <w:r>
        <w:rPr>
          <w:rFonts w:hint="eastAsia" w:ascii="宋体" w:hAnsi="宋体" w:eastAsia="宋体" w:cs="宋体"/>
          <w:color w:val="auto"/>
          <w:highlight w:val="none"/>
        </w:rPr>
        <w:t>2.2 发出开工通知</w:t>
      </w:r>
      <w:bookmarkEnd w:id="128"/>
    </w:p>
    <w:p w14:paraId="3EAF46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14:paraId="0B8C9E6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9" w:name="_Toc15775"/>
      <w:r>
        <w:rPr>
          <w:rFonts w:hint="eastAsia" w:ascii="宋体" w:hAnsi="宋体" w:eastAsia="宋体" w:cs="宋体"/>
          <w:color w:val="auto"/>
          <w:highlight w:val="none"/>
        </w:rPr>
        <w:t>2.3 提供施工场地</w:t>
      </w:r>
      <w:bookmarkEnd w:id="129"/>
    </w:p>
    <w:p w14:paraId="1718A3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发包人应按专用合同条款约定向承包人提供施工场地，以及施工场地内地下管线和地下设施等有关资料，并保证资料的真实、准确、完整。</w:t>
      </w:r>
    </w:p>
    <w:p w14:paraId="7D6073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0" w:name="_Toc32559"/>
      <w:r>
        <w:rPr>
          <w:rFonts w:hint="eastAsia" w:ascii="宋体" w:hAnsi="宋体" w:eastAsia="宋体" w:cs="宋体"/>
          <w:color w:val="auto"/>
          <w:highlight w:val="none"/>
        </w:rPr>
        <w:t>2.4 协助承包人办理证件和批件</w:t>
      </w:r>
      <w:bookmarkEnd w:id="130"/>
    </w:p>
    <w:p w14:paraId="164B43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408AE14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1" w:name="_Toc467"/>
      <w:r>
        <w:rPr>
          <w:rFonts w:hint="eastAsia" w:ascii="宋体" w:hAnsi="宋体" w:eastAsia="宋体" w:cs="宋体"/>
          <w:color w:val="auto"/>
          <w:highlight w:val="none"/>
        </w:rPr>
        <w:t>2.5 组织设计交底</w:t>
      </w:r>
      <w:bookmarkEnd w:id="131"/>
    </w:p>
    <w:p w14:paraId="60C768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12A2AC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2" w:name="_Toc27676"/>
      <w:r>
        <w:rPr>
          <w:rFonts w:hint="eastAsia" w:ascii="宋体" w:hAnsi="宋体" w:eastAsia="宋体" w:cs="宋体"/>
          <w:color w:val="auto"/>
          <w:highlight w:val="none"/>
        </w:rPr>
        <w:t>2.6 支付合同价款</w:t>
      </w:r>
      <w:bookmarkEnd w:id="132"/>
    </w:p>
    <w:p w14:paraId="15062B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284F75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3" w:name="_Toc15895"/>
      <w:r>
        <w:rPr>
          <w:rFonts w:hint="eastAsia" w:ascii="宋体" w:hAnsi="宋体" w:eastAsia="宋体" w:cs="宋体"/>
          <w:color w:val="auto"/>
          <w:highlight w:val="none"/>
        </w:rPr>
        <w:t>2.7 组织竣工验收</w:t>
      </w:r>
      <w:bookmarkEnd w:id="133"/>
    </w:p>
    <w:p w14:paraId="107D9E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发包人应按合同约定及时组织竣工验收。</w:t>
      </w:r>
    </w:p>
    <w:p w14:paraId="2F5EEF7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4" w:name="_Toc8017"/>
      <w:r>
        <w:rPr>
          <w:rFonts w:hint="eastAsia" w:ascii="宋体" w:hAnsi="宋体" w:eastAsia="宋体" w:cs="宋体"/>
          <w:color w:val="auto"/>
          <w:highlight w:val="none"/>
        </w:rPr>
        <w:t>2.8 其他义务</w:t>
      </w:r>
      <w:bookmarkEnd w:id="134"/>
    </w:p>
    <w:p w14:paraId="24C21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发包人应履行合同约定的其他义务。</w:t>
      </w:r>
    </w:p>
    <w:p w14:paraId="114B962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35" w:name="_Toc6416"/>
      <w:bookmarkStart w:id="136" w:name="_Toc122424186"/>
      <w:bookmarkStart w:id="137" w:name="_Toc122424435"/>
      <w:r>
        <w:rPr>
          <w:rFonts w:hint="eastAsia" w:ascii="宋体" w:hAnsi="宋体" w:eastAsia="宋体" w:cs="宋体"/>
          <w:color w:val="auto"/>
          <w:highlight w:val="none"/>
        </w:rPr>
        <w:t>3. 监理人</w:t>
      </w:r>
      <w:bookmarkEnd w:id="135"/>
      <w:bookmarkEnd w:id="136"/>
      <w:bookmarkEnd w:id="137"/>
    </w:p>
    <w:p w14:paraId="0EB657A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8" w:name="_Toc10941"/>
      <w:r>
        <w:rPr>
          <w:rFonts w:hint="eastAsia" w:ascii="宋体" w:hAnsi="宋体" w:eastAsia="宋体" w:cs="宋体"/>
          <w:color w:val="auto"/>
          <w:highlight w:val="none"/>
        </w:rPr>
        <w:t>3.1 监理人的职责和权力</w:t>
      </w:r>
      <w:bookmarkEnd w:id="138"/>
    </w:p>
    <w:p w14:paraId="557CC1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监理人受发包人委托，享有合同约定的权力。监理人在行使某项权力前需要经发包人事先批准而通用合同条款没有指明的，应在专用合同条款中指明。</w:t>
      </w:r>
    </w:p>
    <w:p w14:paraId="794871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14:paraId="4B9290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2020176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9" w:name="_Toc13155"/>
      <w:r>
        <w:rPr>
          <w:rFonts w:hint="eastAsia" w:ascii="宋体" w:hAnsi="宋体" w:eastAsia="宋体" w:cs="宋体"/>
          <w:color w:val="auto"/>
          <w:highlight w:val="none"/>
        </w:rPr>
        <w:t>3.2 总监理工程师</w:t>
      </w:r>
      <w:bookmarkEnd w:id="139"/>
    </w:p>
    <w:p w14:paraId="4347B2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06034A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 监理人员</w:t>
      </w:r>
    </w:p>
    <w:p w14:paraId="02D374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87FA85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DC53F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14:paraId="48D5E5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14:paraId="3B0AA55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0" w:name="_Toc16098"/>
      <w:r>
        <w:rPr>
          <w:rFonts w:hint="eastAsia" w:ascii="宋体" w:hAnsi="宋体" w:eastAsia="宋体" w:cs="宋体"/>
          <w:color w:val="auto"/>
          <w:highlight w:val="none"/>
        </w:rPr>
        <w:t>3.4 监理人的指示</w:t>
      </w:r>
      <w:bookmarkEnd w:id="140"/>
    </w:p>
    <w:p w14:paraId="623F36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5DC20A8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14:paraId="063BCE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59520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14:paraId="2B3EA6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14:paraId="18F12F1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1" w:name="_Toc22256"/>
      <w:r>
        <w:rPr>
          <w:rFonts w:hint="eastAsia" w:ascii="宋体" w:hAnsi="宋体" w:eastAsia="宋体" w:cs="宋体"/>
          <w:color w:val="auto"/>
          <w:highlight w:val="none"/>
        </w:rPr>
        <w:t>3.5 商定或确定</w:t>
      </w:r>
      <w:bookmarkEnd w:id="141"/>
    </w:p>
    <w:p w14:paraId="063368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0BA524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894A4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42" w:name="_Toc2069"/>
      <w:bookmarkStart w:id="143" w:name="_Toc122424436"/>
      <w:bookmarkStart w:id="144" w:name="_Toc122424187"/>
      <w:r>
        <w:rPr>
          <w:rFonts w:hint="eastAsia" w:ascii="宋体" w:hAnsi="宋体" w:eastAsia="宋体" w:cs="宋体"/>
          <w:color w:val="auto"/>
          <w:highlight w:val="none"/>
        </w:rPr>
        <w:t>4. 承包人</w:t>
      </w:r>
      <w:bookmarkEnd w:id="142"/>
      <w:bookmarkEnd w:id="143"/>
      <w:bookmarkEnd w:id="144"/>
    </w:p>
    <w:p w14:paraId="5729F53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5" w:name="_Toc20588"/>
      <w:r>
        <w:rPr>
          <w:rFonts w:hint="eastAsia" w:ascii="宋体" w:hAnsi="宋体" w:eastAsia="宋体" w:cs="宋体"/>
          <w:color w:val="auto"/>
          <w:highlight w:val="none"/>
        </w:rPr>
        <w:t>4.1 承包人的一般义务</w:t>
      </w:r>
      <w:bookmarkEnd w:id="145"/>
    </w:p>
    <w:p w14:paraId="3CB960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14:paraId="017A8B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05B819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14:paraId="4963EB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7293A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14:paraId="52255B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F9575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14:paraId="5EE94F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23AFF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14:paraId="39F810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14:paraId="6B7E4E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14:paraId="49F0E0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14:paraId="48986E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14:paraId="0B4698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271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14:paraId="34DEA5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5D9C6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14:paraId="654D7B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工程接收证书颁发前，承包人应负责照管和维护工程。工程接收证书颁发时尚有部分未竣工工程的，承包人还应负责该未竣工工程的照管和维护工作，直至竣工后移交给发包人为止。</w:t>
      </w:r>
    </w:p>
    <w:p w14:paraId="649433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其他义务</w:t>
      </w:r>
    </w:p>
    <w:p w14:paraId="10162D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承包人应履行合同约定的其他义务。</w:t>
      </w:r>
    </w:p>
    <w:p w14:paraId="046E452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6" w:name="_Toc19718"/>
      <w:r>
        <w:rPr>
          <w:rFonts w:hint="eastAsia" w:ascii="宋体" w:hAnsi="宋体" w:eastAsia="宋体" w:cs="宋体"/>
          <w:color w:val="auto"/>
          <w:highlight w:val="none"/>
        </w:rPr>
        <w:t>4.2 履约担保</w:t>
      </w:r>
      <w:bookmarkEnd w:id="146"/>
    </w:p>
    <w:p w14:paraId="641056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承包人应保证其履约担保在发包人颁发工程接收证书前一直有效。发包人应在工程接收证书颁发后28天内把履约担保退还给承包人。</w:t>
      </w:r>
    </w:p>
    <w:p w14:paraId="64034F0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7" w:name="_Toc23431"/>
      <w:r>
        <w:rPr>
          <w:rFonts w:hint="eastAsia" w:ascii="宋体" w:hAnsi="宋体" w:eastAsia="宋体" w:cs="宋体"/>
          <w:color w:val="auto"/>
          <w:highlight w:val="none"/>
        </w:rPr>
        <w:t>4.3 分包</w:t>
      </w:r>
      <w:bookmarkEnd w:id="147"/>
    </w:p>
    <w:p w14:paraId="7C62F3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14:paraId="413A17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14:paraId="2D50DD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14:paraId="351AAA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14:paraId="0499B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14:paraId="1E02B9F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8" w:name="_Toc21376"/>
      <w:r>
        <w:rPr>
          <w:rFonts w:hint="eastAsia" w:ascii="宋体" w:hAnsi="宋体" w:eastAsia="宋体" w:cs="宋体"/>
          <w:color w:val="auto"/>
          <w:highlight w:val="none"/>
        </w:rPr>
        <w:t>4.4 联合体</w:t>
      </w:r>
      <w:bookmarkEnd w:id="148"/>
    </w:p>
    <w:p w14:paraId="20EDB6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14:paraId="6F19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14:paraId="4E2EF3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14:paraId="432F5BE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165587B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DC661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3BE03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14:paraId="17D057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14:paraId="56622A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9" w:name="_Toc538"/>
      <w:r>
        <w:rPr>
          <w:rFonts w:hint="eastAsia" w:ascii="宋体" w:hAnsi="宋体" w:eastAsia="宋体" w:cs="宋体"/>
          <w:color w:val="auto"/>
          <w:highlight w:val="none"/>
        </w:rPr>
        <w:t>4.6 承包人人员的管理</w:t>
      </w:r>
      <w:bookmarkEnd w:id="149"/>
    </w:p>
    <w:p w14:paraId="2DD9D6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74207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14:paraId="1ED493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14:paraId="471EBC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14:paraId="603ED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14:paraId="3034DA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14:paraId="2160AD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14:paraId="23D7AA9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0" w:name="_Toc31168"/>
      <w:r>
        <w:rPr>
          <w:rFonts w:hint="eastAsia" w:ascii="宋体" w:hAnsi="宋体" w:eastAsia="宋体" w:cs="宋体"/>
          <w:color w:val="auto"/>
          <w:highlight w:val="none"/>
        </w:rPr>
        <w:t>4.7 撤换承包人项目经理和其他人员</w:t>
      </w:r>
      <w:bookmarkEnd w:id="150"/>
    </w:p>
    <w:p w14:paraId="035EE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6D4BE5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1" w:name="_Toc6851"/>
      <w:r>
        <w:rPr>
          <w:rFonts w:hint="eastAsia" w:ascii="宋体" w:hAnsi="宋体" w:eastAsia="宋体" w:cs="宋体"/>
          <w:color w:val="auto"/>
          <w:highlight w:val="none"/>
        </w:rPr>
        <w:t>4.8 保障承包人人员的合法权益</w:t>
      </w:r>
      <w:bookmarkEnd w:id="151"/>
    </w:p>
    <w:p w14:paraId="73F99C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14:paraId="2D30E3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72E16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71080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462A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14:paraId="232C0A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14:paraId="679945E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2" w:name="_Toc25993"/>
      <w:r>
        <w:rPr>
          <w:rFonts w:hint="eastAsia" w:ascii="宋体" w:hAnsi="宋体" w:eastAsia="宋体" w:cs="宋体"/>
          <w:color w:val="auto"/>
          <w:highlight w:val="none"/>
        </w:rPr>
        <w:t>4.9 工程价款应专款专用</w:t>
      </w:r>
      <w:bookmarkEnd w:id="152"/>
    </w:p>
    <w:p w14:paraId="127951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76CE47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3" w:name="_Toc27321"/>
      <w:r>
        <w:rPr>
          <w:rFonts w:hint="eastAsia" w:ascii="宋体" w:hAnsi="宋体" w:eastAsia="宋体" w:cs="宋体"/>
          <w:color w:val="auto"/>
          <w:highlight w:val="none"/>
        </w:rPr>
        <w:t>4.10 承包人现场查勘</w:t>
      </w:r>
      <w:bookmarkEnd w:id="153"/>
    </w:p>
    <w:p w14:paraId="2C38BB4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14:paraId="34FDA6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4EFAB9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4" w:name="_Toc7633"/>
      <w:r>
        <w:rPr>
          <w:rFonts w:hint="eastAsia" w:ascii="宋体" w:hAnsi="宋体" w:eastAsia="宋体" w:cs="宋体"/>
          <w:color w:val="auto"/>
          <w:highlight w:val="none"/>
        </w:rPr>
        <w:t>4.11 不利物质条件</w:t>
      </w:r>
      <w:bookmarkEnd w:id="154"/>
    </w:p>
    <w:p w14:paraId="622708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520E78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679EAA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55" w:name="_Toc122424437"/>
      <w:bookmarkStart w:id="156" w:name="_Toc122424188"/>
      <w:r>
        <w:rPr>
          <w:rFonts w:hint="eastAsia" w:ascii="宋体" w:hAnsi="宋体" w:eastAsia="宋体" w:cs="宋体"/>
          <w:color w:val="auto"/>
          <w:highlight w:val="none"/>
        </w:rPr>
        <w:t>5. 材料和工程设备</w:t>
      </w:r>
      <w:bookmarkEnd w:id="155"/>
      <w:bookmarkEnd w:id="156"/>
    </w:p>
    <w:p w14:paraId="2A11A0C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7" w:name="_Toc17580"/>
      <w:r>
        <w:rPr>
          <w:rFonts w:hint="eastAsia" w:ascii="宋体" w:hAnsi="宋体" w:eastAsia="宋体" w:cs="宋体"/>
          <w:color w:val="auto"/>
          <w:highlight w:val="none"/>
        </w:rPr>
        <w:t>5.1 承包人提供的材料和工程设备</w:t>
      </w:r>
      <w:bookmarkEnd w:id="157"/>
    </w:p>
    <w:p w14:paraId="789F7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5.1.1 除专用合同条款另有约定外，承包人提供的材料和工程设备均由承包人负责采购、运输和保管。承包人应对其采购的材料和工程设备负责。</w:t>
      </w:r>
    </w:p>
    <w:p w14:paraId="4454D2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535C9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7D667C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8" w:name="_Toc26086"/>
      <w:r>
        <w:rPr>
          <w:rFonts w:hint="eastAsia" w:ascii="宋体" w:hAnsi="宋体" w:eastAsia="宋体" w:cs="宋体"/>
          <w:color w:val="auto"/>
          <w:highlight w:val="none"/>
        </w:rPr>
        <w:t>5.2 发包人提供的材料和工程设备</w:t>
      </w:r>
      <w:bookmarkEnd w:id="158"/>
    </w:p>
    <w:p w14:paraId="13E72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14:paraId="155F991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14:paraId="05AC6F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7669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14:paraId="6F9C00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14:paraId="2A5A04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69F7DD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9" w:name="_Toc25028"/>
      <w:r>
        <w:rPr>
          <w:rFonts w:hint="eastAsia" w:ascii="宋体" w:hAnsi="宋体" w:eastAsia="宋体" w:cs="宋体"/>
          <w:color w:val="auto"/>
          <w:highlight w:val="none"/>
        </w:rPr>
        <w:t>5.3 材料和工程设备专用于合同工程</w:t>
      </w:r>
      <w:bookmarkEnd w:id="159"/>
    </w:p>
    <w:p w14:paraId="05D38E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14:paraId="514328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625D60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0" w:name="_Toc14583"/>
      <w:r>
        <w:rPr>
          <w:rFonts w:hint="eastAsia" w:ascii="宋体" w:hAnsi="宋体" w:eastAsia="宋体" w:cs="宋体"/>
          <w:color w:val="auto"/>
          <w:highlight w:val="none"/>
        </w:rPr>
        <w:t>5.4 禁止使用不合格的材料和工程设备</w:t>
      </w:r>
      <w:bookmarkEnd w:id="160"/>
    </w:p>
    <w:p w14:paraId="251AFF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507830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14:paraId="020B97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14:paraId="5CD08D8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1" w:name="_Toc122424189"/>
      <w:bookmarkStart w:id="162" w:name="_Toc22183"/>
      <w:bookmarkStart w:id="163" w:name="_Toc122424438"/>
      <w:r>
        <w:rPr>
          <w:rFonts w:hint="eastAsia" w:ascii="宋体" w:hAnsi="宋体" w:eastAsia="宋体" w:cs="宋体"/>
          <w:color w:val="auto"/>
          <w:highlight w:val="none"/>
        </w:rPr>
        <w:t>6. 施工设备和临时设施</w:t>
      </w:r>
      <w:bookmarkEnd w:id="161"/>
      <w:bookmarkEnd w:id="162"/>
      <w:bookmarkEnd w:id="163"/>
    </w:p>
    <w:p w14:paraId="6ACCE8F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4" w:name="_Toc18606"/>
      <w:r>
        <w:rPr>
          <w:rFonts w:hint="eastAsia" w:ascii="宋体" w:hAnsi="宋体" w:eastAsia="宋体" w:cs="宋体"/>
          <w:color w:val="auto"/>
          <w:highlight w:val="none"/>
        </w:rPr>
        <w:t>6.1 承包人提供的施工设备和临时设施</w:t>
      </w:r>
      <w:bookmarkEnd w:id="164"/>
    </w:p>
    <w:p w14:paraId="612836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F3927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14:paraId="4C72682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5" w:name="_Toc12933"/>
      <w:r>
        <w:rPr>
          <w:rFonts w:hint="eastAsia" w:ascii="宋体" w:hAnsi="宋体" w:eastAsia="宋体" w:cs="宋体"/>
          <w:color w:val="auto"/>
          <w:highlight w:val="none"/>
        </w:rPr>
        <w:t>6.2 发包人提供的施工设备和临时设施</w:t>
      </w:r>
      <w:bookmarkEnd w:id="165"/>
    </w:p>
    <w:p w14:paraId="1D3F53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1BD06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6" w:name="_Toc4522"/>
      <w:r>
        <w:rPr>
          <w:rFonts w:hint="eastAsia" w:ascii="宋体" w:hAnsi="宋体" w:eastAsia="宋体" w:cs="宋体"/>
          <w:color w:val="auto"/>
          <w:highlight w:val="none"/>
        </w:rPr>
        <w:t>6.3 要求承包人增加或更换施工设备</w:t>
      </w:r>
      <w:bookmarkEnd w:id="166"/>
    </w:p>
    <w:p w14:paraId="477E9E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252230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7" w:name="_Toc18668"/>
      <w:r>
        <w:rPr>
          <w:rFonts w:hint="eastAsia" w:ascii="宋体" w:hAnsi="宋体" w:eastAsia="宋体" w:cs="宋体"/>
          <w:color w:val="auto"/>
          <w:highlight w:val="none"/>
        </w:rPr>
        <w:t>6.4 施工设备和临时设施专用于合同工程</w:t>
      </w:r>
      <w:bookmarkEnd w:id="167"/>
    </w:p>
    <w:p w14:paraId="1D04F6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219C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14:paraId="61F0E38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8" w:name="_Toc25865"/>
      <w:bookmarkStart w:id="169" w:name="_Toc122424190"/>
      <w:bookmarkStart w:id="170" w:name="_Toc122424439"/>
      <w:r>
        <w:rPr>
          <w:rFonts w:hint="eastAsia" w:ascii="宋体" w:hAnsi="宋体" w:eastAsia="宋体" w:cs="宋体"/>
          <w:color w:val="auto"/>
          <w:highlight w:val="none"/>
        </w:rPr>
        <w:t>7. 交通运输</w:t>
      </w:r>
      <w:bookmarkEnd w:id="168"/>
      <w:bookmarkEnd w:id="169"/>
      <w:bookmarkEnd w:id="170"/>
    </w:p>
    <w:p w14:paraId="4F5346D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1" w:name="_Toc19258"/>
      <w:r>
        <w:rPr>
          <w:rFonts w:hint="eastAsia" w:ascii="宋体" w:hAnsi="宋体" w:eastAsia="宋体" w:cs="宋体"/>
          <w:color w:val="auto"/>
          <w:highlight w:val="none"/>
        </w:rPr>
        <w:t>7.1 道路通行权和场外设施</w:t>
      </w:r>
      <w:bookmarkEnd w:id="171"/>
    </w:p>
    <w:p w14:paraId="00C190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F7EBA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2" w:name="_Toc10364"/>
      <w:r>
        <w:rPr>
          <w:rFonts w:hint="eastAsia" w:ascii="宋体" w:hAnsi="宋体" w:eastAsia="宋体" w:cs="宋体"/>
          <w:color w:val="auto"/>
          <w:highlight w:val="none"/>
        </w:rPr>
        <w:t>7.2 场内施工道路</w:t>
      </w:r>
      <w:bookmarkEnd w:id="172"/>
    </w:p>
    <w:p w14:paraId="240F92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除专用合同条款另有约定外，承包人应负责修建、维修、养护和管理施工所需的临时道路和交通设施，包括维修、养护和管理发包人提供的道路和交通设施，并承担相应费用。</w:t>
      </w:r>
    </w:p>
    <w:p w14:paraId="0BB27F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除专用合同条款另有约定外，承包人修建的临时道路和交通设施应免费提供发包人和监理人使用。</w:t>
      </w:r>
    </w:p>
    <w:p w14:paraId="4C0873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3" w:name="_Toc25319"/>
      <w:r>
        <w:rPr>
          <w:rFonts w:hint="eastAsia" w:ascii="宋体" w:hAnsi="宋体" w:eastAsia="宋体" w:cs="宋体"/>
          <w:color w:val="auto"/>
          <w:highlight w:val="none"/>
        </w:rPr>
        <w:t>7.3 场外交通</w:t>
      </w:r>
      <w:bookmarkEnd w:id="173"/>
    </w:p>
    <w:p w14:paraId="19ECE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14:paraId="26762D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14:paraId="58E9048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7.4 超大件和超重件的运输</w:t>
      </w:r>
    </w:p>
    <w:p w14:paraId="3F6187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B5D9F0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4" w:name="_Toc31442"/>
      <w:r>
        <w:rPr>
          <w:rFonts w:hint="eastAsia" w:ascii="宋体" w:hAnsi="宋体" w:eastAsia="宋体" w:cs="宋体"/>
          <w:color w:val="auto"/>
          <w:highlight w:val="none"/>
        </w:rPr>
        <w:t>7.5 道路和桥梁的损坏责任</w:t>
      </w:r>
      <w:bookmarkEnd w:id="174"/>
    </w:p>
    <w:p w14:paraId="6FF306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7955DF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5" w:name="_Toc15978"/>
      <w:r>
        <w:rPr>
          <w:rFonts w:hint="eastAsia" w:ascii="宋体" w:hAnsi="宋体" w:eastAsia="宋体" w:cs="宋体"/>
          <w:color w:val="auto"/>
          <w:highlight w:val="none"/>
        </w:rPr>
        <w:t>7.6 水路和航空运输</w:t>
      </w:r>
      <w:bookmarkEnd w:id="175"/>
    </w:p>
    <w:p w14:paraId="6CF0C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14F3900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6" w:name="_Toc122424440"/>
      <w:bookmarkStart w:id="177" w:name="_Toc6195"/>
      <w:bookmarkStart w:id="178" w:name="_Toc122424191"/>
      <w:r>
        <w:rPr>
          <w:rFonts w:hint="eastAsia" w:ascii="宋体" w:hAnsi="宋体" w:eastAsia="宋体" w:cs="宋体"/>
          <w:color w:val="auto"/>
          <w:highlight w:val="none"/>
        </w:rPr>
        <w:t>8. 测量放线</w:t>
      </w:r>
      <w:bookmarkEnd w:id="176"/>
      <w:bookmarkEnd w:id="177"/>
      <w:bookmarkEnd w:id="178"/>
    </w:p>
    <w:p w14:paraId="4285415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9" w:name="_Toc17175"/>
      <w:r>
        <w:rPr>
          <w:rFonts w:hint="eastAsia" w:ascii="宋体" w:hAnsi="宋体" w:eastAsia="宋体" w:cs="宋体"/>
          <w:color w:val="auto"/>
          <w:highlight w:val="none"/>
        </w:rPr>
        <w:t>8.1 施工控制网</w:t>
      </w:r>
      <w:bookmarkEnd w:id="179"/>
    </w:p>
    <w:p w14:paraId="036D13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487C7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102EE25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0" w:name="_Toc26593"/>
      <w:r>
        <w:rPr>
          <w:rFonts w:hint="eastAsia" w:ascii="宋体" w:hAnsi="宋体" w:eastAsia="宋体" w:cs="宋体"/>
          <w:color w:val="auto"/>
          <w:highlight w:val="none"/>
        </w:rPr>
        <w:t>8.2 施工测量</w:t>
      </w:r>
      <w:bookmarkEnd w:id="180"/>
    </w:p>
    <w:p w14:paraId="540056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14:paraId="70DB8E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14:paraId="1A04ACF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1" w:name="_Toc24208"/>
      <w:r>
        <w:rPr>
          <w:rFonts w:hint="eastAsia" w:ascii="宋体" w:hAnsi="宋体" w:eastAsia="宋体" w:cs="宋体"/>
          <w:color w:val="auto"/>
          <w:highlight w:val="none"/>
        </w:rPr>
        <w:t>8.3 基准资料错误的责任</w:t>
      </w:r>
      <w:bookmarkEnd w:id="181"/>
    </w:p>
    <w:p w14:paraId="096364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02800B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2" w:name="_Toc2830"/>
      <w:r>
        <w:rPr>
          <w:rFonts w:hint="eastAsia" w:ascii="宋体" w:hAnsi="宋体" w:eastAsia="宋体" w:cs="宋体"/>
          <w:color w:val="auto"/>
          <w:highlight w:val="none"/>
        </w:rPr>
        <w:t>8.4 监理人使用施工控制网</w:t>
      </w:r>
      <w:bookmarkEnd w:id="182"/>
    </w:p>
    <w:p w14:paraId="3C130A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69C73C5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3" w:name="_Toc122424192"/>
      <w:bookmarkStart w:id="184" w:name="_Toc21731"/>
      <w:bookmarkStart w:id="185" w:name="_Toc122424441"/>
      <w:r>
        <w:rPr>
          <w:rFonts w:hint="eastAsia" w:ascii="宋体" w:hAnsi="宋体" w:eastAsia="宋体" w:cs="宋体"/>
          <w:color w:val="auto"/>
          <w:highlight w:val="none"/>
        </w:rPr>
        <w:t>9. 施工安全、治安保卫和环境保护</w:t>
      </w:r>
      <w:bookmarkEnd w:id="183"/>
      <w:bookmarkEnd w:id="184"/>
      <w:bookmarkEnd w:id="185"/>
    </w:p>
    <w:p w14:paraId="3D3C032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6" w:name="_Toc18091"/>
      <w:r>
        <w:rPr>
          <w:rFonts w:hint="eastAsia" w:ascii="宋体" w:hAnsi="宋体" w:eastAsia="宋体" w:cs="宋体"/>
          <w:color w:val="auto"/>
          <w:highlight w:val="none"/>
        </w:rPr>
        <w:t>9.1 发包人的施工安全责任</w:t>
      </w:r>
      <w:bookmarkEnd w:id="186"/>
    </w:p>
    <w:p w14:paraId="5F54E2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发包人应按合同约定履行安全职责，授权监理人按合同约定的安全工作内容监督、检查承包人安全工作的实施，组织承包人和有关单位进行安全检查。</w:t>
      </w:r>
    </w:p>
    <w:p w14:paraId="13DEB8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14:paraId="2607B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14:paraId="30AF85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14:paraId="7413AE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14:paraId="58F1747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7" w:name="_Toc3052"/>
      <w:r>
        <w:rPr>
          <w:rFonts w:hint="eastAsia" w:ascii="宋体" w:hAnsi="宋体" w:eastAsia="宋体" w:cs="宋体"/>
          <w:color w:val="auto"/>
          <w:highlight w:val="none"/>
        </w:rPr>
        <w:t>9.2 承包人的施工安全责任</w:t>
      </w:r>
      <w:bookmarkEnd w:id="187"/>
    </w:p>
    <w:p w14:paraId="346428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39F6B6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14:paraId="3D103D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14:paraId="40D72B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354FC1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204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14:paraId="21D00B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14:paraId="220E5D4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8" w:name="_Toc4874"/>
      <w:r>
        <w:rPr>
          <w:rFonts w:hint="eastAsia" w:ascii="宋体" w:hAnsi="宋体" w:eastAsia="宋体" w:cs="宋体"/>
          <w:color w:val="auto"/>
          <w:highlight w:val="none"/>
        </w:rPr>
        <w:t>9.3 治安保卫</w:t>
      </w:r>
      <w:bookmarkEnd w:id="188"/>
    </w:p>
    <w:p w14:paraId="4DEB64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14:paraId="2AB8CB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14:paraId="0D853F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ABB8A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9" w:name="_Toc17658"/>
      <w:r>
        <w:rPr>
          <w:rFonts w:hint="eastAsia" w:ascii="宋体" w:hAnsi="宋体" w:eastAsia="宋体" w:cs="宋体"/>
          <w:color w:val="auto"/>
          <w:highlight w:val="none"/>
        </w:rPr>
        <w:t>9.4 环境保护</w:t>
      </w:r>
      <w:bookmarkEnd w:id="189"/>
    </w:p>
    <w:p w14:paraId="3C5E3E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14:paraId="2E710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14:paraId="7C7BFC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C4BE8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14:paraId="4B8446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14:paraId="52468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14:paraId="4B9A41E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0" w:name="_Toc13694"/>
      <w:r>
        <w:rPr>
          <w:rFonts w:hint="eastAsia" w:ascii="宋体" w:hAnsi="宋体" w:eastAsia="宋体" w:cs="宋体"/>
          <w:color w:val="auto"/>
          <w:highlight w:val="none"/>
        </w:rPr>
        <w:t>9.5 事故处理</w:t>
      </w:r>
      <w:bookmarkEnd w:id="190"/>
    </w:p>
    <w:p w14:paraId="35E6EE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83DCDF">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1" w:name="_Toc122424193"/>
      <w:bookmarkStart w:id="192" w:name="_Toc31845"/>
      <w:bookmarkStart w:id="193" w:name="_Toc122424442"/>
      <w:r>
        <w:rPr>
          <w:rFonts w:hint="eastAsia" w:ascii="宋体" w:hAnsi="宋体" w:eastAsia="宋体" w:cs="宋体"/>
          <w:color w:val="auto"/>
          <w:highlight w:val="none"/>
        </w:rPr>
        <w:t>10. 进度计划</w:t>
      </w:r>
      <w:bookmarkEnd w:id="191"/>
      <w:bookmarkEnd w:id="192"/>
      <w:bookmarkEnd w:id="193"/>
    </w:p>
    <w:p w14:paraId="0809C87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4" w:name="_Toc7174"/>
      <w:r>
        <w:rPr>
          <w:rFonts w:hint="eastAsia" w:ascii="宋体" w:hAnsi="宋体" w:eastAsia="宋体" w:cs="宋体"/>
          <w:color w:val="auto"/>
          <w:highlight w:val="none"/>
        </w:rPr>
        <w:t>10.1 合同进度计划</w:t>
      </w:r>
      <w:bookmarkEnd w:id="194"/>
    </w:p>
    <w:p w14:paraId="7374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9A27D9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5" w:name="_Toc26389"/>
      <w:r>
        <w:rPr>
          <w:rFonts w:hint="eastAsia" w:ascii="宋体" w:hAnsi="宋体" w:eastAsia="宋体" w:cs="宋体"/>
          <w:color w:val="auto"/>
          <w:highlight w:val="none"/>
        </w:rPr>
        <w:t>10.2 合同进度计划的修订</w:t>
      </w:r>
      <w:bookmarkEnd w:id="195"/>
    </w:p>
    <w:p w14:paraId="57DE05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6C409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6" w:name="_Toc122424194"/>
      <w:bookmarkStart w:id="197" w:name="_Toc13126"/>
      <w:bookmarkStart w:id="198" w:name="_Toc122424443"/>
      <w:r>
        <w:rPr>
          <w:rFonts w:hint="eastAsia" w:ascii="宋体" w:hAnsi="宋体" w:eastAsia="宋体" w:cs="宋体"/>
          <w:color w:val="auto"/>
          <w:highlight w:val="none"/>
        </w:rPr>
        <w:t>11. 开工和竣工</w:t>
      </w:r>
      <w:bookmarkEnd w:id="196"/>
      <w:bookmarkEnd w:id="197"/>
      <w:bookmarkEnd w:id="198"/>
    </w:p>
    <w:p w14:paraId="6522B83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9" w:name="_Toc1292"/>
      <w:r>
        <w:rPr>
          <w:rFonts w:hint="eastAsia" w:ascii="宋体" w:hAnsi="宋体" w:eastAsia="宋体" w:cs="宋体"/>
          <w:color w:val="auto"/>
          <w:highlight w:val="none"/>
        </w:rPr>
        <w:t>11.1 开工</w:t>
      </w:r>
      <w:bookmarkEnd w:id="199"/>
    </w:p>
    <w:p w14:paraId="70E342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C6329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5C99D8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0" w:name="_Toc29021"/>
      <w:r>
        <w:rPr>
          <w:rFonts w:hint="eastAsia" w:ascii="宋体" w:hAnsi="宋体" w:eastAsia="宋体" w:cs="宋体"/>
          <w:color w:val="auto"/>
          <w:highlight w:val="none"/>
        </w:rPr>
        <w:t>11.2 竣工</w:t>
      </w:r>
      <w:bookmarkEnd w:id="200"/>
    </w:p>
    <w:p w14:paraId="70B372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承包人应在第1.1.4.3目约定的期限内完成合同工程。实际竣工日期在接收证书中写明。</w:t>
      </w:r>
    </w:p>
    <w:p w14:paraId="5E842B4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1" w:name="_Toc14703"/>
      <w:r>
        <w:rPr>
          <w:rFonts w:hint="eastAsia" w:ascii="宋体" w:hAnsi="宋体" w:eastAsia="宋体" w:cs="宋体"/>
          <w:color w:val="auto"/>
          <w:highlight w:val="none"/>
        </w:rPr>
        <w:t>11.3 发包人的工期延误</w:t>
      </w:r>
      <w:bookmarkEnd w:id="201"/>
    </w:p>
    <w:p w14:paraId="5CCA30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2E6581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14:paraId="099E8B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14:paraId="08ED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14:paraId="676E0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14:paraId="08041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14:paraId="58FE38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14:paraId="79C2B0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14:paraId="1B50630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2" w:name="_Toc25691"/>
      <w:r>
        <w:rPr>
          <w:rFonts w:hint="eastAsia" w:ascii="宋体" w:hAnsi="宋体" w:eastAsia="宋体" w:cs="宋体"/>
          <w:color w:val="auto"/>
          <w:highlight w:val="none"/>
        </w:rPr>
        <w:t>11.4 异常恶劣的气候条件</w:t>
      </w:r>
      <w:bookmarkEnd w:id="202"/>
    </w:p>
    <w:p w14:paraId="78427B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由于出现专用合同条款规定的异常恶劣气候的条件导致工期延误的，承包人有权要求发包人延长工期。</w:t>
      </w:r>
    </w:p>
    <w:p w14:paraId="1C0BE6D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3" w:name="_Toc7073"/>
      <w:r>
        <w:rPr>
          <w:rFonts w:hint="eastAsia" w:ascii="宋体" w:hAnsi="宋体" w:eastAsia="宋体" w:cs="宋体"/>
          <w:color w:val="auto"/>
          <w:highlight w:val="none"/>
        </w:rPr>
        <w:t>11.5 承包人的工期延误</w:t>
      </w:r>
      <w:bookmarkEnd w:id="203"/>
    </w:p>
    <w:p w14:paraId="57C121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99784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4" w:name="_Toc18781"/>
      <w:r>
        <w:rPr>
          <w:rFonts w:hint="eastAsia" w:ascii="宋体" w:hAnsi="宋体" w:eastAsia="宋体" w:cs="宋体"/>
          <w:color w:val="auto"/>
          <w:highlight w:val="none"/>
        </w:rPr>
        <w:t>11.6 工期提前</w:t>
      </w:r>
      <w:bookmarkEnd w:id="204"/>
    </w:p>
    <w:p w14:paraId="7358DB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6A3EB3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05" w:name="_Toc4718"/>
      <w:bookmarkStart w:id="206" w:name="_Toc122424444"/>
      <w:bookmarkStart w:id="207" w:name="_Toc122424195"/>
      <w:r>
        <w:rPr>
          <w:rFonts w:hint="eastAsia" w:ascii="宋体" w:hAnsi="宋体" w:eastAsia="宋体" w:cs="宋体"/>
          <w:color w:val="auto"/>
          <w:highlight w:val="none"/>
        </w:rPr>
        <w:t>12. 暂停施工</w:t>
      </w:r>
      <w:bookmarkEnd w:id="205"/>
      <w:bookmarkEnd w:id="206"/>
      <w:bookmarkEnd w:id="207"/>
    </w:p>
    <w:p w14:paraId="3DC0A59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8" w:name="_Toc6557"/>
      <w:r>
        <w:rPr>
          <w:rFonts w:hint="eastAsia" w:ascii="宋体" w:hAnsi="宋体" w:eastAsia="宋体" w:cs="宋体"/>
          <w:color w:val="auto"/>
          <w:highlight w:val="none"/>
        </w:rPr>
        <w:t>12.1 承包人暂停施工的责任</w:t>
      </w:r>
      <w:bookmarkEnd w:id="208"/>
    </w:p>
    <w:p w14:paraId="5E35B5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1EB9CD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14:paraId="35EA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14:paraId="09C8F7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14:paraId="4C5D33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14:paraId="569456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14:paraId="1B7764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9" w:name="_Toc4441"/>
      <w:r>
        <w:rPr>
          <w:rFonts w:hint="eastAsia" w:ascii="宋体" w:hAnsi="宋体" w:eastAsia="宋体" w:cs="宋体"/>
          <w:color w:val="auto"/>
          <w:highlight w:val="none"/>
        </w:rPr>
        <w:t>12.2 发包人暂停施工的责任</w:t>
      </w:r>
      <w:bookmarkEnd w:id="209"/>
    </w:p>
    <w:p w14:paraId="442565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w:t>
      </w:r>
    </w:p>
    <w:p w14:paraId="1B418B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0" w:name="_Toc9467"/>
      <w:r>
        <w:rPr>
          <w:rFonts w:hint="eastAsia" w:ascii="宋体" w:hAnsi="宋体" w:eastAsia="宋体" w:cs="宋体"/>
          <w:color w:val="auto"/>
          <w:highlight w:val="none"/>
        </w:rPr>
        <w:t>12.3 监理人暂停施工指示</w:t>
      </w:r>
      <w:bookmarkEnd w:id="210"/>
    </w:p>
    <w:p w14:paraId="72F1B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488A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CAFCC3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1" w:name="_Toc20870"/>
      <w:r>
        <w:rPr>
          <w:rFonts w:hint="eastAsia" w:ascii="宋体" w:hAnsi="宋体" w:eastAsia="宋体" w:cs="宋体"/>
          <w:color w:val="auto"/>
          <w:highlight w:val="none"/>
        </w:rPr>
        <w:t>12.4 暂停施工后的复工</w:t>
      </w:r>
      <w:bookmarkEnd w:id="211"/>
    </w:p>
    <w:p w14:paraId="72DEE6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C91C1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64D732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2" w:name="_Toc19907"/>
      <w:r>
        <w:rPr>
          <w:rFonts w:hint="eastAsia" w:ascii="宋体" w:hAnsi="宋体" w:eastAsia="宋体" w:cs="宋体"/>
          <w:color w:val="auto"/>
          <w:highlight w:val="none"/>
        </w:rPr>
        <w:t>12.5 暂停施工持续56天以上</w:t>
      </w:r>
      <w:bookmarkEnd w:id="212"/>
    </w:p>
    <w:p w14:paraId="7F6A09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DCEE3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由于承包人责任引起的暂停施工，如承包人在收到监理人暂停施工指示后56天内不认真采取有效的复工措施，造成工期延误，可视为承包人违约，应按第22.1款的规定办理。</w:t>
      </w:r>
    </w:p>
    <w:p w14:paraId="49DB6B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13" w:name="_Toc27358"/>
      <w:bookmarkStart w:id="214" w:name="_Toc122424445"/>
      <w:bookmarkStart w:id="215" w:name="_Toc122424196"/>
      <w:r>
        <w:rPr>
          <w:rFonts w:hint="eastAsia" w:ascii="宋体" w:hAnsi="宋体" w:eastAsia="宋体" w:cs="宋体"/>
          <w:color w:val="auto"/>
          <w:highlight w:val="none"/>
        </w:rPr>
        <w:t>13. 工程质量</w:t>
      </w:r>
      <w:bookmarkEnd w:id="213"/>
      <w:bookmarkEnd w:id="214"/>
      <w:bookmarkEnd w:id="215"/>
    </w:p>
    <w:p w14:paraId="7AC6EA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6" w:name="_Toc22468"/>
      <w:r>
        <w:rPr>
          <w:rFonts w:hint="eastAsia" w:ascii="宋体" w:hAnsi="宋体" w:eastAsia="宋体" w:cs="宋体"/>
          <w:color w:val="auto"/>
          <w:highlight w:val="none"/>
        </w:rPr>
        <w:t>13.1 工程质量要求</w:t>
      </w:r>
      <w:bookmarkEnd w:id="216"/>
    </w:p>
    <w:p w14:paraId="6C0890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14:paraId="6851D4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14:paraId="1F5F13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14:paraId="6F7699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7" w:name="_Toc5979"/>
      <w:r>
        <w:rPr>
          <w:rFonts w:hint="eastAsia" w:ascii="宋体" w:hAnsi="宋体" w:eastAsia="宋体" w:cs="宋体"/>
          <w:color w:val="auto"/>
          <w:highlight w:val="none"/>
        </w:rPr>
        <w:t>13.2 承包人的质量管理</w:t>
      </w:r>
      <w:bookmarkEnd w:id="217"/>
    </w:p>
    <w:p w14:paraId="414745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E83E1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14:paraId="51F1CF0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8" w:name="_Toc3312"/>
      <w:r>
        <w:rPr>
          <w:rFonts w:hint="eastAsia" w:ascii="宋体" w:hAnsi="宋体" w:eastAsia="宋体" w:cs="宋体"/>
          <w:color w:val="auto"/>
          <w:highlight w:val="none"/>
        </w:rPr>
        <w:t>13.3 承包人的质量检查</w:t>
      </w:r>
      <w:bookmarkEnd w:id="218"/>
    </w:p>
    <w:p w14:paraId="2AD426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0B567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9" w:name="_Toc31128"/>
      <w:r>
        <w:rPr>
          <w:rFonts w:hint="eastAsia" w:ascii="宋体" w:hAnsi="宋体" w:eastAsia="宋体" w:cs="宋体"/>
          <w:color w:val="auto"/>
          <w:highlight w:val="none"/>
        </w:rPr>
        <w:t>13.4 监理人的质量检查</w:t>
      </w:r>
      <w:bookmarkEnd w:id="219"/>
    </w:p>
    <w:p w14:paraId="2FF61A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E26CC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0" w:name="_Toc19479"/>
      <w:r>
        <w:rPr>
          <w:rFonts w:hint="eastAsia" w:ascii="宋体" w:hAnsi="宋体" w:eastAsia="宋体" w:cs="宋体"/>
          <w:color w:val="auto"/>
          <w:highlight w:val="none"/>
        </w:rPr>
        <w:t>13.5 工程隐蔽部位覆盖前的检查</w:t>
      </w:r>
      <w:bookmarkEnd w:id="220"/>
    </w:p>
    <w:p w14:paraId="6389F3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14:paraId="144524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58BC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14:paraId="2C451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6A70F1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14:paraId="2BE845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5DB8C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14:paraId="2CA9E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398960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1" w:name="_Toc18725"/>
      <w:r>
        <w:rPr>
          <w:rFonts w:hint="eastAsia" w:ascii="宋体" w:hAnsi="宋体" w:eastAsia="宋体" w:cs="宋体"/>
          <w:color w:val="auto"/>
          <w:highlight w:val="none"/>
        </w:rPr>
        <w:t>13.6 清除不合格工程</w:t>
      </w:r>
      <w:bookmarkEnd w:id="221"/>
    </w:p>
    <w:p w14:paraId="78BFF9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F8D2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14:paraId="492C3DD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2" w:name="_Toc122424446"/>
      <w:bookmarkStart w:id="223" w:name="_Toc31367"/>
      <w:bookmarkStart w:id="224" w:name="_Toc122424197"/>
      <w:r>
        <w:rPr>
          <w:rFonts w:hint="eastAsia" w:ascii="宋体" w:hAnsi="宋体" w:eastAsia="宋体" w:cs="宋体"/>
          <w:color w:val="auto"/>
          <w:highlight w:val="none"/>
        </w:rPr>
        <w:t>14. 试验和检验</w:t>
      </w:r>
      <w:bookmarkEnd w:id="222"/>
      <w:bookmarkEnd w:id="223"/>
      <w:bookmarkEnd w:id="224"/>
    </w:p>
    <w:p w14:paraId="1C997D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5" w:name="_Toc6699"/>
      <w:r>
        <w:rPr>
          <w:rFonts w:hint="eastAsia" w:ascii="宋体" w:hAnsi="宋体" w:eastAsia="宋体" w:cs="宋体"/>
          <w:color w:val="auto"/>
          <w:highlight w:val="none"/>
        </w:rPr>
        <w:t>14.1 材料、工程设备和工程的试验和检验</w:t>
      </w:r>
      <w:bookmarkEnd w:id="225"/>
    </w:p>
    <w:p w14:paraId="692645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5518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14:paraId="3CE529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DE5806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6" w:name="_Toc22418"/>
      <w:r>
        <w:rPr>
          <w:rFonts w:hint="eastAsia" w:ascii="宋体" w:hAnsi="宋体" w:eastAsia="宋体" w:cs="宋体"/>
          <w:color w:val="auto"/>
          <w:highlight w:val="none"/>
        </w:rPr>
        <w:t>14.2 现场材料试验</w:t>
      </w:r>
      <w:bookmarkEnd w:id="226"/>
    </w:p>
    <w:p w14:paraId="16FA81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14:paraId="60EC7C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14:paraId="3251CC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7" w:name="_Toc25433"/>
      <w:r>
        <w:rPr>
          <w:rFonts w:hint="eastAsia" w:ascii="宋体" w:hAnsi="宋体" w:eastAsia="宋体" w:cs="宋体"/>
          <w:color w:val="auto"/>
          <w:highlight w:val="none"/>
        </w:rPr>
        <w:t>14.3 现场工艺试验</w:t>
      </w:r>
      <w:bookmarkEnd w:id="227"/>
    </w:p>
    <w:p w14:paraId="68A989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2E2DBC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8" w:name="_Toc122424198"/>
      <w:bookmarkStart w:id="229" w:name="_Toc122424447"/>
      <w:bookmarkStart w:id="230" w:name="_Toc26945"/>
      <w:r>
        <w:rPr>
          <w:rFonts w:hint="eastAsia" w:ascii="宋体" w:hAnsi="宋体" w:eastAsia="宋体" w:cs="宋体"/>
          <w:color w:val="auto"/>
          <w:highlight w:val="none"/>
        </w:rPr>
        <w:t>15. 变更</w:t>
      </w:r>
      <w:bookmarkEnd w:id="228"/>
      <w:bookmarkEnd w:id="229"/>
      <w:bookmarkEnd w:id="230"/>
    </w:p>
    <w:p w14:paraId="2626B62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1" w:name="_Toc15425"/>
      <w:r>
        <w:rPr>
          <w:rFonts w:hint="eastAsia" w:ascii="宋体" w:hAnsi="宋体" w:eastAsia="宋体" w:cs="宋体"/>
          <w:color w:val="auto"/>
          <w:highlight w:val="none"/>
        </w:rPr>
        <w:t>15.1 变更的范围和内容</w:t>
      </w:r>
      <w:bookmarkEnd w:id="231"/>
    </w:p>
    <w:p w14:paraId="5CE7C8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除专用合同条款另有约定外，在履行合同中发生以下情形之一，应按照本条规定进行变更。</w:t>
      </w:r>
    </w:p>
    <w:p w14:paraId="2ED7E8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（1）取消合同中任何一项工作，但被取消的工作不能转由发包人或其他人实施；</w:t>
      </w:r>
    </w:p>
    <w:p w14:paraId="7205C5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（2）改变合同中任何一项工作的质量或其他特性；</w:t>
      </w:r>
    </w:p>
    <w:p w14:paraId="28FD97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14:paraId="7BF221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14:paraId="68BF6A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14:paraId="4CD3F2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2" w:name="_Toc13258"/>
      <w:r>
        <w:rPr>
          <w:rFonts w:hint="eastAsia" w:ascii="宋体" w:hAnsi="宋体" w:eastAsia="宋体" w:cs="宋体"/>
          <w:color w:val="auto"/>
          <w:highlight w:val="none"/>
        </w:rPr>
        <w:t>15.2 变更权</w:t>
      </w:r>
      <w:bookmarkEnd w:id="232"/>
    </w:p>
    <w:p w14:paraId="35F97E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14:paraId="0964B45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3" w:name="_Toc24454"/>
      <w:r>
        <w:rPr>
          <w:rFonts w:hint="eastAsia" w:ascii="宋体" w:hAnsi="宋体" w:eastAsia="宋体" w:cs="宋体"/>
          <w:color w:val="auto"/>
          <w:highlight w:val="none"/>
        </w:rPr>
        <w:t>15.3 变更程序</w:t>
      </w:r>
      <w:bookmarkEnd w:id="233"/>
    </w:p>
    <w:p w14:paraId="4096C9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14:paraId="5199B9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B5EF1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14:paraId="1C7053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51DF4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328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14:paraId="0DCACB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749B8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14:paraId="543049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14:paraId="6BF929C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14:paraId="0C116D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14:paraId="267E49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14:paraId="1992BBB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4" w:name="_Toc14717"/>
      <w:r>
        <w:rPr>
          <w:rFonts w:hint="eastAsia" w:ascii="宋体" w:hAnsi="宋体" w:eastAsia="宋体" w:cs="宋体"/>
          <w:color w:val="auto"/>
          <w:highlight w:val="none"/>
        </w:rPr>
        <w:t>15.4 变更的估价原则</w:t>
      </w:r>
      <w:bookmarkEnd w:id="234"/>
    </w:p>
    <w:p w14:paraId="4CB9C0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0F75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14:paraId="3469DC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14:paraId="23F7EA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14:paraId="269AB58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5" w:name="_Toc6025"/>
      <w:r>
        <w:rPr>
          <w:rFonts w:hint="eastAsia" w:ascii="宋体" w:hAnsi="宋体" w:eastAsia="宋体" w:cs="宋体"/>
          <w:color w:val="auto"/>
          <w:highlight w:val="none"/>
        </w:rPr>
        <w:t>15.5 承包人的合理化建议</w:t>
      </w:r>
      <w:bookmarkEnd w:id="235"/>
    </w:p>
    <w:p w14:paraId="3C70EA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82EE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14:paraId="4ECC13D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6" w:name="_Toc28479"/>
      <w:r>
        <w:rPr>
          <w:rFonts w:hint="eastAsia" w:ascii="宋体" w:hAnsi="宋体" w:eastAsia="宋体" w:cs="宋体"/>
          <w:color w:val="auto"/>
          <w:highlight w:val="none"/>
        </w:rPr>
        <w:t>15.6 暂列金额</w:t>
      </w:r>
      <w:bookmarkEnd w:id="236"/>
    </w:p>
    <w:p w14:paraId="6A1D73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2C500AF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7" w:name="_Toc12668"/>
      <w:r>
        <w:rPr>
          <w:rFonts w:hint="eastAsia" w:ascii="宋体" w:hAnsi="宋体" w:eastAsia="宋体" w:cs="宋体"/>
          <w:color w:val="auto"/>
          <w:highlight w:val="none"/>
        </w:rPr>
        <w:t>15.7 计日工</w:t>
      </w:r>
      <w:bookmarkEnd w:id="237"/>
    </w:p>
    <w:p w14:paraId="40E2D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15.7.1 发包人认为有必要时，由监理人通知承包人以计日工方式实施变更的零星工作。其价款按列入已标价工程量清单中的计日工计价子目及其单价进行计算。</w:t>
      </w:r>
    </w:p>
    <w:p w14:paraId="7AB67A2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14:paraId="07F4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14:paraId="75389B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14:paraId="6913CE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14:paraId="1725D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14:paraId="1FF41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14:paraId="0EABBB4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14:paraId="3F1AD62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8" w:name="_Toc29143"/>
      <w:r>
        <w:rPr>
          <w:rFonts w:hint="eastAsia" w:ascii="宋体" w:hAnsi="宋体" w:eastAsia="宋体" w:cs="宋体"/>
          <w:color w:val="auto"/>
          <w:highlight w:val="none"/>
        </w:rPr>
        <w:t>15.8 暂估价</w:t>
      </w:r>
      <w:bookmarkEnd w:id="238"/>
    </w:p>
    <w:p w14:paraId="624F21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93D9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20166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F65284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39" w:name="_Toc12800"/>
      <w:bookmarkStart w:id="240" w:name="_Toc122424448"/>
      <w:bookmarkStart w:id="241" w:name="_Toc122424199"/>
      <w:r>
        <w:rPr>
          <w:rFonts w:hint="eastAsia" w:ascii="宋体" w:hAnsi="宋体" w:eastAsia="宋体" w:cs="宋体"/>
          <w:color w:val="auto"/>
          <w:highlight w:val="none"/>
        </w:rPr>
        <w:t>16. 价格调整</w:t>
      </w:r>
      <w:bookmarkEnd w:id="239"/>
      <w:bookmarkEnd w:id="240"/>
      <w:bookmarkEnd w:id="241"/>
    </w:p>
    <w:p w14:paraId="60D6F6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2" w:name="_Toc27279"/>
      <w:r>
        <w:rPr>
          <w:rFonts w:hint="eastAsia" w:ascii="宋体" w:hAnsi="宋体" w:eastAsia="宋体" w:cs="宋体"/>
          <w:color w:val="auto"/>
          <w:highlight w:val="none"/>
        </w:rPr>
        <w:t>16.1 物价波动引起的价格调整</w:t>
      </w:r>
      <w:bookmarkEnd w:id="242"/>
    </w:p>
    <w:p w14:paraId="4F9423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除专用合同条款另有约定外，因物价波动引起的价格调整按照本款约定处理。</w:t>
      </w:r>
    </w:p>
    <w:p w14:paraId="2C4D6D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14:paraId="6D4FF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14:paraId="4E6BD8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492F5D5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position w:val="-34"/>
          <w:sz w:val="24"/>
          <w:highlight w:val="none"/>
        </w:rPr>
        <w:object>
          <v:shape id="_x0000_i1025" o:spt="75" type="#_x0000_t75" style="height:40.5pt;width:306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40F95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14:paraId="22B862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E4663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定值权重（即不调部分的权重）；</w:t>
      </w:r>
    </w:p>
    <w:p w14:paraId="592077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B1; B2 ;B3·····Bn -- 各可调因子的变值权重（即可调部分的权重）为各可调因子在投标函投标总报价中所占的比例；</w:t>
      </w:r>
    </w:p>
    <w:p w14:paraId="77682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Ft1 ;Ft2 ;Ft3·····Ftn -- 各可调因子的现行价格指数，指第17.3.3项、第17.5.2项和第17.6.2项约定的付款证书相关周期最后一天的前42天的各可调因子的价格指数；</w:t>
      </w:r>
    </w:p>
    <w:p w14:paraId="20EE38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Fo1; Fo2; Fo3·····Fon -- 各可调因子的基本价格指数，指基准日期的各可调因子的价格指数。</w:t>
      </w:r>
    </w:p>
    <w:p w14:paraId="53BE14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4291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14:paraId="6FC48C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06C897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14:paraId="3F1C27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14:paraId="620B31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14:paraId="768F6E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E0F90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14:paraId="4D8555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250F1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3" w:name="_Toc8116"/>
      <w:r>
        <w:rPr>
          <w:rFonts w:hint="eastAsia" w:ascii="宋体" w:hAnsi="宋体" w:eastAsia="宋体" w:cs="宋体"/>
          <w:color w:val="auto"/>
          <w:highlight w:val="none"/>
        </w:rPr>
        <w:t>16.2 法律变化引起的价格调整</w:t>
      </w:r>
      <w:bookmarkEnd w:id="243"/>
    </w:p>
    <w:p w14:paraId="51E7AA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0D0CEF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44" w:name="_Toc122424200"/>
      <w:bookmarkStart w:id="245" w:name="_Toc122424449"/>
      <w:bookmarkStart w:id="246" w:name="_Toc17915"/>
      <w:r>
        <w:rPr>
          <w:rFonts w:hint="eastAsia" w:ascii="宋体" w:hAnsi="宋体" w:eastAsia="宋体" w:cs="宋体"/>
          <w:color w:val="auto"/>
          <w:highlight w:val="none"/>
        </w:rPr>
        <w:t>17. 计量与支付</w:t>
      </w:r>
      <w:bookmarkEnd w:id="244"/>
      <w:bookmarkEnd w:id="245"/>
      <w:bookmarkEnd w:id="246"/>
    </w:p>
    <w:p w14:paraId="3BA000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7" w:name="_Toc7023"/>
      <w:r>
        <w:rPr>
          <w:rFonts w:hint="eastAsia" w:ascii="宋体" w:hAnsi="宋体" w:eastAsia="宋体" w:cs="宋体"/>
          <w:color w:val="auto"/>
          <w:highlight w:val="none"/>
        </w:rPr>
        <w:t>17.1 计量</w:t>
      </w:r>
      <w:bookmarkEnd w:id="247"/>
    </w:p>
    <w:p w14:paraId="07C1ED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14:paraId="39F609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31D015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14:paraId="679C73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工程量清单中的工程量计算规则应按有关国家标准、行业标准的规定，并在合同中约定执行。</w:t>
      </w:r>
    </w:p>
    <w:p w14:paraId="2826D1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14:paraId="62832F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4626A0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14:paraId="62081B8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14:paraId="2CB31D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14:paraId="2508E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00C6E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14:paraId="252755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D933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F8627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17.1.5 总价子目的计量</w:t>
      </w:r>
    </w:p>
    <w:p w14:paraId="7AED0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除专用合同条款另有约定外，总价子目的分解和计量按照下述约定进行。</w:t>
      </w:r>
    </w:p>
    <w:p w14:paraId="3AD34A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14:paraId="264899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78BBA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14:paraId="7253C9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14:paraId="0143B37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8" w:name="_Toc13801"/>
      <w:r>
        <w:rPr>
          <w:rFonts w:hint="eastAsia" w:ascii="宋体" w:hAnsi="宋体" w:eastAsia="宋体" w:cs="宋体"/>
          <w:color w:val="auto"/>
          <w:highlight w:val="none"/>
        </w:rPr>
        <w:t>17.2 预付款</w:t>
      </w:r>
      <w:bookmarkEnd w:id="248"/>
    </w:p>
    <w:p w14:paraId="0FA74D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545A55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32B246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w:t>
      </w:r>
    </w:p>
    <w:p w14:paraId="6EAADB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BB35C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14:paraId="3B4763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15EFF8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9" w:name="_Toc31468"/>
      <w:r>
        <w:rPr>
          <w:rFonts w:hint="eastAsia" w:ascii="宋体" w:hAnsi="宋体" w:eastAsia="宋体" w:cs="宋体"/>
          <w:color w:val="auto"/>
          <w:highlight w:val="none"/>
        </w:rPr>
        <w:t>17.3 工程进度付款</w:t>
      </w:r>
      <w:bookmarkEnd w:id="249"/>
    </w:p>
    <w:p w14:paraId="78EDC5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14:paraId="5B5169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6275F8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14:paraId="089A74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1DEE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14:paraId="762DD1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14:paraId="59B0B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14:paraId="5AC3CB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14:paraId="3BF81F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14:paraId="062A5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14:paraId="59E1B0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14:paraId="035DC3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C9725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14:paraId="29CFD3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14:paraId="2E757F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14:paraId="687EDB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14:paraId="2B6C3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F42DF8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0" w:name="_Toc32700"/>
      <w:r>
        <w:rPr>
          <w:rFonts w:hint="eastAsia" w:ascii="宋体" w:hAnsi="宋体" w:eastAsia="宋体" w:cs="宋体"/>
          <w:color w:val="auto"/>
          <w:highlight w:val="none"/>
        </w:rPr>
        <w:t>17.4 质量保证金</w:t>
      </w:r>
      <w:bookmarkEnd w:id="250"/>
    </w:p>
    <w:p w14:paraId="5461F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E279D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9A458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ABFBAC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1" w:name="_Toc564"/>
      <w:r>
        <w:rPr>
          <w:rFonts w:hint="eastAsia" w:ascii="宋体" w:hAnsi="宋体" w:eastAsia="宋体" w:cs="宋体"/>
          <w:color w:val="auto"/>
          <w:highlight w:val="none"/>
        </w:rPr>
        <w:t>17.5 竣工结算</w:t>
      </w:r>
      <w:bookmarkEnd w:id="251"/>
    </w:p>
    <w:p w14:paraId="1895413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竣工付款申请单</w:t>
      </w:r>
    </w:p>
    <w:p w14:paraId="0C46B9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B3FFB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（2）监理人对竣工付款申请单有异议的，有权要求承包人进行修正和提供补充资料。经监理人和承包人协商后，由承包人向监理人提交修正后的竣工付款申请单。</w:t>
      </w:r>
    </w:p>
    <w:p w14:paraId="3A5FE7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竣工付款证书及支付时间</w:t>
      </w:r>
    </w:p>
    <w:p w14:paraId="11C3E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69907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（2）发包人应在监理人出具竣工付款证书后的14天内，将应支付款支付给承包人。发包人不按期支付的，按第17.3.3（2）目的约定，将逾期付款违约金支付给承包人。</w:t>
      </w:r>
    </w:p>
    <w:p w14:paraId="2030D3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（3）承包人对发包人签认的竣工付款证书有异议的，发包人可出具竣工付款申请单中承包人已同意部分的临时付款证书。存在争议的部分，按第24条的约定办理。</w:t>
      </w:r>
    </w:p>
    <w:p w14:paraId="30C16E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（4）竣工付款涉及政府投资资金的，按第17.3.3（４）目的约定办理。</w:t>
      </w:r>
    </w:p>
    <w:p w14:paraId="23E659B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2" w:name="_Toc25285"/>
      <w:r>
        <w:rPr>
          <w:rFonts w:hint="eastAsia" w:ascii="宋体" w:hAnsi="宋体" w:eastAsia="宋体" w:cs="宋体"/>
          <w:color w:val="auto"/>
          <w:highlight w:val="none"/>
        </w:rPr>
        <w:t>17.6 最终结清</w:t>
      </w:r>
      <w:bookmarkEnd w:id="252"/>
    </w:p>
    <w:p w14:paraId="70C196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14:paraId="4658B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（1）缺陷责任期终止证书签发后，承包人可按专用合同条款约定的份数和期限向监理人提交最终结清申请单，并提供相关证明材料。</w:t>
      </w:r>
    </w:p>
    <w:p w14:paraId="75C6DE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14:paraId="432648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14:paraId="7020D6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6DB3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14:paraId="136DA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14:paraId="02872C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14:paraId="4B41E21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53" w:name="_Toc122424450"/>
      <w:bookmarkStart w:id="254" w:name="_Toc122424201"/>
      <w:bookmarkStart w:id="255" w:name="_Toc30994"/>
      <w:r>
        <w:rPr>
          <w:rFonts w:hint="eastAsia" w:ascii="宋体" w:hAnsi="宋体" w:eastAsia="宋体" w:cs="宋体"/>
          <w:color w:val="auto"/>
          <w:highlight w:val="none"/>
        </w:rPr>
        <w:t>18. 竣工验收</w:t>
      </w:r>
      <w:bookmarkEnd w:id="253"/>
      <w:bookmarkEnd w:id="254"/>
      <w:bookmarkEnd w:id="255"/>
    </w:p>
    <w:p w14:paraId="268440B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6" w:name="_Toc32352"/>
      <w:r>
        <w:rPr>
          <w:rFonts w:hint="eastAsia" w:ascii="宋体" w:hAnsi="宋体" w:eastAsia="宋体" w:cs="宋体"/>
          <w:color w:val="auto"/>
          <w:highlight w:val="none"/>
        </w:rPr>
        <w:t>18.1 竣工验收的含义</w:t>
      </w:r>
      <w:bookmarkEnd w:id="256"/>
    </w:p>
    <w:p w14:paraId="75A3F3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18.1.1 竣工验收指承包人完成了全部合同工作后，发包人按合同要求进行的验收。</w:t>
      </w:r>
    </w:p>
    <w:p w14:paraId="1259C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18.1.2 国家验收是政府有关部门根据法律、规范、规程和政策要求，针对发包人全面组织实施的整个工程正式交付投运前的验收。</w:t>
      </w:r>
    </w:p>
    <w:p w14:paraId="40BCE69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C981EA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7" w:name="_Toc1350"/>
      <w:r>
        <w:rPr>
          <w:rFonts w:hint="eastAsia" w:ascii="宋体" w:hAnsi="宋体" w:eastAsia="宋体" w:cs="宋体"/>
          <w:color w:val="auto"/>
          <w:highlight w:val="none"/>
        </w:rPr>
        <w:t>18.2 竣工验收申请报告</w:t>
      </w:r>
      <w:bookmarkEnd w:id="257"/>
    </w:p>
    <w:p w14:paraId="0F4E8F3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当工程具备以下条件时，承包人即可向监理人报送竣工验收申请报告：</w:t>
      </w:r>
    </w:p>
    <w:p w14:paraId="4319EE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10818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（2）已按合同约定的内容和份数备齐了符合要求的竣工资料； </w:t>
      </w:r>
    </w:p>
    <w:p w14:paraId="26DF8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（3）已按监理人的要求编制了在缺陷责任期内完成的尾工（甩项）工程和缺陷修补工作清单以及相应施工计划；</w:t>
      </w:r>
    </w:p>
    <w:p w14:paraId="0844D2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（4）监理人要求在竣工验收前应完成的其他工作；</w:t>
      </w:r>
    </w:p>
    <w:p w14:paraId="6F6C7D9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（5）监理人要求提交的竣工验收资料清单。</w:t>
      </w:r>
    </w:p>
    <w:p w14:paraId="682422D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8" w:name="_Toc7634"/>
      <w:r>
        <w:rPr>
          <w:rFonts w:hint="eastAsia" w:ascii="宋体" w:hAnsi="宋体" w:eastAsia="宋体" w:cs="宋体"/>
          <w:color w:val="auto"/>
          <w:highlight w:val="none"/>
        </w:rPr>
        <w:t>18.3 验收</w:t>
      </w:r>
      <w:bookmarkEnd w:id="258"/>
    </w:p>
    <w:p w14:paraId="6E545B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监理人收到承包人按第18.2款约定提交的竣工验收申请报告后，应审查申请报告的各项内容，并按以下不同情况进行处理。</w:t>
      </w:r>
    </w:p>
    <w:p w14:paraId="0830F6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EC1B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 监理人审查后认为已具备竣工验收条件的，应在收到竣工验收申请报告后的28天内提请发包人进行工程验收。</w:t>
      </w:r>
    </w:p>
    <w:p w14:paraId="241639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3103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B423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18.3.5 除专用合同条款另有约定外，经验收合格工程的实际竣工日期，以提交竣工验收申请报告的日期为准，并在工程接收证书中写明。</w:t>
      </w:r>
    </w:p>
    <w:p w14:paraId="54F897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4536A4F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9" w:name="_Toc14179"/>
      <w:r>
        <w:rPr>
          <w:rFonts w:hint="eastAsia" w:ascii="宋体" w:hAnsi="宋体" w:eastAsia="宋体" w:cs="宋体"/>
          <w:color w:val="auto"/>
          <w:highlight w:val="none"/>
        </w:rPr>
        <w:t>18.4 单位工程验收</w:t>
      </w:r>
      <w:bookmarkEnd w:id="259"/>
    </w:p>
    <w:p w14:paraId="1F85B1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DAAA4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 发包人在全部工程竣工前，使用已接收的单位工程导致承包人费用增加的，发包人应承担由此增加的费用和（或）工期延误，并支付承包人合理利润。</w:t>
      </w:r>
    </w:p>
    <w:p w14:paraId="7E4A36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0" w:name="_Toc16446"/>
      <w:r>
        <w:rPr>
          <w:rFonts w:hint="eastAsia" w:ascii="宋体" w:hAnsi="宋体" w:eastAsia="宋体" w:cs="宋体"/>
          <w:color w:val="auto"/>
          <w:highlight w:val="none"/>
        </w:rPr>
        <w:t>18.5 施工期运行</w:t>
      </w:r>
      <w:bookmarkEnd w:id="260"/>
    </w:p>
    <w:p w14:paraId="6BF4D8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23197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 在施工期运行中发现工程或工程设备损坏或存在缺陷的，由承包人按第19.2款约定进行修复。</w:t>
      </w:r>
    </w:p>
    <w:p w14:paraId="54A435A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1" w:name="_Toc26484"/>
      <w:r>
        <w:rPr>
          <w:rFonts w:hint="eastAsia" w:ascii="宋体" w:hAnsi="宋体" w:eastAsia="宋体" w:cs="宋体"/>
          <w:color w:val="auto"/>
          <w:highlight w:val="none"/>
        </w:rPr>
        <w:t>18.6 试运行</w:t>
      </w:r>
      <w:bookmarkEnd w:id="261"/>
    </w:p>
    <w:p w14:paraId="0D409D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 除专用合同条款另有约定外，承包人应按专用合同条款约定进行工程及工程设备试运行，负责提供试运行所需的人员、器材和必要的条件，并承担全部试运行费用。</w:t>
      </w:r>
    </w:p>
    <w:p w14:paraId="6E15E4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306CC8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2" w:name="_Toc9520"/>
      <w:r>
        <w:rPr>
          <w:rFonts w:hint="eastAsia" w:ascii="宋体" w:hAnsi="宋体" w:eastAsia="宋体" w:cs="宋体"/>
          <w:color w:val="auto"/>
          <w:highlight w:val="none"/>
        </w:rPr>
        <w:t>18.7 竣工清场</w:t>
      </w:r>
      <w:bookmarkEnd w:id="262"/>
    </w:p>
    <w:p w14:paraId="3354AA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 除合同另有约定外，工程接收证书颁发后，承包人应按以下要求对施工场地进行清理，直至监理人检验合格为止。竣工清场费用由承包人承担。</w:t>
      </w:r>
    </w:p>
    <w:p w14:paraId="1EF6D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（1）施工场地内残留的垃圾已全部清除出场；</w:t>
      </w:r>
    </w:p>
    <w:p w14:paraId="7E5DE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（2）临时工程已拆除，场地已按合同要求进行清理、平整或复原；</w:t>
      </w:r>
    </w:p>
    <w:p w14:paraId="6B9C2D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（3）按合同约定应撤离的承包人设备和剩余的材料，包括废弃的施工设备和材料，已按计划撤离施工场地；</w:t>
      </w:r>
    </w:p>
    <w:p w14:paraId="1B9EB9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（4）工程建筑物周边及其附近道路、河道的施工堆积物，已按监理人指示全部清理；</w:t>
      </w:r>
    </w:p>
    <w:p w14:paraId="349DC5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（5）监理人指示的其他场地清理工作已全部完成。</w:t>
      </w:r>
    </w:p>
    <w:p w14:paraId="2FD925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 承包人未按监理人的要求恢复临时占地，或者场地清理未达到合同约定的，发包人有权委托其他人恢复或清理，所发生的金额从拟支付给承包人的款项中扣除。</w:t>
      </w:r>
    </w:p>
    <w:p w14:paraId="73131C5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3" w:name="_Toc10196"/>
      <w:r>
        <w:rPr>
          <w:rFonts w:hint="eastAsia" w:ascii="宋体" w:hAnsi="宋体" w:eastAsia="宋体" w:cs="宋体"/>
          <w:color w:val="auto"/>
          <w:highlight w:val="none"/>
        </w:rPr>
        <w:t>18.8 施工队伍的撤离</w:t>
      </w:r>
      <w:bookmarkEnd w:id="263"/>
    </w:p>
    <w:p w14:paraId="411D3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71720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64" w:name="_Toc122424202"/>
      <w:bookmarkStart w:id="265" w:name="_Toc122424451"/>
      <w:bookmarkStart w:id="266" w:name="_Toc10892"/>
      <w:r>
        <w:rPr>
          <w:rFonts w:hint="eastAsia" w:ascii="宋体" w:hAnsi="宋体" w:eastAsia="宋体" w:cs="宋体"/>
          <w:color w:val="auto"/>
          <w:highlight w:val="none"/>
        </w:rPr>
        <w:t>19. 缺陷责任与保修责任</w:t>
      </w:r>
      <w:bookmarkEnd w:id="264"/>
      <w:bookmarkEnd w:id="265"/>
      <w:bookmarkEnd w:id="266"/>
    </w:p>
    <w:p w14:paraId="045D89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7" w:name="_Toc2029"/>
      <w:r>
        <w:rPr>
          <w:rFonts w:hint="eastAsia" w:ascii="宋体" w:hAnsi="宋体" w:eastAsia="宋体" w:cs="宋体"/>
          <w:color w:val="auto"/>
          <w:highlight w:val="none"/>
        </w:rPr>
        <w:t>19.1 缺陷责任期的起算时间</w:t>
      </w:r>
      <w:bookmarkEnd w:id="267"/>
    </w:p>
    <w:p w14:paraId="3135EA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缺陷责任期自实际竣工日期起计算。在全部工程竣工验收前，已经发包人提前验收的单位工程，其缺陷责任期的起算日期相应提前。</w:t>
      </w:r>
    </w:p>
    <w:p w14:paraId="79F708E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8" w:name="_Toc28384"/>
      <w:r>
        <w:rPr>
          <w:rFonts w:hint="eastAsia" w:ascii="宋体" w:hAnsi="宋体" w:eastAsia="宋体" w:cs="宋体"/>
          <w:color w:val="auto"/>
          <w:highlight w:val="none"/>
        </w:rPr>
        <w:t>19.2 缺陷责任</w:t>
      </w:r>
      <w:bookmarkEnd w:id="268"/>
    </w:p>
    <w:p w14:paraId="4C4730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14:paraId="10402C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F9540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C4BB1C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14:paraId="133F5C9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9" w:name="_Toc28081"/>
      <w:r>
        <w:rPr>
          <w:rFonts w:hint="eastAsia" w:ascii="宋体" w:hAnsi="宋体" w:eastAsia="宋体" w:cs="宋体"/>
          <w:color w:val="auto"/>
          <w:highlight w:val="none"/>
        </w:rPr>
        <w:t>19.3 缺陷责任期的延长</w:t>
      </w:r>
      <w:bookmarkEnd w:id="269"/>
    </w:p>
    <w:p w14:paraId="6AEC63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12B85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0" w:name="_Toc882"/>
      <w:r>
        <w:rPr>
          <w:rFonts w:hint="eastAsia" w:ascii="宋体" w:hAnsi="宋体" w:eastAsia="宋体" w:cs="宋体"/>
          <w:color w:val="auto"/>
          <w:highlight w:val="none"/>
        </w:rPr>
        <w:t>19.4 进一步试验和试运行</w:t>
      </w:r>
      <w:bookmarkEnd w:id="270"/>
    </w:p>
    <w:p w14:paraId="71DC02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6BD5FFE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1" w:name="_Toc17413"/>
      <w:r>
        <w:rPr>
          <w:rFonts w:hint="eastAsia" w:ascii="宋体" w:hAnsi="宋体" w:eastAsia="宋体" w:cs="宋体"/>
          <w:color w:val="auto"/>
          <w:highlight w:val="none"/>
        </w:rPr>
        <w:t>19.5 承包人的进入权</w:t>
      </w:r>
      <w:bookmarkEnd w:id="271"/>
    </w:p>
    <w:p w14:paraId="4E0DC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3D425E5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2" w:name="_Toc4985"/>
      <w:r>
        <w:rPr>
          <w:rFonts w:hint="eastAsia" w:ascii="宋体" w:hAnsi="宋体" w:eastAsia="宋体" w:cs="宋体"/>
          <w:color w:val="auto"/>
          <w:highlight w:val="none"/>
        </w:rPr>
        <w:t>19.6 缺陷责任期终止证书</w:t>
      </w:r>
      <w:bookmarkEnd w:id="272"/>
    </w:p>
    <w:p w14:paraId="45DF83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在第1.1.4.5目约定的缺陷责任期，包括根据第19.3款延长的期限终止后14天内，由监理人向承包人出具经发包人签认的缺陷责任期终止证书，并退还剩余的质量保证金。</w:t>
      </w:r>
    </w:p>
    <w:p w14:paraId="335073B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3" w:name="_Toc28036"/>
      <w:r>
        <w:rPr>
          <w:rFonts w:hint="eastAsia" w:ascii="宋体" w:hAnsi="宋体" w:eastAsia="宋体" w:cs="宋体"/>
          <w:color w:val="auto"/>
          <w:highlight w:val="none"/>
        </w:rPr>
        <w:t>19.7 保修责任</w:t>
      </w:r>
      <w:bookmarkEnd w:id="273"/>
    </w:p>
    <w:p w14:paraId="32E946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8F832E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74" w:name="_Toc21090"/>
      <w:bookmarkStart w:id="275" w:name="_Toc122424452"/>
      <w:bookmarkStart w:id="276" w:name="_Toc122424203"/>
      <w:r>
        <w:rPr>
          <w:rFonts w:hint="eastAsia" w:ascii="宋体" w:hAnsi="宋体" w:eastAsia="宋体" w:cs="宋体"/>
          <w:color w:val="auto"/>
          <w:highlight w:val="none"/>
        </w:rPr>
        <w:t>20. 保险</w:t>
      </w:r>
      <w:bookmarkEnd w:id="274"/>
      <w:bookmarkEnd w:id="275"/>
      <w:bookmarkEnd w:id="276"/>
    </w:p>
    <w:p w14:paraId="622F66B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7" w:name="_Toc9782"/>
      <w:r>
        <w:rPr>
          <w:rFonts w:hint="eastAsia" w:ascii="宋体" w:hAnsi="宋体" w:eastAsia="宋体" w:cs="宋体"/>
          <w:color w:val="auto"/>
          <w:highlight w:val="none"/>
        </w:rPr>
        <w:t>20.1 工程保险</w:t>
      </w:r>
      <w:bookmarkEnd w:id="277"/>
    </w:p>
    <w:p w14:paraId="14280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D57F3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8" w:name="_Toc20764"/>
      <w:r>
        <w:rPr>
          <w:rFonts w:hint="eastAsia" w:ascii="宋体" w:hAnsi="宋体" w:eastAsia="宋体" w:cs="宋体"/>
          <w:color w:val="auto"/>
          <w:highlight w:val="none"/>
        </w:rPr>
        <w:t>20.2 人员工伤事故的保险</w:t>
      </w:r>
      <w:bookmarkEnd w:id="278"/>
    </w:p>
    <w:p w14:paraId="1E34B9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14:paraId="522711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14:paraId="3074CF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14:paraId="4702A7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14:paraId="7EA3F9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9" w:name="_Toc5176"/>
      <w:r>
        <w:rPr>
          <w:rFonts w:hint="eastAsia" w:ascii="宋体" w:hAnsi="宋体" w:eastAsia="宋体" w:cs="宋体"/>
          <w:color w:val="auto"/>
          <w:highlight w:val="none"/>
        </w:rPr>
        <w:t>20.3 人身意外伤害险</w:t>
      </w:r>
      <w:bookmarkEnd w:id="279"/>
    </w:p>
    <w:p w14:paraId="4F05DB7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14:paraId="54843D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14:paraId="4BAD1A3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0" w:name="_Toc6828"/>
      <w:r>
        <w:rPr>
          <w:rFonts w:hint="eastAsia" w:ascii="宋体" w:hAnsi="宋体" w:eastAsia="宋体" w:cs="宋体"/>
          <w:color w:val="auto"/>
          <w:highlight w:val="none"/>
        </w:rPr>
        <w:t>20.4 第三者责任险</w:t>
      </w:r>
      <w:bookmarkEnd w:id="280"/>
    </w:p>
    <w:p w14:paraId="382683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DEDF5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14:paraId="2F4355E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1" w:name="_Toc1637"/>
      <w:r>
        <w:rPr>
          <w:rFonts w:hint="eastAsia" w:ascii="宋体" w:hAnsi="宋体" w:eastAsia="宋体" w:cs="宋体"/>
          <w:color w:val="auto"/>
          <w:highlight w:val="none"/>
        </w:rPr>
        <w:t>20.5 其他保险</w:t>
      </w:r>
      <w:bookmarkEnd w:id="281"/>
    </w:p>
    <w:p w14:paraId="5CF1C2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3571B3C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2" w:name="_Toc15017"/>
      <w:r>
        <w:rPr>
          <w:rFonts w:hint="eastAsia" w:ascii="宋体" w:hAnsi="宋体" w:eastAsia="宋体" w:cs="宋体"/>
          <w:color w:val="auto"/>
          <w:highlight w:val="none"/>
        </w:rPr>
        <w:t>20.6 对各项保险的一般要求</w:t>
      </w:r>
      <w:bookmarkEnd w:id="282"/>
    </w:p>
    <w:p w14:paraId="708D78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0FFD9A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6F0E9D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14:paraId="65F1CA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23487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14:paraId="41FA50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260DCF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14:paraId="01F5DD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保险金不足以补偿损失的，应由承包人和（或）发包人按合同约定负责补偿。</w:t>
      </w:r>
    </w:p>
    <w:p w14:paraId="280CA0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14:paraId="5E5375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14:paraId="57E563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14:paraId="3AC94C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14:paraId="3DB157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4417B72E">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3" w:name="_Toc6526"/>
      <w:bookmarkStart w:id="284" w:name="_Toc122424204"/>
      <w:bookmarkStart w:id="285" w:name="_Toc122424453"/>
      <w:r>
        <w:rPr>
          <w:rFonts w:hint="eastAsia" w:ascii="宋体" w:hAnsi="宋体" w:eastAsia="宋体" w:cs="宋体"/>
          <w:color w:val="auto"/>
          <w:highlight w:val="none"/>
        </w:rPr>
        <w:t>21. 不可抗力</w:t>
      </w:r>
      <w:bookmarkEnd w:id="283"/>
      <w:bookmarkEnd w:id="284"/>
      <w:bookmarkEnd w:id="285"/>
    </w:p>
    <w:p w14:paraId="26BFEDE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6" w:name="_Toc9293"/>
      <w:r>
        <w:rPr>
          <w:rFonts w:hint="eastAsia" w:ascii="宋体" w:hAnsi="宋体" w:eastAsia="宋体" w:cs="宋体"/>
          <w:color w:val="auto"/>
          <w:highlight w:val="none"/>
        </w:rPr>
        <w:t>21.1 不可抗力的确认</w:t>
      </w:r>
      <w:bookmarkEnd w:id="286"/>
    </w:p>
    <w:p w14:paraId="7FDDBA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C2AE8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997301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7" w:name="_Toc32615"/>
      <w:r>
        <w:rPr>
          <w:rFonts w:hint="eastAsia" w:ascii="宋体" w:hAnsi="宋体" w:eastAsia="宋体" w:cs="宋体"/>
          <w:color w:val="auto"/>
          <w:highlight w:val="none"/>
        </w:rPr>
        <w:t>21.2 不可抗力的通知</w:t>
      </w:r>
      <w:bookmarkEnd w:id="287"/>
    </w:p>
    <w:p w14:paraId="31DFAC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0C4D5C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2BA9104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8" w:name="_Toc26419"/>
      <w:r>
        <w:rPr>
          <w:rFonts w:hint="eastAsia" w:ascii="宋体" w:hAnsi="宋体" w:eastAsia="宋体" w:cs="宋体"/>
          <w:color w:val="auto"/>
          <w:highlight w:val="none"/>
        </w:rPr>
        <w:t>21.3 不可抗力后果及其处理</w:t>
      </w:r>
      <w:bookmarkEnd w:id="288"/>
    </w:p>
    <w:p w14:paraId="63790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14:paraId="2C8CF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C9E0C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14:paraId="20A7EC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14:paraId="162F63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14:paraId="5EDA2B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14:paraId="5F86E2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14:paraId="7EEBF7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14:paraId="487AAA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77CA31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14:paraId="086A20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241F2E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14:paraId="0B7A30A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4FC30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9" w:name="_Toc16752"/>
      <w:bookmarkStart w:id="290" w:name="_Toc122424205"/>
      <w:bookmarkStart w:id="291" w:name="_Toc122424454"/>
      <w:r>
        <w:rPr>
          <w:rFonts w:hint="eastAsia" w:ascii="宋体" w:hAnsi="宋体" w:eastAsia="宋体" w:cs="宋体"/>
          <w:color w:val="auto"/>
          <w:highlight w:val="none"/>
        </w:rPr>
        <w:t>22. 违约</w:t>
      </w:r>
      <w:bookmarkEnd w:id="289"/>
      <w:bookmarkEnd w:id="290"/>
      <w:bookmarkEnd w:id="291"/>
    </w:p>
    <w:p w14:paraId="7062D5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2" w:name="_Toc18184"/>
      <w:r>
        <w:rPr>
          <w:rFonts w:hint="eastAsia" w:ascii="宋体" w:hAnsi="宋体" w:eastAsia="宋体" w:cs="宋体"/>
          <w:color w:val="auto"/>
          <w:highlight w:val="none"/>
        </w:rPr>
        <w:t>22.1 承包人违约</w:t>
      </w:r>
      <w:bookmarkEnd w:id="292"/>
    </w:p>
    <w:p w14:paraId="4AB708D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14:paraId="4BC065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73CA36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14:paraId="32C657E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14:paraId="78543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14:paraId="09B467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14:paraId="1BDC0B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（5）承包人在缺陷责任期内，未能对工程接收证书所列的缺陷清单的内容或缺陷责任期内发生的缺陷进行修复，而又拒绝按监理人指示再进行修补；</w:t>
      </w:r>
    </w:p>
    <w:p w14:paraId="1AF1BC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14:paraId="45785D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14:paraId="41FF8C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14:paraId="3E873A5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14:paraId="377FB1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14:paraId="2BC3D5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14:paraId="29E58C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14:paraId="21F635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34B6D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14:paraId="13F47E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14:paraId="7F1AD21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14:paraId="29DAD4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14:paraId="2CCB07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14:paraId="60A803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14:paraId="716A29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14:paraId="697D72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69CC7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14:paraId="021A69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DB807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3" w:name="_Toc24004"/>
      <w:r>
        <w:rPr>
          <w:rFonts w:hint="eastAsia" w:ascii="宋体" w:hAnsi="宋体" w:eastAsia="宋体" w:cs="宋体"/>
          <w:color w:val="auto"/>
          <w:highlight w:val="none"/>
        </w:rPr>
        <w:t>22.2 发包人违约</w:t>
      </w:r>
      <w:bookmarkEnd w:id="293"/>
    </w:p>
    <w:p w14:paraId="2DB79D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14:paraId="0EB1FD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30B54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14:paraId="628982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14:paraId="4CAD89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14:paraId="2D262C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14:paraId="42B712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14:paraId="60F6E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14:paraId="45A05D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F0F10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14:paraId="61AAFC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（1）发生第22.2.1（4）目的违约情况时，承包人可书面通知发包人解除合同。   </w:t>
      </w:r>
    </w:p>
    <w:p w14:paraId="1A8EE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7E9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14:paraId="660699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1F7C57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14:paraId="26EEEB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14:paraId="7CA8C36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14:paraId="53862A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14:paraId="193C3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14:paraId="1D2909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14:paraId="37D6F2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0FF8F2F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14:paraId="3BFE38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42F76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4" w:name="_Toc13746"/>
      <w:r>
        <w:rPr>
          <w:rFonts w:hint="eastAsia" w:ascii="宋体" w:hAnsi="宋体" w:eastAsia="宋体" w:cs="宋体"/>
          <w:color w:val="auto"/>
          <w:highlight w:val="none"/>
        </w:rPr>
        <w:t>22.3 第三人造成的违约</w:t>
      </w:r>
      <w:bookmarkEnd w:id="294"/>
    </w:p>
    <w:p w14:paraId="418803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1BCF29B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5" w:name="_Toc122424455"/>
      <w:bookmarkStart w:id="296" w:name="_Toc122424206"/>
      <w:bookmarkStart w:id="297" w:name="_Toc24948"/>
      <w:r>
        <w:rPr>
          <w:rFonts w:hint="eastAsia" w:ascii="宋体" w:hAnsi="宋体" w:eastAsia="宋体" w:cs="宋体"/>
          <w:color w:val="auto"/>
          <w:highlight w:val="none"/>
        </w:rPr>
        <w:t>23. 索赔</w:t>
      </w:r>
      <w:bookmarkEnd w:id="295"/>
      <w:bookmarkEnd w:id="296"/>
      <w:bookmarkEnd w:id="297"/>
    </w:p>
    <w:p w14:paraId="729F901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8" w:name="_Toc27577"/>
      <w:r>
        <w:rPr>
          <w:rFonts w:hint="eastAsia" w:ascii="宋体" w:hAnsi="宋体" w:eastAsia="宋体" w:cs="宋体"/>
          <w:color w:val="auto"/>
          <w:highlight w:val="none"/>
        </w:rPr>
        <w:t>23.1 承包人索赔的提出</w:t>
      </w:r>
      <w:bookmarkEnd w:id="298"/>
    </w:p>
    <w:p w14:paraId="5B4D9C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14:paraId="2093CE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611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045635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14:paraId="243EB6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14:paraId="2D77D9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9" w:name="_Toc27579"/>
      <w:r>
        <w:rPr>
          <w:rFonts w:hint="eastAsia" w:ascii="宋体" w:hAnsi="宋体" w:eastAsia="宋体" w:cs="宋体"/>
          <w:color w:val="auto"/>
          <w:highlight w:val="none"/>
        </w:rPr>
        <w:t>23.2 承包人索赔处理程序</w:t>
      </w:r>
      <w:bookmarkEnd w:id="299"/>
    </w:p>
    <w:p w14:paraId="4189A3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14:paraId="7CCE1FF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14:paraId="055D42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14:paraId="37906B1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0" w:name="_Toc30968"/>
      <w:r>
        <w:rPr>
          <w:rFonts w:hint="eastAsia" w:ascii="宋体" w:hAnsi="宋体" w:eastAsia="宋体" w:cs="宋体"/>
          <w:color w:val="auto"/>
          <w:highlight w:val="none"/>
        </w:rPr>
        <w:t>23.3 承包人提出索赔的期限</w:t>
      </w:r>
      <w:bookmarkEnd w:id="300"/>
    </w:p>
    <w:p w14:paraId="1918EC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承包人按第17.5款的约定接受了竣工付款证书后，应被认为已无权再提出在合同工程接收证书颁发前所发生的任何索赔。</w:t>
      </w:r>
    </w:p>
    <w:p w14:paraId="175E61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23.3.2 承包人按第17.6款的约定提交的最终结清申请单中，只限于提出工程接收证书颁发后发生的索赔。提出索赔的期限自接受最终结清证书时终止。 </w:t>
      </w:r>
    </w:p>
    <w:p w14:paraId="1D6334D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1" w:name="_Toc11364"/>
      <w:r>
        <w:rPr>
          <w:rFonts w:hint="eastAsia" w:ascii="宋体" w:hAnsi="宋体" w:eastAsia="宋体" w:cs="宋体"/>
          <w:color w:val="auto"/>
          <w:highlight w:val="none"/>
        </w:rPr>
        <w:t>23.4 发包人的索赔</w:t>
      </w:r>
      <w:bookmarkEnd w:id="301"/>
    </w:p>
    <w:p w14:paraId="413EB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D763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F1A43D4">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02" w:name="_Toc122424456"/>
      <w:bookmarkStart w:id="303" w:name="_Toc122424207"/>
      <w:bookmarkStart w:id="304" w:name="_Toc14309"/>
      <w:r>
        <w:rPr>
          <w:rFonts w:hint="eastAsia" w:ascii="宋体" w:hAnsi="宋体" w:eastAsia="宋体" w:cs="宋体"/>
          <w:color w:val="auto"/>
          <w:highlight w:val="none"/>
        </w:rPr>
        <w:t>24. 争议的解决</w:t>
      </w:r>
      <w:bookmarkEnd w:id="302"/>
      <w:bookmarkEnd w:id="303"/>
      <w:bookmarkEnd w:id="304"/>
    </w:p>
    <w:p w14:paraId="297E66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5" w:name="_Toc16006"/>
      <w:r>
        <w:rPr>
          <w:rFonts w:hint="eastAsia" w:ascii="宋体" w:hAnsi="宋体" w:eastAsia="宋体" w:cs="宋体"/>
          <w:color w:val="auto"/>
          <w:highlight w:val="none"/>
        </w:rPr>
        <w:t>24.1 争议的解决方式</w:t>
      </w:r>
      <w:bookmarkEnd w:id="305"/>
    </w:p>
    <w:p w14:paraId="762ACC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FB359D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14:paraId="2CA137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29747A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6" w:name="_Toc8167"/>
      <w:r>
        <w:rPr>
          <w:rFonts w:hint="eastAsia" w:ascii="宋体" w:hAnsi="宋体" w:eastAsia="宋体" w:cs="宋体"/>
          <w:color w:val="auto"/>
          <w:highlight w:val="none"/>
        </w:rPr>
        <w:t>24.2 友好解决</w:t>
      </w:r>
      <w:bookmarkEnd w:id="306"/>
    </w:p>
    <w:p w14:paraId="415790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1190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7" w:name="_Toc2540"/>
      <w:r>
        <w:rPr>
          <w:rFonts w:hint="eastAsia" w:ascii="宋体" w:hAnsi="宋体" w:eastAsia="宋体" w:cs="宋体"/>
          <w:color w:val="auto"/>
          <w:highlight w:val="none"/>
        </w:rPr>
        <w:t>24.3 争议评审</w:t>
      </w:r>
      <w:bookmarkEnd w:id="307"/>
    </w:p>
    <w:p w14:paraId="469038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14:paraId="31536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3BB313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14:paraId="15F83F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D74EA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D9163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14:paraId="35150D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Start w:id="308" w:name="_Toc517163146"/>
      <w:bookmarkStart w:id="309" w:name="_Toc511595187"/>
      <w:bookmarkStart w:id="310" w:name="_Toc508779703"/>
      <w:bookmarkStart w:id="311" w:name="_Toc15755"/>
      <w:bookmarkStart w:id="312" w:name="_Toc514759026"/>
      <w:bookmarkStart w:id="313" w:name="_Toc394929412"/>
    </w:p>
    <w:p w14:paraId="66E1D25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4D577B7">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FB72A5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710C0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EDC2CD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07A2A4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9D0DDD5">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2BBC6D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959549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733E7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6A2C79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FE437CB">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074CF1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DF583D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3A3B72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53853">
      <w:pPr>
        <w:pStyle w:val="4"/>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第二节  专用合同条款</w:t>
      </w:r>
      <w:bookmarkEnd w:id="308"/>
      <w:bookmarkEnd w:id="309"/>
      <w:bookmarkEnd w:id="310"/>
      <w:bookmarkEnd w:id="311"/>
      <w:bookmarkEnd w:id="312"/>
      <w:bookmarkEnd w:id="313"/>
    </w:p>
    <w:p w14:paraId="72C7ECB5">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32"/>
          <w:szCs w:val="32"/>
          <w:highlight w:val="none"/>
        </w:rPr>
      </w:pPr>
      <w:bookmarkStart w:id="314" w:name="_Toc26847"/>
      <w:bookmarkStart w:id="315" w:name="_Toc122424458"/>
      <w:bookmarkStart w:id="316" w:name="_Toc122424209"/>
      <w:bookmarkStart w:id="317" w:name="_Toc25648"/>
      <w:r>
        <w:rPr>
          <w:rFonts w:hint="eastAsia" w:ascii="宋体" w:hAnsi="宋体" w:eastAsia="宋体" w:cs="宋体"/>
          <w:b/>
          <w:bCs/>
          <w:color w:val="auto"/>
          <w:sz w:val="32"/>
          <w:szCs w:val="32"/>
          <w:highlight w:val="none"/>
        </w:rPr>
        <w:t>A.公路工程专用合同条款</w:t>
      </w:r>
      <w:bookmarkEnd w:id="314"/>
      <w:bookmarkEnd w:id="315"/>
      <w:bookmarkEnd w:id="316"/>
      <w:bookmarkEnd w:id="317"/>
    </w:p>
    <w:p w14:paraId="7C85188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18" w:name="_Toc11744"/>
      <w:bookmarkStart w:id="319" w:name="_Toc122424459"/>
      <w:bookmarkStart w:id="320" w:name="_Toc122424210"/>
      <w:r>
        <w:rPr>
          <w:rFonts w:hint="eastAsia" w:ascii="宋体" w:hAnsi="宋体" w:eastAsia="宋体" w:cs="宋体"/>
          <w:b/>
          <w:bCs/>
          <w:color w:val="auto"/>
          <w:sz w:val="32"/>
          <w:szCs w:val="32"/>
          <w:highlight w:val="none"/>
        </w:rPr>
        <w:t>1.一般约定</w:t>
      </w:r>
      <w:bookmarkEnd w:id="318"/>
      <w:bookmarkEnd w:id="319"/>
      <w:bookmarkEnd w:id="320"/>
    </w:p>
    <w:p w14:paraId="2780B9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1" w:name="_Toc32051"/>
      <w:r>
        <w:rPr>
          <w:rFonts w:hint="eastAsia" w:ascii="宋体" w:hAnsi="宋体" w:eastAsia="宋体" w:cs="宋体"/>
          <w:b/>
          <w:bCs/>
          <w:color w:val="auto"/>
          <w:sz w:val="28"/>
          <w:szCs w:val="28"/>
          <w:highlight w:val="none"/>
        </w:rPr>
        <w:t>1.1词语定义</w:t>
      </w:r>
      <w:bookmarkEnd w:id="321"/>
    </w:p>
    <w:p w14:paraId="010BA67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1.1.1 合同</w:t>
      </w:r>
    </w:p>
    <w:p w14:paraId="6E9CB7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1.1.1.6 目细化为：</w:t>
      </w:r>
    </w:p>
    <w:p w14:paraId="38D5B6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技术规范：指本合同所约定的技术标准和要求，是合同文件的组成部分。通用合同条款中“技术标准和要求”一词具有相同含义。</w:t>
      </w:r>
    </w:p>
    <w:p w14:paraId="768BE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1.1.1.8 目细化为：</w:t>
      </w:r>
    </w:p>
    <w:p w14:paraId="7D216CD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BB1F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1.1.1.10 目：</w:t>
      </w:r>
    </w:p>
    <w:p w14:paraId="550FCC7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1.1.1.10 补遗书：指发出招标文件之后由招标人向已取得招标文件的投标人发出的、编号的对招标文件所作的澄清、修改书。</w:t>
      </w:r>
    </w:p>
    <w:p w14:paraId="3FAC6F1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1.1.2合同当事人和人员</w:t>
      </w:r>
    </w:p>
    <w:p w14:paraId="52A5D27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1.1.2.8 目：</w:t>
      </w:r>
    </w:p>
    <w:p w14:paraId="429A47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1.1.2.8 承包人项目总工：指由承包人书面委派常驻现场负责管理本合同工程的总工程师或技术总负责人。</w:t>
      </w:r>
    </w:p>
    <w:p w14:paraId="4308C0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1.1.3工程和设备</w:t>
      </w:r>
    </w:p>
    <w:p w14:paraId="22C93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1.1.3.4 目细化为：</w:t>
      </w:r>
    </w:p>
    <w:p w14:paraId="7E2C4D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单位工程：指在建设项目中，根据签订的合同，具有独立施工条件的工程。第 1.1.3.10 目细化为：</w:t>
      </w:r>
    </w:p>
    <w:p w14:paraId="4016DE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永久占地：指为实施本合同工程而需要的一切永久占用的土地，包括公路两侧路权范围内的用地。</w:t>
      </w:r>
    </w:p>
    <w:p w14:paraId="00B57B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1.1.3.11 目细化为：</w:t>
      </w:r>
    </w:p>
    <w:p w14:paraId="730C7D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临时占地：指为实施本合同工程而需要的一切临时占用的土地，包括施工所用的临时支线、便道、便桥和现场的临时出入通道，以及生产（办公）、生活等临时设施用地等。</w:t>
      </w:r>
    </w:p>
    <w:p w14:paraId="30E8DB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1.1.3.12 目、第 1.1.3.13 目：</w:t>
      </w:r>
    </w:p>
    <w:p w14:paraId="26EB85C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1.1.3.12分部工程：指在单位工程中，按结构部位、路段长度及施工特点或施工任务划分的若干个工程。</w:t>
      </w:r>
    </w:p>
    <w:p w14:paraId="7320A2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1.1.3.13分项工程：指在分部工程中，按不同的施工方法、材料、工序及路段长度等划分的若干个工程。</w:t>
      </w:r>
    </w:p>
    <w:p w14:paraId="16270F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1.1.6 其他</w:t>
      </w:r>
    </w:p>
    <w:p w14:paraId="3FA50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1.1.6.2 目～第 1.1.6.9 目：</w:t>
      </w:r>
    </w:p>
    <w:p w14:paraId="513AF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1.1.6.2竣工验收：指《公路工程竣（交）工验收办法》中的竣工验收。通用合同条款中“国家验收”一词具有相同含义。</w:t>
      </w:r>
    </w:p>
    <w:p w14:paraId="1AED29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1.1.6.3交工：指《公路工程竣（交）工验收办法》中的交工。通用合同条款中“竣工”一词具有相同含义。</w:t>
      </w:r>
    </w:p>
    <w:p w14:paraId="068C0C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1.1.6.4交工验收：指《公路工程竣（交）工验收办法》中的交工验收。通用合同条款中“竣工验收”一词具有相同含义。</w:t>
      </w:r>
    </w:p>
    <w:p w14:paraId="732955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1.1.6.5交工验收证书：指《公路工程竣（交）工验收办法》中的交工验收证书。通用合同条款中“工程接收证书”一词具有相同含义。</w:t>
      </w:r>
    </w:p>
    <w:p w14:paraId="317230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1.1.6.6转包：指承包人违反法律和不履行合同规定的责任和义务，将中标工程全部委托或以专业分包的名义将中标工程肢解后全部委托给其他施工企业施工的行为。</w:t>
      </w:r>
    </w:p>
    <w:p w14:paraId="0AD815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302497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75196B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1.1.6.9雇用民工：指承包人与具有相应劳动能力的自然人签订劳动合同，由承包人统一组织管理，从事分项工程施工或配套工程施工的行为。</w:t>
      </w:r>
    </w:p>
    <w:p w14:paraId="5A576B9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2" w:name="_Toc6501"/>
      <w:r>
        <w:rPr>
          <w:rFonts w:hint="eastAsia" w:ascii="宋体" w:hAnsi="宋体" w:eastAsia="宋体" w:cs="宋体"/>
          <w:b/>
          <w:bCs/>
          <w:color w:val="auto"/>
          <w:sz w:val="28"/>
          <w:szCs w:val="28"/>
          <w:highlight w:val="none"/>
        </w:rPr>
        <w:t>1.4合同文件的优先顺序</w:t>
      </w:r>
      <w:bookmarkEnd w:id="322"/>
    </w:p>
    <w:p w14:paraId="6D9597C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2CD665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组成合同的各项文件应互相解释，互为说明。除项目专用合同条款另有约定外，解释合同文件的优先顺序如下：</w:t>
      </w:r>
    </w:p>
    <w:p w14:paraId="6DBF05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（1）合同协议书及各种合同附件（含评标期间和合同谈判过程中的澄清文件和补充资料）；</w:t>
      </w:r>
    </w:p>
    <w:p w14:paraId="4CEBA6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w:t>
      </w:r>
    </w:p>
    <w:p w14:paraId="657731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及投标函附录</w:t>
      </w:r>
      <w:r>
        <w:rPr>
          <w:rFonts w:hint="eastAsia" w:ascii="宋体" w:hAnsi="宋体" w:cs="宋体"/>
          <w:color w:val="auto"/>
          <w:highlight w:val="none"/>
          <w:lang w:val="en-US" w:eastAsia="zh-CN"/>
        </w:rPr>
        <w:t>(响应函）</w:t>
      </w:r>
      <w:r>
        <w:rPr>
          <w:rFonts w:hint="eastAsia" w:ascii="宋体" w:hAnsi="宋体" w:eastAsia="宋体" w:cs="宋体"/>
          <w:color w:val="auto"/>
          <w:highlight w:val="none"/>
        </w:rPr>
        <w:t>；</w:t>
      </w:r>
    </w:p>
    <w:p w14:paraId="2DA9C6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（4）项目专用合同条款；</w:t>
      </w:r>
    </w:p>
    <w:p w14:paraId="586F1C7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（5）公路工程专用合同条款；</w:t>
      </w:r>
    </w:p>
    <w:p w14:paraId="72B154E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（6）通用合同条款；</w:t>
      </w:r>
    </w:p>
    <w:p w14:paraId="7661CCE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（7）工程量清单计量规则；</w:t>
      </w:r>
    </w:p>
    <w:p w14:paraId="2AF2F95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（8）技术规范；</w:t>
      </w:r>
    </w:p>
    <w:p w14:paraId="310148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（9）图纸；</w:t>
      </w:r>
    </w:p>
    <w:p w14:paraId="04ACB4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（10）已标价工程量清单；</w:t>
      </w:r>
    </w:p>
    <w:p w14:paraId="1B82F2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（11）承包人有关人员、设备投入的承诺及投标（响应）文件中的施工组织设计；</w:t>
      </w:r>
    </w:p>
    <w:p w14:paraId="5CB5A9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（12）其他合同文件。</w:t>
      </w:r>
    </w:p>
    <w:p w14:paraId="5DFF3DA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3" w:name="_Toc14018"/>
      <w:r>
        <w:rPr>
          <w:rFonts w:hint="eastAsia" w:ascii="宋体" w:hAnsi="宋体" w:eastAsia="宋体" w:cs="宋体"/>
          <w:b/>
          <w:bCs/>
          <w:color w:val="auto"/>
          <w:sz w:val="28"/>
          <w:szCs w:val="28"/>
          <w:highlight w:val="none"/>
        </w:rPr>
        <w:t>1.5合同协议书</w:t>
      </w:r>
      <w:bookmarkEnd w:id="323"/>
    </w:p>
    <w:p w14:paraId="0766A6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7D38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制备本合同文件的费用由发包人承担。在合同协议书签订并生效之前，投标函和中标通知书将对双方具有约束力。</w:t>
      </w:r>
    </w:p>
    <w:p w14:paraId="239C663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4" w:name="_Toc6014"/>
      <w:r>
        <w:rPr>
          <w:rFonts w:hint="eastAsia" w:ascii="宋体" w:hAnsi="宋体" w:eastAsia="宋体" w:cs="宋体"/>
          <w:b/>
          <w:bCs/>
          <w:color w:val="auto"/>
          <w:sz w:val="28"/>
          <w:szCs w:val="28"/>
          <w:highlight w:val="none"/>
        </w:rPr>
        <w:t>1.6图纸和承包人文件</w:t>
      </w:r>
      <w:bookmarkEnd w:id="324"/>
    </w:p>
    <w:p w14:paraId="54FBF74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1.6.1图纸的提供</w:t>
      </w:r>
    </w:p>
    <w:p w14:paraId="28458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52218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4A19CEF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1.6.2承包人提供的文件</w:t>
      </w:r>
    </w:p>
    <w:p w14:paraId="27215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70086D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有下列情形之一的，承包人应免费向监理人提交相关部分工程的施工图纸 3 份， 并附必要的计算书、技术资料，或施工工艺图、设备安装图及安装设备的使用和维护手册各 2 份供监理人批准。</w:t>
      </w:r>
    </w:p>
    <w:p w14:paraId="681295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（1）为使第 1.6.1 项所述的施工图纸适合于经施工测量后的纵、横断面；</w:t>
      </w:r>
    </w:p>
    <w:p w14:paraId="1454621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（2）为使第 1.6.1 项所述的施工图纸适合于现场具体地形；</w:t>
      </w:r>
    </w:p>
    <w:p w14:paraId="4E360F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（3）为使第 1.6.1 项所述的施工图纸适合于因尺寸与位置变化而引起局部变更；</w:t>
      </w:r>
    </w:p>
    <w:p w14:paraId="08CB43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（4）由于合同要求与施工需要。</w:t>
      </w:r>
    </w:p>
    <w:p w14:paraId="3F972F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47BFC85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1.6.4 图纸的错误</w:t>
      </w:r>
    </w:p>
    <w:p w14:paraId="15A3CB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195E69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F1A79F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5" w:name="_Toc24253"/>
      <w:r>
        <w:rPr>
          <w:rFonts w:hint="eastAsia" w:ascii="宋体" w:hAnsi="宋体" w:eastAsia="宋体" w:cs="宋体"/>
          <w:b/>
          <w:bCs/>
          <w:color w:val="auto"/>
          <w:sz w:val="28"/>
          <w:szCs w:val="28"/>
          <w:highlight w:val="none"/>
        </w:rPr>
        <w:t>1.9 严禁贿赂</w:t>
      </w:r>
      <w:bookmarkEnd w:id="325"/>
    </w:p>
    <w:p w14:paraId="7AB6378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AD5A16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DE765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6" w:name="_Toc122424460"/>
      <w:bookmarkStart w:id="327" w:name="_Toc122424211"/>
      <w:bookmarkStart w:id="328" w:name="_Toc20696"/>
      <w:r>
        <w:rPr>
          <w:rFonts w:hint="eastAsia" w:ascii="宋体" w:hAnsi="宋体" w:eastAsia="宋体" w:cs="宋体"/>
          <w:b/>
          <w:bCs/>
          <w:color w:val="auto"/>
          <w:sz w:val="32"/>
          <w:szCs w:val="32"/>
          <w:highlight w:val="none"/>
        </w:rPr>
        <w:t>2.发包人义务</w:t>
      </w:r>
      <w:bookmarkEnd w:id="326"/>
      <w:bookmarkEnd w:id="327"/>
      <w:bookmarkEnd w:id="328"/>
    </w:p>
    <w:p w14:paraId="0F22D06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9" w:name="_Toc22133"/>
      <w:r>
        <w:rPr>
          <w:rFonts w:hint="eastAsia" w:ascii="宋体" w:hAnsi="宋体" w:eastAsia="宋体" w:cs="宋体"/>
          <w:b/>
          <w:bCs/>
          <w:color w:val="auto"/>
          <w:sz w:val="28"/>
          <w:szCs w:val="28"/>
          <w:highlight w:val="none"/>
        </w:rPr>
        <w:t>2.3 提供施工场地</w:t>
      </w:r>
      <w:bookmarkEnd w:id="329"/>
    </w:p>
    <w:p w14:paraId="0F884F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753D5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发包人负责办理永久占地的征用及与之有关的拆迁赔偿手续并承担相关费用。承包人在按第 10 条规定提交施工进度计划的同时，应向监理人提交一份按施工先后次</w:t>
      </w:r>
    </w:p>
    <w:p w14:paraId="57B7E4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43105D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99EC19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0" w:name="_Toc22405"/>
      <w:bookmarkStart w:id="331" w:name="_Toc122424461"/>
      <w:bookmarkStart w:id="332" w:name="_Toc122424212"/>
      <w:r>
        <w:rPr>
          <w:rFonts w:hint="eastAsia" w:ascii="宋体" w:hAnsi="宋体" w:eastAsia="宋体" w:cs="宋体"/>
          <w:b/>
          <w:bCs/>
          <w:color w:val="auto"/>
          <w:sz w:val="32"/>
          <w:szCs w:val="32"/>
          <w:highlight w:val="none"/>
        </w:rPr>
        <w:t>3.监理人</w:t>
      </w:r>
      <w:bookmarkEnd w:id="330"/>
      <w:bookmarkEnd w:id="331"/>
      <w:bookmarkEnd w:id="332"/>
    </w:p>
    <w:p w14:paraId="7EF3F1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3" w:name="_Toc28048"/>
      <w:r>
        <w:rPr>
          <w:rFonts w:hint="eastAsia" w:ascii="宋体" w:hAnsi="宋体" w:eastAsia="宋体" w:cs="宋体"/>
          <w:b/>
          <w:bCs/>
          <w:color w:val="auto"/>
          <w:sz w:val="28"/>
          <w:szCs w:val="28"/>
          <w:highlight w:val="none"/>
        </w:rPr>
        <w:t>3.1监理人的职责和权力</w:t>
      </w:r>
      <w:bookmarkEnd w:id="333"/>
    </w:p>
    <w:p w14:paraId="1CD885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3.1.1 项补充：</w:t>
      </w:r>
    </w:p>
    <w:p w14:paraId="3BF82D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监理人在行使下列权力前需要经发包人事先批准：</w:t>
      </w:r>
    </w:p>
    <w:p w14:paraId="78CEEC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（1）根据第 4.3 款，同意分包本工程的某些非关键性工作或者适合专业化队伍施工的专项工程；</w:t>
      </w:r>
    </w:p>
    <w:p w14:paraId="14CF26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（2）确定第 4.11 款下产生的费用增加额；</w:t>
      </w:r>
    </w:p>
    <w:p w14:paraId="22F42D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 11.1 款、第 12.3 款、第 12.4 款发布开工通知、暂停施工指示或复工通知；</w:t>
      </w:r>
    </w:p>
    <w:p w14:paraId="38FE91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（4）决定第 11.3 款、第 11.4 款下的工期延长；</w:t>
      </w:r>
    </w:p>
    <w:p w14:paraId="2C2D271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（5）审查批准技术方案或设计的变更；</w:t>
      </w:r>
    </w:p>
    <w:p w14:paraId="07CFD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（6）根据第 15.3 款发出的变更指示，其单项工程变更或累计变更涉及的金额超过了项目专用合同条款数据表中规定的金额；</w:t>
      </w:r>
    </w:p>
    <w:p w14:paraId="00F0A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（7）确定第 15.4 款下变更工作的单价；</w:t>
      </w:r>
    </w:p>
    <w:p w14:paraId="76F7C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（8）按照第 15.6 款决定有关暂列金额的使用；</w:t>
      </w:r>
    </w:p>
    <w:p w14:paraId="5666A86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（9）确定第 15.8 款下的暂估价金额；</w:t>
      </w:r>
    </w:p>
    <w:p w14:paraId="10C865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（10）确定第 23.1 款下的索赔额。</w:t>
      </w:r>
    </w:p>
    <w:p w14:paraId="71990D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39ABE4C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4" w:name="_Toc13038"/>
      <w:r>
        <w:rPr>
          <w:rFonts w:hint="eastAsia" w:ascii="宋体" w:hAnsi="宋体" w:eastAsia="宋体" w:cs="宋体"/>
          <w:b/>
          <w:bCs/>
          <w:color w:val="auto"/>
          <w:sz w:val="28"/>
          <w:szCs w:val="28"/>
          <w:highlight w:val="none"/>
        </w:rPr>
        <w:t>3.5 商定或确定</w:t>
      </w:r>
      <w:bookmarkEnd w:id="334"/>
    </w:p>
    <w:p w14:paraId="0B97880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3.5.1 项补充：</w:t>
      </w:r>
    </w:p>
    <w:p w14:paraId="31D9815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如果这项商定或确定导致费用增加和（或）工期延长，或者涉及确定变更工程的价格，则总监理工程师在发出通知前，应征得发包人的同意。</w:t>
      </w:r>
    </w:p>
    <w:p w14:paraId="10BE506E">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5" w:name="_Toc4806"/>
      <w:bookmarkStart w:id="336" w:name="_Toc122424462"/>
      <w:bookmarkStart w:id="337" w:name="_Toc122424213"/>
      <w:r>
        <w:rPr>
          <w:rFonts w:hint="eastAsia" w:ascii="宋体" w:hAnsi="宋体" w:eastAsia="宋体" w:cs="宋体"/>
          <w:b/>
          <w:bCs/>
          <w:color w:val="auto"/>
          <w:sz w:val="32"/>
          <w:szCs w:val="32"/>
          <w:highlight w:val="none"/>
        </w:rPr>
        <w:t>4.承包人</w:t>
      </w:r>
      <w:bookmarkEnd w:id="335"/>
      <w:bookmarkEnd w:id="336"/>
      <w:bookmarkEnd w:id="337"/>
    </w:p>
    <w:p w14:paraId="4AED7C1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8" w:name="_Toc20501"/>
      <w:r>
        <w:rPr>
          <w:rFonts w:hint="eastAsia" w:ascii="宋体" w:hAnsi="宋体" w:eastAsia="宋体" w:cs="宋体"/>
          <w:b/>
          <w:bCs/>
          <w:color w:val="auto"/>
          <w:sz w:val="28"/>
          <w:szCs w:val="28"/>
          <w:highlight w:val="none"/>
        </w:rPr>
        <w:t>4.1承包人的一般义务</w:t>
      </w:r>
      <w:bookmarkEnd w:id="338"/>
    </w:p>
    <w:p w14:paraId="1D5F64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4.1.9工程的维护和照管</w:t>
      </w:r>
    </w:p>
    <w:p w14:paraId="5B1F88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3CA1574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ECCA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6392AC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4.1.10其他义务</w:t>
      </w:r>
    </w:p>
    <w:p w14:paraId="5AFBA38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6139BA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（1）临时占地由承包人向当地政府土地管理部门申请，并办理租用手续，承包人按有关规定直接支付其费用，发包人对此将予以协调。</w:t>
      </w:r>
    </w:p>
    <w:p w14:paraId="3D7857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551905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05D7FE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E4336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hint="eastAsia" w:ascii="宋体" w:hAnsi="宋体" w:eastAsia="宋体" w:cs="宋体"/>
          <w:color w:val="auto"/>
          <w:highlight w:val="none"/>
          <w:lang w:val="en-US" w:eastAsia="zh-CN"/>
        </w:rPr>
        <w:t xml:space="preserve">  </w:t>
      </w:r>
    </w:p>
    <w:p w14:paraId="1169A2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963FC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工资支付表应如实记录支付单位、支付时间、支付对象、支付数额、支付对象的身份证号和签字等信息。民工花名册和工资支付表应报监理人备查。</w:t>
      </w:r>
    </w:p>
    <w:p w14:paraId="5ECFA7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D84FEB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1B34DC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（6）承包人应履行项目专用合同条款约定的其他义务。</w:t>
      </w:r>
    </w:p>
    <w:p w14:paraId="2037D2B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9" w:name="_Toc31637"/>
      <w:r>
        <w:rPr>
          <w:rFonts w:hint="eastAsia" w:ascii="宋体" w:hAnsi="宋体" w:eastAsia="宋体" w:cs="宋体"/>
          <w:b/>
          <w:bCs/>
          <w:color w:val="auto"/>
          <w:sz w:val="28"/>
          <w:szCs w:val="28"/>
          <w:highlight w:val="none"/>
        </w:rPr>
        <w:t>4.2履约保证金</w:t>
      </w:r>
      <w:bookmarkEnd w:id="339"/>
    </w:p>
    <w:p w14:paraId="160532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84592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承包人应保证其履约保证金在发包人签发交工验收证书且承包人按照合同约定缴纳质量保证金前一直有效。发包人应在收到承包人缴纳的质量保证金后 28 天内将履约保证金退还给承包人。</w:t>
      </w:r>
    </w:p>
    <w:p w14:paraId="557ADA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6F1734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0" w:name="_Toc8441"/>
      <w:r>
        <w:rPr>
          <w:rFonts w:hint="eastAsia" w:ascii="宋体" w:hAnsi="宋体" w:eastAsia="宋体" w:cs="宋体"/>
          <w:b/>
          <w:bCs/>
          <w:color w:val="auto"/>
          <w:sz w:val="28"/>
          <w:szCs w:val="28"/>
          <w:highlight w:val="none"/>
        </w:rPr>
        <w:t>4.3分包</w:t>
      </w:r>
      <w:bookmarkEnd w:id="340"/>
    </w:p>
    <w:p w14:paraId="377551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4.3.2 项～第 4.3.4 项细化为：</w:t>
      </w:r>
    </w:p>
    <w:p w14:paraId="6C224D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4.3.2承包人不得将工程关键性工作分包给第三人。经发包人同意，承包人可将工程的其他部分或工作分包给第三人。分包包括专业分包和劳务分包。</w:t>
      </w:r>
    </w:p>
    <w:p w14:paraId="3BEB8E8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4.3.3专业分包</w:t>
      </w:r>
    </w:p>
    <w:p w14:paraId="0E17DD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在工程施工过程中，承包人进行专业分包必须遵守以下规定：</w:t>
      </w:r>
    </w:p>
    <w:p w14:paraId="3AD24A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4105E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（2）专业分包人的资格能力（含安全生产能力）应与其分包工程的标准和规模相适应，且应当具备如下条件：</w:t>
      </w:r>
    </w:p>
    <w:p w14:paraId="25DB1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a.具有经工商登记的法人资格；</w:t>
      </w:r>
    </w:p>
    <w:p w14:paraId="27B799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b.具有从事类似工程经验的管理与技术人员；</w:t>
      </w:r>
    </w:p>
    <w:p w14:paraId="7E240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c.具有（自有或租赁）分包工程所需的施工设备。</w:t>
      </w:r>
    </w:p>
    <w:p w14:paraId="53D604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承包人应向监理人提交专业分包人的资格能力证明材料，经监理人审查并报发包人批准后，可以将相应专业工程分包给该专业分包人。</w:t>
      </w:r>
    </w:p>
    <w:p w14:paraId="4BC2AF1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（3）专业分包工程不得再次分包。</w:t>
      </w:r>
    </w:p>
    <w:p w14:paraId="4205033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BBC980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2EB0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D2CA7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40A46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CA43D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17B2D5E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4.3.4劳务分包</w:t>
      </w:r>
    </w:p>
    <w:p w14:paraId="2759CA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在工程施工过程中，承包人进行劳务分包必须遵守以下规定：</w:t>
      </w:r>
    </w:p>
    <w:p w14:paraId="4A1EAC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（1）劳务分包人应具有施工劳务资质。</w:t>
      </w:r>
    </w:p>
    <w:p w14:paraId="608C2C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A197D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8F254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（4）承包人应当对劳务分包人员进行安全培训和管理，劳务分包人不得将其分包的劳务作业再次分包。</w:t>
      </w:r>
    </w:p>
    <w:p w14:paraId="1372FFD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78B5CF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4.3.6 项、第 4.3.7 项：</w:t>
      </w:r>
    </w:p>
    <w:p w14:paraId="42D8EF1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4.3.6发包人对承包人与分包人之间的法律与经济纠纷不承担任何责任和义务。</w:t>
      </w:r>
    </w:p>
    <w:p w14:paraId="25ED04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4.3.7本项目的各项分包工作均应遵守《公路工程施工分包管理办法》的有关规定。</w:t>
      </w:r>
    </w:p>
    <w:p w14:paraId="222BF94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1" w:name="_Toc660"/>
      <w:r>
        <w:rPr>
          <w:rFonts w:hint="eastAsia" w:ascii="宋体" w:hAnsi="宋体" w:eastAsia="宋体" w:cs="宋体"/>
          <w:b/>
          <w:bCs/>
          <w:color w:val="auto"/>
          <w:sz w:val="28"/>
          <w:szCs w:val="28"/>
          <w:highlight w:val="none"/>
        </w:rPr>
        <w:t>4.4联合体</w:t>
      </w:r>
      <w:bookmarkEnd w:id="341"/>
    </w:p>
    <w:p w14:paraId="32B0FF8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4.4.4 项：</w:t>
      </w:r>
    </w:p>
    <w:p w14:paraId="56A7E3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4.4.4 未经发包人事先同意，联合体的组成与结构不得变动。</w:t>
      </w:r>
    </w:p>
    <w:p w14:paraId="6AEFD60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2" w:name="_Toc19492"/>
      <w:r>
        <w:rPr>
          <w:rFonts w:hint="eastAsia" w:ascii="宋体" w:hAnsi="宋体" w:eastAsia="宋体" w:cs="宋体"/>
          <w:b/>
          <w:bCs/>
          <w:color w:val="auto"/>
          <w:sz w:val="28"/>
          <w:szCs w:val="28"/>
          <w:highlight w:val="none"/>
        </w:rPr>
        <w:t>4.6承包人人员的管理</w:t>
      </w:r>
      <w:bookmarkEnd w:id="342"/>
    </w:p>
    <w:p w14:paraId="7DF1E0D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4.6.3 项细化为：</w:t>
      </w:r>
    </w:p>
    <w:p w14:paraId="575B26D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2F6521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4.6.5 项：</w:t>
      </w:r>
    </w:p>
    <w:p w14:paraId="29DBD9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EE506E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3" w:name="_Toc14658"/>
      <w:r>
        <w:rPr>
          <w:rFonts w:hint="eastAsia" w:ascii="宋体" w:hAnsi="宋体" w:eastAsia="宋体" w:cs="宋体"/>
          <w:b/>
          <w:bCs/>
          <w:color w:val="auto"/>
          <w:sz w:val="28"/>
          <w:szCs w:val="28"/>
          <w:highlight w:val="none"/>
        </w:rPr>
        <w:t>4.7撤换承包人项目经理和其他人员</w:t>
      </w:r>
      <w:bookmarkEnd w:id="343"/>
    </w:p>
    <w:p w14:paraId="58EBAC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r>
        <w:rPr>
          <w:rFonts w:hint="eastAsia" w:ascii="宋体" w:hAnsi="宋体" w:eastAsia="宋体" w:cs="宋体"/>
          <w:color w:val="auto"/>
          <w:highlight w:val="none"/>
          <w:u w:val="single"/>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1C1B18C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4.7.1关于项目经理每月在施工现场的时间要求：</w:t>
      </w:r>
      <w:r>
        <w:rPr>
          <w:rFonts w:hint="eastAsia" w:ascii="宋体" w:hAnsi="宋体" w:cs="宋体"/>
          <w:color w:val="auto"/>
          <w:szCs w:val="21"/>
          <w:highlight w:val="none"/>
          <w:u w:val="single"/>
        </w:rPr>
        <w:t>每月</w:t>
      </w:r>
      <w:r>
        <w:rPr>
          <w:rFonts w:hint="eastAsia" w:ascii="宋体" w:hAnsi="宋体" w:cs="宋体"/>
          <w:color w:val="auto"/>
          <w:szCs w:val="21"/>
          <w:highlight w:val="none"/>
          <w:u w:val="single"/>
          <w:lang w:val="en-US" w:eastAsia="zh-CN"/>
        </w:rPr>
        <w:t>不少于</w:t>
      </w:r>
      <w:r>
        <w:rPr>
          <w:rFonts w:hint="eastAsia" w:ascii="宋体" w:hAnsi="宋体" w:cs="宋体"/>
          <w:color w:val="auto"/>
          <w:szCs w:val="21"/>
          <w:highlight w:val="none"/>
          <w:u w:val="single"/>
        </w:rPr>
        <w:t>22天</w:t>
      </w:r>
      <w:r>
        <w:rPr>
          <w:rFonts w:hint="eastAsia" w:ascii="宋体" w:hAnsi="宋体" w:cs="宋体"/>
          <w:color w:val="auto"/>
          <w:szCs w:val="21"/>
          <w:highlight w:val="none"/>
        </w:rPr>
        <w:t>____。</w:t>
      </w:r>
    </w:p>
    <w:p w14:paraId="1BD4AB58">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4.7.2承包人未提交劳动合同，以及没有为项目经理缴纳社会保险证明的违约责任：</w:t>
      </w:r>
      <w:r>
        <w:rPr>
          <w:rFonts w:hint="eastAsia" w:ascii="宋体" w:hAnsi="宋体" w:cs="宋体"/>
          <w:color w:val="auto"/>
          <w:szCs w:val="21"/>
          <w:highlight w:val="none"/>
          <w:u w:val="single"/>
        </w:rPr>
        <w:t>必须提交，否则不能担任本工程项目经理。</w:t>
      </w:r>
    </w:p>
    <w:p w14:paraId="54DEF175">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4.7.3项目经理未经批准，擅自离开施工现场的违约责任：未经发包人同意或正当理由，项目经理擅自离岗的，视为承包人违约，发包人有权处违约金</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w:t>
      </w:r>
      <w:r>
        <w:rPr>
          <w:rFonts w:hint="eastAsia" w:ascii="宋体" w:hAnsi="宋体" w:cs="宋体"/>
          <w:color w:val="auto"/>
          <w:szCs w:val="21"/>
          <w:highlight w:val="none"/>
        </w:rPr>
        <w:t>元/人•次(人民币)。</w:t>
      </w:r>
    </w:p>
    <w:p w14:paraId="73BFC683">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4.7.4承包人擅自更换项目经理的违约责任：承包人项目经理必须与承包人投标时所承诺的人员一致，并在</w:t>
      </w:r>
      <w:r>
        <w:rPr>
          <w:rFonts w:hint="eastAsia" w:ascii="宋体" w:hAnsi="宋体" w:cs="宋体"/>
          <w:color w:val="auto"/>
          <w:szCs w:val="21"/>
          <w:highlight w:val="none"/>
          <w:u w:val="single"/>
        </w:rPr>
        <w:t>（开工日期）</w:t>
      </w:r>
      <w:r>
        <w:rPr>
          <w:rFonts w:hint="eastAsia" w:ascii="宋体" w:hAnsi="宋体" w:cs="宋体"/>
          <w:color w:val="auto"/>
          <w:szCs w:val="21"/>
          <w:highlight w:val="none"/>
        </w:rPr>
        <w:t>前到任。在监理人向承包人颁发</w:t>
      </w:r>
      <w:r>
        <w:rPr>
          <w:rFonts w:hint="eastAsia" w:ascii="宋体" w:hAnsi="宋体" w:cs="宋体"/>
          <w:color w:val="auto"/>
          <w:szCs w:val="21"/>
          <w:highlight w:val="none"/>
          <w:u w:val="single"/>
        </w:rPr>
        <w:t>（竣工证明材料名称）</w:t>
      </w:r>
      <w:r>
        <w:rPr>
          <w:rFonts w:hint="eastAsia" w:ascii="宋体" w:hAnsi="宋体" w:cs="宋体"/>
          <w:color w:val="auto"/>
          <w:szCs w:val="21"/>
          <w:highlight w:val="none"/>
        </w:rPr>
        <w:t>前，项目经理不得同时兼任其他任何项目的项目经理。未经发包人书面同意，承包人擅自更换项目经理的视为违约、违约金处</w:t>
      </w:r>
      <w:r>
        <w:rPr>
          <w:rFonts w:hint="eastAsia" w:ascii="宋体" w:hAnsi="宋体" w:cs="宋体"/>
          <w:color w:val="auto"/>
          <w:szCs w:val="21"/>
          <w:highlight w:val="none"/>
          <w:u w:val="single"/>
        </w:rPr>
        <w:t>合同价款的1%</w:t>
      </w:r>
      <w:r>
        <w:rPr>
          <w:rFonts w:hint="eastAsia" w:ascii="宋体" w:hAnsi="宋体" w:cs="宋体"/>
          <w:color w:val="auto"/>
          <w:szCs w:val="21"/>
          <w:highlight w:val="none"/>
        </w:rPr>
        <w:t>。</w:t>
      </w:r>
    </w:p>
    <w:p w14:paraId="7A3912E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4.7.5承包人无正当理由拒绝更换项目经理的违约责任：承包人项目经理因不称职，发包人要求调换而未及时调换的，视为承包人违约，必须向发包人交纳处罚金</w:t>
      </w:r>
      <w:r>
        <w:rPr>
          <w:rFonts w:hint="eastAsia" w:ascii="宋体" w:hAnsi="宋体" w:cs="宋体"/>
          <w:color w:val="auto"/>
          <w:szCs w:val="21"/>
          <w:highlight w:val="none"/>
          <w:u w:val="single"/>
        </w:rPr>
        <w:t>10000</w:t>
      </w:r>
      <w:r>
        <w:rPr>
          <w:rFonts w:hint="eastAsia" w:ascii="宋体" w:hAnsi="宋体" w:cs="宋体"/>
          <w:color w:val="auto"/>
          <w:szCs w:val="21"/>
          <w:highlight w:val="none"/>
        </w:rPr>
        <w:t>元/人•次(人民币)。</w:t>
      </w:r>
    </w:p>
    <w:p w14:paraId="4467F91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4.7.6承包人人员</w:t>
      </w:r>
    </w:p>
    <w:p w14:paraId="62ABADEC">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4.7.6.1 承包人提交项目管理机构及施工现场管理人员安排报告的期限：</w:t>
      </w:r>
      <w:r>
        <w:rPr>
          <w:rFonts w:hint="eastAsia" w:ascii="宋体" w:hAnsi="宋体" w:cs="宋体"/>
          <w:color w:val="auto"/>
          <w:szCs w:val="21"/>
          <w:highlight w:val="none"/>
          <w:u w:val="single"/>
        </w:rPr>
        <w:t>开工前7天</w:t>
      </w:r>
      <w:r>
        <w:rPr>
          <w:rFonts w:hint="eastAsia" w:ascii="宋体" w:hAnsi="宋体" w:cs="宋体"/>
          <w:color w:val="auto"/>
          <w:szCs w:val="21"/>
          <w:highlight w:val="none"/>
        </w:rPr>
        <w:t>。</w:t>
      </w:r>
    </w:p>
    <w:p w14:paraId="58E1EA8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4.7.6.2 承包人无正当理由拒绝撤换主要施工管理人员的违约责任：承包人主要施工管理人员因不称职，发包人要求调换而无正当理由拒绝撤换或未及时调换的，视为承包人违约，必须向发包人交纳处罚金，处罚标准：总工</w:t>
      </w:r>
      <w:r>
        <w:rPr>
          <w:rFonts w:hint="eastAsia" w:ascii="宋体" w:hAnsi="宋体" w:cs="宋体"/>
          <w:color w:val="auto"/>
          <w:szCs w:val="21"/>
          <w:highlight w:val="none"/>
          <w:u w:val="single"/>
        </w:rPr>
        <w:t>5000</w:t>
      </w:r>
      <w:r>
        <w:rPr>
          <w:rFonts w:hint="eastAsia" w:ascii="宋体" w:hAnsi="宋体" w:cs="宋体"/>
          <w:color w:val="auto"/>
          <w:szCs w:val="21"/>
          <w:highlight w:val="none"/>
        </w:rPr>
        <w:t>元/人•次(人民币)；专业工程师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000</w:t>
      </w:r>
      <w:r>
        <w:rPr>
          <w:rFonts w:hint="eastAsia" w:ascii="宋体" w:hAnsi="宋体" w:cs="宋体"/>
          <w:color w:val="auto"/>
          <w:szCs w:val="21"/>
          <w:highlight w:val="none"/>
        </w:rPr>
        <w:t>元/人•次(人民币)。</w:t>
      </w:r>
    </w:p>
    <w:p w14:paraId="216BA890">
      <w:pPr>
        <w:wordWrap w:val="0"/>
        <w:topLinePunct/>
        <w:adjustRightIn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4.7.6.3 承包人主要施工管理人员离开施工现场的批准要求：</w:t>
      </w:r>
      <w:r>
        <w:rPr>
          <w:rFonts w:hint="eastAsia" w:ascii="宋体" w:hAnsi="宋体" w:cs="宋体"/>
          <w:color w:val="auto"/>
          <w:szCs w:val="21"/>
          <w:highlight w:val="none"/>
          <w:u w:val="single"/>
        </w:rPr>
        <w:t>报总监办同意后再报业主代表批准</w:t>
      </w:r>
      <w:r>
        <w:rPr>
          <w:rFonts w:hint="eastAsia" w:ascii="宋体" w:hAnsi="宋体" w:cs="宋体"/>
          <w:color w:val="auto"/>
          <w:szCs w:val="21"/>
          <w:highlight w:val="none"/>
        </w:rPr>
        <w:t>。</w:t>
      </w:r>
    </w:p>
    <w:p w14:paraId="02138770">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4.7.6.4承包人擅自更换主要施工管理人员的违约责任：总工、专业工程师未经发包人书面同意不准擅自更换，擅自更换总工处</w:t>
      </w:r>
      <w:r>
        <w:rPr>
          <w:rFonts w:hint="eastAsia" w:ascii="宋体" w:hAnsi="宋体" w:cs="宋体"/>
          <w:color w:val="auto"/>
          <w:szCs w:val="21"/>
          <w:highlight w:val="none"/>
          <w:u w:val="single"/>
        </w:rPr>
        <w:t>合同价款0.5%</w:t>
      </w:r>
      <w:r>
        <w:rPr>
          <w:rFonts w:hint="eastAsia" w:ascii="宋体" w:hAnsi="宋体" w:cs="宋体"/>
          <w:color w:val="auto"/>
          <w:szCs w:val="21"/>
          <w:highlight w:val="none"/>
        </w:rPr>
        <w:t>违约金；擅自更换专业工程师处</w:t>
      </w:r>
      <w:r>
        <w:rPr>
          <w:rFonts w:hint="eastAsia" w:ascii="宋体" w:hAnsi="宋体" w:cs="宋体"/>
          <w:color w:val="auto"/>
          <w:szCs w:val="21"/>
          <w:highlight w:val="none"/>
          <w:u w:val="single"/>
        </w:rPr>
        <w:t>合同价款1‰</w:t>
      </w:r>
      <w:r>
        <w:rPr>
          <w:rFonts w:hint="eastAsia" w:ascii="宋体" w:hAnsi="宋体" w:cs="宋体"/>
          <w:color w:val="auto"/>
          <w:szCs w:val="21"/>
          <w:highlight w:val="none"/>
        </w:rPr>
        <w:t>违约金。</w:t>
      </w:r>
    </w:p>
    <w:p w14:paraId="5606F3F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4.7.6.5承包人主要施工管理人员擅自离开施工现场的违约责任：未经发包人同意，总工擅自离岗的，视为承包人违约，发包人有权处违约金</w:t>
      </w:r>
      <w:r>
        <w:rPr>
          <w:rFonts w:hint="eastAsia" w:ascii="宋体" w:hAnsi="宋体" w:cs="宋体"/>
          <w:color w:val="auto"/>
          <w:szCs w:val="21"/>
          <w:highlight w:val="none"/>
          <w:u w:val="single"/>
        </w:rPr>
        <w:t>1000</w:t>
      </w:r>
      <w:r>
        <w:rPr>
          <w:rFonts w:hint="eastAsia" w:ascii="宋体" w:hAnsi="宋体" w:cs="宋体"/>
          <w:color w:val="auto"/>
          <w:szCs w:val="21"/>
          <w:highlight w:val="none"/>
        </w:rPr>
        <w:t>元/人•次(人民币)；未经发包人同意，专业工程师擅自离岗的，视为承包人违约，发包人有权处违约金</w:t>
      </w:r>
      <w:r>
        <w:rPr>
          <w:rFonts w:hint="eastAsia" w:ascii="宋体" w:hAnsi="宋体" w:cs="宋体"/>
          <w:color w:val="auto"/>
          <w:szCs w:val="21"/>
          <w:highlight w:val="none"/>
          <w:u w:val="single"/>
        </w:rPr>
        <w:t>500</w:t>
      </w:r>
      <w:r>
        <w:rPr>
          <w:rFonts w:hint="eastAsia" w:ascii="宋体" w:hAnsi="宋体" w:cs="宋体"/>
          <w:color w:val="auto"/>
          <w:szCs w:val="21"/>
          <w:highlight w:val="none"/>
        </w:rPr>
        <w:t>元/人•次(人民币)。</w:t>
      </w:r>
    </w:p>
    <w:p w14:paraId="37C7D3C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49DFC1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4" w:name="_Toc5548"/>
      <w:r>
        <w:rPr>
          <w:rFonts w:hint="eastAsia" w:ascii="宋体" w:hAnsi="宋体" w:eastAsia="宋体" w:cs="宋体"/>
          <w:b/>
          <w:bCs/>
          <w:color w:val="auto"/>
          <w:sz w:val="28"/>
          <w:szCs w:val="28"/>
          <w:highlight w:val="none"/>
        </w:rPr>
        <w:t>4.9工程价款应专款专用</w:t>
      </w:r>
      <w:bookmarkEnd w:id="344"/>
    </w:p>
    <w:p w14:paraId="3BE1E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0B325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009946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5" w:name="_Toc20880"/>
      <w:r>
        <w:rPr>
          <w:rFonts w:hint="eastAsia" w:ascii="宋体" w:hAnsi="宋体" w:eastAsia="宋体" w:cs="宋体"/>
          <w:b/>
          <w:bCs/>
          <w:color w:val="auto"/>
          <w:sz w:val="28"/>
          <w:szCs w:val="28"/>
          <w:highlight w:val="none"/>
        </w:rPr>
        <w:t>4.10承包人现场查勘</w:t>
      </w:r>
      <w:bookmarkEnd w:id="345"/>
    </w:p>
    <w:p w14:paraId="7EB300B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4.10.1 项细化为：</w:t>
      </w:r>
      <w:r>
        <w:rPr>
          <w:rFonts w:hint="eastAsia" w:ascii="宋体" w:hAnsi="宋体" w:eastAsia="宋体" w:cs="宋体"/>
          <w:b/>
          <w:bCs/>
          <w:color w:val="auto"/>
          <w:sz w:val="28"/>
          <w:szCs w:val="28"/>
          <w:highlight w:val="none"/>
          <w:vertAlign w:val="superscript"/>
        </w:rPr>
        <w:footnoteReference w:id="0"/>
      </w:r>
    </w:p>
    <w:p w14:paraId="1D38485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79413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6" w:name="_Toc13611"/>
      <w:r>
        <w:rPr>
          <w:rFonts w:hint="eastAsia" w:ascii="宋体" w:hAnsi="宋体" w:eastAsia="宋体" w:cs="宋体"/>
          <w:b/>
          <w:bCs/>
          <w:color w:val="auto"/>
          <w:sz w:val="28"/>
          <w:szCs w:val="28"/>
          <w:highlight w:val="none"/>
        </w:rPr>
        <w:t>4.11不利物质条件</w:t>
      </w:r>
      <w:bookmarkEnd w:id="346"/>
    </w:p>
    <w:p w14:paraId="746BBE1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4.11.2 项细化为：</w:t>
      </w:r>
    </w:p>
    <w:p w14:paraId="23F23A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75BEA8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4.11.3 项：</w:t>
      </w:r>
    </w:p>
    <w:p w14:paraId="0DD58A4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4.11.3可预见的不利物质条件</w:t>
      </w:r>
    </w:p>
    <w:p w14:paraId="41B90E7A">
      <w:pPr>
        <w:pageBreakBefore w:val="0"/>
        <w:numPr>
          <w:ilvl w:val="0"/>
          <w:numId w:val="7"/>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14:paraId="227FF3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（2）对于项目专用合同条款未明确指出，但是在不利物质条件发生之前，监理人已经指示承包人有可能发生，但承包人未能及时采取有效措施，而导致的损失和后果均由承包人承担。</w:t>
      </w:r>
    </w:p>
    <w:p w14:paraId="0B1CB3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补充第 4.12 款、第 4.13 款：</w:t>
      </w:r>
    </w:p>
    <w:p w14:paraId="12C1FBA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7" w:name="_Toc25718"/>
      <w:r>
        <w:rPr>
          <w:rFonts w:hint="eastAsia" w:ascii="宋体" w:hAnsi="宋体" w:eastAsia="宋体" w:cs="宋体"/>
          <w:b/>
          <w:bCs/>
          <w:color w:val="auto"/>
          <w:sz w:val="28"/>
          <w:szCs w:val="28"/>
          <w:highlight w:val="none"/>
        </w:rPr>
        <w:t>4.12投标文件的完备性</w:t>
      </w:r>
      <w:bookmarkEnd w:id="347"/>
    </w:p>
    <w:p w14:paraId="7D5FA5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B763D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8" w:name="_Toc10357"/>
      <w:r>
        <w:rPr>
          <w:rFonts w:hint="eastAsia" w:ascii="宋体" w:hAnsi="宋体" w:eastAsia="宋体" w:cs="宋体"/>
          <w:b/>
          <w:bCs/>
          <w:color w:val="auto"/>
          <w:sz w:val="28"/>
          <w:szCs w:val="28"/>
          <w:highlight w:val="none"/>
        </w:rPr>
        <w:t>4.13开展党建工作要求</w:t>
      </w:r>
      <w:bookmarkEnd w:id="348"/>
    </w:p>
    <w:p w14:paraId="6D6330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644EE2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DB964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49" w:name="_Toc122424214"/>
      <w:bookmarkStart w:id="350" w:name="_Toc1605"/>
      <w:bookmarkStart w:id="351" w:name="_Toc122424463"/>
      <w:r>
        <w:rPr>
          <w:rFonts w:hint="eastAsia" w:ascii="宋体" w:hAnsi="宋体" w:eastAsia="宋体" w:cs="宋体"/>
          <w:b/>
          <w:bCs/>
          <w:color w:val="auto"/>
          <w:sz w:val="32"/>
          <w:szCs w:val="32"/>
          <w:highlight w:val="none"/>
        </w:rPr>
        <w:t>5.材料和工程设备</w:t>
      </w:r>
      <w:bookmarkEnd w:id="349"/>
      <w:bookmarkEnd w:id="350"/>
      <w:bookmarkEnd w:id="351"/>
    </w:p>
    <w:p w14:paraId="6261CD3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2" w:name="_Toc20766"/>
      <w:r>
        <w:rPr>
          <w:rFonts w:hint="eastAsia" w:ascii="宋体" w:hAnsi="宋体" w:eastAsia="宋体" w:cs="宋体"/>
          <w:b/>
          <w:bCs/>
          <w:color w:val="auto"/>
          <w:sz w:val="28"/>
          <w:szCs w:val="28"/>
          <w:highlight w:val="none"/>
        </w:rPr>
        <w:t>5.2 发包人提供的材料和工程设备</w:t>
      </w:r>
      <w:bookmarkEnd w:id="352"/>
    </w:p>
    <w:p w14:paraId="6BF94CE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5.2.3 项补充：</w:t>
      </w:r>
    </w:p>
    <w:p w14:paraId="2F919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611B5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3" w:name="_Toc24228"/>
      <w:bookmarkStart w:id="354" w:name="_Toc122424215"/>
      <w:bookmarkStart w:id="355" w:name="_Toc122424464"/>
      <w:r>
        <w:rPr>
          <w:rFonts w:hint="eastAsia" w:ascii="宋体" w:hAnsi="宋体" w:eastAsia="宋体" w:cs="宋体"/>
          <w:b/>
          <w:bCs/>
          <w:color w:val="auto"/>
          <w:sz w:val="32"/>
          <w:szCs w:val="32"/>
          <w:highlight w:val="none"/>
        </w:rPr>
        <w:t>6.施工设备和临时设施</w:t>
      </w:r>
      <w:bookmarkEnd w:id="353"/>
      <w:bookmarkEnd w:id="354"/>
      <w:bookmarkEnd w:id="355"/>
    </w:p>
    <w:p w14:paraId="11BF465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6" w:name="_Toc23309"/>
      <w:r>
        <w:rPr>
          <w:rFonts w:hint="eastAsia" w:ascii="宋体" w:hAnsi="宋体" w:eastAsia="宋体" w:cs="宋体"/>
          <w:b/>
          <w:bCs/>
          <w:color w:val="auto"/>
          <w:sz w:val="28"/>
          <w:szCs w:val="28"/>
          <w:highlight w:val="none"/>
        </w:rPr>
        <w:t>6.1承包人提供的施工设备和临时设施</w:t>
      </w:r>
      <w:bookmarkEnd w:id="356"/>
    </w:p>
    <w:p w14:paraId="46FE50E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6.1.2 项约定为：</w:t>
      </w:r>
    </w:p>
    <w:p w14:paraId="04A0F73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承包人应自行承担修建临时设施的费用，需要临时占地的，应由承包人按第4.1.10 项（1）目的规定办理。</w:t>
      </w:r>
    </w:p>
    <w:p w14:paraId="1A49AE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7" w:name="_Toc26966"/>
      <w:r>
        <w:rPr>
          <w:rFonts w:hint="eastAsia" w:ascii="宋体" w:hAnsi="宋体" w:eastAsia="宋体" w:cs="宋体"/>
          <w:b/>
          <w:bCs/>
          <w:color w:val="auto"/>
          <w:sz w:val="28"/>
          <w:szCs w:val="28"/>
          <w:highlight w:val="none"/>
        </w:rPr>
        <w:t>6.3 要求承包人增加或更换施工设备</w:t>
      </w:r>
      <w:bookmarkEnd w:id="357"/>
    </w:p>
    <w:p w14:paraId="25FA20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D95DD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EA101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8" w:name="_Toc122424465"/>
      <w:bookmarkStart w:id="359" w:name="_Toc7330"/>
      <w:bookmarkStart w:id="360" w:name="_Toc122424216"/>
      <w:r>
        <w:rPr>
          <w:rFonts w:hint="eastAsia" w:ascii="宋体" w:hAnsi="宋体" w:eastAsia="宋体" w:cs="宋体"/>
          <w:b/>
          <w:bCs/>
          <w:color w:val="auto"/>
          <w:sz w:val="32"/>
          <w:szCs w:val="32"/>
          <w:highlight w:val="none"/>
        </w:rPr>
        <w:t>7.交通运输</w:t>
      </w:r>
      <w:bookmarkEnd w:id="358"/>
      <w:bookmarkEnd w:id="359"/>
      <w:bookmarkEnd w:id="360"/>
    </w:p>
    <w:p w14:paraId="3A477BE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1" w:name="_Toc28212"/>
      <w:r>
        <w:rPr>
          <w:rFonts w:hint="eastAsia" w:ascii="宋体" w:hAnsi="宋体" w:eastAsia="宋体" w:cs="宋体"/>
          <w:b/>
          <w:bCs/>
          <w:color w:val="auto"/>
          <w:sz w:val="28"/>
          <w:szCs w:val="28"/>
          <w:highlight w:val="none"/>
        </w:rPr>
        <w:t>7.1道路通行权和场外设施</w:t>
      </w:r>
      <w:bookmarkEnd w:id="361"/>
    </w:p>
    <w:p w14:paraId="5412499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16115A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785CD515">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本款补充</w:t>
      </w:r>
      <w:r>
        <w:rPr>
          <w:rFonts w:hint="eastAsia" w:ascii="宋体" w:hAnsi="宋体" w:eastAsia="宋体" w:cs="宋体"/>
          <w:color w:val="auto"/>
          <w:szCs w:val="21"/>
          <w:highlight w:val="none"/>
        </w:rPr>
        <w:t>：</w:t>
      </w:r>
    </w:p>
    <w:p w14:paraId="34923639">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旧路改建工程项目</w:t>
      </w:r>
    </w:p>
    <w:p w14:paraId="01D53964">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(I)</w:t>
      </w:r>
      <w:r>
        <w:rPr>
          <w:rFonts w:hint="eastAsia" w:ascii="宋体" w:hAnsi="宋体" w:eastAsia="宋体" w:cs="宋体"/>
          <w:color w:val="auto"/>
          <w:szCs w:val="21"/>
          <w:highlight w:val="none"/>
        </w:rPr>
        <w:t>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047B5EC">
      <w:pPr>
        <w:numPr>
          <w:ilvl w:val="0"/>
          <w:numId w:val="0"/>
        </w:numPr>
        <w:wordWrap w:val="0"/>
        <w:topLinePunct/>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II</w:t>
      </w:r>
      <w:r>
        <w:rPr>
          <w:rFonts w:hint="eastAsia" w:ascii="宋体" w:hAnsi="宋体" w:eastAsia="宋体" w:cs="宋体"/>
          <w:color w:val="auto"/>
          <w:szCs w:val="21"/>
          <w:highlight w:val="none"/>
        </w:rPr>
        <w:t>)不得在道路上堆放材料或占道施工影响交通。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路基、路面施工应避免出现晴天扬尘，雨天打滑影响安全与交通和影响群众生活、生产的现象。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维持交通的路基施工应保证表面平整，保证通畅。</w:t>
      </w:r>
    </w:p>
    <w:p w14:paraId="1B19CB11">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2" w:name="_Toc25933"/>
      <w:bookmarkStart w:id="363" w:name="_Toc122424466"/>
      <w:bookmarkStart w:id="364" w:name="_Toc122424217"/>
      <w:r>
        <w:rPr>
          <w:rFonts w:hint="eastAsia" w:ascii="宋体" w:hAnsi="宋体" w:eastAsia="宋体" w:cs="宋体"/>
          <w:b/>
          <w:bCs/>
          <w:color w:val="auto"/>
          <w:sz w:val="32"/>
          <w:szCs w:val="32"/>
          <w:highlight w:val="none"/>
        </w:rPr>
        <w:t>8.测量放线</w:t>
      </w:r>
      <w:bookmarkEnd w:id="362"/>
      <w:bookmarkEnd w:id="363"/>
      <w:bookmarkEnd w:id="364"/>
    </w:p>
    <w:p w14:paraId="7FB6B2D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5" w:name="_Toc29191"/>
      <w:r>
        <w:rPr>
          <w:rFonts w:hint="eastAsia" w:ascii="宋体" w:hAnsi="宋体" w:eastAsia="宋体" w:cs="宋体"/>
          <w:b/>
          <w:bCs/>
          <w:color w:val="auto"/>
          <w:sz w:val="28"/>
          <w:szCs w:val="28"/>
          <w:highlight w:val="none"/>
        </w:rPr>
        <w:t>8.4 监理人使用施工控制网</w:t>
      </w:r>
      <w:bookmarkEnd w:id="365"/>
    </w:p>
    <w:p w14:paraId="54E336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69CC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经监理人批准，其他相关承包人也可免费使用施工控制网。</w:t>
      </w:r>
    </w:p>
    <w:p w14:paraId="0AC814F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6" w:name="_Toc122424467"/>
      <w:bookmarkStart w:id="367" w:name="_Toc122424218"/>
      <w:bookmarkStart w:id="368" w:name="_Toc5499"/>
      <w:r>
        <w:rPr>
          <w:rFonts w:hint="eastAsia" w:ascii="宋体" w:hAnsi="宋体" w:eastAsia="宋体" w:cs="宋体"/>
          <w:b/>
          <w:bCs/>
          <w:color w:val="auto"/>
          <w:sz w:val="32"/>
          <w:szCs w:val="32"/>
          <w:highlight w:val="none"/>
        </w:rPr>
        <w:t>9.施工安全、治安保卫和环境保护</w:t>
      </w:r>
      <w:bookmarkEnd w:id="366"/>
      <w:bookmarkEnd w:id="367"/>
      <w:bookmarkEnd w:id="368"/>
    </w:p>
    <w:p w14:paraId="489EBAB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9" w:name="_Toc12070"/>
      <w:r>
        <w:rPr>
          <w:rFonts w:hint="eastAsia" w:ascii="宋体" w:hAnsi="宋体" w:eastAsia="宋体" w:cs="宋体"/>
          <w:b/>
          <w:bCs/>
          <w:color w:val="auto"/>
          <w:sz w:val="28"/>
          <w:szCs w:val="28"/>
          <w:highlight w:val="none"/>
        </w:rPr>
        <w:t>9.2承包人的施工安全责任</w:t>
      </w:r>
      <w:bookmarkEnd w:id="369"/>
    </w:p>
    <w:p w14:paraId="23B947F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9.2.1 项细化为：</w:t>
      </w:r>
    </w:p>
    <w:p w14:paraId="1D9610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B632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5682B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本项目需要编制专项施工方案的工程包括但不限于以下内容：</w:t>
      </w:r>
    </w:p>
    <w:p w14:paraId="5399BA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（1）不良地质条件下有潜在危险性的土方、石方开挖；</w:t>
      </w:r>
    </w:p>
    <w:p w14:paraId="2E838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（2）滑坡和高边坡处理；</w:t>
      </w:r>
    </w:p>
    <w:p w14:paraId="127F110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（3）桩基础、挡墙基础、深水基础及围堰工程；</w:t>
      </w:r>
    </w:p>
    <w:p w14:paraId="6AAE98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（4）桥梁工程中的梁、拱、柱等构件施工等；</w:t>
      </w:r>
    </w:p>
    <w:p w14:paraId="4938DAE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（5）隧道工程中的不良地质隧道、高瓦斯隧道等；</w:t>
      </w:r>
    </w:p>
    <w:p w14:paraId="4638236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（6）水上工程中的打桩船作业、施工船作业、外海孤岛作业、边通航边施工 作业等；</w:t>
      </w:r>
    </w:p>
    <w:p w14:paraId="0215C44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（7）水下工程中的水下焊接、混凝土浇筑、爆破工程等；</w:t>
      </w:r>
    </w:p>
    <w:p w14:paraId="1306FF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（8）爆破工程；</w:t>
      </w:r>
    </w:p>
    <w:p w14:paraId="6F1211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（9）大型临时工程中的大型支架、模板、便桥的架设与拆除；桥梁、码头的加固与拆除；</w:t>
      </w:r>
    </w:p>
    <w:p w14:paraId="04ED50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（10）其他危险性较大的工程。</w:t>
      </w:r>
    </w:p>
    <w:p w14:paraId="0E89944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监理人和发包人在检查中发现有安全问题或有违反安全管理规章制度的情况时，可视为承包人违约，应按第 22.1 款的规定办理。</w:t>
      </w:r>
    </w:p>
    <w:p w14:paraId="1EECBA35">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9.2.5 项细化为：</w:t>
      </w:r>
    </w:p>
    <w:p w14:paraId="5796AE7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7AB4924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9.2.8 项~第 9.2.11 项：</w:t>
      </w:r>
    </w:p>
    <w:p w14:paraId="2043BCC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9.2.8承包人应充分关注和保障所有在现场工作的人员的安全，采取以下有效措施，使现场和本合同工程的实施保持有条不紊，以免使上述人员的安全受到威胁。</w:t>
      </w:r>
    </w:p>
    <w:p w14:paraId="521AE1A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（1）按《公路水运工程安全生产监督管理办法》规定的最低数量和资质条件配备专职安全生产管理人员；</w:t>
      </w:r>
    </w:p>
    <w:p w14:paraId="6DB329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39BFDE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（3）所有施工机具设备和高空作业设备均应定期检查，并有安全员的签字记录；</w:t>
      </w:r>
    </w:p>
    <w:p w14:paraId="7E842D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（4）根据本合同各单位工程的施工特点，严格执行《公路水运工程安全生产监督管理办法》《公路工程施工安全技术规范》等有关规定。</w:t>
      </w:r>
    </w:p>
    <w:p w14:paraId="378318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632D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9.2.10在通航水域施工时，承包人应与当地主管部门取得联系，设置必要的导航标志，及时发布航行通告，确保施工水域安全。</w:t>
      </w:r>
    </w:p>
    <w:p w14:paraId="4464EB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F2E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0" w:name="_Toc29507"/>
      <w:r>
        <w:rPr>
          <w:rFonts w:hint="eastAsia" w:ascii="宋体" w:hAnsi="宋体" w:eastAsia="宋体" w:cs="宋体"/>
          <w:b/>
          <w:bCs/>
          <w:color w:val="auto"/>
          <w:sz w:val="28"/>
          <w:szCs w:val="28"/>
          <w:highlight w:val="none"/>
        </w:rPr>
        <w:t>9.4 环境保护</w:t>
      </w:r>
      <w:bookmarkEnd w:id="370"/>
    </w:p>
    <w:p w14:paraId="61D7131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9.4.7 项~第 9.4.11 项：</w:t>
      </w:r>
    </w:p>
    <w:p w14:paraId="4EA0941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9.4.7承包人应切实执行技术规范中有关环境保护方面的条款和规定。</w:t>
      </w:r>
    </w:p>
    <w:p w14:paraId="3FCE0D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3898B4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（2）对于公路施工中粉尘污染的主要污染源――灰土拌和、施工车辆和筑路机械运行及运输产生的扬尘，应采取有效措施减轻其对施工现场的大气污染，保护人民健康，如：</w:t>
      </w:r>
    </w:p>
    <w:p w14:paraId="743535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a.拌和设备应有较好的密封，或有防尘设备。</w:t>
      </w:r>
    </w:p>
    <w:p w14:paraId="1A12EB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b.施工通道、沥青混凝土拌和站及灰土拌和站应经常进行洒水降尘。</w:t>
      </w:r>
    </w:p>
    <w:p w14:paraId="5C50DDF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c.路面施工应注意保持水分，以免扬尘。</w:t>
      </w:r>
    </w:p>
    <w:p w14:paraId="52CB96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d.隧道出渣和桥梁钻孔灌注桩施工时排出的泥浆要进行妥善处理，严禁向河流或农田排放。</w:t>
      </w:r>
    </w:p>
    <w:p w14:paraId="6C1985A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（3）采取可靠措施保证原有交通的正常通行，维持沿线村镇的居民饮水、农田灌溉、生产生活用电及通信等管线的正常使用。</w:t>
      </w:r>
    </w:p>
    <w:p w14:paraId="590743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1F55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9.4.9在施工期间，承包人应随时保持现场整洁，施工设备和材料、工程设备应整齐妥善存放和储存，废料与垃圾及不再需要的临时设施应及时从现场清除、拆除并运走。</w:t>
      </w:r>
    </w:p>
    <w:p w14:paraId="41CA346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E0B844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240DA8A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1" w:name="_Toc122424219"/>
      <w:bookmarkStart w:id="372" w:name="_Toc122424468"/>
      <w:bookmarkStart w:id="373" w:name="_Toc23551"/>
      <w:r>
        <w:rPr>
          <w:rFonts w:hint="eastAsia" w:ascii="宋体" w:hAnsi="宋体" w:eastAsia="宋体" w:cs="宋体"/>
          <w:b/>
          <w:bCs/>
          <w:color w:val="auto"/>
          <w:sz w:val="32"/>
          <w:szCs w:val="32"/>
          <w:highlight w:val="none"/>
        </w:rPr>
        <w:t>10.进度计划</w:t>
      </w:r>
      <w:bookmarkEnd w:id="371"/>
      <w:bookmarkEnd w:id="372"/>
      <w:bookmarkEnd w:id="373"/>
    </w:p>
    <w:p w14:paraId="7CD2EEE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4" w:name="_Toc2371"/>
      <w:r>
        <w:rPr>
          <w:rFonts w:hint="eastAsia" w:ascii="宋体" w:hAnsi="宋体" w:eastAsia="宋体" w:cs="宋体"/>
          <w:b/>
          <w:bCs/>
          <w:color w:val="auto"/>
          <w:sz w:val="28"/>
          <w:szCs w:val="28"/>
          <w:highlight w:val="none"/>
        </w:rPr>
        <w:t>10.1合同进度计划</w:t>
      </w:r>
      <w:bookmarkEnd w:id="374"/>
    </w:p>
    <w:p w14:paraId="56EDC4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E8AF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承包人编制施工方案说明的内容见项目专用合同条款。</w:t>
      </w:r>
    </w:p>
    <w:p w14:paraId="1192883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承包人向监理人报送施工进度计划和施工方案说明的期限：签订合同协议书后28 天之内。</w:t>
      </w:r>
    </w:p>
    <w:p w14:paraId="40FCC8C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 14 天内对承包人施工进度计划和施工方案说明予以批复或提出修改意见。</w:t>
      </w:r>
    </w:p>
    <w:p w14:paraId="1CF39DB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合同进度计划应按照关键线路网络图和主要工作横道图两种形式分别编绘，并应包括每月预计完成的工作量和形象进度。</w:t>
      </w:r>
    </w:p>
    <w:p w14:paraId="468B31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5" w:name="_Toc30457"/>
      <w:r>
        <w:rPr>
          <w:rFonts w:hint="eastAsia" w:ascii="宋体" w:hAnsi="宋体" w:eastAsia="宋体" w:cs="宋体"/>
          <w:b/>
          <w:bCs/>
          <w:color w:val="auto"/>
          <w:sz w:val="28"/>
          <w:szCs w:val="28"/>
          <w:highlight w:val="none"/>
        </w:rPr>
        <w:t>10.2合同进度计划的修订</w:t>
      </w:r>
      <w:bookmarkEnd w:id="375"/>
    </w:p>
    <w:p w14:paraId="786CA4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A00B74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承包人提交合同进度计划修订申请报告，并附有关措施和相关资料的期限：实际进度发生滞后的当月 25 日前。</w:t>
      </w:r>
    </w:p>
    <w:p w14:paraId="59E54BB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监理人批复修订合同进度计划的期限：收到修订合同进度计划后 14 天内。</w:t>
      </w:r>
    </w:p>
    <w:p w14:paraId="694F57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10.3 款、第 10.4 款：</w:t>
      </w:r>
    </w:p>
    <w:p w14:paraId="03A3550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6" w:name="_Toc2437"/>
      <w:r>
        <w:rPr>
          <w:rFonts w:hint="eastAsia" w:ascii="宋体" w:hAnsi="宋体" w:eastAsia="宋体" w:cs="宋体"/>
          <w:b/>
          <w:bCs/>
          <w:color w:val="auto"/>
          <w:sz w:val="28"/>
          <w:szCs w:val="28"/>
          <w:highlight w:val="none"/>
        </w:rPr>
        <w:t>10.3年度施工计划</w:t>
      </w:r>
      <w:bookmarkEnd w:id="376"/>
    </w:p>
    <w:p w14:paraId="760FE8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月底前，根据已同意的合同进度计划或其修订的计划，向监理人提交</w:t>
      </w:r>
      <w:r>
        <w:rPr>
          <w:rFonts w:hint="eastAsia" w:ascii="宋体" w:hAnsi="宋体" w:cs="宋体"/>
          <w:color w:val="auto"/>
          <w:highlight w:val="none"/>
          <w:lang w:val="en-US" w:eastAsia="zh-CN"/>
        </w:rPr>
        <w:t>2</w:t>
      </w:r>
      <w:r>
        <w:rPr>
          <w:rFonts w:hint="eastAsia" w:ascii="宋体" w:hAnsi="宋体" w:eastAsia="宋体" w:cs="宋体"/>
          <w:color w:val="auto"/>
          <w:highlight w:val="none"/>
        </w:rPr>
        <w:t>份格式和内容符合监理人合理规定的下一年度的施工计划，以供审查。该计划应包括本年度估计完成的和下一年度预计完成的分项工程数量和工作量，以及为实施此计划将采取的措施。</w:t>
      </w:r>
    </w:p>
    <w:p w14:paraId="5520676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7" w:name="_Toc19021"/>
      <w:r>
        <w:rPr>
          <w:rFonts w:hint="eastAsia" w:ascii="宋体" w:hAnsi="宋体" w:eastAsia="宋体" w:cs="宋体"/>
          <w:b/>
          <w:bCs/>
          <w:color w:val="auto"/>
          <w:sz w:val="28"/>
          <w:szCs w:val="28"/>
          <w:highlight w:val="none"/>
        </w:rPr>
        <w:t>10.4合同用款计划</w:t>
      </w:r>
      <w:bookmarkEnd w:id="377"/>
    </w:p>
    <w:p w14:paraId="1C022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41B684C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8" w:name="_Toc15458"/>
      <w:bookmarkStart w:id="379" w:name="_Toc122424220"/>
      <w:bookmarkStart w:id="380" w:name="_Toc122424469"/>
      <w:r>
        <w:rPr>
          <w:rFonts w:hint="eastAsia" w:ascii="宋体" w:hAnsi="宋体" w:eastAsia="宋体" w:cs="宋体"/>
          <w:b/>
          <w:bCs/>
          <w:color w:val="auto"/>
          <w:sz w:val="32"/>
          <w:szCs w:val="32"/>
          <w:highlight w:val="none"/>
        </w:rPr>
        <w:t>11.开工和交工</w:t>
      </w:r>
      <w:bookmarkEnd w:id="378"/>
      <w:bookmarkEnd w:id="379"/>
      <w:bookmarkEnd w:id="380"/>
    </w:p>
    <w:p w14:paraId="178BA60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1" w:name="_Toc12235"/>
      <w:r>
        <w:rPr>
          <w:rFonts w:hint="eastAsia" w:ascii="宋体" w:hAnsi="宋体" w:eastAsia="宋体" w:cs="宋体"/>
          <w:b/>
          <w:bCs/>
          <w:color w:val="auto"/>
          <w:sz w:val="28"/>
          <w:szCs w:val="28"/>
          <w:highlight w:val="none"/>
        </w:rPr>
        <w:t>11.1开工</w:t>
      </w:r>
      <w:bookmarkEnd w:id="381"/>
    </w:p>
    <w:p w14:paraId="52073B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11.1.2 项补充：</w:t>
      </w:r>
    </w:p>
    <w:p w14:paraId="7B3D6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承包人应在分部工程开工前 14 天向监理人提交分部工程开工报审表，若承包人的开工准备、工作计划和质量控制方法是可接受的且已获得批准，则经监理人书面同意，分部工程才能开工。</w:t>
      </w:r>
    </w:p>
    <w:p w14:paraId="1548CD9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2" w:name="_Toc965"/>
      <w:r>
        <w:rPr>
          <w:rFonts w:hint="eastAsia" w:ascii="宋体" w:hAnsi="宋体" w:eastAsia="宋体" w:cs="宋体"/>
          <w:b/>
          <w:bCs/>
          <w:color w:val="auto"/>
          <w:sz w:val="28"/>
          <w:szCs w:val="28"/>
          <w:highlight w:val="none"/>
        </w:rPr>
        <w:t>11.3发包人的工期延误</w:t>
      </w:r>
      <w:bookmarkEnd w:id="382"/>
    </w:p>
    <w:p w14:paraId="5717EF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07C5D4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即使由于上述原因造成工期延误，如果受影响的工程并非处在工程施工进度网络计划的关键线路上，则承包人无权要求延长总工期。</w:t>
      </w:r>
    </w:p>
    <w:p w14:paraId="6C77A0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3" w:name="_Toc7080"/>
      <w:r>
        <w:rPr>
          <w:rFonts w:hint="eastAsia" w:ascii="宋体" w:hAnsi="宋体" w:eastAsia="宋体" w:cs="宋体"/>
          <w:b/>
          <w:bCs/>
          <w:color w:val="auto"/>
          <w:sz w:val="28"/>
          <w:szCs w:val="28"/>
          <w:highlight w:val="none"/>
        </w:rPr>
        <w:t>11.4异常恶劣的气候条件</w:t>
      </w:r>
      <w:bookmarkEnd w:id="383"/>
    </w:p>
    <w:p w14:paraId="0A8D9A9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97481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异常气候是指项目所在地 30 年以上一遇的罕见气候现象（包括温度、降水、降雪、风等）。异常恶劣的气候条件在项目专用合同条款中作具体约定。</w:t>
      </w:r>
    </w:p>
    <w:p w14:paraId="10BC03A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4" w:name="_Toc32058"/>
      <w:r>
        <w:rPr>
          <w:rFonts w:hint="eastAsia" w:ascii="宋体" w:hAnsi="宋体" w:eastAsia="宋体" w:cs="宋体"/>
          <w:b/>
          <w:bCs/>
          <w:color w:val="auto"/>
          <w:sz w:val="28"/>
          <w:szCs w:val="28"/>
          <w:highlight w:val="none"/>
        </w:rPr>
        <w:t>11.5承包人的工期延误</w:t>
      </w:r>
      <w:bookmarkEnd w:id="384"/>
    </w:p>
    <w:p w14:paraId="466E260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3E871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DFD34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79DC64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由于承包人原因造成工期延误，承包人应支付逾期交工违约金。逾期交工违约金的计算方法在项目专用合同条款数据表中约定，时间自预定的交工日期起到交工验收证书为：每逾期一天支付1000元人民币（在项目专用合同条款中约定），时间自预定的竣工日期起到工程接收证书中写明的实际竣工日期止（扣除已批准的延长工期），按天计算。逾期竣工违约金累计金额最高不超过签约合同价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%。发包人可以从应付或到期应付给承包人的任何款项中或采用其他方法扣除此违约金。</w:t>
      </w:r>
    </w:p>
    <w:p w14:paraId="5EFDD0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（4）承包人支付逾期交工违约金，不免除承包人完成工程及修补缺陷的义务。</w:t>
      </w:r>
    </w:p>
    <w:p w14:paraId="202678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92BD0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5" w:name="_Toc28353"/>
      <w:r>
        <w:rPr>
          <w:rFonts w:hint="eastAsia" w:ascii="宋体" w:hAnsi="宋体" w:eastAsia="宋体" w:cs="宋体"/>
          <w:b/>
          <w:bCs/>
          <w:color w:val="auto"/>
          <w:sz w:val="28"/>
          <w:szCs w:val="28"/>
          <w:highlight w:val="none"/>
        </w:rPr>
        <w:t>11.6工期提前</w:t>
      </w:r>
      <w:bookmarkEnd w:id="385"/>
    </w:p>
    <w:p w14:paraId="4B2A90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0E24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发包人不得随意要求承包人提前交工，承包人也不得随意提出提前交工的建议。如遇特殊情况，确需将工期提前的，发包人和承包人必须采取有效措施，确保工程质量。</w:t>
      </w:r>
    </w:p>
    <w:p w14:paraId="17E224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10AC5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11.7 款：</w:t>
      </w:r>
    </w:p>
    <w:p w14:paraId="5FF2075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6" w:name="_Toc24998"/>
      <w:r>
        <w:rPr>
          <w:rFonts w:hint="eastAsia" w:ascii="宋体" w:hAnsi="宋体" w:eastAsia="宋体" w:cs="宋体"/>
          <w:b/>
          <w:bCs/>
          <w:color w:val="auto"/>
          <w:sz w:val="28"/>
          <w:szCs w:val="28"/>
          <w:highlight w:val="none"/>
        </w:rPr>
        <w:t>11.7工作时间的限制</w:t>
      </w:r>
      <w:bookmarkEnd w:id="386"/>
    </w:p>
    <w:p w14:paraId="171C45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承包人在夜间或国家规定的节假日进行永久工程的施工，应向监理人报告，以便监理人履行监理职责和义务。</w:t>
      </w:r>
    </w:p>
    <w:p w14:paraId="2FCB7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但是，为了抢救生命或保护财产，或为了工程的安全、质量而不可避免地短暂作业，则不必事先向监理人报告。但承包人应在事后立即向监理人报告。</w:t>
      </w:r>
    </w:p>
    <w:p w14:paraId="05E60D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本款规定不适用于习惯上或施工本身要求实行连续生产的作业。</w:t>
      </w:r>
    </w:p>
    <w:p w14:paraId="2BCBFD3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87" w:name="_Toc21499"/>
      <w:bookmarkStart w:id="388" w:name="_Toc122424470"/>
      <w:bookmarkStart w:id="389" w:name="_Toc122424221"/>
      <w:r>
        <w:rPr>
          <w:rFonts w:hint="eastAsia" w:ascii="宋体" w:hAnsi="宋体" w:eastAsia="宋体" w:cs="宋体"/>
          <w:b/>
          <w:bCs/>
          <w:color w:val="auto"/>
          <w:sz w:val="32"/>
          <w:szCs w:val="32"/>
          <w:highlight w:val="none"/>
        </w:rPr>
        <w:t>12.暂停施工</w:t>
      </w:r>
      <w:bookmarkEnd w:id="387"/>
      <w:bookmarkEnd w:id="388"/>
      <w:bookmarkEnd w:id="389"/>
    </w:p>
    <w:p w14:paraId="29BB19B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0" w:name="_Toc30626"/>
      <w:r>
        <w:rPr>
          <w:rFonts w:hint="eastAsia" w:ascii="宋体" w:hAnsi="宋体" w:eastAsia="宋体" w:cs="宋体"/>
          <w:b/>
          <w:bCs/>
          <w:color w:val="auto"/>
          <w:sz w:val="28"/>
          <w:szCs w:val="28"/>
          <w:highlight w:val="none"/>
        </w:rPr>
        <w:t>12.1承包人暂停施工的责任</w:t>
      </w:r>
      <w:bookmarkEnd w:id="390"/>
    </w:p>
    <w:p w14:paraId="54A2F49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本款第（5）项细化为：</w:t>
      </w:r>
    </w:p>
    <w:p w14:paraId="766734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（5）现场气候条件导致的必要停工（第 11.4 款约定的异常恶劣的气候条件除外）；</w:t>
      </w:r>
    </w:p>
    <w:p w14:paraId="297A2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（6）项目专用合同条款可能约定的由承包人承担的其他暂停施工。</w:t>
      </w:r>
    </w:p>
    <w:p w14:paraId="7A431EF2">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1" w:name="_Toc122424222"/>
      <w:bookmarkStart w:id="392" w:name="_Toc18857"/>
      <w:bookmarkStart w:id="393" w:name="_Toc122424471"/>
      <w:r>
        <w:rPr>
          <w:rFonts w:hint="eastAsia" w:ascii="宋体" w:hAnsi="宋体" w:eastAsia="宋体" w:cs="宋体"/>
          <w:b/>
          <w:bCs/>
          <w:color w:val="auto"/>
          <w:sz w:val="32"/>
          <w:szCs w:val="32"/>
          <w:highlight w:val="none"/>
        </w:rPr>
        <w:t>13.工程质量</w:t>
      </w:r>
      <w:bookmarkEnd w:id="391"/>
      <w:bookmarkEnd w:id="392"/>
      <w:bookmarkEnd w:id="393"/>
    </w:p>
    <w:p w14:paraId="0E65F8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4" w:name="_Toc16161"/>
      <w:r>
        <w:rPr>
          <w:rFonts w:hint="eastAsia" w:ascii="宋体" w:hAnsi="宋体" w:eastAsia="宋体" w:cs="宋体"/>
          <w:b/>
          <w:bCs/>
          <w:color w:val="auto"/>
          <w:sz w:val="28"/>
          <w:szCs w:val="28"/>
          <w:highlight w:val="none"/>
        </w:rPr>
        <w:t>13.1工程质量要求</w:t>
      </w:r>
      <w:bookmarkEnd w:id="394"/>
    </w:p>
    <w:p w14:paraId="486327F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13.1.1 项约定为：</w:t>
      </w:r>
    </w:p>
    <w:p w14:paraId="25C7F8EB">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工程质量验收按技术规范及《公路工程质量检验评定标准》执行。</w:t>
      </w:r>
    </w:p>
    <w:p w14:paraId="0557DFB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本款补充第 13.1.4 项、第 13.1.5 项：</w:t>
      </w:r>
    </w:p>
    <w:p w14:paraId="68E9D1A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13.1.4发包人和承包人应严格遵守《关于严格落实公路工程质量责任制的若干意见》的相关规定，认真执行工程质量责任登记制度并按要求填写工程质量责任登记表。</w:t>
      </w:r>
    </w:p>
    <w:p w14:paraId="2E8E5C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13.1.5本项目严格执行质量责任追究制度。质量事故处理实行“四不放过”原则： 事故原因调查不清不放过；事故责任者没有受到教育不放过；没有防范措施不放过； 相关责任人没受到处理不放过。</w:t>
      </w:r>
    </w:p>
    <w:p w14:paraId="39F0922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5" w:name="_Toc23702"/>
      <w:r>
        <w:rPr>
          <w:rFonts w:hint="eastAsia" w:ascii="宋体" w:hAnsi="宋体" w:eastAsia="宋体" w:cs="宋体"/>
          <w:b/>
          <w:bCs/>
          <w:color w:val="auto"/>
          <w:sz w:val="28"/>
          <w:szCs w:val="28"/>
          <w:highlight w:val="none"/>
        </w:rPr>
        <w:t>13.2承包人的质量管理</w:t>
      </w:r>
      <w:bookmarkEnd w:id="395"/>
    </w:p>
    <w:p w14:paraId="493616E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13.2.1 项补充：</w:t>
      </w:r>
    </w:p>
    <w:p w14:paraId="72C661D0">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承包人提交工程质量保证措施文件的期限：签订合同协议书后 28 天之内。</w:t>
      </w:r>
    </w:p>
    <w:p w14:paraId="24F5C21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本款补充第 13.2.3 项~第 13.2.10 项：</w:t>
      </w:r>
    </w:p>
    <w:p w14:paraId="1E5373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13.2.3公路工程</w:t>
      </w:r>
      <w:r>
        <w:rPr>
          <w:rFonts w:hint="eastAsia" w:ascii="宋体" w:hAnsi="宋体" w:eastAsia="宋体" w:cs="宋体"/>
          <w:color w:val="auto"/>
          <w:highlight w:val="none"/>
          <w:lang w:val="en-US" w:eastAsia="zh-CN"/>
        </w:rPr>
        <w:t>实行</w:t>
      </w:r>
      <w:r>
        <w:rPr>
          <w:rFonts w:hint="eastAsia" w:ascii="宋体" w:hAnsi="宋体" w:eastAsia="宋体" w:cs="宋体"/>
          <w:color w:val="auto"/>
          <w:highlight w:val="none"/>
        </w:rPr>
        <w:t>质量责任终身制。承包人应当书面明确相应的项目负责人和质量负责人。承包人的相关人员按照国家法律法规和有关规定在工程合理使用年限内承担相应的质量责任。</w:t>
      </w:r>
    </w:p>
    <w:p w14:paraId="4EDD12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422643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13.2.5承包人对工程施工质量负责，应当按合同约定设立现场质量管理机构、配备工程技术人员和质量管理人员，落实工程施工质量责任制。</w:t>
      </w:r>
    </w:p>
    <w:p w14:paraId="75512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A98B6B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13.2.7承包人应当加强施工过程质量控制，并形成完整、可追溯的施工质量管理资料，主体工程的隐蔽部位施工还应当保留影像资料</w:t>
      </w:r>
      <w:r>
        <w:rPr>
          <w:rFonts w:hint="eastAsia" w:ascii="宋体" w:hAnsi="宋体" w:cs="宋体"/>
          <w:color w:val="auto"/>
          <w:highlight w:val="none"/>
          <w:lang w:eastAsia="zh-CN"/>
        </w:rPr>
        <w:t>，</w:t>
      </w:r>
      <w:r>
        <w:rPr>
          <w:rFonts w:hint="eastAsia"/>
          <w:color w:val="auto"/>
          <w:highlight w:val="none"/>
          <w:lang w:eastAsia="zh-CN"/>
        </w:rPr>
        <w:t>否则发包人有权采取方式对隐蔽工程进行实体检测，检测不合格返工处理，并</w:t>
      </w:r>
      <w:r>
        <w:rPr>
          <w:rFonts w:hint="eastAsia"/>
          <w:color w:val="auto"/>
          <w:highlight w:val="none"/>
          <w:lang w:val="en-US" w:eastAsia="zh-CN"/>
        </w:rPr>
        <w:t>由承包人</w:t>
      </w:r>
      <w:r>
        <w:rPr>
          <w:rFonts w:hint="eastAsia"/>
          <w:color w:val="auto"/>
          <w:highlight w:val="none"/>
          <w:lang w:eastAsia="zh-CN"/>
        </w:rPr>
        <w:t>承担由此发生的费用</w:t>
      </w:r>
      <w:r>
        <w:rPr>
          <w:rFonts w:hint="eastAsia" w:ascii="宋体" w:hAnsi="宋体" w:eastAsia="宋体" w:cs="宋体"/>
          <w:color w:val="auto"/>
          <w:highlight w:val="none"/>
        </w:rPr>
        <w:t>。对施工中出现的质量问题或者验收不合格的工程，应当负责返工处理；对在保修范围和保修期限内发生质量问题的工程，应当履行保修义务。</w:t>
      </w:r>
    </w:p>
    <w:p w14:paraId="5A4DB8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4CF1D2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13.2.9承包人应当依法规范分包行为，并对承担的工程质量负总责，分包单位对分包合同范围内的工程质量负责。</w:t>
      </w:r>
    </w:p>
    <w:p w14:paraId="223298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13.2.10承包人驻工程现场机构应在现场驻地和重要的分部、分项工程施工现场设置明显的工程质量责任登记表公示牌。</w:t>
      </w:r>
    </w:p>
    <w:p w14:paraId="66C7FA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6" w:name="_Toc12254"/>
      <w:r>
        <w:rPr>
          <w:rFonts w:hint="eastAsia" w:ascii="宋体" w:hAnsi="宋体" w:eastAsia="宋体" w:cs="宋体"/>
          <w:b/>
          <w:bCs/>
          <w:color w:val="auto"/>
          <w:sz w:val="28"/>
          <w:szCs w:val="28"/>
          <w:highlight w:val="none"/>
        </w:rPr>
        <w:t>13.4监理人的质量检查</w:t>
      </w:r>
      <w:bookmarkEnd w:id="396"/>
    </w:p>
    <w:p w14:paraId="5B0520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84097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监理人及其委派的检验人员，应能进入工程现场，以及材料或工程设备的制造、加工或制配的车间和场所，包括不属于承包人的车间或场所进行检查，承包人应为此提供便利和协助。</w:t>
      </w:r>
    </w:p>
    <w:p w14:paraId="4AD2E9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D591B5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7" w:name="_Toc19260"/>
      <w:r>
        <w:rPr>
          <w:rFonts w:hint="eastAsia" w:ascii="宋体" w:hAnsi="宋体" w:eastAsia="宋体" w:cs="宋体"/>
          <w:b/>
          <w:bCs/>
          <w:color w:val="auto"/>
          <w:sz w:val="28"/>
          <w:szCs w:val="28"/>
          <w:highlight w:val="none"/>
        </w:rPr>
        <w:t>13.5工程隐蔽部位覆盖前的检查</w:t>
      </w:r>
      <w:bookmarkEnd w:id="397"/>
    </w:p>
    <w:p w14:paraId="0DCD50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13.5.1 项补充：</w:t>
      </w:r>
    </w:p>
    <w:p w14:paraId="71B40D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E2F0A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8" w:name="_Toc12524"/>
      <w:r>
        <w:rPr>
          <w:rFonts w:hint="eastAsia" w:ascii="宋体" w:hAnsi="宋体" w:eastAsia="宋体" w:cs="宋体"/>
          <w:b/>
          <w:bCs/>
          <w:color w:val="auto"/>
          <w:sz w:val="28"/>
          <w:szCs w:val="28"/>
          <w:highlight w:val="none"/>
        </w:rPr>
        <w:t>13.6清除不合格工程</w:t>
      </w:r>
      <w:bookmarkEnd w:id="398"/>
    </w:p>
    <w:p w14:paraId="423257B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13.6.1 项细化为：</w:t>
      </w:r>
    </w:p>
    <w:p w14:paraId="2DC6C0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23653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（2）如果承包人未在规定时间内执行监理人的指示，发包人有权雇用他人执行，由此增加的费用和（或）工期延误由承包人承担。</w:t>
      </w:r>
    </w:p>
    <w:p w14:paraId="7C9C9589">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9" w:name="_Toc12844"/>
      <w:bookmarkStart w:id="400" w:name="_Toc122424223"/>
      <w:bookmarkStart w:id="401" w:name="_Toc122424472"/>
      <w:r>
        <w:rPr>
          <w:rFonts w:hint="eastAsia" w:ascii="宋体" w:hAnsi="宋体" w:eastAsia="宋体" w:cs="宋体"/>
          <w:b/>
          <w:bCs/>
          <w:color w:val="auto"/>
          <w:sz w:val="32"/>
          <w:szCs w:val="32"/>
          <w:highlight w:val="none"/>
        </w:rPr>
        <w:t>14.试验和检验</w:t>
      </w:r>
      <w:bookmarkEnd w:id="399"/>
      <w:bookmarkEnd w:id="400"/>
      <w:bookmarkEnd w:id="401"/>
    </w:p>
    <w:p w14:paraId="5A5B4F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14.4 款：</w:t>
      </w:r>
    </w:p>
    <w:p w14:paraId="7A9784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2" w:name="_Toc19052"/>
      <w:r>
        <w:rPr>
          <w:rFonts w:hint="eastAsia" w:ascii="宋体" w:hAnsi="宋体" w:eastAsia="宋体" w:cs="宋体"/>
          <w:b/>
          <w:bCs/>
          <w:color w:val="auto"/>
          <w:sz w:val="28"/>
          <w:szCs w:val="28"/>
          <w:highlight w:val="none"/>
        </w:rPr>
        <w:t>14.4试验和检验费用</w:t>
      </w:r>
      <w:bookmarkEnd w:id="402"/>
    </w:p>
    <w:p w14:paraId="45B7A3C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（1）承包人应负责提供合同和技术规范规定的试验和检验所需的全部样品，并承担其费用。</w:t>
      </w:r>
    </w:p>
    <w:p w14:paraId="599D9D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（2）在合同中明确规定的试验和检验，包括无须在工程量清单中单独列项和已在工程量清单中单独列项的试验和检验，其试验和检验的费用由承包人承担。</w:t>
      </w:r>
    </w:p>
    <w:p w14:paraId="78814E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EA033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3" w:name="_Toc122424224"/>
      <w:bookmarkStart w:id="404" w:name="_Toc21724"/>
      <w:bookmarkStart w:id="405" w:name="_Toc122424473"/>
      <w:r>
        <w:rPr>
          <w:rFonts w:hint="eastAsia" w:ascii="宋体" w:hAnsi="宋体" w:eastAsia="宋体" w:cs="宋体"/>
          <w:b/>
          <w:bCs/>
          <w:color w:val="auto"/>
          <w:sz w:val="32"/>
          <w:szCs w:val="32"/>
          <w:highlight w:val="none"/>
        </w:rPr>
        <w:t>15.变更</w:t>
      </w:r>
      <w:bookmarkEnd w:id="403"/>
      <w:bookmarkEnd w:id="404"/>
      <w:bookmarkEnd w:id="405"/>
    </w:p>
    <w:p w14:paraId="430D428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6" w:name="_Toc1645"/>
      <w:r>
        <w:rPr>
          <w:rFonts w:hint="eastAsia" w:ascii="宋体" w:hAnsi="宋体" w:eastAsia="宋体" w:cs="宋体"/>
          <w:b/>
          <w:bCs/>
          <w:color w:val="auto"/>
          <w:sz w:val="28"/>
          <w:szCs w:val="28"/>
          <w:highlight w:val="none"/>
        </w:rPr>
        <w:t>15.1变更的范围和内容</w:t>
      </w:r>
      <w:bookmarkEnd w:id="406"/>
    </w:p>
    <w:p w14:paraId="4F3D54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本款第（1）项细化为：</w:t>
      </w:r>
    </w:p>
    <w:p w14:paraId="063C9FB2">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取消合同中任何一项工作，但被取消的工作不能转由发包人或其他人实施，由于承包人违约造成的情况除外；</w:t>
      </w:r>
    </w:p>
    <w:p w14:paraId="042443A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本款第（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）项细化为：</w:t>
      </w:r>
    </w:p>
    <w:p w14:paraId="7E9EC54A">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设计缺失、遗漏、差错等原因，增加、改变合同中任何一项工作的质量或其他特性；</w:t>
      </w:r>
    </w:p>
    <w:p w14:paraId="0C80852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7" w:name="_Toc24522"/>
      <w:r>
        <w:rPr>
          <w:rFonts w:hint="eastAsia" w:ascii="宋体" w:hAnsi="宋体" w:eastAsia="宋体" w:cs="宋体"/>
          <w:b/>
          <w:bCs/>
          <w:color w:val="auto"/>
          <w:sz w:val="28"/>
          <w:szCs w:val="28"/>
          <w:highlight w:val="none"/>
        </w:rPr>
        <w:t>15.3变更程序</w:t>
      </w:r>
      <w:bookmarkEnd w:id="407"/>
    </w:p>
    <w:p w14:paraId="32BE79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15.3.4 项：</w:t>
      </w:r>
    </w:p>
    <w:p w14:paraId="7C8A5F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本款补充第15.3.4项：</w:t>
      </w:r>
    </w:p>
    <w:p w14:paraId="253D5CD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15.3.4设计变更程序应执行《公路工程设计变更管理办法》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财政部门及发包人规定</w:t>
      </w:r>
      <w:r>
        <w:rPr>
          <w:rFonts w:hint="eastAsia" w:ascii="宋体" w:hAnsi="宋体" w:eastAsia="宋体" w:cs="宋体"/>
          <w:color w:val="auto"/>
          <w:highlight w:val="none"/>
        </w:rPr>
        <w:t>等相关文件的相关规定。</w:t>
      </w:r>
    </w:p>
    <w:p w14:paraId="06479B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8" w:name="_Toc10101"/>
      <w:r>
        <w:rPr>
          <w:rFonts w:hint="eastAsia" w:ascii="宋体" w:hAnsi="宋体" w:eastAsia="宋体" w:cs="宋体"/>
          <w:b/>
          <w:bCs/>
          <w:color w:val="auto"/>
          <w:sz w:val="28"/>
          <w:szCs w:val="28"/>
          <w:highlight w:val="none"/>
        </w:rPr>
        <w:t>15.4变更的估价原则</w:t>
      </w:r>
      <w:bookmarkEnd w:id="408"/>
    </w:p>
    <w:p w14:paraId="60586C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AE798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除项目专用合同条款另有约定外，因变更引起的价格调整按照本款约定处理。</w:t>
      </w:r>
    </w:p>
    <w:p w14:paraId="41C1A5BB">
      <w:pPr>
        <w:wordWrap w:val="0"/>
        <w:topLinePunct/>
        <w:adjustRightInd w:val="0"/>
        <w:spacing w:line="360" w:lineRule="auto"/>
        <w:ind w:firstLine="420"/>
        <w:rPr>
          <w:rFonts w:ascii="宋体" w:hAnsi="宋体" w:cs="宋体"/>
          <w:color w:val="auto"/>
          <w:szCs w:val="21"/>
          <w:highlight w:val="none"/>
        </w:rPr>
      </w:pPr>
      <w:bookmarkStart w:id="409" w:name="_Toc15193"/>
      <w:r>
        <w:rPr>
          <w:rFonts w:hint="eastAsia" w:ascii="宋体" w:hAnsi="宋体" w:cs="宋体"/>
          <w:color w:val="auto"/>
          <w:szCs w:val="21"/>
          <w:highlight w:val="none"/>
        </w:rPr>
        <w:t>15.4.1如果取消某项工作，则该项工作的总额价不予以支付；</w:t>
      </w:r>
    </w:p>
    <w:p w14:paraId="3A9DEEB4">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49010C4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71A2868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7FD0F0E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p w14:paraId="7A9507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15.5承包人的合理化建议</w:t>
      </w:r>
      <w:bookmarkEnd w:id="409"/>
    </w:p>
    <w:p w14:paraId="43C10D3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15.5.2 项约定为：</w:t>
      </w:r>
    </w:p>
    <w:p w14:paraId="3CFB650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承包人提出的合理化建议缩短了工期，发包人按第 11.6 款的规定给予奖励。</w:t>
      </w:r>
    </w:p>
    <w:p w14:paraId="350EFA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承包人提出的合理化建议降低了合同价格或者提高了工程经济效益的，发包人按项目专用合同条款数据表中规定的金额给予奖励。</w:t>
      </w:r>
    </w:p>
    <w:p w14:paraId="626D9EC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0" w:name="_Toc19567"/>
      <w:r>
        <w:rPr>
          <w:rFonts w:hint="eastAsia" w:ascii="宋体" w:hAnsi="宋体" w:eastAsia="宋体" w:cs="宋体"/>
          <w:b/>
          <w:bCs/>
          <w:color w:val="auto"/>
          <w:sz w:val="28"/>
          <w:szCs w:val="28"/>
          <w:highlight w:val="none"/>
        </w:rPr>
        <w:t>15.6暂列金额</w:t>
      </w:r>
      <w:bookmarkEnd w:id="410"/>
    </w:p>
    <w:p w14:paraId="447A67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4D389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15.6.1暂列金额应由监理人报发包人批准后指令全部或部分地使用，或者根本不予动用。</w:t>
      </w:r>
    </w:p>
    <w:p w14:paraId="579D81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AB920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15.6.3当监理人提出要求时，承包人应提供有关暂列金额支出的所有报价单、发票、凭证和账单或收据，除非该工作是根据已标价工程量清单列明的单价或总额价进行的估价。</w:t>
      </w:r>
    </w:p>
    <w:p w14:paraId="519F66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1" w:name="_Toc122424474"/>
      <w:bookmarkStart w:id="412" w:name="_Toc122424225"/>
      <w:bookmarkStart w:id="413" w:name="_Toc19095"/>
      <w:bookmarkStart w:id="414" w:name="_Toc13524"/>
      <w:r>
        <w:rPr>
          <w:rFonts w:hint="eastAsia" w:ascii="宋体" w:hAnsi="宋体" w:eastAsia="宋体" w:cs="宋体"/>
          <w:b/>
          <w:bCs/>
          <w:color w:val="auto"/>
          <w:sz w:val="32"/>
          <w:szCs w:val="32"/>
          <w:highlight w:val="none"/>
        </w:rPr>
        <w:t>16.价格调整</w:t>
      </w:r>
      <w:bookmarkEnd w:id="411"/>
      <w:bookmarkEnd w:id="412"/>
      <w:bookmarkEnd w:id="413"/>
    </w:p>
    <w:p w14:paraId="402D932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16.1物价波动引起的价格调整</w:t>
      </w:r>
      <w:bookmarkEnd w:id="414"/>
    </w:p>
    <w:p w14:paraId="0CB80A10">
      <w:pPr>
        <w:wordWrap w:val="0"/>
        <w:topLinePunct/>
        <w:adjustRightInd w:val="0"/>
        <w:spacing w:line="360" w:lineRule="auto"/>
        <w:ind w:firstLine="420"/>
        <w:rPr>
          <w:rFonts w:hint="eastAsia" w:ascii="宋体" w:hAnsi="宋体" w:eastAsia="宋体" w:cs="宋体"/>
          <w:color w:val="auto"/>
          <w:highlight w:val="none"/>
        </w:rPr>
      </w:pPr>
      <w:r>
        <w:rPr>
          <w:rFonts w:hint="eastAsia" w:ascii="宋体" w:hAnsi="宋体" w:cs="宋体"/>
          <w:color w:val="auto"/>
          <w:highlight w:val="none"/>
        </w:rPr>
        <w:t>本项目合同期内不调价。</w:t>
      </w:r>
    </w:p>
    <w:p w14:paraId="71515237">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5" w:name="_Toc7475"/>
      <w:bookmarkStart w:id="416" w:name="_Toc122424226"/>
      <w:bookmarkStart w:id="417" w:name="_Toc122424475"/>
      <w:r>
        <w:rPr>
          <w:rFonts w:hint="eastAsia" w:ascii="宋体" w:hAnsi="宋体" w:eastAsia="宋体" w:cs="宋体"/>
          <w:b/>
          <w:bCs/>
          <w:color w:val="auto"/>
          <w:sz w:val="32"/>
          <w:szCs w:val="32"/>
          <w:highlight w:val="none"/>
        </w:rPr>
        <w:t>17.计量与支付</w:t>
      </w:r>
      <w:bookmarkEnd w:id="415"/>
      <w:bookmarkEnd w:id="416"/>
      <w:bookmarkEnd w:id="417"/>
    </w:p>
    <w:p w14:paraId="4CC10F7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8" w:name="_Toc12101"/>
      <w:r>
        <w:rPr>
          <w:rFonts w:hint="eastAsia" w:ascii="宋体" w:hAnsi="宋体" w:eastAsia="宋体" w:cs="宋体"/>
          <w:b/>
          <w:bCs/>
          <w:color w:val="auto"/>
          <w:sz w:val="28"/>
          <w:szCs w:val="28"/>
          <w:highlight w:val="none"/>
        </w:rPr>
        <w:t>17.1计量</w:t>
      </w:r>
      <w:bookmarkEnd w:id="418"/>
    </w:p>
    <w:p w14:paraId="4D5420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17.1.2 计量方法</w:t>
      </w:r>
    </w:p>
    <w:p w14:paraId="0F2151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31210B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工程的计量应以净值为准，除非项目专用合同条款另有约定。工程量清单中各个子目的具体计量方法按本合同文件工程量清单计量规则中的规定执行。</w:t>
      </w:r>
    </w:p>
    <w:p w14:paraId="27D1A0C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17.1.4单价子目的计量</w:t>
      </w:r>
    </w:p>
    <w:p w14:paraId="51BB8A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6CD190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（7）承包人未在已标价工程量清单中填入单价或总额价的工程子目，将被认为其已包含在本合同的其他子目的单价和总额价中，发包人将不另行支付。</w:t>
      </w:r>
    </w:p>
    <w:p w14:paraId="501DE08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17.1.5总价子目的计量</w:t>
      </w:r>
    </w:p>
    <w:p w14:paraId="26B3F3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7D7611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本项目工程量清单中要求承包人以“总额”方式报价的子目，各子目的支付原则和支付进度按项目专用合同条款的规定执行。</w:t>
      </w:r>
    </w:p>
    <w:p w14:paraId="65A0117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9" w:name="_Toc5679"/>
      <w:r>
        <w:rPr>
          <w:rFonts w:hint="eastAsia" w:ascii="宋体" w:hAnsi="宋体" w:eastAsia="宋体" w:cs="宋体"/>
          <w:b/>
          <w:bCs/>
          <w:color w:val="auto"/>
          <w:sz w:val="28"/>
          <w:szCs w:val="28"/>
          <w:highlight w:val="none"/>
        </w:rPr>
        <w:t>17.2预付款</w:t>
      </w:r>
      <w:bookmarkEnd w:id="419"/>
    </w:p>
    <w:p w14:paraId="09C0B76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17.2.1预付款</w:t>
      </w:r>
    </w:p>
    <w:p w14:paraId="681D67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本项约定为：预付款包括开工预付款和材料、设备预付款。具体额度和预付办法如下：</w:t>
      </w:r>
    </w:p>
    <w:p w14:paraId="18013E3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（1）开工预付款的金额在项目专用合同条款数据表中约定。在承包人签订了合同协议书且承包人承诺的主要设备进场后，监理人应在当期进度付款证书中向承包人支付开工预付款。</w:t>
      </w:r>
    </w:p>
    <w:p w14:paraId="546466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承包人不得将该预付款用于与本工程无关的支出，监理人有权监督承包人对该项费用的使用，如经查实承包人滥用开工预付款，发包人有权立即向银行索赔履约保证金，并解除合同。</w:t>
      </w:r>
    </w:p>
    <w:p w14:paraId="54F0BC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（2）材料、设备预付款按项目专用合同条款数据表中所列主要材料、设备单据费用（进口的材料、设备为到岸价，国内采购的为出厂价或销售价，地方材料为堆场价）的百分比支付。其预付条件为：</w:t>
      </w:r>
    </w:p>
    <w:p w14:paraId="114440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a.材料、设备符合规范要求并经监理人认可；</w:t>
      </w:r>
    </w:p>
    <w:p w14:paraId="228962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b.承包人已出具材料、设备费用凭证或支付单据；</w:t>
      </w:r>
    </w:p>
    <w:p w14:paraId="439DC6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c.材料、设备已在现场交货，且存储良好，监理人认为材料、设备的存储方法符合要求。</w:t>
      </w:r>
    </w:p>
    <w:p w14:paraId="35D39F7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则监理人应将此项金额作为材料、设备预付款计入下一次的进度付款证书中。在预计交工前 3 个月，将不再支付材料、设备预付款。</w:t>
      </w:r>
    </w:p>
    <w:p w14:paraId="0FCBB670">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17.2.2预付款保函</w:t>
      </w:r>
    </w:p>
    <w:p w14:paraId="11641D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0AC1B9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w:t>
      </w:r>
      <w:r>
        <w:rPr>
          <w:rFonts w:hint="eastAsia" w:ascii="宋体" w:hAnsi="宋体" w:cs="宋体"/>
          <w:color w:val="auto"/>
          <w:highlight w:val="none"/>
          <w:u w:val="single"/>
          <w:lang w:val="en-US" w:eastAsia="zh-CN"/>
        </w:rPr>
        <w:t>在</w:t>
      </w:r>
      <w:r>
        <w:rPr>
          <w:rFonts w:hint="eastAsia" w:ascii="宋体" w:hAnsi="宋体" w:eastAsia="宋体" w:cs="宋体"/>
          <w:color w:val="auto"/>
          <w:sz w:val="21"/>
          <w:szCs w:val="21"/>
          <w:highlight w:val="none"/>
          <w:u w:val="single"/>
          <w:lang w:val="zh-CN" w:eastAsia="zh-CN" w:bidi="zh-CN"/>
        </w:rPr>
        <w:t>合同签订后5个工作日之内</w:t>
      </w:r>
      <w:r>
        <w:rPr>
          <w:rFonts w:hint="eastAsia" w:ascii="宋体" w:hAnsi="宋体" w:eastAsia="宋体" w:cs="宋体"/>
          <w:color w:val="auto"/>
          <w:highlight w:val="none"/>
        </w:rPr>
        <w:t>向发包人提交预付款保函。发包人向承包人支付的预付款，应按照本合同第 17.2.1 项规定使用，承包人提交的履约保证金对预付款的正常使用承担保证责任。</w:t>
      </w:r>
    </w:p>
    <w:p w14:paraId="4D1EA79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17.2.3预付款的扣回与还清</w:t>
      </w:r>
    </w:p>
    <w:p w14:paraId="2949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13885D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（1）开工预付款在进度付款证书的累计金额未达到签约合同价的30%之前不予扣回，在达到签约合同价30%之后，开始按工程进度以固定比例（即每完成签约合同价的 1%，扣回开工预付款的 2%）分期从各月的进度付款证书中扣回，全部金额在进度付款证书的累计金额达到签约合同价的 80%时扣完。</w:t>
      </w:r>
    </w:p>
    <w:p w14:paraId="0CE677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（2）当材料、设备已用于或安装在永久工程之中时，材料、设备预付款应从进度付款证书中扣回，扣回期不超过 3 个月。已经支付材料、设备预付款的材料、设备的所有权应属于发包人。</w:t>
      </w:r>
    </w:p>
    <w:p w14:paraId="47B2BE8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0" w:name="_Toc19967"/>
      <w:r>
        <w:rPr>
          <w:rFonts w:hint="eastAsia" w:ascii="宋体" w:hAnsi="宋体" w:eastAsia="宋体" w:cs="宋体"/>
          <w:b/>
          <w:bCs/>
          <w:color w:val="auto"/>
          <w:sz w:val="28"/>
          <w:szCs w:val="28"/>
          <w:highlight w:val="none"/>
        </w:rPr>
        <w:t>17.3工程进度付款</w:t>
      </w:r>
      <w:bookmarkEnd w:id="420"/>
    </w:p>
    <w:p w14:paraId="74D8E38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17.3.3 进度付款证书和支付时间</w:t>
      </w:r>
    </w:p>
    <w:p w14:paraId="09A72D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本项（1）目补充：</w:t>
      </w:r>
    </w:p>
    <w:p w14:paraId="7CC1CE2A">
      <w:pPr>
        <w:pageBreakBefore w:val="0"/>
        <w:numPr>
          <w:ilvl w:val="0"/>
          <w:numId w:val="0"/>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①甲方根据工程需要和工程进度情况，可支付至合同总价款的80%；②工程竣工验收达到合格质量要求后，支付至工程合同总价款的90%；③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④3%工程质量保证金，待工程质量保修期满后返还。本工程质量保质期为1年。在工程质量保质期内，若存在质量缺陷的，由乙方负责保修，费用由乙方负责，工程质量保质期从甲方验收合格后开始计算。</w:t>
      </w:r>
    </w:p>
    <w:p w14:paraId="0BB08DFF">
      <w:pPr>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注：每次付款前需承包人开具等额增值税发票，申请付款前需提供发票原件方可付款。</w:t>
      </w:r>
    </w:p>
    <w:p w14:paraId="4021511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05D9B5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发包人应在监理人收到进度付款申请单且承包人提交了合格的增值税发票后的 28 天内，将进度应付款支付给承包人。</w:t>
      </w:r>
    </w:p>
    <w:p w14:paraId="0BDC93D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527DF3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17.3.5 项：</w:t>
      </w:r>
    </w:p>
    <w:p w14:paraId="4F6CB4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17.3.5 农民工工资保证金</w:t>
      </w:r>
    </w:p>
    <w:p w14:paraId="3A94F8EE">
      <w:pPr>
        <w:pStyle w:val="47"/>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（1）为确保施工过程中农民工工资实时、足额发放到位，承包人应按照项目专用合同条款约定的时间和金额缴存农民工工资保证金。</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注：如是以工代赈的项目，每个项目按照不低于项目总造价20%的比例发放劳务报酬(其中脱贫劳动力劳务报酬不低于50%，具备条件的可提高劳务报酬资金占比）具体以政府文件为主</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w:t>
      </w:r>
    </w:p>
    <w:p w14:paraId="7B1956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在领取中标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通知书之日起10天内足额将农民工工资保障金转入相关部门设立的农民工工资保障金专用帐户。一旦其出现拖欠工程款导致无法按时足额支付农民工工资时，可由交通行政主管部门从工资保障金中先予列支。</w:t>
      </w:r>
    </w:p>
    <w:p w14:paraId="672530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（3）农民工工资保证金的扣留条件、返还时间按照项目专用合同条款的约定执行。</w:t>
      </w:r>
    </w:p>
    <w:p w14:paraId="733738C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1" w:name="_Toc21777"/>
      <w:r>
        <w:rPr>
          <w:rFonts w:hint="eastAsia" w:ascii="宋体" w:hAnsi="宋体" w:eastAsia="宋体" w:cs="宋体"/>
          <w:b/>
          <w:bCs/>
          <w:color w:val="auto"/>
          <w:sz w:val="28"/>
          <w:szCs w:val="28"/>
          <w:highlight w:val="none"/>
        </w:rPr>
        <w:t>17.4质量保证金</w:t>
      </w:r>
      <w:bookmarkEnd w:id="421"/>
    </w:p>
    <w:p w14:paraId="24D635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17.4.1 项、第 17.4.2 项细化为：</w:t>
      </w:r>
    </w:p>
    <w:p w14:paraId="5A26F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6746F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质量保证金采用现金、支票形式提交的，发包人应在项目专用合同条款数据表中明确是否计付利息以及利息的计算方式。 </w:t>
      </w:r>
    </w:p>
    <w:p w14:paraId="69094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D9C83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2" w:name="_Toc6086"/>
      <w:r>
        <w:rPr>
          <w:rFonts w:hint="eastAsia" w:ascii="宋体" w:hAnsi="宋体" w:eastAsia="宋体" w:cs="宋体"/>
          <w:b/>
          <w:bCs/>
          <w:color w:val="auto"/>
          <w:sz w:val="28"/>
          <w:szCs w:val="28"/>
          <w:highlight w:val="none"/>
        </w:rPr>
        <w:t>17.5交工结算</w:t>
      </w:r>
      <w:bookmarkEnd w:id="422"/>
    </w:p>
    <w:p w14:paraId="6ABD6B8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17.5.1交工付款申请单</w:t>
      </w:r>
    </w:p>
    <w:p w14:paraId="4A8CF2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52B13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承包人向监理人提交交工付款申请单（包括相关证明材料）的份数在项目专用合同条款数据表中约定；期限：交工验收证书签发后 42 天内。</w:t>
      </w:r>
    </w:p>
    <w:p w14:paraId="2F1B1A8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17.5.2交工付款证书及支付时间</w:t>
      </w:r>
    </w:p>
    <w:p w14:paraId="011743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829D6A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发包人应在监理人出具交工付款证书且承包人提交了合格的增值税发票后的 14 天内，将应支付款支付给承包人。发包人不按期支付的，按第 17.3.3（2）目的约定，将逾期付款违约金支付给承包人。</w:t>
      </w:r>
    </w:p>
    <w:p w14:paraId="6E8A6A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3" w:name="_Toc23963"/>
      <w:r>
        <w:rPr>
          <w:rFonts w:hint="eastAsia" w:ascii="宋体" w:hAnsi="宋体" w:eastAsia="宋体" w:cs="宋体"/>
          <w:b/>
          <w:bCs/>
          <w:color w:val="auto"/>
          <w:sz w:val="28"/>
          <w:szCs w:val="28"/>
          <w:highlight w:val="none"/>
        </w:rPr>
        <w:t>17.6最终结清</w:t>
      </w:r>
      <w:bookmarkEnd w:id="423"/>
    </w:p>
    <w:p w14:paraId="4AC35F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17.6.1最终结清申请单</w:t>
      </w:r>
    </w:p>
    <w:p w14:paraId="660227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683520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承包人向监理人提交最终结清申请单（包括相关证明材料）的份数在项目专用合同条款数据表中约定；期限：缺陷责任期终止证书签发后 28 天内。</w:t>
      </w:r>
    </w:p>
    <w:p w14:paraId="2CCA9CF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最终结清申请单中的总金额应认为是代表了根据合同规定应付给承包人的全部款项的最后结算。</w:t>
      </w:r>
    </w:p>
    <w:p w14:paraId="40C2050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17.6.2最终结清证书和支付时间</w:t>
      </w:r>
    </w:p>
    <w:p w14:paraId="27F268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0B3F44">
      <w:pPr>
        <w:pageBreakBefore w:val="0"/>
        <w:numPr>
          <w:ilvl w:val="0"/>
          <w:numId w:val="8"/>
        </w:numPr>
        <w:kinsoku/>
        <w:wordWrap/>
        <w:overflowPunct/>
        <w:topLinePunct w:val="0"/>
        <w:autoSpaceDE/>
        <w:autoSpaceDN/>
        <w:bidi w:val="0"/>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发包人应在监理人出具最终结清证书且承包人提交了合格的增值税发票后的 14 天内，将应支付款支付给承包人。发包人不按期支付的，按第 17.3.3（2） 目的约定，将逾期付款违约金支付给承包人。</w:t>
      </w:r>
    </w:p>
    <w:p w14:paraId="5F9A7E7C">
      <w:pPr>
        <w:pageBreakBefore w:val="0"/>
        <w:numPr>
          <w:ilvl w:val="0"/>
          <w:numId w:val="0"/>
        </w:numPr>
        <w:kinsoku/>
        <w:wordWrap/>
        <w:overflowPunct/>
        <w:topLinePunct w:val="0"/>
        <w:autoSpaceDE/>
        <w:autoSpaceDN/>
        <w:bidi w:val="0"/>
        <w:spacing w:line="360" w:lineRule="auto"/>
        <w:ind w:left="480"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注：</w:t>
      </w:r>
      <w:r>
        <w:rPr>
          <w:rFonts w:hint="eastAsia" w:ascii="宋体" w:hAnsi="宋体" w:eastAsia="宋体" w:cs="宋体"/>
          <w:color w:val="auto"/>
          <w:highlight w:val="none"/>
        </w:rPr>
        <w:t>最终结算费用以</w:t>
      </w:r>
      <w:r>
        <w:rPr>
          <w:rFonts w:hint="eastAsia" w:ascii="宋体" w:hAnsi="宋体" w:cs="宋体"/>
          <w:color w:val="auto"/>
          <w:highlight w:val="none"/>
          <w:lang w:val="en-US" w:eastAsia="zh-CN"/>
        </w:rPr>
        <w:t>上思县</w:t>
      </w:r>
      <w:r>
        <w:rPr>
          <w:rFonts w:hint="eastAsia" w:ascii="宋体" w:hAnsi="宋体" w:eastAsia="宋体" w:cs="宋体"/>
          <w:color w:val="auto"/>
          <w:highlight w:val="none"/>
        </w:rPr>
        <w:t>财政投资评审为准。</w:t>
      </w:r>
    </w:p>
    <w:p w14:paraId="212C0F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24" w:name="_Toc24882"/>
      <w:bookmarkStart w:id="425" w:name="_Toc122424227"/>
      <w:bookmarkStart w:id="426" w:name="_Toc122424476"/>
      <w:r>
        <w:rPr>
          <w:rFonts w:hint="eastAsia" w:ascii="宋体" w:hAnsi="宋体" w:eastAsia="宋体" w:cs="宋体"/>
          <w:b/>
          <w:bCs/>
          <w:color w:val="auto"/>
          <w:sz w:val="32"/>
          <w:szCs w:val="32"/>
          <w:highlight w:val="none"/>
        </w:rPr>
        <w:t>18.交工验收</w:t>
      </w:r>
      <w:bookmarkEnd w:id="424"/>
      <w:bookmarkEnd w:id="425"/>
      <w:bookmarkEnd w:id="426"/>
    </w:p>
    <w:p w14:paraId="72AC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7" w:name="_Toc6744"/>
      <w:r>
        <w:rPr>
          <w:rFonts w:hint="eastAsia" w:ascii="宋体" w:hAnsi="宋体" w:eastAsia="宋体" w:cs="宋体"/>
          <w:b/>
          <w:bCs/>
          <w:color w:val="auto"/>
          <w:sz w:val="28"/>
          <w:szCs w:val="28"/>
          <w:highlight w:val="none"/>
        </w:rPr>
        <w:t>18.2交工验收申请报告</w:t>
      </w:r>
      <w:bookmarkEnd w:id="427"/>
    </w:p>
    <w:p w14:paraId="607265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本款第（2）项约定为：</w:t>
      </w:r>
    </w:p>
    <w:p w14:paraId="629D9B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竣工资料的内容：承包人应按照《公路工程竣（交）工验收办法》和相关规定编制竣工资料。</w:t>
      </w:r>
    </w:p>
    <w:p w14:paraId="6DD4B1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竣工资料的份数在项目专用合同条款数据表中约定。</w:t>
      </w:r>
    </w:p>
    <w:p w14:paraId="223EC2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8" w:name="_Toc6549"/>
      <w:r>
        <w:rPr>
          <w:rFonts w:hint="eastAsia" w:ascii="宋体" w:hAnsi="宋体" w:eastAsia="宋体" w:cs="宋体"/>
          <w:b/>
          <w:bCs/>
          <w:color w:val="auto"/>
          <w:sz w:val="28"/>
          <w:szCs w:val="28"/>
          <w:highlight w:val="none"/>
        </w:rPr>
        <w:t>18.3验收</w:t>
      </w:r>
      <w:bookmarkEnd w:id="428"/>
    </w:p>
    <w:p w14:paraId="344A710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18.3.2 项补充：</w:t>
      </w:r>
    </w:p>
    <w:p w14:paraId="0677048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BD80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18.3.5 项约定为：</w:t>
      </w:r>
    </w:p>
    <w:p w14:paraId="113322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经验收合格工程的实际交工日期，以最终提交交工验收申请报告的日期为准， 并在交工验收证书中写明。</w:t>
      </w:r>
    </w:p>
    <w:p w14:paraId="617F6A0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18.3.7 项：</w:t>
      </w:r>
    </w:p>
    <w:p w14:paraId="0358D28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组织办理交工验收和签发交工验收证书的费用由发包人承担。但按照第 18.3.4项规定达不到合格标准的交工验收费用由承包人承担。</w:t>
      </w:r>
    </w:p>
    <w:p w14:paraId="315768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18.9 款：</w:t>
      </w:r>
    </w:p>
    <w:p w14:paraId="560DE91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9" w:name="_Toc30848"/>
      <w:r>
        <w:rPr>
          <w:rFonts w:hint="eastAsia" w:ascii="宋体" w:hAnsi="宋体" w:eastAsia="宋体" w:cs="宋体"/>
          <w:b/>
          <w:bCs/>
          <w:color w:val="auto"/>
          <w:sz w:val="28"/>
          <w:szCs w:val="28"/>
          <w:highlight w:val="none"/>
        </w:rPr>
        <w:t>18.9 竣工文件</w:t>
      </w:r>
      <w:bookmarkEnd w:id="429"/>
    </w:p>
    <w:p w14:paraId="4132D1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承包人应按照《公路工程竣（交）工验收办法》的相关规定，在缺陷责任期内为竣工验收补充竣工资料，并在签发缺陷责任期终止证书之前提交。</w:t>
      </w:r>
    </w:p>
    <w:p w14:paraId="1ED0E77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0" w:name="_Toc28618"/>
      <w:bookmarkStart w:id="431" w:name="_Toc122424228"/>
      <w:bookmarkStart w:id="432" w:name="_Toc122424477"/>
      <w:r>
        <w:rPr>
          <w:rFonts w:hint="eastAsia" w:ascii="宋体" w:hAnsi="宋体" w:eastAsia="宋体" w:cs="宋体"/>
          <w:b/>
          <w:bCs/>
          <w:color w:val="auto"/>
          <w:sz w:val="32"/>
          <w:szCs w:val="32"/>
          <w:highlight w:val="none"/>
        </w:rPr>
        <w:t>19.缺陷责任与保修责任</w:t>
      </w:r>
      <w:bookmarkEnd w:id="430"/>
      <w:bookmarkEnd w:id="431"/>
      <w:bookmarkEnd w:id="432"/>
    </w:p>
    <w:p w14:paraId="281510E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19.2.2 项补充：</w:t>
      </w:r>
    </w:p>
    <w:p w14:paraId="53B808E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在缺陷责任期内，承包人应尽快完成在交工验收证书中写明的未完成工作，并完成对本工程缺陷的修复或监理人指令的修补工作。</w:t>
      </w:r>
    </w:p>
    <w:p w14:paraId="28426DF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3" w:name="_Toc4092"/>
      <w:r>
        <w:rPr>
          <w:rFonts w:hint="eastAsia" w:ascii="宋体" w:hAnsi="宋体" w:eastAsia="宋体" w:cs="宋体"/>
          <w:b/>
          <w:bCs/>
          <w:color w:val="auto"/>
          <w:sz w:val="28"/>
          <w:szCs w:val="28"/>
          <w:highlight w:val="none"/>
        </w:rPr>
        <w:t>19.5 承包人的进入权</w:t>
      </w:r>
      <w:bookmarkEnd w:id="433"/>
    </w:p>
    <w:p w14:paraId="7371BF2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8177C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承包人在缺陷修复施工过程中，应服从管养单位的有关安全管理规定，由于承包人自身原因造成的人员伤亡、设备和材料的损毁及罚款等责任由承包人自负。</w:t>
      </w:r>
    </w:p>
    <w:p w14:paraId="31CED2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4" w:name="_Toc5798"/>
      <w:r>
        <w:rPr>
          <w:rFonts w:hint="eastAsia" w:ascii="宋体" w:hAnsi="宋体" w:eastAsia="宋体" w:cs="宋体"/>
          <w:b/>
          <w:bCs/>
          <w:color w:val="auto"/>
          <w:sz w:val="28"/>
          <w:szCs w:val="28"/>
          <w:highlight w:val="none"/>
        </w:rPr>
        <w:t>19.7保修责任</w:t>
      </w:r>
      <w:bookmarkEnd w:id="434"/>
    </w:p>
    <w:p w14:paraId="21527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50A7320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09C455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（2）在全部工程交工验收前，已经发包人提前验收的单位工程，其保修期的起算日期相应提前。</w:t>
      </w:r>
    </w:p>
    <w:p w14:paraId="0ED1B1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（3）工程保修期终止后 28 天内，监理人签发保修期终止证书。</w:t>
      </w:r>
    </w:p>
    <w:p w14:paraId="00CA1E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3EBC2D5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5" w:name="_Toc122424478"/>
      <w:bookmarkStart w:id="436" w:name="_Toc8342"/>
      <w:bookmarkStart w:id="437" w:name="_Toc122424229"/>
      <w:r>
        <w:rPr>
          <w:rFonts w:hint="eastAsia" w:ascii="宋体" w:hAnsi="宋体" w:eastAsia="宋体" w:cs="宋体"/>
          <w:b/>
          <w:bCs/>
          <w:color w:val="auto"/>
          <w:sz w:val="32"/>
          <w:szCs w:val="32"/>
          <w:highlight w:val="none"/>
        </w:rPr>
        <w:t>20.保险</w:t>
      </w:r>
      <w:bookmarkEnd w:id="435"/>
      <w:bookmarkEnd w:id="436"/>
      <w:bookmarkEnd w:id="437"/>
    </w:p>
    <w:p w14:paraId="04079D5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8" w:name="_Toc28143"/>
      <w:r>
        <w:rPr>
          <w:rFonts w:hint="eastAsia" w:ascii="宋体" w:hAnsi="宋体" w:eastAsia="宋体" w:cs="宋体"/>
          <w:b/>
          <w:bCs/>
          <w:color w:val="auto"/>
          <w:sz w:val="28"/>
          <w:szCs w:val="28"/>
          <w:highlight w:val="none"/>
        </w:rPr>
        <w:t>20.1工程保险</w:t>
      </w:r>
      <w:bookmarkEnd w:id="438"/>
    </w:p>
    <w:p w14:paraId="683C508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07D5AF1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建筑工程一切险的投保内容：为本合同工程的永久工程、临时工程和设备及已运至施工工地用于永久工程的材料和设备所投的保险。</w:t>
      </w:r>
    </w:p>
    <w:p w14:paraId="55F0867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保险金额：工程量清单第 100 章（不含建筑工程一切险及第三者责任险的保险费）至第 700 章的合计金额。</w:t>
      </w:r>
    </w:p>
    <w:p w14:paraId="30C99D0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保险费率：在项目专用合同条款数据表中约定。</w:t>
      </w:r>
    </w:p>
    <w:p w14:paraId="243400A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保险期限：开工日起直至本合同工程签发缺陷责任期终止证书止（即合同工期＋缺陷责任期）。</w:t>
      </w:r>
    </w:p>
    <w:p w14:paraId="1CA36F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建筑工程一切险费用已包含在各细目单价中，发包人不单独支付。</w:t>
      </w:r>
    </w:p>
    <w:p w14:paraId="639E333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9" w:name="_Toc13719"/>
      <w:r>
        <w:rPr>
          <w:rFonts w:hint="eastAsia" w:ascii="宋体" w:hAnsi="宋体" w:eastAsia="宋体" w:cs="宋体"/>
          <w:b/>
          <w:bCs/>
          <w:color w:val="auto"/>
          <w:sz w:val="28"/>
          <w:szCs w:val="28"/>
          <w:highlight w:val="none"/>
        </w:rPr>
        <w:t>20.4第三者责任险</w:t>
      </w:r>
      <w:bookmarkEnd w:id="439"/>
    </w:p>
    <w:p w14:paraId="758697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20.4.2 项补充：</w:t>
      </w:r>
    </w:p>
    <w:p w14:paraId="57B7E5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第三者责任险的保险费由承包人报价时列入工程量清单第 100 章内。发包人在接到保险单后，将按照保险单的费用直接向承包人支付。</w:t>
      </w:r>
    </w:p>
    <w:p w14:paraId="7326F34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0" w:name="_Toc15357"/>
      <w:r>
        <w:rPr>
          <w:rFonts w:hint="eastAsia" w:ascii="宋体" w:hAnsi="宋体" w:eastAsia="宋体" w:cs="宋体"/>
          <w:b/>
          <w:bCs/>
          <w:color w:val="auto"/>
          <w:sz w:val="28"/>
          <w:szCs w:val="28"/>
          <w:highlight w:val="none"/>
        </w:rPr>
        <w:t>20.5其他保险</w:t>
      </w:r>
      <w:bookmarkEnd w:id="440"/>
    </w:p>
    <w:p w14:paraId="7C2EC2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764B8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承包人应为其施工设备等办理保险，其投保金额应足以现场重置。办理本款保险的一切费用均由承包人承担，并包括在工程量清单的单价及总额价中，发包人不单独支付。</w:t>
      </w:r>
    </w:p>
    <w:p w14:paraId="51769A9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1" w:name="_Toc2908"/>
      <w:r>
        <w:rPr>
          <w:rFonts w:hint="eastAsia" w:ascii="宋体" w:hAnsi="宋体" w:eastAsia="宋体" w:cs="宋体"/>
          <w:b/>
          <w:bCs/>
          <w:color w:val="auto"/>
          <w:sz w:val="28"/>
          <w:szCs w:val="28"/>
          <w:highlight w:val="none"/>
        </w:rPr>
        <w:t>20.6对各项保险的一般要求</w:t>
      </w:r>
      <w:bookmarkEnd w:id="441"/>
    </w:p>
    <w:p w14:paraId="794A21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20.6.1保险凭证</w:t>
      </w:r>
    </w:p>
    <w:p w14:paraId="325D94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09EC99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承包人向发包人提交各项保险生效的证据和保险单副本的期限：开工后 56 天内。</w:t>
      </w:r>
    </w:p>
    <w:p w14:paraId="037DF6E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20.6.3持续保险</w:t>
      </w:r>
    </w:p>
    <w:p w14:paraId="3E0DC3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1C834E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在整个合同期内，承包人应按合同条款规定保证足够的保险额。</w:t>
      </w:r>
    </w:p>
    <w:p w14:paraId="050127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20.6.4保险金不足的补偿</w:t>
      </w:r>
    </w:p>
    <w:p w14:paraId="312759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10CF42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保险金不足以补偿损失的（包括免赔额和超过赔偿限额的部分），应由承包人和（或）发包人按合同约定负责补偿。</w:t>
      </w:r>
    </w:p>
    <w:p w14:paraId="0C61122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20.6.5未按约定投保的补救</w:t>
      </w:r>
    </w:p>
    <w:p w14:paraId="5CCF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13D2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AB87AD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2" w:name="_Toc17781"/>
      <w:bookmarkStart w:id="443" w:name="_Toc122424479"/>
      <w:bookmarkStart w:id="444" w:name="_Toc122424230"/>
      <w:r>
        <w:rPr>
          <w:rFonts w:hint="eastAsia" w:ascii="宋体" w:hAnsi="宋体" w:eastAsia="宋体" w:cs="宋体"/>
          <w:b/>
          <w:bCs/>
          <w:color w:val="auto"/>
          <w:sz w:val="32"/>
          <w:szCs w:val="32"/>
          <w:highlight w:val="none"/>
        </w:rPr>
        <w:t>21.不可抗力</w:t>
      </w:r>
      <w:bookmarkEnd w:id="442"/>
      <w:bookmarkEnd w:id="443"/>
      <w:bookmarkEnd w:id="444"/>
    </w:p>
    <w:p w14:paraId="26A4518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5" w:name="_Toc28344"/>
      <w:r>
        <w:rPr>
          <w:rFonts w:hint="eastAsia" w:ascii="宋体" w:hAnsi="宋体" w:eastAsia="宋体" w:cs="宋体"/>
          <w:b/>
          <w:bCs/>
          <w:color w:val="auto"/>
          <w:sz w:val="28"/>
          <w:szCs w:val="28"/>
          <w:highlight w:val="none"/>
        </w:rPr>
        <w:t>21.1不可抗力的确认</w:t>
      </w:r>
      <w:bookmarkEnd w:id="445"/>
    </w:p>
    <w:p w14:paraId="0645ADE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21.1.1 项细化为：</w:t>
      </w:r>
    </w:p>
    <w:p w14:paraId="4B2A08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不可抗力是指承包人和发包人在订立合同时不可预见，在工程施工过程中不可避免发生并不能克服的自然灾害和社会性突发事件。包括但不限于：</w:t>
      </w:r>
    </w:p>
    <w:p w14:paraId="40FA1E5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（1）地震、海啸、火山爆发、泥石流、暴雨（雪）、台风、龙卷风、水灾等自然灾害；</w:t>
      </w:r>
    </w:p>
    <w:p w14:paraId="700506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（2）战争、骚乱、暴动，但纯属承包人或其分包人派遣与雇用的人员由于本 合同工程施工原因引起者除外；</w:t>
      </w:r>
    </w:p>
    <w:p w14:paraId="62796E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（3）核反应、辐射或放射性污染；</w:t>
      </w:r>
    </w:p>
    <w:p w14:paraId="788DA2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（4）空中飞行物体坠落或非发包人或承包人责任造成的爆炸、火灾；</w:t>
      </w:r>
    </w:p>
    <w:p w14:paraId="07C1F73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（5）瘟疫；</w:t>
      </w:r>
    </w:p>
    <w:p w14:paraId="6E9543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（6）项目专用合同条款约定的其他情形。</w:t>
      </w:r>
    </w:p>
    <w:p w14:paraId="08284A3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6" w:name="_Toc15289"/>
      <w:r>
        <w:rPr>
          <w:rFonts w:hint="eastAsia" w:ascii="宋体" w:hAnsi="宋体" w:eastAsia="宋体" w:cs="宋体"/>
          <w:b/>
          <w:bCs/>
          <w:color w:val="auto"/>
          <w:sz w:val="28"/>
          <w:szCs w:val="28"/>
          <w:highlight w:val="none"/>
        </w:rPr>
        <w:t>21.3 不可抗力后果及其处理</w:t>
      </w:r>
      <w:bookmarkEnd w:id="446"/>
    </w:p>
    <w:p w14:paraId="52058C1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21.3.4 因不可抗力解除合同</w:t>
      </w:r>
    </w:p>
    <w:p w14:paraId="757C64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ECEB8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50A7C2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7" w:name="_Toc19467"/>
      <w:bookmarkStart w:id="448" w:name="_Toc122424480"/>
      <w:bookmarkStart w:id="449" w:name="_Toc122424231"/>
      <w:r>
        <w:rPr>
          <w:rFonts w:hint="eastAsia" w:ascii="宋体" w:hAnsi="宋体" w:eastAsia="宋体" w:cs="宋体"/>
          <w:b/>
          <w:bCs/>
          <w:color w:val="auto"/>
          <w:sz w:val="32"/>
          <w:szCs w:val="32"/>
          <w:highlight w:val="none"/>
        </w:rPr>
        <w:t>22.违约</w:t>
      </w:r>
      <w:bookmarkEnd w:id="447"/>
      <w:bookmarkEnd w:id="448"/>
      <w:bookmarkEnd w:id="449"/>
    </w:p>
    <w:p w14:paraId="35B2AF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0" w:name="_Toc4"/>
      <w:r>
        <w:rPr>
          <w:rFonts w:hint="eastAsia" w:ascii="宋体" w:hAnsi="宋体" w:eastAsia="宋体" w:cs="宋体"/>
          <w:b/>
          <w:bCs/>
          <w:color w:val="auto"/>
          <w:sz w:val="28"/>
          <w:szCs w:val="28"/>
          <w:highlight w:val="none"/>
        </w:rPr>
        <w:t>22.1承包人违约</w:t>
      </w:r>
      <w:bookmarkEnd w:id="450"/>
    </w:p>
    <w:p w14:paraId="5F8E926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22.1.1承包人违约的情形</w:t>
      </w:r>
    </w:p>
    <w:p w14:paraId="390EF2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16F5A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 5.3 款或第 6.4 款的约定，未经监理人批准，私自将已按合同约定进入施工场地的施工设备、临时设施、材料或工程设备撤离施工场地；</w:t>
      </w:r>
    </w:p>
    <w:p w14:paraId="6EBAE8B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本项（7）目细化为：</w:t>
      </w:r>
    </w:p>
    <w:p w14:paraId="323E7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（7）承包人未能按期开工；</w:t>
      </w:r>
    </w:p>
    <w:p w14:paraId="5214541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（8）承包人违反第 4.6 款或第 6.3 款的规定，未按承诺或未按监理人的要求及时配备称职的主要管理人员、技术骨干或关键施工设备；</w:t>
      </w:r>
    </w:p>
    <w:p w14:paraId="19FA8B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（9）经监理人和发包人检查，发现承包人有安全问题或有违反安全管理规章制度的情况；</w:t>
      </w:r>
    </w:p>
    <w:p w14:paraId="6111CEC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（10）承包人不按合同约定履行义务的其他情况。</w:t>
      </w:r>
    </w:p>
    <w:p w14:paraId="77EA30A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22.1.2对承包人违约的处理</w:t>
      </w:r>
    </w:p>
    <w:p w14:paraId="03F310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52EE96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6916A41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1" w:name="_Toc5245"/>
      <w:r>
        <w:rPr>
          <w:rFonts w:hint="eastAsia" w:ascii="宋体" w:hAnsi="宋体" w:eastAsia="宋体" w:cs="宋体"/>
          <w:b/>
          <w:bCs/>
          <w:color w:val="auto"/>
          <w:sz w:val="28"/>
          <w:szCs w:val="28"/>
          <w:highlight w:val="none"/>
        </w:rPr>
        <w:t>22.2发包人违约</w:t>
      </w:r>
      <w:bookmarkEnd w:id="451"/>
    </w:p>
    <w:p w14:paraId="3E5E2AA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22.2.1发包人违约的情形</w:t>
      </w:r>
    </w:p>
    <w:p w14:paraId="53C6947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本项（5）目细化为：</w:t>
      </w:r>
    </w:p>
    <w:p w14:paraId="2D5BAE6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（5）发包人无正当理由不按时返还履约保证金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rPr>
        <w:t>、质量保证金或农民工工资保证金的；</w:t>
      </w:r>
    </w:p>
    <w:p w14:paraId="5A6E03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（6）发包人不履行合同约定其他义务的。</w:t>
      </w:r>
    </w:p>
    <w:p w14:paraId="5CDFF2E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22.2.4 解除合同后的付款</w:t>
      </w:r>
    </w:p>
    <w:p w14:paraId="5AD63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2445FF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（2）承包人为该工程施工订购并已付款的材料、工程设备和其他物品的金额。发包人付款后，该材料、工程设备和其他物品归发包人所有；</w:t>
      </w:r>
    </w:p>
    <w:p w14:paraId="6AD56FB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2" w:name="_Toc122424481"/>
      <w:bookmarkStart w:id="453" w:name="_Toc26706"/>
      <w:bookmarkStart w:id="454" w:name="_Toc122424232"/>
      <w:r>
        <w:rPr>
          <w:rFonts w:hint="eastAsia" w:ascii="宋体" w:hAnsi="宋体" w:eastAsia="宋体" w:cs="宋体"/>
          <w:b/>
          <w:bCs/>
          <w:color w:val="auto"/>
          <w:sz w:val="32"/>
          <w:szCs w:val="32"/>
          <w:highlight w:val="none"/>
        </w:rPr>
        <w:t>23.索赔</w:t>
      </w:r>
      <w:bookmarkEnd w:id="452"/>
      <w:bookmarkEnd w:id="453"/>
      <w:bookmarkEnd w:id="454"/>
    </w:p>
    <w:p w14:paraId="3740670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5" w:name="_Toc4552"/>
      <w:r>
        <w:rPr>
          <w:rFonts w:hint="eastAsia" w:ascii="宋体" w:hAnsi="宋体" w:eastAsia="宋体" w:cs="宋体"/>
          <w:b/>
          <w:bCs/>
          <w:color w:val="auto"/>
          <w:sz w:val="28"/>
          <w:szCs w:val="28"/>
          <w:highlight w:val="none"/>
        </w:rPr>
        <w:t>23.1承包人索赔的提出</w:t>
      </w:r>
      <w:bookmarkEnd w:id="455"/>
    </w:p>
    <w:p w14:paraId="3BCA17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本款第（4）项细化为：</w:t>
      </w:r>
    </w:p>
    <w:p w14:paraId="0B2D18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 28 天内，承包人应向监理人递交最终索赔通知书，说明最终要求索赔的追加付款金额和（或）延长的工期，并附必要的记录和证明材料。</w:t>
      </w:r>
    </w:p>
    <w:p w14:paraId="5AB9EB4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6" w:name="_Toc23671"/>
      <w:r>
        <w:rPr>
          <w:rFonts w:hint="eastAsia" w:ascii="宋体" w:hAnsi="宋体" w:eastAsia="宋体" w:cs="宋体"/>
          <w:b/>
          <w:bCs/>
          <w:color w:val="auto"/>
          <w:sz w:val="28"/>
          <w:szCs w:val="28"/>
          <w:highlight w:val="none"/>
        </w:rPr>
        <w:t>23.2承包人索赔处理程序</w:t>
      </w:r>
      <w:bookmarkEnd w:id="456"/>
    </w:p>
    <w:p w14:paraId="4B4C40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本款第（2）项细化为：</w:t>
      </w:r>
    </w:p>
    <w:p w14:paraId="6AE7997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36AB204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7" w:name="_Toc122424482"/>
      <w:bookmarkStart w:id="458" w:name="_Toc17764"/>
      <w:bookmarkStart w:id="459" w:name="_Toc122424233"/>
      <w:r>
        <w:rPr>
          <w:rFonts w:hint="eastAsia" w:ascii="宋体" w:hAnsi="宋体" w:eastAsia="宋体" w:cs="宋体"/>
          <w:b/>
          <w:bCs/>
          <w:color w:val="auto"/>
          <w:sz w:val="32"/>
          <w:szCs w:val="32"/>
          <w:highlight w:val="none"/>
        </w:rPr>
        <w:t>24.争议的解决</w:t>
      </w:r>
      <w:bookmarkEnd w:id="457"/>
      <w:bookmarkEnd w:id="458"/>
      <w:bookmarkEnd w:id="459"/>
    </w:p>
    <w:p w14:paraId="19B5843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0" w:name="_Toc5407"/>
      <w:r>
        <w:rPr>
          <w:rFonts w:hint="eastAsia" w:ascii="宋体" w:hAnsi="宋体" w:eastAsia="宋体" w:cs="宋体"/>
          <w:b/>
          <w:bCs/>
          <w:color w:val="auto"/>
          <w:sz w:val="28"/>
          <w:szCs w:val="28"/>
          <w:highlight w:val="none"/>
        </w:rPr>
        <w:t>24.3争议评审</w:t>
      </w:r>
      <w:bookmarkEnd w:id="460"/>
    </w:p>
    <w:p w14:paraId="4F02F7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24.3.1 项补充：</w:t>
      </w:r>
    </w:p>
    <w:p w14:paraId="7FE392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2C593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24.4 款、第 24.5 款（适用于采用仲裁方式最终解决争议的项目）：</w:t>
      </w:r>
    </w:p>
    <w:p w14:paraId="406E6BD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1" w:name="_Toc5661"/>
      <w:r>
        <w:rPr>
          <w:rFonts w:hint="eastAsia" w:ascii="宋体" w:hAnsi="宋体" w:eastAsia="宋体" w:cs="宋体"/>
          <w:b/>
          <w:bCs/>
          <w:color w:val="auto"/>
          <w:sz w:val="28"/>
          <w:szCs w:val="28"/>
          <w:highlight w:val="none"/>
        </w:rPr>
        <w:t>24.4仲裁</w:t>
      </w:r>
      <w:bookmarkEnd w:id="461"/>
    </w:p>
    <w:p w14:paraId="2DE59935">
      <w:pPr>
        <w:pageBreakBefore w:val="0"/>
        <w:numPr>
          <w:ilvl w:val="0"/>
          <w:numId w:val="9"/>
        </w:numPr>
        <w:kinsoku/>
        <w:wordWrap/>
        <w:overflowPunct/>
        <w:topLinePunct w:val="0"/>
        <w:autoSpaceDE/>
        <w:autoSpaceDN/>
        <w:bidi w:val="0"/>
        <w:spacing w:line="360" w:lineRule="auto"/>
        <w:ind w:left="210" w:leftChars="100" w:firstLine="268" w:firstLineChars="128"/>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对于未能友好解决或未能通过争议评审解决的争议，发包人或承包人任一方均有权提交给第 </w:t>
      </w:r>
    </w:p>
    <w:p w14:paraId="4ADEA6EB">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24.1 款约定的仲裁委员会仲裁。</w:t>
      </w:r>
    </w:p>
    <w:p w14:paraId="2D84D45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6E7D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（3）仲裁裁决是终局性的并对发包人和承包人双方具有约束力。</w:t>
      </w:r>
    </w:p>
    <w:p w14:paraId="08C60D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（4）全部仲裁费用应由败诉方承担；或按仲裁委员会裁决的比例分担。</w:t>
      </w:r>
    </w:p>
    <w:p w14:paraId="76048DC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2" w:name="_Toc21379"/>
      <w:r>
        <w:rPr>
          <w:rFonts w:hint="eastAsia" w:ascii="宋体" w:hAnsi="宋体" w:eastAsia="宋体" w:cs="宋体"/>
          <w:b/>
          <w:bCs/>
          <w:color w:val="auto"/>
          <w:sz w:val="28"/>
          <w:szCs w:val="28"/>
          <w:highlight w:val="none"/>
        </w:rPr>
        <w:t>24.5仲裁的执行</w:t>
      </w:r>
      <w:bookmarkEnd w:id="462"/>
    </w:p>
    <w:p w14:paraId="37119060">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任何一方不履行仲裁机构的裁决的，对方可以向有管辖权的人民法院申请执行。</w:t>
      </w:r>
    </w:p>
    <w:p w14:paraId="50C1D67F">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ascii="宋体" w:hAnsi="宋体" w:eastAsia="宋体" w:cs="宋体"/>
          <w:color w:val="auto"/>
          <w:kern w:val="0"/>
          <w:highlight w:val="none"/>
        </w:rPr>
        <w:t xml:space="preserve"> </w:t>
      </w:r>
    </w:p>
    <w:p w14:paraId="22F5729B">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9CA0D7">
      <w:pPr>
        <w:pStyle w:val="3"/>
        <w:adjustRightInd w:val="0"/>
        <w:snapToGri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7EFA513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说</w:t>
      </w:r>
      <w:r>
        <w:rPr>
          <w:rFonts w:hint="eastAsia" w:ascii="宋体" w:hAnsi="宋体" w:eastAsia="宋体" w:cs="宋体"/>
          <w:color w:val="auto"/>
          <w:highlight w:val="none"/>
        </w:rPr>
        <w:tab/>
      </w:r>
      <w:r>
        <w:rPr>
          <w:rFonts w:hint="eastAsia" w:ascii="宋体" w:hAnsi="宋体" w:eastAsia="宋体" w:cs="宋体"/>
          <w:color w:val="auto"/>
          <w:highlight w:val="none"/>
        </w:rPr>
        <w:t>明：</w:t>
      </w:r>
    </w:p>
    <w:p w14:paraId="353388D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1.采购人在编制项目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109E4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2.项目专用合同条款的编号应与通用合同条款和公路工程专用合同条款一致。</w:t>
      </w:r>
    </w:p>
    <w:p w14:paraId="32CEBAA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3.项目专用合同条款可对下列内容进行补充和细化：</w:t>
      </w:r>
    </w:p>
    <w:p w14:paraId="6AA7E90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（1）“通用合同条款”中明确指出“专用合同条款”可对“通用合同条款”进行修改</w:t>
      </w:r>
    </w:p>
    <w:p w14:paraId="2463C7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的内容（在“通用合同条款”中用“应按合同约定”“应按专用合同条款约定”“除合同另有约定外”“除专用合同条款另有约定外”“在专用合同条款中约定”等多种文字形式表达）；</w:t>
      </w:r>
    </w:p>
    <w:p w14:paraId="44A1845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43765DFD">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其他需要补充、细化的内容。</w:t>
      </w:r>
    </w:p>
    <w:p w14:paraId="52D1A509">
      <w:pPr>
        <w:pStyle w:val="4"/>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63" w:name="_Toc122424484"/>
      <w:bookmarkStart w:id="464" w:name="_Toc24603"/>
      <w:bookmarkStart w:id="465" w:name="_Toc122424235"/>
      <w:r>
        <w:rPr>
          <w:rFonts w:hint="eastAsia" w:ascii="宋体" w:hAnsi="宋体" w:eastAsia="宋体" w:cs="宋体"/>
          <w:color w:val="auto"/>
          <w:highlight w:val="none"/>
        </w:rPr>
        <w:t>项目专用合同条款数据表</w:t>
      </w:r>
      <w:bookmarkEnd w:id="463"/>
      <w:bookmarkEnd w:id="464"/>
      <w:bookmarkEnd w:id="465"/>
    </w:p>
    <w:p w14:paraId="5822AE05">
      <w:pPr>
        <w:spacing w:line="360" w:lineRule="auto"/>
        <w:ind w:firstLine="480"/>
        <w:rPr>
          <w:rFonts w:hint="eastAsia" w:ascii="宋体" w:hAnsi="宋体" w:eastAsia="宋体" w:cs="宋体"/>
          <w:color w:val="auto"/>
          <w:highlight w:val="none"/>
        </w:rPr>
      </w:pPr>
    </w:p>
    <w:p w14:paraId="3D835A55">
      <w:pPr>
        <w:spacing w:line="360" w:lineRule="auto"/>
        <w:ind w:firstLine="480"/>
        <w:rPr>
          <w:rFonts w:hint="eastAsia" w:ascii="宋体" w:hAnsi="宋体" w:eastAsia="宋体" w:cs="宋体"/>
          <w:color w:val="auto"/>
          <w:highlight w:val="none"/>
        </w:rPr>
      </w:pPr>
      <w:bookmarkStart w:id="466" w:name="_Toc19149"/>
      <w:bookmarkStart w:id="467" w:name="_Toc122424485"/>
      <w:bookmarkStart w:id="468" w:name="_Toc20394"/>
      <w:bookmarkStart w:id="469" w:name="_Toc122424236"/>
      <w:r>
        <w:rPr>
          <w:rFonts w:hint="eastAsia" w:ascii="宋体" w:hAnsi="宋体" w:eastAsia="宋体" w:cs="宋体"/>
          <w:color w:val="auto"/>
          <w:highlight w:val="none"/>
        </w:rPr>
        <w:t>说明：本数据表是项目专用合同条款中适用于本项目的信息和数据的归纳与提示， 是项目专用合同条款的组成部分。编写磋商文件的单位应仔细校核，不使数据出现差错或不一致。</w:t>
      </w:r>
    </w:p>
    <w:p w14:paraId="10E8BB4F">
      <w:pPr>
        <w:pStyle w:val="18"/>
        <w:rPr>
          <w:rFonts w:hint="eastAsia" w:ascii="宋体" w:hAnsi="宋体" w:eastAsia="宋体" w:cs="宋体"/>
          <w:color w:val="auto"/>
          <w:highlight w:val="none"/>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F1C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noWrap w:val="0"/>
            <w:vAlign w:val="center"/>
          </w:tcPr>
          <w:p w14:paraId="67AB1D3A">
            <w:pPr>
              <w:pStyle w:val="40"/>
              <w:spacing w:before="90" w:line="250" w:lineRule="exact"/>
              <w:ind w:left="83" w:right="7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111" w:type="dxa"/>
            <w:noWrap w:val="0"/>
            <w:vAlign w:val="center"/>
          </w:tcPr>
          <w:p w14:paraId="63E74C70">
            <w:pPr>
              <w:pStyle w:val="40"/>
              <w:spacing w:before="90" w:line="250" w:lineRule="exact"/>
              <w:ind w:left="84" w:right="7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条目号</w:t>
            </w:r>
          </w:p>
        </w:tc>
        <w:tc>
          <w:tcPr>
            <w:tcW w:w="7305" w:type="dxa"/>
            <w:noWrap w:val="0"/>
            <w:vAlign w:val="center"/>
          </w:tcPr>
          <w:p w14:paraId="48AB210B">
            <w:pPr>
              <w:pStyle w:val="40"/>
              <w:spacing w:before="90" w:line="250" w:lineRule="exact"/>
              <w:ind w:left="3106" w:right="309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信息或数据</w:t>
            </w:r>
          </w:p>
        </w:tc>
      </w:tr>
      <w:tr w14:paraId="18B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noWrap w:val="0"/>
            <w:vAlign w:val="center"/>
          </w:tcPr>
          <w:p w14:paraId="78C18521">
            <w:pPr>
              <w:pStyle w:val="40"/>
              <w:spacing w:before="11"/>
              <w:rPr>
                <w:rFonts w:hint="eastAsia" w:ascii="宋体" w:hAnsi="宋体" w:eastAsia="宋体" w:cs="宋体"/>
                <w:color w:val="auto"/>
                <w:highlight w:val="none"/>
              </w:rPr>
            </w:pPr>
          </w:p>
          <w:p w14:paraId="7E597371">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11" w:type="dxa"/>
            <w:noWrap w:val="0"/>
            <w:vAlign w:val="center"/>
          </w:tcPr>
          <w:p w14:paraId="299426A9">
            <w:pPr>
              <w:pStyle w:val="40"/>
              <w:spacing w:before="11"/>
              <w:rPr>
                <w:rFonts w:hint="eastAsia" w:ascii="宋体" w:hAnsi="宋体" w:eastAsia="宋体" w:cs="宋体"/>
                <w:color w:val="auto"/>
                <w:highlight w:val="none"/>
              </w:rPr>
            </w:pPr>
          </w:p>
          <w:p w14:paraId="60DA8077">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1.1.2.2</w:t>
            </w:r>
          </w:p>
        </w:tc>
        <w:tc>
          <w:tcPr>
            <w:tcW w:w="7305" w:type="dxa"/>
            <w:noWrap w:val="0"/>
            <w:vAlign w:val="center"/>
          </w:tcPr>
          <w:p w14:paraId="4D4E7F8A">
            <w:pPr>
              <w:pStyle w:val="40"/>
              <w:spacing w:before="89"/>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 包 人：</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 xml:space="preserve">  </w:t>
            </w:r>
          </w:p>
          <w:p w14:paraId="66E4FD36">
            <w:pPr>
              <w:pStyle w:val="40"/>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kern w:val="2"/>
                <w:sz w:val="21"/>
                <w:szCs w:val="21"/>
                <w:highlight w:val="none"/>
                <w:u w:val="single"/>
                <w:lang w:eastAsia="zh-CN"/>
              </w:rPr>
              <w:t xml:space="preserve">  </w:t>
            </w:r>
            <w:r>
              <w:rPr>
                <w:rFonts w:hint="eastAsia" w:ascii="宋体" w:hAnsi="宋体" w:eastAsia="宋体" w:cs="宋体"/>
                <w:color w:val="auto"/>
                <w:sz w:val="21"/>
                <w:highlight w:val="none"/>
                <w:u w:val="single"/>
                <w:lang w:eastAsia="zh-CN"/>
              </w:rPr>
              <w:tab/>
            </w:r>
          </w:p>
          <w:p w14:paraId="76796447">
            <w:pPr>
              <w:pStyle w:val="40"/>
              <w:tabs>
                <w:tab w:val="left" w:pos="979"/>
                <w:tab w:val="left" w:pos="3394"/>
              </w:tabs>
              <w:spacing w:before="91" w:line="250" w:lineRule="exact"/>
              <w:ind w:left="34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w:t>
            </w:r>
            <w:r>
              <w:rPr>
                <w:rFonts w:hint="eastAsia" w:ascii="宋体" w:hAnsi="宋体" w:eastAsia="宋体" w:cs="宋体"/>
                <w:color w:val="auto"/>
                <w:spacing w:val="-3"/>
                <w:sz w:val="21"/>
                <w:highlight w:val="none"/>
              </w:rPr>
              <w:t>政</w:t>
            </w:r>
            <w:r>
              <w:rPr>
                <w:rFonts w:hint="eastAsia" w:ascii="宋体" w:hAnsi="宋体" w:eastAsia="宋体" w:cs="宋体"/>
                <w:color w:val="auto"/>
                <w:sz w:val="21"/>
                <w:highlight w:val="none"/>
              </w:rPr>
              <w:t>编</w:t>
            </w:r>
            <w:r>
              <w:rPr>
                <w:rFonts w:hint="eastAsia" w:ascii="宋体" w:hAnsi="宋体" w:eastAsia="宋体" w:cs="宋体"/>
                <w:color w:val="auto"/>
                <w:spacing w:val="-3"/>
                <w:sz w:val="21"/>
                <w:highlight w:val="none"/>
              </w:rPr>
              <w:t>码</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kern w:val="2"/>
                <w:sz w:val="21"/>
                <w:szCs w:val="21"/>
                <w:highlight w:val="none"/>
                <w:u w:val="single"/>
              </w:rPr>
              <w:t xml:space="preserve">         </w:t>
            </w:r>
          </w:p>
        </w:tc>
      </w:tr>
      <w:tr w14:paraId="528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629" w:type="dxa"/>
            <w:noWrap w:val="0"/>
            <w:vAlign w:val="center"/>
          </w:tcPr>
          <w:p w14:paraId="381AE73D">
            <w:pPr>
              <w:pStyle w:val="40"/>
              <w:spacing w:before="1"/>
              <w:rPr>
                <w:rFonts w:hint="eastAsia" w:ascii="宋体" w:hAnsi="宋体" w:eastAsia="宋体" w:cs="宋体"/>
                <w:color w:val="auto"/>
                <w:sz w:val="23"/>
                <w:highlight w:val="none"/>
              </w:rPr>
            </w:pPr>
          </w:p>
          <w:p w14:paraId="1D0DF89A">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111" w:type="dxa"/>
            <w:noWrap w:val="0"/>
            <w:vAlign w:val="center"/>
          </w:tcPr>
          <w:p w14:paraId="5A28AA6C">
            <w:pPr>
              <w:pStyle w:val="40"/>
              <w:spacing w:before="1"/>
              <w:rPr>
                <w:rFonts w:hint="eastAsia" w:ascii="宋体" w:hAnsi="宋体" w:eastAsia="宋体" w:cs="宋体"/>
                <w:color w:val="auto"/>
                <w:sz w:val="23"/>
                <w:highlight w:val="none"/>
              </w:rPr>
            </w:pPr>
          </w:p>
          <w:p w14:paraId="12E10323">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1.1.2.6</w:t>
            </w:r>
          </w:p>
        </w:tc>
        <w:tc>
          <w:tcPr>
            <w:tcW w:w="7305" w:type="dxa"/>
            <w:noWrap w:val="0"/>
            <w:vAlign w:val="center"/>
          </w:tcPr>
          <w:p w14:paraId="61AF8B26">
            <w:pPr>
              <w:pStyle w:val="40"/>
              <w:spacing w:before="92"/>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监 理 人：</w:t>
            </w:r>
            <w:r>
              <w:rPr>
                <w:rFonts w:hint="eastAsia" w:ascii="宋体" w:hAnsi="宋体" w:eastAsia="宋体" w:cs="宋体"/>
                <w:color w:val="auto"/>
                <w:sz w:val="21"/>
                <w:szCs w:val="21"/>
                <w:highlight w:val="none"/>
                <w:lang w:eastAsia="zh-CN"/>
              </w:rPr>
              <w:t>待定</w:t>
            </w:r>
          </w:p>
          <w:p w14:paraId="60A8040F">
            <w:pPr>
              <w:pStyle w:val="40"/>
              <w:tabs>
                <w:tab w:val="left" w:pos="979"/>
                <w:tab w:val="left" w:pos="339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lang w:eastAsia="zh-CN"/>
              </w:rPr>
              <w:tab/>
            </w:r>
          </w:p>
          <w:p w14:paraId="6B55D477">
            <w:pPr>
              <w:pStyle w:val="40"/>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邮</w:t>
            </w:r>
            <w:r>
              <w:rPr>
                <w:rFonts w:hint="eastAsia" w:ascii="宋体" w:hAnsi="宋体" w:eastAsia="宋体" w:cs="宋体"/>
                <w:color w:val="auto"/>
                <w:spacing w:val="-3"/>
                <w:sz w:val="21"/>
                <w:highlight w:val="none"/>
                <w:lang w:eastAsia="zh-CN"/>
              </w:rPr>
              <w:t>政</w:t>
            </w:r>
            <w:r>
              <w:rPr>
                <w:rFonts w:hint="eastAsia" w:ascii="宋体" w:hAnsi="宋体" w:eastAsia="宋体" w:cs="宋体"/>
                <w:color w:val="auto"/>
                <w:sz w:val="21"/>
                <w:highlight w:val="none"/>
                <w:lang w:eastAsia="zh-CN"/>
              </w:rPr>
              <w:t>编</w:t>
            </w:r>
            <w:r>
              <w:rPr>
                <w:rFonts w:hint="eastAsia" w:ascii="宋体" w:hAnsi="宋体" w:eastAsia="宋体" w:cs="宋体"/>
                <w:color w:val="auto"/>
                <w:spacing w:val="-3"/>
                <w:sz w:val="21"/>
                <w:highlight w:val="none"/>
                <w:lang w:eastAsia="zh-CN"/>
              </w:rPr>
              <w:t>码</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u w:val="single"/>
                <w:lang w:eastAsia="zh-CN"/>
              </w:rPr>
              <w:t xml:space="preserve">                   </w:t>
            </w:r>
          </w:p>
        </w:tc>
      </w:tr>
      <w:tr w14:paraId="106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noWrap w:val="0"/>
            <w:vAlign w:val="center"/>
          </w:tcPr>
          <w:p w14:paraId="0AEBCF5A">
            <w:pPr>
              <w:pStyle w:val="40"/>
              <w:spacing w:before="113"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1111" w:type="dxa"/>
            <w:noWrap w:val="0"/>
            <w:vAlign w:val="center"/>
          </w:tcPr>
          <w:p w14:paraId="16C38AB1">
            <w:pPr>
              <w:pStyle w:val="40"/>
              <w:spacing w:before="113" w:line="226"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1.1.4.5</w:t>
            </w:r>
          </w:p>
        </w:tc>
        <w:tc>
          <w:tcPr>
            <w:tcW w:w="7305" w:type="dxa"/>
            <w:noWrap w:val="0"/>
            <w:vAlign w:val="center"/>
          </w:tcPr>
          <w:p w14:paraId="34BFA046">
            <w:pPr>
              <w:pStyle w:val="40"/>
              <w:tabs>
                <w:tab w:val="left" w:pos="4025"/>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缺陷</w:t>
            </w:r>
            <w:r>
              <w:rPr>
                <w:rFonts w:hint="eastAsia" w:ascii="宋体" w:hAnsi="宋体" w:eastAsia="宋体" w:cs="宋体"/>
                <w:color w:val="auto"/>
                <w:spacing w:val="-3"/>
                <w:sz w:val="21"/>
                <w:highlight w:val="none"/>
                <w:lang w:eastAsia="zh-CN"/>
              </w:rPr>
              <w:t>责</w:t>
            </w:r>
            <w:r>
              <w:rPr>
                <w:rFonts w:hint="eastAsia" w:ascii="宋体" w:hAnsi="宋体" w:eastAsia="宋体" w:cs="宋体"/>
                <w:color w:val="auto"/>
                <w:sz w:val="21"/>
                <w:highlight w:val="none"/>
                <w:lang w:eastAsia="zh-CN"/>
              </w:rPr>
              <w:t>任</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自</w:t>
            </w:r>
            <w:r>
              <w:rPr>
                <w:rFonts w:hint="eastAsia" w:ascii="宋体" w:hAnsi="宋体" w:eastAsia="宋体" w:cs="宋体"/>
                <w:color w:val="auto"/>
                <w:sz w:val="21"/>
                <w:highlight w:val="none"/>
                <w:lang w:eastAsia="zh-CN"/>
              </w:rPr>
              <w:t>实</w:t>
            </w:r>
            <w:r>
              <w:rPr>
                <w:rFonts w:hint="eastAsia" w:ascii="宋体" w:hAnsi="宋体" w:eastAsia="宋体" w:cs="宋体"/>
                <w:color w:val="auto"/>
                <w:spacing w:val="-3"/>
                <w:sz w:val="21"/>
                <w:highlight w:val="none"/>
                <w:lang w:eastAsia="zh-CN"/>
              </w:rPr>
              <w:t>际</w:t>
            </w:r>
            <w:r>
              <w:rPr>
                <w:rFonts w:hint="eastAsia" w:ascii="宋体" w:hAnsi="宋体" w:eastAsia="宋体" w:cs="宋体"/>
                <w:color w:val="auto"/>
                <w:sz w:val="21"/>
                <w:highlight w:val="none"/>
                <w:lang w:eastAsia="zh-CN"/>
              </w:rPr>
              <w:t>交</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日期</w:t>
            </w:r>
            <w:r>
              <w:rPr>
                <w:rFonts w:hint="eastAsia" w:ascii="宋体" w:hAnsi="宋体" w:eastAsia="宋体" w:cs="宋体"/>
                <w:color w:val="auto"/>
                <w:spacing w:val="-3"/>
                <w:sz w:val="21"/>
                <w:highlight w:val="none"/>
                <w:lang w:eastAsia="zh-CN"/>
              </w:rPr>
              <w:t>起</w:t>
            </w:r>
            <w:r>
              <w:rPr>
                <w:rFonts w:hint="eastAsia" w:ascii="宋体" w:hAnsi="宋体" w:eastAsia="宋体" w:cs="宋体"/>
                <w:color w:val="auto"/>
                <w:sz w:val="21"/>
                <w:highlight w:val="none"/>
                <w:lang w:eastAsia="zh-CN"/>
              </w:rPr>
              <w:t>计</w:t>
            </w:r>
            <w:r>
              <w:rPr>
                <w:rFonts w:hint="eastAsia" w:ascii="宋体" w:hAnsi="宋体" w:eastAsia="宋体" w:cs="宋体"/>
                <w:color w:val="auto"/>
                <w:spacing w:val="-3"/>
                <w:sz w:val="21"/>
                <w:highlight w:val="none"/>
                <w:lang w:eastAsia="zh-CN"/>
              </w:rPr>
              <w:t>算</w:t>
            </w:r>
            <w:r>
              <w:rPr>
                <w:rFonts w:hint="eastAsia" w:ascii="宋体" w:hAnsi="宋体" w:eastAsia="宋体" w:cs="宋体"/>
                <w:color w:val="auto"/>
                <w:spacing w:val="-3"/>
                <w:sz w:val="21"/>
                <w:highlight w:val="none"/>
                <w:u w:val="single"/>
                <w:lang w:eastAsia="zh-CN"/>
              </w:rPr>
              <w:t>1</w:t>
            </w:r>
            <w:r>
              <w:rPr>
                <w:rFonts w:hint="eastAsia" w:ascii="宋体" w:hAnsi="宋体" w:eastAsia="宋体" w:cs="宋体"/>
                <w:color w:val="auto"/>
                <w:spacing w:val="-3"/>
                <w:sz w:val="21"/>
                <w:highlight w:val="none"/>
                <w:lang w:eastAsia="zh-CN"/>
              </w:rPr>
              <w:t>年</w:t>
            </w:r>
          </w:p>
        </w:tc>
      </w:tr>
      <w:tr w14:paraId="545D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3BD223BB">
            <w:pPr>
              <w:pStyle w:val="40"/>
              <w:spacing w:before="11"/>
              <w:rPr>
                <w:rFonts w:hint="eastAsia" w:ascii="宋体" w:hAnsi="宋体" w:eastAsia="宋体" w:cs="宋体"/>
                <w:color w:val="auto"/>
                <w:highlight w:val="none"/>
                <w:lang w:eastAsia="zh-CN"/>
              </w:rPr>
            </w:pPr>
          </w:p>
          <w:p w14:paraId="659FDFC1">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p>
        </w:tc>
        <w:tc>
          <w:tcPr>
            <w:tcW w:w="1111" w:type="dxa"/>
            <w:noWrap w:val="0"/>
            <w:vAlign w:val="center"/>
          </w:tcPr>
          <w:p w14:paraId="6106DA8A">
            <w:pPr>
              <w:pStyle w:val="40"/>
              <w:spacing w:before="11"/>
              <w:rPr>
                <w:rFonts w:hint="eastAsia" w:ascii="宋体" w:hAnsi="宋体" w:eastAsia="宋体" w:cs="宋体"/>
                <w:color w:val="auto"/>
                <w:highlight w:val="none"/>
              </w:rPr>
            </w:pPr>
          </w:p>
          <w:p w14:paraId="28F3F658">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1.6.3</w:t>
            </w:r>
          </w:p>
        </w:tc>
        <w:tc>
          <w:tcPr>
            <w:tcW w:w="7305" w:type="dxa"/>
            <w:noWrap w:val="0"/>
            <w:vAlign w:val="center"/>
          </w:tcPr>
          <w:p w14:paraId="0DC9243B">
            <w:pPr>
              <w:pStyle w:val="40"/>
              <w:tabs>
                <w:tab w:val="left" w:pos="1893"/>
              </w:tabs>
              <w:spacing w:before="12" w:line="360" w:lineRule="exact"/>
              <w:ind w:left="107" w:right="91" w:firstLine="24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图纸</w:t>
            </w:r>
            <w:r>
              <w:rPr>
                <w:rFonts w:hint="eastAsia" w:ascii="宋体" w:hAnsi="宋体" w:eastAsia="宋体" w:cs="宋体"/>
                <w:color w:val="auto"/>
                <w:spacing w:val="-3"/>
                <w:sz w:val="21"/>
                <w:highlight w:val="none"/>
                <w:lang w:eastAsia="zh-CN"/>
              </w:rPr>
              <w:t>需</w:t>
            </w:r>
            <w:r>
              <w:rPr>
                <w:rFonts w:hint="eastAsia" w:ascii="宋体" w:hAnsi="宋体" w:eastAsia="宋体" w:cs="宋体"/>
                <w:color w:val="auto"/>
                <w:sz w:val="21"/>
                <w:highlight w:val="none"/>
                <w:lang w:eastAsia="zh-CN"/>
              </w:rPr>
              <w:t>要</w:t>
            </w:r>
            <w:r>
              <w:rPr>
                <w:rFonts w:hint="eastAsia" w:ascii="宋体" w:hAnsi="宋体" w:eastAsia="宋体" w:cs="宋体"/>
                <w:color w:val="auto"/>
                <w:spacing w:val="-3"/>
                <w:sz w:val="21"/>
                <w:highlight w:val="none"/>
                <w:lang w:eastAsia="zh-CN"/>
              </w:rPr>
              <w:t>修</w:t>
            </w:r>
            <w:r>
              <w:rPr>
                <w:rFonts w:hint="eastAsia" w:ascii="宋体" w:hAnsi="宋体" w:eastAsia="宋体" w:cs="宋体"/>
                <w:color w:val="auto"/>
                <w:sz w:val="21"/>
                <w:highlight w:val="none"/>
                <w:lang w:eastAsia="zh-CN"/>
              </w:rPr>
              <w:t>改</w:t>
            </w:r>
            <w:r>
              <w:rPr>
                <w:rFonts w:hint="eastAsia" w:ascii="宋体" w:hAnsi="宋体" w:eastAsia="宋体" w:cs="宋体"/>
                <w:color w:val="auto"/>
                <w:spacing w:val="-3"/>
                <w:sz w:val="21"/>
                <w:highlight w:val="none"/>
                <w:lang w:eastAsia="zh-CN"/>
              </w:rPr>
              <w:t>和</w:t>
            </w:r>
            <w:r>
              <w:rPr>
                <w:rFonts w:hint="eastAsia" w:ascii="宋体" w:hAnsi="宋体" w:eastAsia="宋体" w:cs="宋体"/>
                <w:color w:val="auto"/>
                <w:sz w:val="21"/>
                <w:highlight w:val="none"/>
                <w:lang w:eastAsia="zh-CN"/>
              </w:rPr>
              <w:t>补</w:t>
            </w:r>
            <w:r>
              <w:rPr>
                <w:rFonts w:hint="eastAsia" w:ascii="宋体" w:hAnsi="宋体" w:eastAsia="宋体" w:cs="宋体"/>
                <w:color w:val="auto"/>
                <w:spacing w:val="-3"/>
                <w:sz w:val="21"/>
                <w:highlight w:val="none"/>
                <w:lang w:eastAsia="zh-CN"/>
              </w:rPr>
              <w:t>充</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应由</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取</w:t>
            </w:r>
            <w:r>
              <w:rPr>
                <w:rFonts w:hint="eastAsia" w:ascii="宋体" w:hAnsi="宋体" w:eastAsia="宋体" w:cs="宋体"/>
                <w:color w:val="auto"/>
                <w:spacing w:val="-3"/>
                <w:sz w:val="21"/>
                <w:highlight w:val="none"/>
                <w:lang w:eastAsia="zh-CN"/>
              </w:rPr>
              <w:t>得</w:t>
            </w:r>
            <w:r>
              <w:rPr>
                <w:rFonts w:hint="eastAsia" w:ascii="宋体" w:hAnsi="宋体" w:eastAsia="宋体" w:cs="宋体"/>
                <w:color w:val="auto"/>
                <w:sz w:val="21"/>
                <w:highlight w:val="none"/>
                <w:lang w:eastAsia="zh-CN"/>
              </w:rPr>
              <w:t>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同</w:t>
            </w:r>
            <w:r>
              <w:rPr>
                <w:rFonts w:hint="eastAsia" w:ascii="宋体" w:hAnsi="宋体" w:eastAsia="宋体" w:cs="宋体"/>
                <w:color w:val="auto"/>
                <w:sz w:val="21"/>
                <w:highlight w:val="none"/>
                <w:lang w:eastAsia="zh-CN"/>
              </w:rPr>
              <w:t>意后</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在</w:t>
            </w:r>
            <w:r>
              <w:rPr>
                <w:rFonts w:hint="eastAsia" w:ascii="宋体" w:hAnsi="宋体" w:eastAsia="宋体" w:cs="宋体"/>
                <w:color w:val="auto"/>
                <w:spacing w:val="-3"/>
                <w:sz w:val="21"/>
                <w:highlight w:val="none"/>
                <w:lang w:eastAsia="zh-CN"/>
              </w:rPr>
              <w:t>该</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程</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工程</w:t>
            </w:r>
            <w:r>
              <w:rPr>
                <w:rFonts w:hint="eastAsia" w:ascii="宋体" w:hAnsi="宋体" w:eastAsia="宋体" w:cs="宋体"/>
                <w:color w:val="auto"/>
                <w:sz w:val="21"/>
                <w:highlight w:val="none"/>
                <w:lang w:eastAsia="zh-CN"/>
              </w:rPr>
              <w:t>相应部</w:t>
            </w:r>
            <w:r>
              <w:rPr>
                <w:rFonts w:hint="eastAsia" w:ascii="宋体" w:hAnsi="宋体" w:eastAsia="宋体" w:cs="宋体"/>
                <w:color w:val="auto"/>
                <w:spacing w:val="-3"/>
                <w:sz w:val="21"/>
                <w:highlight w:val="none"/>
                <w:lang w:eastAsia="zh-CN"/>
              </w:rPr>
              <w:t>位</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前</w:t>
            </w:r>
            <w:r>
              <w:rPr>
                <w:rFonts w:hint="eastAsia" w:ascii="宋体" w:hAnsi="宋体" w:eastAsia="宋体" w:cs="宋体"/>
                <w:color w:val="auto"/>
                <w:sz w:val="21"/>
                <w:highlight w:val="none"/>
                <w:u w:val="single"/>
                <w:lang w:val="en-US" w:eastAsia="zh-CN"/>
              </w:rPr>
              <w:t xml:space="preserve">  14  </w:t>
            </w:r>
            <w:r>
              <w:rPr>
                <w:rFonts w:hint="eastAsia" w:ascii="宋体" w:hAnsi="宋体" w:eastAsia="宋体" w:cs="宋体"/>
                <w:color w:val="auto"/>
                <w:sz w:val="21"/>
                <w:highlight w:val="none"/>
                <w:lang w:eastAsia="zh-CN"/>
              </w:rPr>
              <w:t>天</w:t>
            </w:r>
            <w:r>
              <w:rPr>
                <w:rFonts w:hint="eastAsia" w:ascii="宋体" w:hAnsi="宋体" w:eastAsia="宋体" w:cs="宋体"/>
                <w:color w:val="auto"/>
                <w:spacing w:val="-3"/>
                <w:sz w:val="21"/>
                <w:highlight w:val="none"/>
                <w:lang w:eastAsia="zh-CN"/>
              </w:rPr>
              <w:t>签发</w:t>
            </w:r>
            <w:r>
              <w:rPr>
                <w:rFonts w:hint="eastAsia" w:ascii="宋体" w:hAnsi="宋体" w:eastAsia="宋体" w:cs="宋体"/>
                <w:color w:val="auto"/>
                <w:sz w:val="21"/>
                <w:highlight w:val="none"/>
                <w:lang w:eastAsia="zh-CN"/>
              </w:rPr>
              <w:t>图纸修改图给承包人</w:t>
            </w:r>
          </w:p>
        </w:tc>
      </w:tr>
      <w:tr w14:paraId="6EF7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noWrap w:val="0"/>
            <w:vAlign w:val="center"/>
          </w:tcPr>
          <w:p w14:paraId="150A93F5">
            <w:pPr>
              <w:pStyle w:val="40"/>
              <w:rPr>
                <w:rFonts w:hint="eastAsia" w:ascii="宋体" w:hAnsi="宋体" w:eastAsia="宋体" w:cs="宋体"/>
                <w:color w:val="auto"/>
                <w:highlight w:val="none"/>
                <w:lang w:eastAsia="zh-CN"/>
              </w:rPr>
            </w:pPr>
          </w:p>
          <w:p w14:paraId="3476170C">
            <w:pPr>
              <w:pStyle w:val="40"/>
              <w:spacing w:before="17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p>
        </w:tc>
        <w:tc>
          <w:tcPr>
            <w:tcW w:w="1111" w:type="dxa"/>
            <w:noWrap w:val="0"/>
            <w:vAlign w:val="center"/>
          </w:tcPr>
          <w:p w14:paraId="11D68D07">
            <w:pPr>
              <w:pStyle w:val="40"/>
              <w:rPr>
                <w:rFonts w:hint="eastAsia" w:ascii="宋体" w:hAnsi="宋体" w:eastAsia="宋体" w:cs="宋体"/>
                <w:color w:val="auto"/>
                <w:highlight w:val="none"/>
              </w:rPr>
            </w:pPr>
          </w:p>
          <w:p w14:paraId="3D1D027B">
            <w:pPr>
              <w:pStyle w:val="40"/>
              <w:spacing w:before="17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p>
        </w:tc>
        <w:tc>
          <w:tcPr>
            <w:tcW w:w="7305" w:type="dxa"/>
            <w:noWrap w:val="0"/>
            <w:vAlign w:val="center"/>
          </w:tcPr>
          <w:p w14:paraId="725900F4">
            <w:pPr>
              <w:spacing w:line="3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　　　</w:t>
            </w:r>
          </w:p>
          <w:p w14:paraId="291BFEE1">
            <w:pPr>
              <w:pStyle w:val="40"/>
              <w:spacing w:before="1" w:line="360" w:lineRule="atLeast"/>
              <w:ind w:left="107" w:right="83" w:firstLine="225"/>
              <w:rPr>
                <w:rFonts w:hint="eastAsia" w:ascii="宋体" w:hAnsi="宋体" w:eastAsia="宋体" w:cs="宋体"/>
                <w:color w:val="auto"/>
                <w:sz w:val="21"/>
                <w:highlight w:val="none"/>
                <w:lang w:eastAsia="zh-CN"/>
              </w:rPr>
            </w:pPr>
            <w:r>
              <w:rPr>
                <w:rFonts w:hint="eastAsia" w:ascii="宋体" w:hAnsi="宋体" w:cs="宋体"/>
                <w:color w:val="auto"/>
                <w:sz w:val="21"/>
                <w:szCs w:val="21"/>
                <w:highlight w:val="none"/>
              </w:rPr>
              <w:t>（6）根据第 15.3 款发出的变更指示，无论其单项工程变更涉及的金额或累计涉及的金额为多少。</w:t>
            </w:r>
          </w:p>
        </w:tc>
      </w:tr>
      <w:tr w14:paraId="1BAE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6BF6ADA9">
            <w:pPr>
              <w:pStyle w:val="40"/>
              <w:spacing w:before="11"/>
              <w:rPr>
                <w:rFonts w:hint="eastAsia" w:ascii="宋体" w:hAnsi="宋体" w:eastAsia="宋体" w:cs="宋体"/>
                <w:color w:val="auto"/>
                <w:highlight w:val="none"/>
                <w:lang w:eastAsia="zh-CN"/>
              </w:rPr>
            </w:pPr>
          </w:p>
          <w:p w14:paraId="554A42DB">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p>
        </w:tc>
        <w:tc>
          <w:tcPr>
            <w:tcW w:w="1111" w:type="dxa"/>
            <w:noWrap w:val="0"/>
            <w:vAlign w:val="center"/>
          </w:tcPr>
          <w:p w14:paraId="1E709B74">
            <w:pPr>
              <w:pStyle w:val="40"/>
              <w:spacing w:before="11"/>
              <w:rPr>
                <w:rFonts w:hint="eastAsia" w:ascii="宋体" w:hAnsi="宋体" w:eastAsia="宋体" w:cs="宋体"/>
                <w:color w:val="auto"/>
                <w:highlight w:val="none"/>
              </w:rPr>
            </w:pPr>
          </w:p>
          <w:p w14:paraId="004260E1">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5.2.1</w:t>
            </w:r>
          </w:p>
        </w:tc>
        <w:tc>
          <w:tcPr>
            <w:tcW w:w="7305" w:type="dxa"/>
            <w:noWrap w:val="0"/>
            <w:vAlign w:val="center"/>
          </w:tcPr>
          <w:p w14:paraId="2D5326EC">
            <w:pPr>
              <w:pStyle w:val="40"/>
              <w:tabs>
                <w:tab w:val="left" w:pos="444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材</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u w:val="non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3E7B7CF1">
            <w:pPr>
              <w:pStyle w:val="40"/>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材</w:t>
            </w:r>
            <w:r>
              <w:rPr>
                <w:rFonts w:hint="eastAsia" w:ascii="宋体" w:hAnsi="宋体" w:eastAsia="宋体" w:cs="宋体"/>
                <w:color w:val="auto"/>
                <w:sz w:val="21"/>
                <w:highlight w:val="none"/>
                <w:lang w:eastAsia="zh-CN"/>
              </w:rPr>
              <w:t>料或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备</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w:t>
            </w:r>
            <w:r>
              <w:rPr>
                <w:rFonts w:hint="eastAsia" w:ascii="宋体" w:hAnsi="宋体" w:eastAsia="宋体" w:cs="宋体"/>
                <w:color w:val="auto"/>
                <w:spacing w:val="-3"/>
                <w:sz w:val="21"/>
                <w:highlight w:val="none"/>
                <w:lang w:eastAsia="zh-CN"/>
              </w:rPr>
              <w:t>定</w:t>
            </w:r>
            <w:r>
              <w:rPr>
                <w:rFonts w:hint="eastAsia" w:ascii="宋体" w:hAnsi="宋体" w:eastAsia="宋体" w:cs="宋体"/>
                <w:color w:val="auto"/>
                <w:sz w:val="21"/>
                <w:highlight w:val="none"/>
                <w:lang w:eastAsia="zh-CN"/>
              </w:rPr>
              <w:t>如下：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773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noWrap w:val="0"/>
            <w:vAlign w:val="center"/>
          </w:tcPr>
          <w:p w14:paraId="67969255">
            <w:pPr>
              <w:pStyle w:val="40"/>
              <w:spacing w:before="11"/>
              <w:rPr>
                <w:rFonts w:hint="eastAsia" w:ascii="宋体" w:hAnsi="宋体" w:eastAsia="宋体" w:cs="宋体"/>
                <w:color w:val="auto"/>
                <w:highlight w:val="none"/>
                <w:lang w:eastAsia="zh-CN"/>
              </w:rPr>
            </w:pPr>
          </w:p>
          <w:p w14:paraId="05DCEB03">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p>
        </w:tc>
        <w:tc>
          <w:tcPr>
            <w:tcW w:w="1111" w:type="dxa"/>
            <w:noWrap w:val="0"/>
            <w:vAlign w:val="center"/>
          </w:tcPr>
          <w:p w14:paraId="604C90BC">
            <w:pPr>
              <w:pStyle w:val="40"/>
              <w:spacing w:before="11"/>
              <w:rPr>
                <w:rFonts w:hint="eastAsia" w:ascii="宋体" w:hAnsi="宋体" w:eastAsia="宋体" w:cs="宋体"/>
                <w:color w:val="auto"/>
                <w:highlight w:val="none"/>
              </w:rPr>
            </w:pPr>
          </w:p>
          <w:p w14:paraId="465602C8">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6.2</w:t>
            </w:r>
          </w:p>
        </w:tc>
        <w:tc>
          <w:tcPr>
            <w:tcW w:w="7305" w:type="dxa"/>
            <w:noWrap w:val="0"/>
            <w:vAlign w:val="center"/>
          </w:tcPr>
          <w:p w14:paraId="7D86D7AC">
            <w:pPr>
              <w:pStyle w:val="40"/>
              <w:tabs>
                <w:tab w:val="left" w:pos="486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和临</w:t>
            </w:r>
            <w:r>
              <w:rPr>
                <w:rFonts w:hint="eastAsia" w:ascii="宋体" w:hAnsi="宋体" w:eastAsia="宋体" w:cs="宋体"/>
                <w:color w:val="auto"/>
                <w:spacing w:val="-3"/>
                <w:sz w:val="21"/>
                <w:highlight w:val="none"/>
                <w:lang w:eastAsia="zh-CN"/>
              </w:rPr>
              <w:t>时</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05383D9D">
            <w:pPr>
              <w:pStyle w:val="40"/>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临</w:t>
            </w:r>
            <w:r>
              <w:rPr>
                <w:rFonts w:hint="eastAsia" w:ascii="宋体" w:hAnsi="宋体" w:eastAsia="宋体" w:cs="宋体"/>
                <w:color w:val="auto"/>
                <w:sz w:val="21"/>
                <w:highlight w:val="none"/>
                <w:lang w:eastAsia="zh-CN"/>
              </w:rPr>
              <w:t>时</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规定</w:t>
            </w:r>
            <w:r>
              <w:rPr>
                <w:rFonts w:hint="eastAsia" w:ascii="宋体" w:hAnsi="宋体" w:eastAsia="宋体" w:cs="宋体"/>
                <w:color w:val="auto"/>
                <w:spacing w:val="-3"/>
                <w:sz w:val="21"/>
                <w:highlight w:val="none"/>
                <w:lang w:eastAsia="zh-CN"/>
              </w:rPr>
              <w:t>如</w:t>
            </w:r>
            <w:r>
              <w:rPr>
                <w:rFonts w:hint="eastAsia" w:ascii="宋体" w:hAnsi="宋体" w:eastAsia="宋体" w:cs="宋体"/>
                <w:color w:val="auto"/>
                <w:sz w:val="21"/>
                <w:highlight w:val="none"/>
                <w:lang w:eastAsia="zh-CN"/>
              </w:rPr>
              <w:t>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5AC2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noWrap w:val="0"/>
            <w:vAlign w:val="center"/>
          </w:tcPr>
          <w:p w14:paraId="6FF064D0">
            <w:pPr>
              <w:pStyle w:val="40"/>
              <w:spacing w:before="1"/>
              <w:rPr>
                <w:rFonts w:hint="eastAsia" w:ascii="宋体" w:hAnsi="宋体" w:eastAsia="宋体" w:cs="宋体"/>
                <w:color w:val="auto"/>
                <w:sz w:val="23"/>
                <w:highlight w:val="none"/>
                <w:lang w:eastAsia="zh-CN"/>
              </w:rPr>
            </w:pPr>
          </w:p>
          <w:p w14:paraId="75696628">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w:t>
            </w:r>
          </w:p>
        </w:tc>
        <w:tc>
          <w:tcPr>
            <w:tcW w:w="1111" w:type="dxa"/>
            <w:noWrap w:val="0"/>
            <w:vAlign w:val="center"/>
          </w:tcPr>
          <w:p w14:paraId="7F623433">
            <w:pPr>
              <w:pStyle w:val="40"/>
              <w:spacing w:before="1"/>
              <w:rPr>
                <w:rFonts w:hint="eastAsia" w:ascii="宋体" w:hAnsi="宋体" w:eastAsia="宋体" w:cs="宋体"/>
                <w:color w:val="auto"/>
                <w:sz w:val="23"/>
                <w:highlight w:val="none"/>
              </w:rPr>
            </w:pPr>
          </w:p>
          <w:p w14:paraId="3241AC70">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8.1.1</w:t>
            </w:r>
          </w:p>
        </w:tc>
        <w:tc>
          <w:tcPr>
            <w:tcW w:w="7305" w:type="dxa"/>
            <w:noWrap w:val="0"/>
            <w:vAlign w:val="center"/>
          </w:tcPr>
          <w:p w14:paraId="60FCA7F7">
            <w:pPr>
              <w:pStyle w:val="40"/>
              <w:tabs>
                <w:tab w:val="left" w:pos="6908"/>
                <w:tab w:val="left" w:pos="7244"/>
              </w:tabs>
              <w:spacing w:before="1" w:line="360" w:lineRule="atLeast"/>
              <w:ind w:left="347" w:right="48"/>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测</w:t>
            </w:r>
            <w:r>
              <w:rPr>
                <w:rFonts w:hint="eastAsia" w:ascii="宋体" w:hAnsi="宋体" w:eastAsia="宋体" w:cs="宋体"/>
                <w:color w:val="auto"/>
                <w:spacing w:val="-3"/>
                <w:sz w:val="21"/>
                <w:highlight w:val="none"/>
                <w:lang w:eastAsia="zh-CN"/>
              </w:rPr>
              <w:t>量</w:t>
            </w:r>
            <w:r>
              <w:rPr>
                <w:rFonts w:hint="eastAsia" w:ascii="宋体" w:hAnsi="宋体" w:eastAsia="宋体" w:cs="宋体"/>
                <w:color w:val="auto"/>
                <w:sz w:val="21"/>
                <w:highlight w:val="none"/>
                <w:lang w:eastAsia="zh-CN"/>
              </w:rPr>
              <w:t>基</w:t>
            </w:r>
            <w:r>
              <w:rPr>
                <w:rFonts w:hint="eastAsia" w:ascii="宋体" w:hAnsi="宋体" w:eastAsia="宋体" w:cs="宋体"/>
                <w:color w:val="auto"/>
                <w:spacing w:val="-3"/>
                <w:sz w:val="21"/>
                <w:highlight w:val="none"/>
                <w:lang w:eastAsia="zh-CN"/>
              </w:rPr>
              <w:t>准</w:t>
            </w:r>
            <w:r>
              <w:rPr>
                <w:rFonts w:hint="eastAsia" w:ascii="宋体" w:hAnsi="宋体" w:eastAsia="宋体" w:cs="宋体"/>
                <w:color w:val="auto"/>
                <w:sz w:val="21"/>
                <w:highlight w:val="none"/>
                <w:lang w:eastAsia="zh-CN"/>
              </w:rPr>
              <w:t>点</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基准</w:t>
            </w:r>
            <w:r>
              <w:rPr>
                <w:rFonts w:hint="eastAsia" w:ascii="宋体" w:hAnsi="宋体" w:eastAsia="宋体" w:cs="宋体"/>
                <w:color w:val="auto"/>
                <w:spacing w:val="-3"/>
                <w:sz w:val="21"/>
                <w:highlight w:val="none"/>
                <w:lang w:eastAsia="zh-CN"/>
              </w:rPr>
              <w:t>线</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水</w:t>
            </w:r>
            <w:r>
              <w:rPr>
                <w:rFonts w:hint="eastAsia" w:ascii="宋体" w:hAnsi="宋体" w:eastAsia="宋体" w:cs="宋体"/>
                <w:color w:val="auto"/>
                <w:sz w:val="21"/>
                <w:highlight w:val="none"/>
                <w:lang w:eastAsia="zh-CN"/>
              </w:rPr>
              <w:t>准</w:t>
            </w:r>
            <w:r>
              <w:rPr>
                <w:rFonts w:hint="eastAsia" w:ascii="宋体" w:hAnsi="宋体" w:eastAsia="宋体" w:cs="宋体"/>
                <w:color w:val="auto"/>
                <w:spacing w:val="-3"/>
                <w:sz w:val="21"/>
                <w:highlight w:val="none"/>
                <w:lang w:eastAsia="zh-CN"/>
              </w:rPr>
              <w:t>点</w:t>
            </w:r>
            <w:r>
              <w:rPr>
                <w:rFonts w:hint="eastAsia" w:ascii="宋体" w:hAnsi="宋体" w:eastAsia="宋体" w:cs="宋体"/>
                <w:color w:val="auto"/>
                <w:sz w:val="21"/>
                <w:highlight w:val="none"/>
                <w:lang w:eastAsia="zh-CN"/>
              </w:rPr>
              <w:t>及</w:t>
            </w:r>
            <w:r>
              <w:rPr>
                <w:rFonts w:hint="eastAsia" w:ascii="宋体" w:hAnsi="宋体" w:eastAsia="宋体" w:cs="宋体"/>
                <w:color w:val="auto"/>
                <w:spacing w:val="-3"/>
                <w:sz w:val="21"/>
                <w:highlight w:val="none"/>
                <w:lang w:eastAsia="zh-CN"/>
              </w:rPr>
              <w:t>其</w:t>
            </w:r>
            <w:r>
              <w:rPr>
                <w:rFonts w:hint="eastAsia" w:ascii="宋体" w:hAnsi="宋体" w:eastAsia="宋体" w:cs="宋体"/>
                <w:color w:val="auto"/>
                <w:sz w:val="21"/>
                <w:highlight w:val="none"/>
                <w:lang w:eastAsia="zh-CN"/>
              </w:rPr>
              <w:t>书</w:t>
            </w:r>
            <w:r>
              <w:rPr>
                <w:rFonts w:hint="eastAsia" w:ascii="宋体" w:hAnsi="宋体" w:eastAsia="宋体" w:cs="宋体"/>
                <w:color w:val="auto"/>
                <w:spacing w:val="-3"/>
                <w:sz w:val="21"/>
                <w:highlight w:val="none"/>
                <w:lang w:eastAsia="zh-CN"/>
              </w:rPr>
              <w:t>面</w:t>
            </w:r>
            <w:r>
              <w:rPr>
                <w:rFonts w:hint="eastAsia" w:ascii="宋体" w:hAnsi="宋体" w:eastAsia="宋体" w:cs="宋体"/>
                <w:color w:val="auto"/>
                <w:sz w:val="21"/>
                <w:highlight w:val="none"/>
                <w:lang w:eastAsia="zh-CN"/>
              </w:rPr>
              <w:t>资料</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期</w:t>
            </w:r>
            <w:r>
              <w:rPr>
                <w:rFonts w:hint="eastAsia" w:ascii="宋体" w:hAnsi="宋体" w:eastAsia="宋体" w:cs="宋体"/>
                <w:color w:val="auto"/>
                <w:spacing w:val="-3"/>
                <w:sz w:val="21"/>
                <w:highlight w:val="none"/>
                <w:lang w:eastAsia="zh-CN"/>
              </w:rPr>
              <w:t>限</w:t>
            </w:r>
            <w:r>
              <w:rPr>
                <w:rFonts w:hint="eastAsia" w:ascii="宋体" w:hAnsi="宋体" w:eastAsia="宋体" w:cs="宋体"/>
                <w:color w:val="auto"/>
                <w:sz w:val="21"/>
                <w:highlight w:val="none"/>
                <w:lang w:eastAsia="zh-CN"/>
              </w:rPr>
              <w:t>：</w:t>
            </w:r>
            <w:r>
              <w:rPr>
                <w:rFonts w:hint="eastAsia" w:ascii="宋体" w:hAnsi="宋体" w:eastAsia="宋体" w:cs="宋体"/>
                <w:snapToGrid w:val="0"/>
                <w:color w:val="auto"/>
                <w:spacing w:val="-1"/>
                <w:sz w:val="21"/>
                <w:szCs w:val="21"/>
                <w:highlight w:val="none"/>
                <w:u w:val="single"/>
                <w:lang w:eastAsia="zh-CN"/>
              </w:rPr>
              <w:t>进场7天</w:t>
            </w:r>
            <w:r>
              <w:rPr>
                <w:rFonts w:hint="eastAsia" w:ascii="宋体" w:hAnsi="宋体" w:eastAsia="宋体" w:cs="宋体"/>
                <w:snapToGrid w:val="0"/>
                <w:color w:val="auto"/>
                <w:sz w:val="21"/>
                <w:szCs w:val="21"/>
                <w:highlight w:val="none"/>
                <w:u w:val="single"/>
                <w:lang w:eastAsia="zh-CN"/>
              </w:rPr>
              <w:t>内</w:t>
            </w:r>
            <w:r>
              <w:rPr>
                <w:rFonts w:hint="eastAsia" w:ascii="宋体" w:hAnsi="宋体" w:eastAsia="宋体" w:cs="宋体"/>
                <w:color w:val="auto"/>
                <w:sz w:val="21"/>
                <w:highlight w:val="none"/>
                <w:u w:val="single"/>
                <w:lang w:eastAsia="zh-CN"/>
              </w:rPr>
              <w:tab/>
            </w:r>
          </w:p>
          <w:p w14:paraId="4E2F6DF6">
            <w:pPr>
              <w:pStyle w:val="40"/>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控</w:t>
            </w:r>
            <w:r>
              <w:rPr>
                <w:rFonts w:hint="eastAsia" w:ascii="宋体" w:hAnsi="宋体" w:eastAsia="宋体" w:cs="宋体"/>
                <w:color w:val="auto"/>
                <w:sz w:val="21"/>
                <w:highlight w:val="none"/>
                <w:lang w:eastAsia="zh-CN"/>
              </w:rPr>
              <w:t>制</w:t>
            </w:r>
            <w:r>
              <w:rPr>
                <w:rFonts w:hint="eastAsia" w:ascii="宋体" w:hAnsi="宋体" w:eastAsia="宋体" w:cs="宋体"/>
                <w:color w:val="auto"/>
                <w:spacing w:val="-3"/>
                <w:sz w:val="21"/>
                <w:highlight w:val="none"/>
                <w:lang w:eastAsia="zh-CN"/>
              </w:rPr>
              <w:t>网</w:t>
            </w:r>
            <w:r>
              <w:rPr>
                <w:rFonts w:hint="eastAsia" w:ascii="宋体" w:hAnsi="宋体" w:eastAsia="宋体" w:cs="宋体"/>
                <w:color w:val="auto"/>
                <w:sz w:val="21"/>
                <w:highlight w:val="none"/>
                <w:lang w:eastAsia="zh-CN"/>
              </w:rPr>
              <w:t>资</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报送</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审</w:t>
            </w:r>
            <w:r>
              <w:rPr>
                <w:rFonts w:hint="eastAsia" w:ascii="宋体" w:hAnsi="宋体" w:eastAsia="宋体" w:cs="宋体"/>
                <w:color w:val="auto"/>
                <w:spacing w:val="-3"/>
                <w:sz w:val="21"/>
                <w:highlight w:val="none"/>
                <w:lang w:eastAsia="zh-CN"/>
              </w:rPr>
              <w:t>批</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kern w:val="2"/>
                <w:sz w:val="21"/>
                <w:szCs w:val="21"/>
                <w:highlight w:val="none"/>
                <w:u w:val="single"/>
                <w:lang w:eastAsia="zh-CN"/>
              </w:rPr>
              <w:t>发出开工通知后7天</w:t>
            </w:r>
            <w:r>
              <w:rPr>
                <w:rFonts w:hint="eastAsia" w:ascii="宋体" w:hAnsi="宋体" w:eastAsia="宋体" w:cs="宋体"/>
                <w:color w:val="auto"/>
                <w:sz w:val="21"/>
                <w:highlight w:val="none"/>
                <w:u w:val="single"/>
                <w:lang w:eastAsia="zh-CN"/>
              </w:rPr>
              <w:tab/>
            </w:r>
          </w:p>
        </w:tc>
      </w:tr>
      <w:tr w14:paraId="0611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noWrap w:val="0"/>
            <w:vAlign w:val="center"/>
          </w:tcPr>
          <w:p w14:paraId="76B810A9">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9</w:t>
            </w:r>
          </w:p>
        </w:tc>
        <w:tc>
          <w:tcPr>
            <w:tcW w:w="1111" w:type="dxa"/>
            <w:noWrap w:val="0"/>
            <w:vAlign w:val="center"/>
          </w:tcPr>
          <w:p w14:paraId="66A99DE4">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11.1</w:t>
            </w:r>
          </w:p>
        </w:tc>
        <w:tc>
          <w:tcPr>
            <w:tcW w:w="7305" w:type="dxa"/>
            <w:noWrap w:val="0"/>
            <w:vAlign w:val="center"/>
          </w:tcPr>
          <w:p w14:paraId="409FBE7B">
            <w:pPr>
              <w:pStyle w:val="40"/>
              <w:tabs>
                <w:tab w:val="left" w:pos="0"/>
                <w:tab w:val="left" w:pos="6908"/>
                <w:tab w:val="left" w:pos="7244"/>
              </w:tabs>
              <w:spacing w:before="1" w:line="360" w:lineRule="atLeast"/>
              <w:ind w:left="227" w:right="48" w:firstLine="119" w:firstLineChars="5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应在签订施工承包合同协议书后的5个工作日内完成进场准备，包括主要管理人员、投标文件承诺进场的机械设备、试验检测设备、项目部的办公设备、项目部的选址及上墙图表等，并具备基本的工作条件；承包人完成进场准备后的7天内开展实质性的施工工作。</w:t>
            </w:r>
          </w:p>
          <w:p w14:paraId="7912C813">
            <w:pPr>
              <w:pStyle w:val="40"/>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逾期开工违约金：</w:t>
            </w:r>
            <w:r>
              <w:rPr>
                <w:rFonts w:hint="eastAsia" w:ascii="宋体" w:hAnsi="宋体" w:eastAsia="宋体" w:cs="宋体"/>
                <w:color w:val="auto"/>
                <w:sz w:val="21"/>
                <w:highlight w:val="none"/>
                <w:u w:val="single"/>
                <w:lang w:eastAsia="zh-CN"/>
              </w:rPr>
              <w:t>5000元/天</w:t>
            </w:r>
            <w:r>
              <w:rPr>
                <w:rFonts w:hint="eastAsia" w:ascii="宋体" w:hAnsi="宋体" w:eastAsia="宋体" w:cs="宋体"/>
                <w:color w:val="auto"/>
                <w:sz w:val="21"/>
                <w:highlight w:val="none"/>
                <w:lang w:eastAsia="zh-CN"/>
              </w:rPr>
              <w:t>。</w:t>
            </w:r>
          </w:p>
        </w:tc>
      </w:tr>
      <w:tr w14:paraId="1CBF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noWrap w:val="0"/>
            <w:vAlign w:val="center"/>
          </w:tcPr>
          <w:p w14:paraId="5316BD5B">
            <w:pPr>
              <w:pStyle w:val="40"/>
              <w:spacing w:before="114"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1111" w:type="dxa"/>
            <w:noWrap w:val="0"/>
            <w:vAlign w:val="center"/>
          </w:tcPr>
          <w:p w14:paraId="0D4C8C93">
            <w:pPr>
              <w:pStyle w:val="40"/>
              <w:spacing w:before="90"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2B928B32">
            <w:pPr>
              <w:pStyle w:val="40"/>
              <w:tabs>
                <w:tab w:val="left" w:pos="2450"/>
              </w:tabs>
              <w:spacing w:before="90"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u w:val="single"/>
                <w:lang w:eastAsia="zh-CN"/>
              </w:rPr>
              <w:t>000元/天</w:t>
            </w:r>
          </w:p>
        </w:tc>
      </w:tr>
      <w:tr w14:paraId="44D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29" w:type="dxa"/>
            <w:noWrap w:val="0"/>
            <w:vAlign w:val="center"/>
          </w:tcPr>
          <w:p w14:paraId="7184411F">
            <w:pPr>
              <w:pStyle w:val="40"/>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w:t>
            </w:r>
          </w:p>
        </w:tc>
        <w:tc>
          <w:tcPr>
            <w:tcW w:w="1111" w:type="dxa"/>
            <w:noWrap w:val="0"/>
            <w:vAlign w:val="center"/>
          </w:tcPr>
          <w:p w14:paraId="23EBF534">
            <w:pPr>
              <w:pStyle w:val="40"/>
              <w:spacing w:before="89"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7F291093">
            <w:pPr>
              <w:pStyle w:val="40"/>
              <w:tabs>
                <w:tab w:val="left" w:pos="2868"/>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 xml:space="preserve">10 </w:t>
            </w:r>
            <w:r>
              <w:rPr>
                <w:rFonts w:hint="eastAsia" w:ascii="宋体" w:hAnsi="宋体" w:eastAsia="宋体" w:cs="宋体"/>
                <w:color w:val="auto"/>
                <w:sz w:val="21"/>
                <w:highlight w:val="none"/>
                <w:lang w:eastAsia="zh-CN"/>
              </w:rPr>
              <w:t>%签</w:t>
            </w:r>
            <w:r>
              <w:rPr>
                <w:rFonts w:hint="eastAsia" w:ascii="宋体" w:hAnsi="宋体" w:eastAsia="宋体" w:cs="宋体"/>
                <w:color w:val="auto"/>
                <w:spacing w:val="-3"/>
                <w:sz w:val="21"/>
                <w:highlight w:val="none"/>
                <w:lang w:eastAsia="zh-CN"/>
              </w:rPr>
              <w:t>约</w:t>
            </w:r>
            <w:r>
              <w:rPr>
                <w:rFonts w:hint="eastAsia" w:ascii="宋体" w:hAnsi="宋体" w:eastAsia="宋体" w:cs="宋体"/>
                <w:color w:val="auto"/>
                <w:sz w:val="21"/>
                <w:highlight w:val="none"/>
                <w:lang w:eastAsia="zh-CN"/>
              </w:rPr>
              <w:t>合</w:t>
            </w:r>
            <w:r>
              <w:rPr>
                <w:rFonts w:hint="eastAsia" w:ascii="宋体" w:hAnsi="宋体" w:eastAsia="宋体" w:cs="宋体"/>
                <w:color w:val="auto"/>
                <w:spacing w:val="-3"/>
                <w:sz w:val="21"/>
                <w:highlight w:val="none"/>
                <w:lang w:eastAsia="zh-CN"/>
              </w:rPr>
              <w:t>同价</w:t>
            </w:r>
          </w:p>
        </w:tc>
      </w:tr>
      <w:tr w14:paraId="4C6E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noWrap w:val="0"/>
            <w:vAlign w:val="center"/>
          </w:tcPr>
          <w:p w14:paraId="62EF3F8E">
            <w:pPr>
              <w:pStyle w:val="40"/>
              <w:spacing w:before="113" w:line="226" w:lineRule="exact"/>
              <w:ind w:left="78"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w:t>
            </w:r>
          </w:p>
        </w:tc>
        <w:tc>
          <w:tcPr>
            <w:tcW w:w="1111" w:type="dxa"/>
            <w:noWrap w:val="0"/>
            <w:vAlign w:val="center"/>
          </w:tcPr>
          <w:p w14:paraId="19F1F259">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3D13874E">
            <w:pPr>
              <w:pStyle w:val="40"/>
              <w:tabs>
                <w:tab w:val="left" w:pos="2450"/>
              </w:tabs>
              <w:spacing w:before="90" w:line="250" w:lineRule="exact"/>
              <w:ind w:left="347"/>
              <w:rPr>
                <w:rFonts w:hint="eastAsia" w:ascii="宋体" w:hAnsi="宋体" w:eastAsia="宋体" w:cs="宋体"/>
                <w:color w:val="auto"/>
                <w:sz w:val="21"/>
                <w:highlight w:val="none"/>
              </w:rPr>
            </w:pPr>
            <w:r>
              <w:rPr>
                <w:rFonts w:hint="eastAsia" w:ascii="宋体" w:hAnsi="宋体" w:eastAsia="宋体" w:cs="宋体"/>
                <w:color w:val="auto"/>
                <w:sz w:val="21"/>
                <w:highlight w:val="none"/>
              </w:rPr>
              <w:t>提前</w:t>
            </w:r>
            <w:r>
              <w:rPr>
                <w:rFonts w:hint="eastAsia" w:ascii="宋体" w:hAnsi="宋体" w:eastAsia="宋体" w:cs="宋体"/>
                <w:color w:val="auto"/>
                <w:spacing w:val="-3"/>
                <w:sz w:val="21"/>
                <w:highlight w:val="none"/>
              </w:rPr>
              <w:t>交</w:t>
            </w:r>
            <w:r>
              <w:rPr>
                <w:rFonts w:hint="eastAsia" w:ascii="宋体" w:hAnsi="宋体" w:eastAsia="宋体" w:cs="宋体"/>
                <w:color w:val="auto"/>
                <w:sz w:val="21"/>
                <w:highlight w:val="none"/>
              </w:rPr>
              <w:t>工</w:t>
            </w:r>
            <w:r>
              <w:rPr>
                <w:rFonts w:hint="eastAsia" w:ascii="宋体" w:hAnsi="宋体" w:eastAsia="宋体" w:cs="宋体"/>
                <w:color w:val="auto"/>
                <w:spacing w:val="-3"/>
                <w:sz w:val="21"/>
                <w:highlight w:val="none"/>
              </w:rPr>
              <w:t>的</w:t>
            </w:r>
            <w:r>
              <w:rPr>
                <w:rFonts w:hint="eastAsia" w:ascii="宋体" w:hAnsi="宋体" w:eastAsia="宋体" w:cs="宋体"/>
                <w:color w:val="auto"/>
                <w:sz w:val="21"/>
                <w:highlight w:val="none"/>
              </w:rPr>
              <w:t>奖</w:t>
            </w:r>
            <w:r>
              <w:rPr>
                <w:rFonts w:hint="eastAsia" w:ascii="宋体" w:hAnsi="宋体" w:eastAsia="宋体" w:cs="宋体"/>
                <w:color w:val="auto"/>
                <w:spacing w:val="-3"/>
                <w:sz w:val="21"/>
                <w:highlight w:val="none"/>
              </w:rPr>
              <w:t>金</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无</w:t>
            </w:r>
          </w:p>
        </w:tc>
      </w:tr>
      <w:tr w14:paraId="3114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noWrap w:val="0"/>
            <w:vAlign w:val="center"/>
          </w:tcPr>
          <w:p w14:paraId="33A6AF49">
            <w:pPr>
              <w:pStyle w:val="40"/>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w:t>
            </w:r>
          </w:p>
        </w:tc>
        <w:tc>
          <w:tcPr>
            <w:tcW w:w="1111" w:type="dxa"/>
            <w:noWrap w:val="0"/>
            <w:vAlign w:val="center"/>
          </w:tcPr>
          <w:p w14:paraId="4D8122B2">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755DE7EF">
            <w:pPr>
              <w:pStyle w:val="40"/>
              <w:tabs>
                <w:tab w:val="left" w:pos="2868"/>
              </w:tabs>
              <w:spacing w:before="89"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提前</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奖</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无</w:t>
            </w:r>
          </w:p>
        </w:tc>
      </w:tr>
      <w:tr w14:paraId="113D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6A7550E1">
            <w:pPr>
              <w:pStyle w:val="40"/>
              <w:spacing w:before="113" w:line="226" w:lineRule="exact"/>
              <w:ind w:left="83" w:right="74"/>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14</w:t>
            </w:r>
          </w:p>
        </w:tc>
        <w:tc>
          <w:tcPr>
            <w:tcW w:w="1111" w:type="dxa"/>
            <w:noWrap w:val="0"/>
            <w:vAlign w:val="center"/>
          </w:tcPr>
          <w:p w14:paraId="0E7EC637">
            <w:pPr>
              <w:tabs>
                <w:tab w:val="left" w:pos="1080"/>
              </w:tabs>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15.5.2</w:t>
            </w:r>
          </w:p>
        </w:tc>
        <w:tc>
          <w:tcPr>
            <w:tcW w:w="7305" w:type="dxa"/>
            <w:noWrap w:val="0"/>
            <w:vAlign w:val="center"/>
          </w:tcPr>
          <w:p w14:paraId="7F98BF40">
            <w:pPr>
              <w:tabs>
                <w:tab w:val="left" w:pos="1080"/>
              </w:tabs>
              <w:spacing w:line="300" w:lineRule="exact"/>
              <w:ind w:firstLine="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承包人提出的合理化建议降低了合同价格或者提高了工程经济效益的，发包人按所节约成本的0%给予奖励。</w:t>
            </w:r>
          </w:p>
        </w:tc>
      </w:tr>
      <w:tr w14:paraId="23A0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58ECD833">
            <w:pPr>
              <w:pStyle w:val="40"/>
              <w:spacing w:before="113" w:line="226" w:lineRule="exact"/>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w:t>
            </w:r>
          </w:p>
        </w:tc>
        <w:tc>
          <w:tcPr>
            <w:tcW w:w="1111" w:type="dxa"/>
            <w:noWrap w:val="0"/>
            <w:vAlign w:val="center"/>
          </w:tcPr>
          <w:p w14:paraId="7EFC8763">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5.4</w:t>
            </w:r>
          </w:p>
        </w:tc>
        <w:tc>
          <w:tcPr>
            <w:tcW w:w="7305" w:type="dxa"/>
            <w:noWrap w:val="0"/>
            <w:vAlign w:val="center"/>
          </w:tcPr>
          <w:p w14:paraId="7F8533ED">
            <w:pPr>
              <w:spacing w:before="253" w:line="219" w:lineRule="auto"/>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变更的估价原</w:t>
            </w:r>
            <w:r>
              <w:rPr>
                <w:rFonts w:hint="eastAsia" w:ascii="宋体" w:hAnsi="宋体" w:eastAsia="宋体" w:cs="宋体"/>
                <w:color w:val="auto"/>
                <w:szCs w:val="21"/>
                <w:highlight w:val="none"/>
              </w:rPr>
              <w:t>则：</w:t>
            </w:r>
          </w:p>
          <w:p w14:paraId="059E4CB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15.4.1如果取消某项工作，则该项工作的总额价不予以支付；</w:t>
            </w:r>
          </w:p>
          <w:p w14:paraId="6185BFD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359F6EFF">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3B7BAB2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6A52B4CE">
            <w:pPr>
              <w:wordWrap w:val="0"/>
              <w:topLinePunct/>
              <w:adjustRightInd w:val="0"/>
              <w:spacing w:line="360" w:lineRule="auto"/>
              <w:ind w:firstLine="420"/>
              <w:rPr>
                <w:rFonts w:hint="eastAsia" w:ascii="宋体" w:hAnsi="宋体" w:eastAsia="宋体" w:cs="宋体"/>
                <w:color w:val="auto"/>
                <w:spacing w:val="-2"/>
                <w:sz w:val="21"/>
                <w:szCs w:val="21"/>
                <w:highlight w:val="none"/>
                <w:lang w:eastAsia="zh-CN"/>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tc>
      </w:tr>
      <w:tr w14:paraId="42A7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629" w:type="dxa"/>
            <w:noWrap w:val="0"/>
            <w:vAlign w:val="center"/>
          </w:tcPr>
          <w:p w14:paraId="3BFEDAAF">
            <w:pPr>
              <w:pStyle w:val="40"/>
              <w:jc w:val="center"/>
              <w:rPr>
                <w:rFonts w:hint="eastAsia" w:ascii="宋体" w:hAnsi="宋体" w:eastAsia="宋体" w:cs="宋体"/>
                <w:color w:val="auto"/>
                <w:highlight w:val="none"/>
                <w:lang w:eastAsia="zh-CN"/>
              </w:rPr>
            </w:pPr>
          </w:p>
          <w:p w14:paraId="558F1B4C">
            <w:pPr>
              <w:pStyle w:val="4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1111" w:type="dxa"/>
            <w:noWrap w:val="0"/>
            <w:vAlign w:val="center"/>
          </w:tcPr>
          <w:p w14:paraId="711BF46E">
            <w:pPr>
              <w:pStyle w:val="40"/>
              <w:jc w:val="center"/>
              <w:rPr>
                <w:rFonts w:hint="eastAsia" w:ascii="宋体" w:hAnsi="宋体" w:eastAsia="宋体" w:cs="宋体"/>
                <w:color w:val="auto"/>
                <w:highlight w:val="none"/>
              </w:rPr>
            </w:pPr>
          </w:p>
          <w:p w14:paraId="220F096B">
            <w:pPr>
              <w:pStyle w:val="4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16.1</w:t>
            </w:r>
          </w:p>
        </w:tc>
        <w:tc>
          <w:tcPr>
            <w:tcW w:w="7305" w:type="dxa"/>
            <w:noWrap w:val="0"/>
            <w:vAlign w:val="center"/>
          </w:tcPr>
          <w:p w14:paraId="57F629ED">
            <w:pPr>
              <w:pStyle w:val="40"/>
              <w:tabs>
                <w:tab w:val="left" w:pos="0"/>
                <w:tab w:val="left" w:pos="6908"/>
                <w:tab w:val="left" w:pos="7244"/>
              </w:tabs>
              <w:spacing w:before="1" w:line="360" w:lineRule="atLeast"/>
              <w:ind w:right="48" w:firstLine="210" w:firstLineChars="1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合同期内不调价</w:t>
            </w:r>
            <w:r>
              <w:rPr>
                <w:rFonts w:hint="eastAsia" w:ascii="宋体" w:hAnsi="宋体" w:eastAsia="宋体" w:cs="宋体"/>
                <w:color w:val="auto"/>
                <w:sz w:val="21"/>
                <w:highlight w:val="none"/>
                <w:lang w:eastAsia="zh-CN"/>
              </w:rPr>
              <w:t>。</w:t>
            </w:r>
          </w:p>
        </w:tc>
      </w:tr>
    </w:tbl>
    <w:p w14:paraId="2A23DB2F">
      <w:pPr>
        <w:rPr>
          <w:rFonts w:hint="eastAsia" w:ascii="宋体" w:hAnsi="宋体" w:eastAsia="宋体" w:cs="宋体"/>
          <w:color w:val="auto"/>
          <w:sz w:val="18"/>
          <w:highlight w:val="none"/>
        </w:rPr>
        <w:sectPr>
          <w:footerReference r:id="rId7" w:type="default"/>
          <w:footerReference r:id="rId8" w:type="even"/>
          <w:pgSz w:w="11910" w:h="16850"/>
          <w:pgMar w:top="1480" w:right="1200" w:bottom="1040" w:left="1220" w:header="876" w:footer="853" w:gutter="0"/>
          <w:cols w:space="720" w:num="1"/>
        </w:sectPr>
      </w:pPr>
    </w:p>
    <w:p w14:paraId="30D9D5AE">
      <w:pPr>
        <w:pStyle w:val="11"/>
        <w:spacing w:before="5"/>
        <w:rPr>
          <w:rFonts w:hint="eastAsia" w:ascii="宋体" w:hAnsi="宋体" w:eastAsia="宋体" w:cs="宋体"/>
          <w:color w:val="auto"/>
          <w:sz w:val="8"/>
          <w:highlight w:val="none"/>
        </w:rPr>
      </w:pPr>
    </w:p>
    <w:tbl>
      <w:tblPr>
        <w:tblStyle w:val="2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571C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0768195">
            <w:pPr>
              <w:pStyle w:val="40"/>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noWrap w:val="0"/>
            <w:vAlign w:val="top"/>
          </w:tcPr>
          <w:p w14:paraId="642B1E46">
            <w:pPr>
              <w:pStyle w:val="40"/>
              <w:spacing w:before="90" w:line="250" w:lineRule="exact"/>
              <w:ind w:left="23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noWrap w:val="0"/>
            <w:vAlign w:val="top"/>
          </w:tcPr>
          <w:p w14:paraId="0854EEAE">
            <w:pPr>
              <w:pStyle w:val="40"/>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40A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E5EC21B">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noWrap w:val="0"/>
            <w:vAlign w:val="top"/>
          </w:tcPr>
          <w:p w14:paraId="154BE67A">
            <w:pPr>
              <w:pStyle w:val="40"/>
              <w:spacing w:before="89"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17.2.1（1）</w:t>
            </w:r>
          </w:p>
        </w:tc>
        <w:tc>
          <w:tcPr>
            <w:tcW w:w="7305" w:type="dxa"/>
            <w:noWrap w:val="0"/>
            <w:vAlign w:val="top"/>
          </w:tcPr>
          <w:p w14:paraId="12F42965">
            <w:pPr>
              <w:pStyle w:val="40"/>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开工预付款金额：签订合同后，材料进场且开始施工后支付合同总价款的30%为工程预付款</w:t>
            </w:r>
            <w:r>
              <w:rPr>
                <w:rFonts w:hint="eastAsia" w:ascii="宋体" w:hAnsi="宋体" w:eastAsia="宋体" w:cs="宋体"/>
                <w:color w:val="auto"/>
                <w:sz w:val="21"/>
                <w:szCs w:val="21"/>
                <w:highlight w:val="none"/>
                <w:lang w:eastAsia="zh-CN"/>
              </w:rPr>
              <w:t>。</w:t>
            </w:r>
          </w:p>
        </w:tc>
      </w:tr>
      <w:tr w14:paraId="10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noWrap w:val="0"/>
            <w:vAlign w:val="top"/>
          </w:tcPr>
          <w:p w14:paraId="7848740C">
            <w:pPr>
              <w:pStyle w:val="40"/>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noWrap w:val="0"/>
            <w:vAlign w:val="top"/>
          </w:tcPr>
          <w:p w14:paraId="131E4B61">
            <w:pPr>
              <w:pStyle w:val="40"/>
              <w:spacing w:before="92"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17.2.1（2）</w:t>
            </w:r>
          </w:p>
        </w:tc>
        <w:tc>
          <w:tcPr>
            <w:tcW w:w="7305" w:type="dxa"/>
            <w:noWrap w:val="0"/>
            <w:vAlign w:val="top"/>
          </w:tcPr>
          <w:p w14:paraId="2A4DF3A3">
            <w:pPr>
              <w:pStyle w:val="40"/>
              <w:tabs>
                <w:tab w:val="left" w:pos="2973"/>
              </w:tabs>
              <w:spacing w:before="92"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预</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比</w:t>
            </w:r>
            <w:r>
              <w:rPr>
                <w:rFonts w:hint="eastAsia" w:ascii="宋体" w:hAnsi="宋体" w:eastAsia="宋体" w:cs="宋体"/>
                <w:color w:val="auto"/>
                <w:sz w:val="21"/>
                <w:szCs w:val="21"/>
                <w:highlight w:val="none"/>
                <w:lang w:eastAsia="zh-CN"/>
              </w:rPr>
              <w:t>例</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pacing w:val="-3"/>
                <w:sz w:val="21"/>
                <w:szCs w:val="21"/>
                <w:highlight w:val="none"/>
                <w:lang w:eastAsia="zh-CN"/>
              </w:rPr>
              <w:t>主</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3"/>
                <w:sz w:val="21"/>
                <w:szCs w:val="21"/>
                <w:highlight w:val="none"/>
                <w:lang w:eastAsia="zh-CN"/>
              </w:rPr>
              <w:t>材</w:t>
            </w:r>
            <w:r>
              <w:rPr>
                <w:rFonts w:hint="eastAsia" w:ascii="宋体" w:hAnsi="宋体" w:eastAsia="宋体" w:cs="宋体"/>
                <w:color w:val="auto"/>
                <w:sz w:val="21"/>
                <w:szCs w:val="21"/>
                <w:highlight w:val="none"/>
                <w:lang w:eastAsia="zh-CN"/>
              </w:rPr>
              <w:t>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单</w:t>
            </w:r>
            <w:r>
              <w:rPr>
                <w:rFonts w:hint="eastAsia" w:ascii="宋体" w:hAnsi="宋体" w:eastAsia="宋体" w:cs="宋体"/>
                <w:color w:val="auto"/>
                <w:spacing w:val="-3"/>
                <w:sz w:val="21"/>
                <w:szCs w:val="21"/>
                <w:highlight w:val="none"/>
                <w:lang w:eastAsia="zh-CN"/>
              </w:rPr>
              <w:t>据</w:t>
            </w:r>
            <w:r>
              <w:rPr>
                <w:rFonts w:hint="eastAsia" w:ascii="宋体" w:hAnsi="宋体" w:eastAsia="宋体" w:cs="宋体"/>
                <w:color w:val="auto"/>
                <w:sz w:val="21"/>
                <w:szCs w:val="21"/>
                <w:highlight w:val="none"/>
                <w:lang w:eastAsia="zh-CN"/>
              </w:rPr>
              <w:t>所列</w:t>
            </w:r>
            <w:r>
              <w:rPr>
                <w:rFonts w:hint="eastAsia" w:ascii="宋体" w:hAnsi="宋体" w:eastAsia="宋体" w:cs="宋体"/>
                <w:color w:val="auto"/>
                <w:spacing w:val="-3"/>
                <w:sz w:val="21"/>
                <w:szCs w:val="21"/>
                <w:highlight w:val="none"/>
                <w:lang w:eastAsia="zh-CN"/>
              </w:rPr>
              <w:t>费</w:t>
            </w:r>
            <w:r>
              <w:rPr>
                <w:rFonts w:hint="eastAsia" w:ascii="宋体" w:hAnsi="宋体" w:eastAsia="宋体" w:cs="宋体"/>
                <w:color w:val="auto"/>
                <w:sz w:val="21"/>
                <w:szCs w:val="21"/>
                <w:highlight w:val="none"/>
                <w:lang w:eastAsia="zh-CN"/>
              </w:rPr>
              <w:t>用的</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w:t>
            </w:r>
          </w:p>
        </w:tc>
      </w:tr>
      <w:tr w14:paraId="1B33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5EABAD9">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noWrap w:val="0"/>
            <w:vAlign w:val="top"/>
          </w:tcPr>
          <w:p w14:paraId="26E6D495">
            <w:pPr>
              <w:pStyle w:val="40"/>
              <w:spacing w:before="113" w:line="226" w:lineRule="exact"/>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w:t>
            </w:r>
          </w:p>
        </w:tc>
        <w:tc>
          <w:tcPr>
            <w:tcW w:w="7305" w:type="dxa"/>
            <w:noWrap w:val="0"/>
            <w:vAlign w:val="top"/>
          </w:tcPr>
          <w:p w14:paraId="2749343B">
            <w:pPr>
              <w:pStyle w:val="40"/>
              <w:spacing w:before="89" w:line="250" w:lineRule="exact"/>
              <w:ind w:left="34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承包人在每个付款周期末向监理人提交进度付款申请单的份数：</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份</w:t>
            </w:r>
          </w:p>
        </w:tc>
      </w:tr>
      <w:tr w14:paraId="45C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0E4E1348">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noWrap w:val="0"/>
            <w:vAlign w:val="top"/>
          </w:tcPr>
          <w:p w14:paraId="0D46C2AA">
            <w:pPr>
              <w:pStyle w:val="40"/>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17.3.3（1）</w:t>
            </w:r>
          </w:p>
        </w:tc>
        <w:tc>
          <w:tcPr>
            <w:tcW w:w="7305" w:type="dxa"/>
            <w:noWrap w:val="0"/>
            <w:vAlign w:val="top"/>
          </w:tcPr>
          <w:p w14:paraId="40D1BBE4">
            <w:pPr>
              <w:pStyle w:val="40"/>
              <w:tabs>
                <w:tab w:val="left" w:pos="3079"/>
                <w:tab w:val="left" w:pos="493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进度</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pacing w:val="-3"/>
                <w:sz w:val="21"/>
                <w:szCs w:val="21"/>
                <w:highlight w:val="none"/>
                <w:lang w:eastAsia="zh-CN"/>
              </w:rPr>
              <w:t>最</w:t>
            </w:r>
            <w:r>
              <w:rPr>
                <w:rFonts w:hint="eastAsia" w:ascii="宋体" w:hAnsi="宋体" w:eastAsia="宋体" w:cs="宋体"/>
                <w:color w:val="auto"/>
                <w:sz w:val="21"/>
                <w:szCs w:val="21"/>
                <w:highlight w:val="none"/>
                <w:lang w:eastAsia="zh-CN"/>
              </w:rPr>
              <w:t>低</w:t>
            </w:r>
            <w:r>
              <w:rPr>
                <w:rFonts w:hint="eastAsia" w:ascii="宋体" w:hAnsi="宋体" w:eastAsia="宋体" w:cs="宋体"/>
                <w:color w:val="auto"/>
                <w:spacing w:val="-3"/>
                <w:sz w:val="21"/>
                <w:szCs w:val="21"/>
                <w:highlight w:val="none"/>
                <w:lang w:eastAsia="zh-CN"/>
              </w:rPr>
              <w:t>限</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2</w:t>
            </w:r>
            <w:r>
              <w:rPr>
                <w:rFonts w:hint="eastAsia" w:ascii="宋体" w:hAnsi="宋体" w:eastAsia="宋体" w:cs="宋体"/>
                <w:color w:val="auto"/>
                <w:spacing w:val="-3"/>
                <w:sz w:val="21"/>
                <w:szCs w:val="21"/>
                <w:highlight w:val="none"/>
                <w:u w:val="single"/>
                <w:lang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签</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合</w:t>
            </w:r>
            <w:r>
              <w:rPr>
                <w:rFonts w:hint="eastAsia" w:ascii="宋体" w:hAnsi="宋体" w:eastAsia="宋体" w:cs="宋体"/>
                <w:color w:val="auto"/>
                <w:sz w:val="21"/>
                <w:szCs w:val="21"/>
                <w:highlight w:val="none"/>
                <w:lang w:eastAsia="zh-CN"/>
              </w:rPr>
              <w:t>同</w:t>
            </w:r>
            <w:r>
              <w:rPr>
                <w:rFonts w:hint="eastAsia" w:ascii="宋体" w:hAnsi="宋体" w:eastAsia="宋体" w:cs="宋体"/>
                <w:color w:val="auto"/>
                <w:spacing w:val="-3"/>
                <w:sz w:val="21"/>
                <w:szCs w:val="21"/>
                <w:highlight w:val="none"/>
                <w:lang w:eastAsia="zh-CN"/>
              </w:rPr>
              <w:t>价</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eastAsia="zh-CN"/>
              </w:rPr>
              <w:t>万</w:t>
            </w:r>
            <w:r>
              <w:rPr>
                <w:rFonts w:hint="eastAsia" w:ascii="宋体" w:hAnsi="宋体" w:eastAsia="宋体" w:cs="宋体"/>
                <w:color w:val="auto"/>
                <w:sz w:val="21"/>
                <w:szCs w:val="21"/>
                <w:highlight w:val="none"/>
                <w:lang w:eastAsia="zh-CN"/>
              </w:rPr>
              <w:t>元</w:t>
            </w:r>
          </w:p>
        </w:tc>
      </w:tr>
      <w:tr w14:paraId="4811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7F0F30D1">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noWrap w:val="0"/>
            <w:vAlign w:val="top"/>
          </w:tcPr>
          <w:p w14:paraId="71BE1FC7">
            <w:pPr>
              <w:pStyle w:val="40"/>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17.3.3（2）</w:t>
            </w:r>
          </w:p>
        </w:tc>
        <w:tc>
          <w:tcPr>
            <w:tcW w:w="7305" w:type="dxa"/>
            <w:noWrap w:val="0"/>
            <w:vAlign w:val="top"/>
          </w:tcPr>
          <w:p w14:paraId="5E5BB3DA">
            <w:pPr>
              <w:pStyle w:val="40"/>
              <w:tabs>
                <w:tab w:val="left" w:pos="318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逾期</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违</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金</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利</w:t>
            </w:r>
            <w:r>
              <w:rPr>
                <w:rFonts w:hint="eastAsia" w:ascii="宋体" w:hAnsi="宋体" w:eastAsia="宋体" w:cs="宋体"/>
                <w:color w:val="auto"/>
                <w:sz w:val="21"/>
                <w:szCs w:val="21"/>
                <w:highlight w:val="none"/>
                <w:lang w:eastAsia="zh-CN"/>
              </w:rPr>
              <w:t>率</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eastAsia="zh-CN"/>
              </w:rPr>
              <w:t xml:space="preserve">0.15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天</w:t>
            </w:r>
          </w:p>
        </w:tc>
      </w:tr>
      <w:tr w14:paraId="1A9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22CB7DD">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6B99D624">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496658A9">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2CDC1BD8">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noWrap w:val="0"/>
            <w:vAlign w:val="center"/>
          </w:tcPr>
          <w:p w14:paraId="4069C92C">
            <w:pPr>
              <w:spacing w:line="360"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17.3.3(4)</w:t>
            </w:r>
          </w:p>
        </w:tc>
        <w:tc>
          <w:tcPr>
            <w:tcW w:w="7305" w:type="dxa"/>
            <w:noWrap w:val="0"/>
            <w:vAlign w:val="top"/>
          </w:tcPr>
          <w:p w14:paraId="2BE10390">
            <w:pPr>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 xml:space="preserve"> </w:t>
            </w:r>
          </w:p>
          <w:p w14:paraId="59D7C47B">
            <w:pPr>
              <w:pageBreakBefore w:val="0"/>
              <w:numPr>
                <w:ilvl w:val="0"/>
                <w:numId w:val="0"/>
              </w:numPr>
              <w:kinsoku/>
              <w:wordWrap/>
              <w:overflowPunct/>
              <w:topLinePunct w:val="0"/>
              <w:autoSpaceDE/>
              <w:autoSpaceDN/>
              <w:bidi w:val="0"/>
              <w:spacing w:line="360" w:lineRule="auto"/>
              <w:ind w:left="-60" w:leftChars="0" w:firstLine="480" w:firstLineChars="0"/>
              <w:textAlignment w:val="auto"/>
              <w:rPr>
                <w:rFonts w:hint="eastAsia" w:ascii="宋体" w:hAnsi="宋体" w:eastAsia="宋体" w:cs="宋体"/>
                <w:color w:val="auto"/>
                <w:sz w:val="21"/>
                <w:szCs w:val="21"/>
                <w:highlight w:val="none"/>
              </w:rPr>
            </w:pP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rPr>
              <w:t>甲方根据工程需要和工程进度情况，可支付至合同总价款的80%；</w:t>
            </w:r>
            <w:r>
              <w:rPr>
                <w:rFonts w:hint="default" w:ascii="Calibri" w:hAnsi="Calibri" w:eastAsia="宋体" w:cs="Calibri"/>
                <w:color w:val="auto"/>
                <w:sz w:val="21"/>
                <w:szCs w:val="21"/>
                <w:highlight w:val="none"/>
              </w:rPr>
              <w:t>②</w:t>
            </w:r>
            <w:r>
              <w:rPr>
                <w:rFonts w:hint="eastAsia" w:ascii="宋体" w:hAnsi="宋体" w:eastAsia="宋体" w:cs="宋体"/>
                <w:color w:val="auto"/>
                <w:sz w:val="21"/>
                <w:szCs w:val="21"/>
                <w:highlight w:val="none"/>
              </w:rPr>
              <w:t>工程竣工验收达到合格质量要求后，支付至工程合同总价款的90%；</w:t>
            </w:r>
            <w:r>
              <w:rPr>
                <w:rFonts w:hint="default" w:ascii="Calibri" w:hAnsi="Calibri" w:eastAsia="宋体" w:cs="Calibri"/>
                <w:color w:val="auto"/>
                <w:sz w:val="21"/>
                <w:szCs w:val="21"/>
                <w:highlight w:val="none"/>
              </w:rPr>
              <w:t>③</w:t>
            </w:r>
            <w:r>
              <w:rPr>
                <w:rFonts w:hint="eastAsia" w:ascii="宋体" w:hAnsi="宋体" w:eastAsia="宋体" w:cs="宋体"/>
                <w:color w:val="auto"/>
                <w:sz w:val="21"/>
                <w:szCs w:val="21"/>
                <w:highlight w:val="none"/>
              </w:rPr>
              <w:t>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w:t>
            </w:r>
            <w:r>
              <w:rPr>
                <w:rFonts w:hint="eastAsia" w:ascii="宋体" w:hAnsi="宋体" w:cs="宋体"/>
                <w:color w:val="auto"/>
                <w:sz w:val="21"/>
                <w:szCs w:val="21"/>
                <w:highlight w:val="none"/>
                <w:lang w:eastAsia="zh-CN"/>
              </w:rPr>
              <w:t>；</w:t>
            </w:r>
            <w:r>
              <w:rPr>
                <w:rFonts w:hint="eastAsia" w:ascii="微软雅黑" w:hAnsi="微软雅黑" w:eastAsia="微软雅黑" w:cs="微软雅黑"/>
                <w:color w:val="auto"/>
                <w:sz w:val="21"/>
                <w:szCs w:val="21"/>
                <w:highlight w:val="none"/>
              </w:rPr>
              <w:t>④</w:t>
            </w:r>
            <w:r>
              <w:rPr>
                <w:rFonts w:hint="eastAsia" w:ascii="宋体" w:hAnsi="宋体" w:eastAsia="宋体" w:cs="宋体"/>
                <w:color w:val="auto"/>
                <w:sz w:val="21"/>
                <w:szCs w:val="21"/>
                <w:highlight w:val="none"/>
              </w:rPr>
              <w:t>3%工程质量保证金，待工程质量保修期满后返还。本工程质量保质期为1年。在工程质量保质期内，若存在质量缺陷的，由乙方负责保修，费用由乙方负责，工程质量保质期从甲方验收合格后开始计算。</w:t>
            </w:r>
          </w:p>
          <w:p w14:paraId="1958CFF0">
            <w:pPr>
              <w:tabs>
                <w:tab w:val="left" w:pos="3193"/>
              </w:tabs>
              <w:wordWrap w:val="0"/>
              <w:topLinePunct/>
              <w:adjustRightIn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注：每次付款前需承包人开具等额增值税发票，申请付款前需提供发票原件方可付款。</w:t>
            </w:r>
            <w:r>
              <w:rPr>
                <w:rFonts w:hint="eastAsia" w:ascii="宋体" w:hAnsi="宋体" w:eastAsia="宋体" w:cs="宋体"/>
                <w:b/>
                <w:color w:val="auto"/>
                <w:sz w:val="21"/>
                <w:szCs w:val="21"/>
                <w:highlight w:val="none"/>
              </w:rPr>
              <w:tab/>
            </w:r>
          </w:p>
        </w:tc>
      </w:tr>
      <w:tr w14:paraId="0694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9" w:type="dxa"/>
            <w:noWrap w:val="0"/>
            <w:vAlign w:val="center"/>
          </w:tcPr>
          <w:p w14:paraId="1CACDFFB">
            <w:pPr>
              <w:pStyle w:val="40"/>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noWrap w:val="0"/>
            <w:vAlign w:val="center"/>
          </w:tcPr>
          <w:p w14:paraId="4802A795">
            <w:pPr>
              <w:pStyle w:val="40"/>
              <w:spacing w:before="178"/>
              <w:ind w:left="2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17.4.1</w:t>
            </w:r>
          </w:p>
        </w:tc>
        <w:tc>
          <w:tcPr>
            <w:tcW w:w="7305" w:type="dxa"/>
            <w:noWrap w:val="0"/>
            <w:vAlign w:val="top"/>
          </w:tcPr>
          <w:p w14:paraId="7C009771">
            <w:pPr>
              <w:pStyle w:val="40"/>
              <w:spacing w:before="2" w:line="355"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质量保证金限额：3%</w:t>
            </w:r>
            <w:r>
              <w:rPr>
                <w:rFonts w:hint="eastAsia" w:ascii="宋体" w:hAnsi="宋体" w:eastAsia="宋体" w:cs="宋体"/>
                <w:color w:val="auto"/>
                <w:sz w:val="21"/>
                <w:szCs w:val="21"/>
                <w:highlight w:val="none"/>
                <w:lang w:val="en-US" w:eastAsia="zh-CN"/>
              </w:rPr>
              <w:t>结算价</w:t>
            </w:r>
            <w:r>
              <w:rPr>
                <w:rFonts w:hint="eastAsia" w:ascii="宋体" w:hAnsi="宋体" w:eastAsia="宋体" w:cs="宋体"/>
                <w:color w:val="auto"/>
                <w:sz w:val="21"/>
                <w:szCs w:val="21"/>
                <w:highlight w:val="none"/>
                <w:lang w:eastAsia="zh-CN"/>
              </w:rPr>
              <w:t>。</w:t>
            </w:r>
          </w:p>
          <w:p w14:paraId="6F6C4B14">
            <w:pPr>
              <w:pStyle w:val="40"/>
              <w:spacing w:before="2" w:line="355" w:lineRule="exact"/>
              <w:ind w:firstLine="208"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质量保证金是否计</w:t>
            </w:r>
            <w:r>
              <w:rPr>
                <w:rFonts w:hint="eastAsia" w:ascii="宋体" w:hAnsi="宋体" w:eastAsia="宋体" w:cs="宋体"/>
                <w:color w:val="auto"/>
                <w:sz w:val="21"/>
                <w:szCs w:val="21"/>
                <w:highlight w:val="none"/>
              </w:rPr>
              <w:t>付利息：</w:t>
            </w:r>
          </w:p>
          <w:p w14:paraId="407951F4">
            <w:pPr>
              <w:pStyle w:val="40"/>
              <w:spacing w:before="2" w:line="355" w:lineRule="exact"/>
              <w:ind w:firstLine="206"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是，利息的计算方式：</w:t>
            </w:r>
            <w:r>
              <w:rPr>
                <w:rFonts w:hint="eastAsia" w:ascii="宋体" w:hAnsi="宋体" w:eastAsia="宋体" w:cs="宋体"/>
                <w:color w:val="auto"/>
                <w:sz w:val="21"/>
                <w:szCs w:val="21"/>
                <w:highlight w:val="none"/>
                <w:u w:val="single"/>
              </w:rPr>
              <w:t xml:space="preserve">               </w:t>
            </w:r>
          </w:p>
          <w:p w14:paraId="09DA6A9A">
            <w:pPr>
              <w:pStyle w:val="40"/>
              <w:spacing w:before="2" w:line="355" w:lineRule="exact"/>
              <w:ind w:firstLine="206"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否</w:t>
            </w:r>
          </w:p>
        </w:tc>
      </w:tr>
      <w:tr w14:paraId="21E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0C8DD6FB">
            <w:pPr>
              <w:pStyle w:val="40"/>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noWrap w:val="0"/>
            <w:vAlign w:val="top"/>
          </w:tcPr>
          <w:p w14:paraId="3FE01C2B">
            <w:pPr>
              <w:pStyle w:val="40"/>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17.5.1（1）</w:t>
            </w:r>
          </w:p>
        </w:tc>
        <w:tc>
          <w:tcPr>
            <w:tcW w:w="7305" w:type="dxa"/>
            <w:noWrap w:val="0"/>
            <w:vAlign w:val="top"/>
          </w:tcPr>
          <w:p w14:paraId="4A7AFFD6">
            <w:pPr>
              <w:pStyle w:val="40"/>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承包人向监理人提交交工付款申请单（包括相关证明材料）的份数：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w:t>
            </w:r>
          </w:p>
        </w:tc>
      </w:tr>
      <w:tr w14:paraId="76A1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29" w:type="dxa"/>
            <w:noWrap w:val="0"/>
            <w:vAlign w:val="top"/>
          </w:tcPr>
          <w:p w14:paraId="41AB827B">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w:t>
            </w:r>
          </w:p>
        </w:tc>
        <w:tc>
          <w:tcPr>
            <w:tcW w:w="1111" w:type="dxa"/>
            <w:noWrap w:val="0"/>
            <w:vAlign w:val="top"/>
          </w:tcPr>
          <w:p w14:paraId="645BCF27">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17.6.1（1）</w:t>
            </w:r>
          </w:p>
        </w:tc>
        <w:tc>
          <w:tcPr>
            <w:tcW w:w="7305" w:type="dxa"/>
            <w:noWrap w:val="0"/>
            <w:vAlign w:val="top"/>
          </w:tcPr>
          <w:p w14:paraId="3A2890D2">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承包人向监理人提交最终结清申请单（包括相关证明材料）的份数：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份</w:t>
            </w:r>
          </w:p>
        </w:tc>
      </w:tr>
      <w:tr w14:paraId="3300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9" w:type="dxa"/>
            <w:noWrap w:val="0"/>
            <w:vAlign w:val="top"/>
          </w:tcPr>
          <w:p w14:paraId="529AA1AE">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noWrap w:val="0"/>
            <w:vAlign w:val="top"/>
          </w:tcPr>
          <w:p w14:paraId="678AE6BA">
            <w:pPr>
              <w:pStyle w:val="40"/>
              <w:spacing w:before="90"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w:t>
            </w:r>
          </w:p>
        </w:tc>
        <w:tc>
          <w:tcPr>
            <w:tcW w:w="7305" w:type="dxa"/>
            <w:noWrap w:val="0"/>
            <w:vAlign w:val="top"/>
          </w:tcPr>
          <w:p w14:paraId="5E34E2B8">
            <w:pPr>
              <w:pStyle w:val="40"/>
              <w:tabs>
                <w:tab w:val="left" w:pos="2659"/>
              </w:tabs>
              <w:spacing w:before="90"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料</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份</w:t>
            </w:r>
            <w:r>
              <w:rPr>
                <w:rFonts w:hint="eastAsia" w:ascii="宋体" w:hAnsi="宋体" w:eastAsia="宋体" w:cs="宋体"/>
                <w:color w:val="auto"/>
                <w:spacing w:val="-3"/>
                <w:sz w:val="21"/>
                <w:szCs w:val="21"/>
                <w:highlight w:val="none"/>
              </w:rPr>
              <w:t>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份</w:t>
            </w:r>
          </w:p>
        </w:tc>
      </w:tr>
      <w:tr w14:paraId="2F48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15E578FA">
            <w:pPr>
              <w:pStyle w:val="40"/>
              <w:spacing w:before="194"/>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noWrap w:val="0"/>
            <w:vAlign w:val="top"/>
          </w:tcPr>
          <w:p w14:paraId="46F4B151">
            <w:pPr>
              <w:pStyle w:val="40"/>
              <w:spacing w:before="194"/>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w:t>
            </w:r>
          </w:p>
        </w:tc>
        <w:tc>
          <w:tcPr>
            <w:tcW w:w="7305" w:type="dxa"/>
            <w:noWrap w:val="0"/>
            <w:vAlign w:val="top"/>
          </w:tcPr>
          <w:p w14:paraId="53E8E513">
            <w:pPr>
              <w:pStyle w:val="40"/>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z w:val="21"/>
                <w:szCs w:val="21"/>
                <w:highlight w:val="none"/>
                <w:lang w:eastAsia="zh-CN"/>
              </w:rPr>
              <w:t>单位工程或工程设备是否需投入施工期运行：</w:t>
            </w:r>
            <w:r>
              <w:rPr>
                <w:rFonts w:hint="eastAsia" w:ascii="宋体" w:hAnsi="宋体" w:eastAsia="宋体" w:cs="宋体"/>
                <w:color w:val="auto"/>
                <w:sz w:val="21"/>
                <w:szCs w:val="21"/>
                <w:highlight w:val="none"/>
                <w:u w:val="single"/>
                <w:lang w:eastAsia="zh-CN"/>
              </w:rPr>
              <w:t>是</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53535033">
            <w:pPr>
              <w:pStyle w:val="40"/>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pacing w:val="17"/>
                <w:sz w:val="21"/>
                <w:szCs w:val="21"/>
                <w:highlight w:val="none"/>
                <w:lang w:eastAsia="zh-CN"/>
              </w:rPr>
              <w:t>本项目属于旧路改建，需要在施工期间维持交通畅通。</w:t>
            </w:r>
          </w:p>
        </w:tc>
      </w:tr>
      <w:tr w14:paraId="63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9" w:type="dxa"/>
            <w:noWrap w:val="0"/>
            <w:vAlign w:val="top"/>
          </w:tcPr>
          <w:p w14:paraId="4A2C0A69">
            <w:pPr>
              <w:pStyle w:val="40"/>
              <w:spacing w:before="11"/>
              <w:rPr>
                <w:rFonts w:hint="eastAsia" w:ascii="宋体" w:hAnsi="宋体" w:eastAsia="宋体" w:cs="宋体"/>
                <w:color w:val="auto"/>
                <w:sz w:val="21"/>
                <w:szCs w:val="21"/>
                <w:highlight w:val="none"/>
                <w:lang w:eastAsia="zh-CN"/>
              </w:rPr>
            </w:pPr>
          </w:p>
          <w:p w14:paraId="4CDDC789">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11" w:type="dxa"/>
            <w:noWrap w:val="0"/>
            <w:vAlign w:val="top"/>
          </w:tcPr>
          <w:p w14:paraId="67305C93">
            <w:pPr>
              <w:pStyle w:val="40"/>
              <w:spacing w:before="11"/>
              <w:rPr>
                <w:rFonts w:hint="eastAsia" w:ascii="宋体" w:hAnsi="宋体" w:eastAsia="宋体" w:cs="宋体"/>
                <w:color w:val="auto"/>
                <w:sz w:val="21"/>
                <w:szCs w:val="21"/>
                <w:highlight w:val="none"/>
              </w:rPr>
            </w:pPr>
          </w:p>
          <w:p w14:paraId="725B4DD2">
            <w:pPr>
              <w:pStyle w:val="40"/>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w:t>
            </w:r>
          </w:p>
        </w:tc>
        <w:tc>
          <w:tcPr>
            <w:tcW w:w="7305" w:type="dxa"/>
            <w:noWrap w:val="0"/>
            <w:vAlign w:val="top"/>
          </w:tcPr>
          <w:p w14:paraId="6F7BCB01">
            <w:pPr>
              <w:pStyle w:val="40"/>
              <w:spacing w:before="89"/>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本工程及工程设备是否进行试运行：</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15869EE4">
            <w:pPr>
              <w:pStyle w:val="40"/>
              <w:tabs>
                <w:tab w:val="left" w:pos="7244"/>
              </w:tabs>
              <w:spacing w:before="91"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如本</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程</w:t>
            </w:r>
            <w:r>
              <w:rPr>
                <w:rFonts w:hint="eastAsia" w:ascii="宋体" w:hAnsi="宋体" w:eastAsia="宋体" w:cs="宋体"/>
                <w:color w:val="auto"/>
                <w:spacing w:val="-3"/>
                <w:sz w:val="21"/>
                <w:szCs w:val="21"/>
                <w:highlight w:val="none"/>
                <w:lang w:eastAsia="zh-CN"/>
              </w:rPr>
              <w:t>及</w:t>
            </w:r>
            <w:r>
              <w:rPr>
                <w:rFonts w:hint="eastAsia" w:ascii="宋体" w:hAnsi="宋体" w:eastAsia="宋体" w:cs="宋体"/>
                <w:color w:val="auto"/>
                <w:sz w:val="21"/>
                <w:szCs w:val="21"/>
                <w:highlight w:val="none"/>
                <w:lang w:eastAsia="zh-CN"/>
              </w:rPr>
              <w:t>工</w:t>
            </w:r>
            <w:r>
              <w:rPr>
                <w:rFonts w:hint="eastAsia" w:ascii="宋体" w:hAnsi="宋体" w:eastAsia="宋体" w:cs="宋体"/>
                <w:color w:val="auto"/>
                <w:spacing w:val="-3"/>
                <w:sz w:val="21"/>
                <w:szCs w:val="21"/>
                <w:highlight w:val="none"/>
                <w:lang w:eastAsia="zh-CN"/>
              </w:rPr>
              <w:t>程</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pacing w:val="-3"/>
                <w:sz w:val="21"/>
                <w:szCs w:val="21"/>
                <w:highlight w:val="none"/>
                <w:lang w:eastAsia="zh-CN"/>
              </w:rPr>
              <w:t>要</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具</w:t>
            </w:r>
            <w:r>
              <w:rPr>
                <w:rFonts w:hint="eastAsia" w:ascii="宋体" w:hAnsi="宋体" w:eastAsia="宋体" w:cs="宋体"/>
                <w:color w:val="auto"/>
                <w:sz w:val="21"/>
                <w:szCs w:val="21"/>
                <w:highlight w:val="none"/>
                <w:lang w:eastAsia="zh-CN"/>
              </w:rPr>
              <w:t>体规</w:t>
            </w:r>
            <w:r>
              <w:rPr>
                <w:rFonts w:hint="eastAsia" w:ascii="宋体" w:hAnsi="宋体" w:eastAsia="宋体" w:cs="宋体"/>
                <w:color w:val="auto"/>
                <w:spacing w:val="-3"/>
                <w:sz w:val="21"/>
                <w:szCs w:val="21"/>
                <w:highlight w:val="none"/>
                <w:lang w:eastAsia="zh-CN"/>
              </w:rPr>
              <w:t>定</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pacing w:val="-3"/>
                <w:sz w:val="21"/>
                <w:szCs w:val="21"/>
                <w:highlight w:val="none"/>
                <w:lang w:eastAsia="zh-CN"/>
              </w:rPr>
              <w:t>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eastAsia="zh-CN"/>
              </w:rPr>
              <w:tab/>
            </w:r>
          </w:p>
        </w:tc>
      </w:tr>
      <w:tr w14:paraId="344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F40D006">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11" w:type="dxa"/>
            <w:noWrap w:val="0"/>
            <w:vAlign w:val="top"/>
          </w:tcPr>
          <w:p w14:paraId="1D6D7CEC">
            <w:pPr>
              <w:pStyle w:val="40"/>
              <w:spacing w:before="89"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19.7（1）</w:t>
            </w:r>
          </w:p>
        </w:tc>
        <w:tc>
          <w:tcPr>
            <w:tcW w:w="7305" w:type="dxa"/>
            <w:noWrap w:val="0"/>
            <w:vAlign w:val="top"/>
          </w:tcPr>
          <w:p w14:paraId="5E10123F">
            <w:pPr>
              <w:pStyle w:val="40"/>
              <w:tabs>
                <w:tab w:val="left" w:pos="3816"/>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保修</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自</w:t>
            </w:r>
            <w:r>
              <w:rPr>
                <w:rFonts w:hint="eastAsia" w:ascii="宋体" w:hAnsi="宋体" w:eastAsia="宋体" w:cs="宋体"/>
                <w:color w:val="auto"/>
                <w:sz w:val="21"/>
                <w:szCs w:val="21"/>
                <w:highlight w:val="none"/>
                <w:lang w:eastAsia="zh-CN"/>
              </w:rPr>
              <w:t>实</w:t>
            </w:r>
            <w:r>
              <w:rPr>
                <w:rFonts w:hint="eastAsia" w:ascii="宋体" w:hAnsi="宋体" w:eastAsia="宋体" w:cs="宋体"/>
                <w:color w:val="auto"/>
                <w:spacing w:val="-3"/>
                <w:sz w:val="21"/>
                <w:szCs w:val="21"/>
                <w:highlight w:val="none"/>
                <w:lang w:eastAsia="zh-CN"/>
              </w:rPr>
              <w:t>际</w:t>
            </w:r>
            <w:r>
              <w:rPr>
                <w:rFonts w:hint="eastAsia" w:ascii="宋体" w:hAnsi="宋体" w:eastAsia="宋体" w:cs="宋体"/>
                <w:color w:val="auto"/>
                <w:sz w:val="21"/>
                <w:szCs w:val="21"/>
                <w:highlight w:val="none"/>
                <w:lang w:eastAsia="zh-CN"/>
              </w:rPr>
              <w:t>交</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起计算</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pacing w:val="-3"/>
                <w:sz w:val="21"/>
                <w:szCs w:val="21"/>
                <w:highlight w:val="none"/>
                <w:lang w:eastAsia="zh-CN"/>
              </w:rPr>
              <w:t>年</w:t>
            </w:r>
          </w:p>
        </w:tc>
      </w:tr>
      <w:tr w14:paraId="5A56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19764335">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11" w:type="dxa"/>
            <w:noWrap w:val="0"/>
            <w:vAlign w:val="top"/>
          </w:tcPr>
          <w:p w14:paraId="020CEA60">
            <w:pPr>
              <w:pStyle w:val="40"/>
              <w:spacing w:before="113" w:line="226" w:lineRule="exact"/>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305" w:type="dxa"/>
            <w:noWrap w:val="0"/>
            <w:vAlign w:val="top"/>
          </w:tcPr>
          <w:p w14:paraId="447676BF">
            <w:pPr>
              <w:pStyle w:val="40"/>
              <w:tabs>
                <w:tab w:val="left" w:pos="3502"/>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建筑工程一切险的保险费率：建筑工程一切险的保险费由承包人报价时列入工程量清单100章内。</w:t>
            </w:r>
          </w:p>
        </w:tc>
      </w:tr>
      <w:tr w14:paraId="0F37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noWrap w:val="0"/>
            <w:vAlign w:val="top"/>
          </w:tcPr>
          <w:p w14:paraId="533D7D04">
            <w:pPr>
              <w:pStyle w:val="40"/>
              <w:spacing w:before="12"/>
              <w:rPr>
                <w:rFonts w:hint="eastAsia" w:ascii="宋体" w:hAnsi="宋体" w:eastAsia="宋体" w:cs="宋体"/>
                <w:color w:val="auto"/>
                <w:sz w:val="21"/>
                <w:szCs w:val="21"/>
                <w:highlight w:val="none"/>
                <w:lang w:eastAsia="zh-CN"/>
              </w:rPr>
            </w:pPr>
          </w:p>
          <w:p w14:paraId="6C136BEF">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11" w:type="dxa"/>
            <w:noWrap w:val="0"/>
            <w:vAlign w:val="top"/>
          </w:tcPr>
          <w:p w14:paraId="042C4A37">
            <w:pPr>
              <w:pStyle w:val="40"/>
              <w:spacing w:before="12"/>
              <w:rPr>
                <w:rFonts w:hint="eastAsia" w:ascii="宋体" w:hAnsi="宋体" w:eastAsia="宋体" w:cs="宋体"/>
                <w:color w:val="auto"/>
                <w:sz w:val="21"/>
                <w:szCs w:val="21"/>
                <w:highlight w:val="none"/>
              </w:rPr>
            </w:pPr>
          </w:p>
          <w:p w14:paraId="56698D57">
            <w:pPr>
              <w:pStyle w:val="40"/>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20.4.2</w:t>
            </w:r>
          </w:p>
        </w:tc>
        <w:tc>
          <w:tcPr>
            <w:tcW w:w="7305" w:type="dxa"/>
            <w:noWrap w:val="0"/>
            <w:vAlign w:val="top"/>
          </w:tcPr>
          <w:p w14:paraId="0AFEAAAB">
            <w:pPr>
              <w:pStyle w:val="40"/>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安全生产责任险及第三者责任险由承包人以承包人与项目法人的名义联名投保，保险费由承包人承担并支付，投标人应在所报的单价或总额价中对该保险费予以考虑，项目法人不单独进行计量与支付。</w:t>
            </w:r>
          </w:p>
          <w:p w14:paraId="27E4E841">
            <w:pPr>
              <w:pStyle w:val="40"/>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安全生产责任险及第三者责任险的最低投保金额：按工程建设地相关规定执行</w:t>
            </w:r>
          </w:p>
        </w:tc>
      </w:tr>
      <w:tr w14:paraId="03D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noWrap w:val="0"/>
            <w:vAlign w:val="top"/>
          </w:tcPr>
          <w:p w14:paraId="73CAA999">
            <w:pPr>
              <w:pStyle w:val="40"/>
              <w:spacing w:before="12"/>
              <w:rPr>
                <w:rFonts w:hint="eastAsia" w:ascii="宋体" w:hAnsi="宋体" w:eastAsia="宋体" w:cs="宋体"/>
                <w:color w:val="auto"/>
                <w:sz w:val="21"/>
                <w:szCs w:val="21"/>
                <w:highlight w:val="none"/>
                <w:lang w:eastAsia="zh-CN"/>
              </w:rPr>
            </w:pPr>
          </w:p>
          <w:p w14:paraId="601A7544">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11" w:type="dxa"/>
            <w:noWrap w:val="0"/>
            <w:vAlign w:val="top"/>
          </w:tcPr>
          <w:p w14:paraId="30ED888B">
            <w:pPr>
              <w:pStyle w:val="40"/>
              <w:spacing w:before="12"/>
              <w:rPr>
                <w:rFonts w:hint="eastAsia" w:ascii="宋体" w:hAnsi="宋体" w:eastAsia="宋体" w:cs="宋体"/>
                <w:color w:val="auto"/>
                <w:sz w:val="21"/>
                <w:szCs w:val="21"/>
                <w:highlight w:val="none"/>
              </w:rPr>
            </w:pPr>
          </w:p>
          <w:p w14:paraId="0FFF1C34">
            <w:pPr>
              <w:pStyle w:val="40"/>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305" w:type="dxa"/>
            <w:noWrap w:val="0"/>
            <w:vAlign w:val="top"/>
          </w:tcPr>
          <w:p w14:paraId="1D4CE737">
            <w:pPr>
              <w:pStyle w:val="40"/>
              <w:tabs>
                <w:tab w:val="left" w:pos="3900"/>
              </w:tabs>
              <w:spacing w:before="78"/>
              <w:ind w:left="32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争议</w:t>
            </w:r>
            <w:r>
              <w:rPr>
                <w:rFonts w:hint="eastAsia" w:ascii="宋体" w:hAnsi="宋体" w:eastAsia="宋体" w:cs="宋体"/>
                <w:color w:val="auto"/>
                <w:spacing w:val="-3"/>
                <w:sz w:val="21"/>
                <w:szCs w:val="21"/>
                <w:highlight w:val="none"/>
                <w:lang w:eastAsia="zh-CN"/>
              </w:rPr>
              <w:t>的</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pacing w:val="-3"/>
                <w:sz w:val="21"/>
                <w:szCs w:val="21"/>
                <w:highlight w:val="none"/>
                <w:lang w:eastAsia="zh-CN"/>
              </w:rPr>
              <w:t>终</w:t>
            </w:r>
            <w:r>
              <w:rPr>
                <w:rFonts w:hint="eastAsia" w:ascii="宋体" w:hAnsi="宋体" w:eastAsia="宋体" w:cs="宋体"/>
                <w:color w:val="auto"/>
                <w:sz w:val="21"/>
                <w:szCs w:val="21"/>
                <w:highlight w:val="none"/>
                <w:lang w:eastAsia="zh-CN"/>
              </w:rPr>
              <w:t>解</w:t>
            </w:r>
            <w:r>
              <w:rPr>
                <w:rFonts w:hint="eastAsia" w:ascii="宋体" w:hAnsi="宋体" w:eastAsia="宋体" w:cs="宋体"/>
                <w:color w:val="auto"/>
                <w:spacing w:val="-3"/>
                <w:sz w:val="21"/>
                <w:szCs w:val="21"/>
                <w:highlight w:val="none"/>
                <w:lang w:eastAsia="zh-CN"/>
              </w:rPr>
              <w:t>决</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pacing w:val="-3"/>
                <w:sz w:val="21"/>
                <w:szCs w:val="21"/>
                <w:highlight w:val="none"/>
                <w:lang w:eastAsia="zh-CN"/>
              </w:rPr>
              <w:t>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向项目所在地人民法院诉讼    </w:t>
            </w:r>
          </w:p>
          <w:p w14:paraId="7CF05E40">
            <w:pPr>
              <w:pStyle w:val="40"/>
              <w:tabs>
                <w:tab w:val="left" w:pos="3900"/>
              </w:tabs>
              <w:spacing w:before="78"/>
              <w:ind w:left="3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如采</w:t>
            </w:r>
            <w:r>
              <w:rPr>
                <w:rFonts w:hint="eastAsia" w:ascii="宋体" w:hAnsi="宋体" w:eastAsia="宋体" w:cs="宋体"/>
                <w:color w:val="auto"/>
                <w:spacing w:val="-3"/>
                <w:sz w:val="21"/>
                <w:szCs w:val="21"/>
                <w:highlight w:val="none"/>
                <w:lang w:eastAsia="zh-CN"/>
              </w:rPr>
              <w:t>用</w:t>
            </w:r>
            <w:r>
              <w:rPr>
                <w:rFonts w:hint="eastAsia" w:ascii="宋体" w:hAnsi="宋体" w:eastAsia="宋体" w:cs="宋体"/>
                <w:color w:val="auto"/>
                <w:sz w:val="21"/>
                <w:szCs w:val="21"/>
                <w:highlight w:val="none"/>
                <w:lang w:eastAsia="zh-CN"/>
              </w:rPr>
              <w:t>仲</w:t>
            </w:r>
            <w:r>
              <w:rPr>
                <w:rFonts w:hint="eastAsia" w:ascii="宋体" w:hAnsi="宋体" w:eastAsia="宋体" w:cs="宋体"/>
                <w:color w:val="auto"/>
                <w:spacing w:val="-3"/>
                <w:sz w:val="21"/>
                <w:szCs w:val="21"/>
                <w:highlight w:val="none"/>
                <w:lang w:eastAsia="zh-CN"/>
              </w:rPr>
              <w:t>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仲</w:t>
            </w:r>
            <w:r>
              <w:rPr>
                <w:rFonts w:hint="eastAsia" w:ascii="宋体" w:hAnsi="宋体" w:eastAsia="宋体" w:cs="宋体"/>
                <w:color w:val="auto"/>
                <w:sz w:val="21"/>
                <w:szCs w:val="21"/>
                <w:highlight w:val="none"/>
                <w:lang w:eastAsia="zh-CN"/>
              </w:rPr>
              <w:t>裁</w:t>
            </w:r>
            <w:r>
              <w:rPr>
                <w:rFonts w:hint="eastAsia" w:ascii="宋体" w:hAnsi="宋体" w:eastAsia="宋体" w:cs="宋体"/>
                <w:color w:val="auto"/>
                <w:spacing w:val="-3"/>
                <w:sz w:val="21"/>
                <w:szCs w:val="21"/>
                <w:highlight w:val="none"/>
                <w:lang w:eastAsia="zh-CN"/>
              </w:rPr>
              <w:t>委</w:t>
            </w:r>
            <w:r>
              <w:rPr>
                <w:rFonts w:hint="eastAsia" w:ascii="宋体" w:hAnsi="宋体" w:eastAsia="宋体" w:cs="宋体"/>
                <w:color w:val="auto"/>
                <w:sz w:val="21"/>
                <w:szCs w:val="21"/>
                <w:highlight w:val="none"/>
                <w:lang w:eastAsia="zh-CN"/>
              </w:rPr>
              <w:t>员</w:t>
            </w:r>
            <w:r>
              <w:rPr>
                <w:rFonts w:hint="eastAsia" w:ascii="宋体" w:hAnsi="宋体" w:eastAsia="宋体" w:cs="宋体"/>
                <w:color w:val="auto"/>
                <w:spacing w:val="-3"/>
                <w:sz w:val="21"/>
                <w:szCs w:val="21"/>
                <w:highlight w:val="none"/>
                <w:lang w:eastAsia="zh-CN"/>
              </w:rPr>
              <w:t>会</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防城港</w:t>
            </w:r>
            <w:r>
              <w:rPr>
                <w:rFonts w:hint="eastAsia" w:ascii="宋体" w:hAnsi="宋体" w:eastAsia="宋体" w:cs="宋体"/>
                <w:color w:val="auto"/>
                <w:sz w:val="21"/>
                <w:szCs w:val="21"/>
                <w:highlight w:val="none"/>
                <w:u w:val="single"/>
                <w:lang w:eastAsia="zh-CN"/>
              </w:rPr>
              <w:t xml:space="preserve">市仲裁委员会 </w:t>
            </w:r>
          </w:p>
        </w:tc>
      </w:tr>
    </w:tbl>
    <w:p w14:paraId="123822F1">
      <w:pPr>
        <w:tabs>
          <w:tab w:val="left" w:pos="1080"/>
        </w:tabs>
        <w:spacing w:line="28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6367601A">
      <w:pPr>
        <w:pStyle w:val="3"/>
        <w:pageBreakBefore w:val="0"/>
        <w:widowControl w:val="0"/>
        <w:kinsoku/>
        <w:wordWrap/>
        <w:overflowPunct/>
        <w:topLinePunct w:val="0"/>
        <w:autoSpaceDE/>
        <w:autoSpaceDN/>
        <w:bidi w:val="0"/>
        <w:adjustRightInd/>
        <w:spacing w:before="0" w:after="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bookmarkEnd w:id="466"/>
      <w:bookmarkEnd w:id="467"/>
      <w:bookmarkEnd w:id="468"/>
      <w:bookmarkEnd w:id="469"/>
    </w:p>
    <w:p w14:paraId="7C5328BD">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说明：本部分所列的项目专用合同条款是对“公路工程专用合同条款”中规定必须在  项目专用合同条款中明确的内容的集中，采购人编制的“项目专用合同条款” 不限于本部分所列内容。</w:t>
      </w:r>
    </w:p>
    <w:p w14:paraId="46068140">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4.1承包人的一般义务</w:t>
      </w:r>
    </w:p>
    <w:p w14:paraId="6D71ACD3">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4.1.10 其他义务</w:t>
      </w:r>
    </w:p>
    <w:p w14:paraId="28F97DE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（4）承包人应履行的其他义务：</w:t>
      </w:r>
      <w:r>
        <w:rPr>
          <w:rFonts w:hint="eastAsia" w:ascii="宋体" w:hAnsi="宋体" w:eastAsia="宋体" w:cs="宋体"/>
          <w:color w:val="auto"/>
          <w:szCs w:val="21"/>
          <w:highlight w:val="none"/>
          <w:u w:val="single"/>
        </w:rPr>
        <w:t>除项目专用合同条款另有约定外，临时占地的租地费用实行总额包干，列入工程量清单第 100 章中由承包人按总额报价。编制招标清单时，应把该项列入招标清单。</w:t>
      </w:r>
    </w:p>
    <w:p w14:paraId="22E7D57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4.6承包人人员的管理</w:t>
      </w:r>
    </w:p>
    <w:p w14:paraId="72529466">
      <w:pPr>
        <w:pageBreakBefore w:val="0"/>
        <w:widowControl w:val="0"/>
        <w:tabs>
          <w:tab w:val="left" w:pos="108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（增加）4.6.6 项目经理、总工每月驻现场的时间应不少于22天，因故需离开工地应得到业主、监理工程师的许可，否则将按第22.1款视为承包人违约。</w:t>
      </w:r>
    </w:p>
    <w:p w14:paraId="683E848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承包人安排在施工场地的主要管理人员和技术骨干人员每月驻现场的时间应不少于22天，除非经业主、监理工程师同意，否则将按第22.1款视为承包人违约。</w:t>
      </w:r>
    </w:p>
    <w:p w14:paraId="72A81C52">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4.11不利物质条件</w:t>
      </w:r>
    </w:p>
    <w:p w14:paraId="38E4131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按通用条款内容    </w:t>
      </w:r>
    </w:p>
    <w:p w14:paraId="27C220F5">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合同进度计划</w:t>
      </w:r>
    </w:p>
    <w:p w14:paraId="437B531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承包人编制施工方案的内容：</w:t>
      </w:r>
      <w:r>
        <w:rPr>
          <w:rFonts w:hint="eastAsia" w:ascii="宋体" w:hAnsi="宋体" w:eastAsia="宋体" w:cs="宋体"/>
          <w:color w:val="auto"/>
          <w:szCs w:val="21"/>
          <w:highlight w:val="none"/>
          <w:u w:val="single"/>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39394D36">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11.4异常恶劣的气候条件</w:t>
      </w:r>
    </w:p>
    <w:p w14:paraId="060DF36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异常恶劣的气候条件的范围：</w:t>
      </w:r>
      <w:r>
        <w:rPr>
          <w:rFonts w:hint="eastAsia" w:ascii="宋体" w:hAnsi="宋体" w:eastAsia="宋体" w:cs="宋体"/>
          <w:color w:val="auto"/>
          <w:szCs w:val="21"/>
          <w:highlight w:val="none"/>
          <w:u w:val="single"/>
        </w:rPr>
        <w:t>异常恶劣的气候条件，对本项目而言，指发生烈度7度（含7度）以上地震、龙卷风、施工场地受淹超过业主提供的设计图纸指明的设计洪水水位引起的延误的情况。</w:t>
      </w:r>
    </w:p>
    <w:p w14:paraId="485663FA">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12.1承包人暂停施工的责任</w:t>
      </w:r>
    </w:p>
    <w:p w14:paraId="46DDB4A0">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12.1（6）由承包人承担的其他暂停施工：</w:t>
      </w:r>
      <w:r>
        <w:rPr>
          <w:rFonts w:hint="eastAsia" w:ascii="宋体" w:hAnsi="宋体" w:eastAsia="宋体" w:cs="宋体"/>
          <w:color w:val="auto"/>
          <w:szCs w:val="21"/>
          <w:highlight w:val="none"/>
          <w:u w:val="single"/>
        </w:rPr>
        <w:t xml:space="preserve">      /          </w:t>
      </w:r>
    </w:p>
    <w:p w14:paraId="3B917340">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13.3承包人的质量检查</w:t>
      </w:r>
    </w:p>
    <w:p w14:paraId="768AEAC9">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增加内容：落实质量责任制和健全质量保证体系</w:t>
      </w:r>
    </w:p>
    <w:p w14:paraId="57CF80B9">
      <w:pPr>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(1)分项施工现场应实行标示牌管理，写明作业内容、项目质量管理责任人(施工作业管理专业工程师、试验、测量、质检工程师、总工、项目经理及监理工程师及现场监理)和质量管理举报电话； </w:t>
      </w:r>
    </w:p>
    <w:p w14:paraId="68F5925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（2）认真执行三检制度：</w:t>
      </w:r>
    </w:p>
    <w:p w14:paraId="1BF2946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施工作业管理的专业工程师在测量、试验工程师配合下完成施工自检并作施工记录（工艺及原材料使用等）；</w:t>
      </w:r>
    </w:p>
    <w:p w14:paraId="7A45389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3777B81B">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试验、测量工程师根据施工质检需要完成试验与测量作业并及时交检验结果报告专业工程师、质检工程师。</w:t>
      </w:r>
    </w:p>
    <w:p w14:paraId="2A20E628">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2D19687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(3)质量管理记录的原始记录包括作业记录、测量记录、试验记录、检验记录及验收记录，地基、基础、填挖交界碾压，墙台背回填等隐蔽工程应摄象或照相作为现场记录保存。</w:t>
      </w:r>
    </w:p>
    <w:p w14:paraId="157B6933">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(4)加强对质量通病的预防与治理，减少工程质量隐患。</w:t>
      </w:r>
    </w:p>
    <w:p w14:paraId="040F2E15">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(5)承包人应加强工程进度计划管理，努力实现均衡组织施工的目标。</w:t>
      </w:r>
    </w:p>
    <w:p w14:paraId="0F894AAF">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132DAE5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b.路面碎石材料的采备至少应与路基施工进度同步。</w:t>
      </w:r>
    </w:p>
    <w:p w14:paraId="3CB2156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(7)承包人应加强文明施工，保障道路通畅的管理</w:t>
      </w:r>
    </w:p>
    <w:p w14:paraId="1318ECF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a.承包人在施工期内应按国家、交通主管部门与公路管理机构文明施工，保障畅通的有关规定组织施工，对出现的交通堵塞无条件地采取措施进行疏通。</w:t>
      </w:r>
    </w:p>
    <w:p w14:paraId="527C09A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旧路改建工程项目</w:t>
      </w:r>
    </w:p>
    <w:p w14:paraId="41775298">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9632F9B">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(ii)不得在道路上堆放材料或占道施工影响交通。</w:t>
      </w:r>
    </w:p>
    <w:p w14:paraId="6ECFD14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路基、路面施工应避免出现晴天扬尘，雨天打滑影响安全与交通和影响群众生活、生产的现象。维持交通的路基施工应保证表面平整，保证通畅。</w:t>
      </w:r>
    </w:p>
    <w:p w14:paraId="4CA241D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(8)承包人应自觉接受交通主管部门、质量监督单位、公路管理机构的监督，对指出的问题进行认真的整改，及时报告处理结果。</w:t>
      </w:r>
    </w:p>
    <w:p w14:paraId="6B6EEF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p>
    <w:p w14:paraId="6899ECB9">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工程进度付款</w:t>
      </w:r>
    </w:p>
    <w:p w14:paraId="661EF50A">
      <w:pPr>
        <w:wordWrap w:val="0"/>
        <w:topLinePunct/>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17.3.5 农民工工资保障金的缴存时间：</w:t>
      </w:r>
      <w:r>
        <w:rPr>
          <w:rFonts w:hint="eastAsia" w:ascii="宋体" w:hAnsi="宋体" w:cs="宋体"/>
          <w:color w:val="auto"/>
          <w:szCs w:val="21"/>
          <w:highlight w:val="none"/>
          <w:u w:val="single"/>
        </w:rPr>
        <w:t>领取中标通知书之日起</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天内</w:t>
      </w:r>
    </w:p>
    <w:p w14:paraId="6E807E7F">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农民工工资保障金的缴存金额：</w:t>
      </w:r>
      <w:r>
        <w:rPr>
          <w:rFonts w:hint="eastAsia" w:ascii="宋体" w:hAnsi="宋体" w:cs="宋体"/>
          <w:color w:val="auto"/>
          <w:szCs w:val="21"/>
          <w:highlight w:val="none"/>
          <w:u w:val="single"/>
        </w:rPr>
        <w:t>2%签约合同价</w:t>
      </w:r>
    </w:p>
    <w:p w14:paraId="175420D1">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农民工工资保障金的扣留条件：</w:t>
      </w:r>
      <w:r>
        <w:rPr>
          <w:rFonts w:hint="eastAsia" w:ascii="宋体" w:hAnsi="宋体" w:cs="宋体"/>
          <w:color w:val="auto"/>
          <w:szCs w:val="21"/>
          <w:highlight w:val="none"/>
          <w:u w:val="single"/>
        </w:rPr>
        <w:t>一旦承包人出现拖欠工程款导致无法按时足额支付农民工工资时。</w:t>
      </w:r>
    </w:p>
    <w:p w14:paraId="6C9AC137">
      <w:pPr>
        <w:wordWrap w:val="0"/>
        <w:topLinePunct/>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农民工工资保障金的返还时间：</w:t>
      </w:r>
      <w:r>
        <w:rPr>
          <w:rFonts w:hint="eastAsia" w:ascii="宋体" w:hAnsi="宋体" w:cs="宋体"/>
          <w:color w:val="auto"/>
          <w:szCs w:val="21"/>
          <w:highlight w:val="none"/>
          <w:u w:val="single"/>
        </w:rPr>
        <w:t>工程交工验收后。</w:t>
      </w:r>
      <w:bookmarkStart w:id="470" w:name="page159"/>
      <w:bookmarkEnd w:id="470"/>
      <w:r>
        <w:rPr>
          <w:rFonts w:hint="eastAsia" w:ascii="宋体" w:hAnsi="宋体" w:cs="宋体"/>
          <w:color w:val="auto"/>
          <w:szCs w:val="21"/>
          <w:highlight w:val="none"/>
        </w:rPr>
        <w:t>　　</w:t>
      </w:r>
    </w:p>
    <w:p w14:paraId="59378488">
      <w:pPr>
        <w:wordWrap w:val="0"/>
        <w:topLinePunct/>
        <w:spacing w:line="360" w:lineRule="auto"/>
        <w:ind w:left="191" w:leftChars="91" w:firstLine="210" w:firstLineChars="100"/>
        <w:rPr>
          <w:rFonts w:ascii="宋体" w:hAnsi="宋体" w:cs="宋体"/>
          <w:color w:val="auto"/>
          <w:szCs w:val="21"/>
          <w:highlight w:val="none"/>
        </w:rPr>
      </w:pPr>
      <w:r>
        <w:rPr>
          <w:rFonts w:hint="eastAsia" w:ascii="宋体" w:hAnsi="宋体" w:cs="宋体"/>
          <w:color w:val="auto"/>
          <w:szCs w:val="21"/>
          <w:highlight w:val="none"/>
        </w:rPr>
        <w:t>17.4.1补充：</w:t>
      </w:r>
    </w:p>
    <w:p w14:paraId="6E9DECEF">
      <w:pPr>
        <w:wordWrap w:val="0"/>
        <w:topLinePunct/>
        <w:spacing w:line="360" w:lineRule="auto"/>
        <w:ind w:firstLine="371" w:firstLineChars="177"/>
        <w:rPr>
          <w:rFonts w:hint="eastAsia" w:ascii="宋体" w:hAnsi="宋体" w:eastAsia="宋体" w:cs="宋体"/>
          <w:b/>
          <w:color w:val="auto"/>
          <w:szCs w:val="21"/>
          <w:highlight w:val="none"/>
        </w:rPr>
      </w:pPr>
      <w:r>
        <w:rPr>
          <w:rFonts w:hint="eastAsia" w:ascii="宋体" w:hAnsi="宋体" w:cs="宋体"/>
          <w:color w:val="auto"/>
          <w:szCs w:val="21"/>
          <w:highlight w:val="none"/>
          <w:u w:val="single"/>
        </w:rPr>
        <w:t>质量保证金缴纳方式：交工验收完成结算审计后，发包人支付工程款至经审计的结算价的9</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%，扣留</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%作为质量保证金。</w:t>
      </w:r>
    </w:p>
    <w:p w14:paraId="1134FC0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 验收</w:t>
      </w:r>
    </w:p>
    <w:p w14:paraId="748498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18.3.7 （增加）组织办理交工验收和签发交工证书的费用由承包人承担，其费用包含在相关单价或总额价中，业主不单独另外计量与支付。</w:t>
      </w:r>
    </w:p>
    <w:p w14:paraId="749B33F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18.9竣工文件</w:t>
      </w:r>
    </w:p>
    <w:p w14:paraId="5E5166B4">
      <w:pPr>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 xml:space="preserve">    （增加）</w:t>
      </w:r>
      <w:r>
        <w:rPr>
          <w:rFonts w:hint="eastAsia" w:ascii="宋体" w:hAnsi="宋体" w:eastAsia="宋体" w:cs="宋体"/>
          <w:color w:val="auto"/>
          <w:szCs w:val="21"/>
          <w:highlight w:val="none"/>
        </w:rPr>
        <w:t>工程竣工文件的立卷归档按交通部《公路工程竣工文件材料立卷归档管理办法》（交办发[2001]390号）和广西壮族自治区公路管理局《广西公路网建设工程档案验收办法》（路工程函[2005]591号）执行。</w:t>
      </w:r>
      <w:r>
        <w:rPr>
          <w:rFonts w:hint="eastAsia" w:ascii="宋体" w:hAnsi="宋体" w:cs="宋体"/>
          <w:color w:val="auto"/>
          <w:szCs w:val="21"/>
          <w:highlight w:val="none"/>
          <w:lang w:val="en-US" w:eastAsia="zh-CN"/>
        </w:rPr>
        <w:t>如行业主管部门有最新政策要求的，按最新正常要求执行。</w:t>
      </w:r>
    </w:p>
    <w:p w14:paraId="28C6410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 工程保险</w:t>
      </w:r>
    </w:p>
    <w:p w14:paraId="39A4A742">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 人员工伤事故的保险 </w:t>
      </w:r>
    </w:p>
    <w:p w14:paraId="642D5B2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20.2.1 承包人员工伤事故的保险 </w:t>
      </w:r>
    </w:p>
    <w:p w14:paraId="77E136D4">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增加内容：办理保险的一切费用均由承包人承担，并包括在工程量清单的单价及总额价中，发包人不单独支付。</w:t>
      </w:r>
    </w:p>
    <w:p w14:paraId="2C846815">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 人身意外伤害险 </w:t>
      </w:r>
    </w:p>
    <w:p w14:paraId="0A5A8B40">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56B0A36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1EF2366C">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施工合同签订后工程开工前 15 日，承包人必须按有关规定与保险公司签订人身意外伤害险和附加意外伤害医疗险以及其他需要投保的保险的保险合同。</w:t>
      </w:r>
    </w:p>
    <w:p w14:paraId="753746F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21.1不可抗力的确认</w:t>
      </w:r>
    </w:p>
    <w:p w14:paraId="259DD09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21.1.1（6）不可抗力的其他情形：</w:t>
      </w:r>
      <w:r>
        <w:rPr>
          <w:rFonts w:hint="eastAsia" w:ascii="宋体" w:hAnsi="宋体" w:eastAsia="宋体" w:cs="宋体"/>
          <w:color w:val="auto"/>
          <w:szCs w:val="21"/>
          <w:highlight w:val="none"/>
          <w:u w:val="single"/>
        </w:rPr>
        <w:t xml:space="preserve">  按通用条款内容   </w:t>
      </w:r>
    </w:p>
    <w:p w14:paraId="174F03A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22.1承包人违约</w:t>
      </w:r>
    </w:p>
    <w:p w14:paraId="6A00537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22.1.2当承包人发生第22.1.1项约定的违约情况时，发包人有权向承包人处以违约金，具体约定如下：违约金处理：</w:t>
      </w:r>
    </w:p>
    <w:p w14:paraId="6EE44D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22.1.2.1有本项（1）目行为的，可对承包人处以以下的违约金。</w:t>
      </w:r>
    </w:p>
    <w:p w14:paraId="502A0D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a．由于承包人没有履行合同规定的义务与责任，同类事件第一次被监理工程师、业主工作指令整改的处500元/次；第二次出现指令整改的处1000元/次；多次重复出现被责令整改的处5000元/次。</w:t>
      </w:r>
    </w:p>
    <w:p w14:paraId="314578C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b．在指令规定时间内拒不整改的同一事件被第二次及以上责令整改的处2000元/次。</w:t>
      </w:r>
    </w:p>
    <w:p w14:paraId="7462E1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22.1.2.2有本项（2）、（3）、（5）、（6）目行为的，除按合同相关条款处理外，由监理工程师发出整改工作指令，按22.1.2.1对承包人处以违约金。</w:t>
      </w:r>
    </w:p>
    <w:p w14:paraId="75E8CBC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22.1.2.3有本项（4）、（7）目行为的，可对承包人处以以下的违约金。</w:t>
      </w:r>
    </w:p>
    <w:p w14:paraId="75C0BD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a．未按规定开工的，可处以1000元/天的业主延期损失偿金。</w:t>
      </w:r>
    </w:p>
    <w:p w14:paraId="40DD56B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b．未按指令采取措施加快进行本工程或其关键部分的施工，可处以1000元/天的业主延期损失偿金。</w:t>
      </w:r>
    </w:p>
    <w:p w14:paraId="43DBD04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c．未按均衡组织施工要求组织施工的，处每项1000元/月次。</w:t>
      </w:r>
    </w:p>
    <w:p w14:paraId="354B459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22.1.2.4有本项（8）目行为的，可对承包人按以下处以违约金。</w:t>
      </w:r>
    </w:p>
    <w:p w14:paraId="5BD8AF4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a.承包人未经业主、监理工程师同意更换人员，项目经理处2万元/次，总工（或项目总工）处1万元/次。</w:t>
      </w:r>
    </w:p>
    <w:p w14:paraId="3C4D782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6"/>
          <w:sz w:val="21"/>
          <w:szCs w:val="21"/>
          <w:highlight w:val="none"/>
        </w:rPr>
        <w:t>项目经理、总工每月驻工地不满25天，处500元/人·月，其他主要人员处200元/人·月。</w:t>
      </w:r>
    </w:p>
    <w:p w14:paraId="3B58BB6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c.未经请假准允离开工地，经理、总工处500元/人·日，其他主要人员处100元/人·日。</w:t>
      </w:r>
    </w:p>
    <w:p w14:paraId="0B31D66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d.主要设备没有按承诺进场的处500元台/日。</w:t>
      </w:r>
    </w:p>
    <w:p w14:paraId="658AC88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22.1.2.4有本项（9）目行为的，可对承包人处以以下的违约金。</w:t>
      </w:r>
    </w:p>
    <w:p w14:paraId="2165C98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a．安全生产管理</w:t>
      </w:r>
    </w:p>
    <w:p w14:paraId="2DF9D14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52807D7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Ⅰ需持证上岗人员无证上岗的；或</w:t>
      </w:r>
    </w:p>
    <w:p w14:paraId="258F648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Ⅱ需配戴安全防护用具作业的；或</w:t>
      </w:r>
    </w:p>
    <w:p w14:paraId="64B207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Ⅲ未经登记、安全培训教育上岗的。</w:t>
      </w:r>
    </w:p>
    <w:p w14:paraId="6860B6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（b）出现下列行为之一可处300元/处次。</w:t>
      </w:r>
    </w:p>
    <w:p w14:paraId="12A13FA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Ⅰ无专职安全检查人员；或</w:t>
      </w:r>
    </w:p>
    <w:p w14:paraId="2B4E54A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Ⅱ无安全生产检查日志；或</w:t>
      </w:r>
    </w:p>
    <w:p w14:paraId="7ABF77C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Ⅲ作业点或危险施工路段安全标志不全；或</w:t>
      </w:r>
    </w:p>
    <w:p w14:paraId="2DE17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Ⅳ安全标志（牌）、线（绳）不符国家规定的；或</w:t>
      </w:r>
    </w:p>
    <w:p w14:paraId="7DBC3D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Ⅴ易燃易爆物品管理不符合管理要求。</w:t>
      </w:r>
    </w:p>
    <w:p w14:paraId="20753E2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（c）出现下列行为之一可处500元/处次。</w:t>
      </w:r>
    </w:p>
    <w:p w14:paraId="011A1D1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Ⅰ施工作业点或施工形成的危险路段无规定的安全标志；或</w:t>
      </w:r>
    </w:p>
    <w:p w14:paraId="67DA203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Ⅱ需设安全防护设施的未按规定设置；或</w:t>
      </w:r>
    </w:p>
    <w:p w14:paraId="61EC383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Ⅲ出现一般安全生事故负有责任的；或</w:t>
      </w:r>
    </w:p>
    <w:p w14:paraId="37C1121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Ⅳ发生重大安全事故不按规定报告的。</w:t>
      </w:r>
    </w:p>
    <w:p w14:paraId="4F61313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（d）出现下列行为之一可处5000元/处次。</w:t>
      </w:r>
    </w:p>
    <w:p w14:paraId="3829442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出现重大安全生产事故负有责任的。</w:t>
      </w:r>
    </w:p>
    <w:p w14:paraId="7C6B75C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22.1.2.5有本项(10)目违反合同专用条款规定的其他重要规定，可对承包人处以以下的违约金。</w:t>
      </w:r>
    </w:p>
    <w:p w14:paraId="3BE8C69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a.质量管理</w:t>
      </w:r>
    </w:p>
    <w:p w14:paraId="39B8B6F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498102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分项工程施工现场无合格的施工责任牌；或</w:t>
      </w:r>
    </w:p>
    <w:p w14:paraId="398933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分项工程施工现场无其相关责任人；或</w:t>
      </w:r>
    </w:p>
    <w:p w14:paraId="4B2F0EC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施工现场无基本的检测检验工具；或</w:t>
      </w:r>
    </w:p>
    <w:p w14:paraId="4F08D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施工现场相关责任人无检查检验记录表；或</w:t>
      </w:r>
    </w:p>
    <w:p w14:paraId="77AAD2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现场已完成工作无检查记录。</w:t>
      </w:r>
    </w:p>
    <w:p w14:paraId="2E643C7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（b）出现以下行为之一，可处500元/次。</w:t>
      </w:r>
    </w:p>
    <w:p w14:paraId="47B20EE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Ⅰ未按工序申请检验进入下一道工序的；或</w:t>
      </w:r>
    </w:p>
    <w:p w14:paraId="41A39A0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Ⅱ隐蔽工程记录文件不全；或</w:t>
      </w:r>
    </w:p>
    <w:p w14:paraId="3768FE6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Ⅲ施工试验检验频率不符合施工规范规定；或</w:t>
      </w:r>
    </w:p>
    <w:p w14:paraId="1481EFC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Ⅳ分项工程质量自检验收检验频率不符合质量评定标准规定的。</w:t>
      </w:r>
    </w:p>
    <w:p w14:paraId="4AE87EE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（c）出现以下行为之一，可处1000元/次。</w:t>
      </w:r>
    </w:p>
    <w:p w14:paraId="095074A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Ⅰ出现质量问题，且承包人负有直接责任的，或不能证明其履行其职责的。或</w:t>
      </w:r>
    </w:p>
    <w:p w14:paraId="42D24DE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Ⅱ发生质量事故，未按有关规定和时间向有关部门报告的；</w:t>
      </w:r>
    </w:p>
    <w:p w14:paraId="5C4CB74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Ⅲ已经施工完成的工程没有按竣工文件收集归档管理办法要求依分项工程、工序将施工作业记录、测量记录、试验检测记录及工序报验审批记录等收集归档。</w:t>
      </w:r>
    </w:p>
    <w:p w14:paraId="1466FE3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）出现以下行为之一，可处3000元/次。</w:t>
      </w:r>
    </w:p>
    <w:p w14:paraId="5642BDC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Ⅰ施工单位不接受质监机构监督；或</w:t>
      </w:r>
    </w:p>
    <w:p w14:paraId="3601768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Ⅱ出现二、三级一般质量事故，且承包人负有直接责任，或不能证明其履行其职责的；或</w:t>
      </w:r>
    </w:p>
    <w:p w14:paraId="2D1F836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Ⅲ构造物、中小型预制构件等一次单点实体抽查合格率为50%—75%的；或</w:t>
      </w:r>
    </w:p>
    <w:p w14:paraId="03AF6AA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Ⅳ使用主要材料（钢筋、水泥、沥青、碎石、砂、砂砾等）不合格的。或</w:t>
      </w:r>
    </w:p>
    <w:p w14:paraId="1DA2AB0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Ⅴ已经施工完成的工程无法提供按竣工文件收集归档管理办法要求应收集的分项工程、工序的施工作业记录、测量记录、试验检测记录及工序报验审批记录等质量管理文件的。</w:t>
      </w:r>
    </w:p>
    <w:p w14:paraId="22C77E0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（e）出现以下行为之一，可处5000元/次。</w:t>
      </w:r>
    </w:p>
    <w:p w14:paraId="0AD450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Ⅰ发生一级一般质量事故或重大质量事故，且承包人负有直接责任，或不能证明其履行其职责的；或 </w:t>
      </w:r>
    </w:p>
    <w:p w14:paraId="154FBFD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Ⅱ构造物、中小型预制构件等一次单点实体抽查合格率小于50%的；或</w:t>
      </w:r>
    </w:p>
    <w:p w14:paraId="33C8668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Ⅲ未按要求进行自检，弄虚作假、捏造数据、伪造试验报告的。</w:t>
      </w:r>
    </w:p>
    <w:p w14:paraId="24C3E1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（f）因质量问题被地市级及以上交通主管部门、质量监督单位、公路管理机构通报（批评）的，可对承包人处以10000元违约金，红牌警告5000元，黄牌警告3000元。</w:t>
      </w:r>
    </w:p>
    <w:p w14:paraId="376F8DD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b．文明施工与环境保护，交通通畅</w:t>
      </w:r>
    </w:p>
    <w:p w14:paraId="27D6C2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（a）由于施工原因造成污染、破坏被群众向政府、主管单位投诉或被环保、水利部门责令整改的，处1000元/次。</w:t>
      </w:r>
    </w:p>
    <w:p w14:paraId="69B82AF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（b）其他重要规定违约处理</w:t>
      </w:r>
    </w:p>
    <w:p w14:paraId="0768307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有下列行为之一的处500元/人次违约金并责令承包人进行整改。</w:t>
      </w:r>
    </w:p>
    <w:p w14:paraId="588280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劳务人员未按规定签订聘用合同并向业主、监理工程师报备；或</w:t>
      </w:r>
    </w:p>
    <w:p w14:paraId="5446E00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b)、签订的劳务合同不符合劳动法等法规要求；或</w:t>
      </w:r>
    </w:p>
    <w:p w14:paraId="11AC68C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c)、务人员未编入承包人施工班组，并持项目经理签发的劳务上岗证上岗。</w:t>
      </w:r>
    </w:p>
    <w:p w14:paraId="0D4B6B9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22.1.3上述被处的违约金在计量支付时从履约担保金中扣除，当扣除额达履约担保金总额30%时，承包人无条件进行足额补充。</w:t>
      </w:r>
    </w:p>
    <w:p w14:paraId="052520F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22.1.4业主（项目法人）按合同进行违约处理后，并不解除承包人按照国家法规与合同应承担的责任与义务。</w:t>
      </w:r>
    </w:p>
    <w:p w14:paraId="3D2A883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25.其它（增加）</w:t>
      </w:r>
    </w:p>
    <w:p w14:paraId="2DE0D491">
      <w:pPr>
        <w:pageBreakBefore w:val="0"/>
        <w:widowControl w:val="0"/>
        <w:tabs>
          <w:tab w:val="left" w:pos="7200"/>
          <w:tab w:val="left" w:pos="7380"/>
          <w:tab w:val="left" w:pos="7560"/>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bCs/>
          <w:color w:val="auto"/>
          <w:szCs w:val="21"/>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12914B8">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sectPr>
          <w:footerReference r:id="rId9" w:type="default"/>
          <w:footerReference r:id="rId10" w:type="even"/>
          <w:pgSz w:w="11910" w:h="16850"/>
          <w:pgMar w:top="1480" w:right="1200" w:bottom="1080" w:left="1220" w:header="883" w:footer="884" w:gutter="0"/>
          <w:cols w:space="720" w:num="1"/>
        </w:sectPr>
      </w:pPr>
    </w:p>
    <w:p w14:paraId="7BDFDEF6">
      <w:pPr>
        <w:pStyle w:val="3"/>
        <w:pageBreakBefore w:val="0"/>
        <w:numPr>
          <w:ilvl w:val="0"/>
          <w:numId w:val="11"/>
        </w:numPr>
        <w:kinsoku/>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highlight w:val="none"/>
        </w:rPr>
      </w:pPr>
      <w:bookmarkStart w:id="471" w:name="_Toc24988"/>
      <w:bookmarkStart w:id="472" w:name="_Toc122424486"/>
      <w:bookmarkStart w:id="473" w:name="_Toc122424237"/>
      <w:bookmarkStart w:id="474" w:name="_Toc16394"/>
      <w:r>
        <w:rPr>
          <w:rFonts w:hint="eastAsia" w:ascii="宋体" w:hAnsi="宋体" w:eastAsia="宋体" w:cs="宋体"/>
          <w:color w:val="auto"/>
          <w:highlight w:val="none"/>
        </w:rPr>
        <w:t>合同附件格式</w:t>
      </w:r>
      <w:bookmarkEnd w:id="471"/>
      <w:bookmarkEnd w:id="472"/>
      <w:bookmarkEnd w:id="473"/>
      <w:bookmarkEnd w:id="474"/>
      <w:bookmarkStart w:id="475" w:name="_Toc13658"/>
      <w:bookmarkStart w:id="476" w:name="_Toc122424239"/>
      <w:bookmarkStart w:id="477" w:name="_Toc122424488"/>
    </w:p>
    <w:p w14:paraId="799B0929">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附件一 成交通知书</w:t>
      </w:r>
    </w:p>
    <w:p w14:paraId="571EC51B">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cs="宋体"/>
          <w:color w:val="auto"/>
          <w:highlight w:val="none"/>
          <w:lang w:val="en-US" w:eastAsia="zh-CN"/>
        </w:rPr>
        <w:t>二</w:t>
      </w:r>
      <w:r>
        <w:rPr>
          <w:rFonts w:hint="eastAsia" w:ascii="宋体" w:hAnsi="宋体" w:eastAsia="宋体" w:cs="宋体"/>
          <w:color w:val="auto"/>
          <w:highlight w:val="none"/>
        </w:rPr>
        <w:t xml:space="preserve"> 廉政合同</w:t>
      </w:r>
      <w:bookmarkEnd w:id="475"/>
      <w:bookmarkEnd w:id="476"/>
      <w:bookmarkEnd w:id="477"/>
    </w:p>
    <w:p w14:paraId="2DFFC791">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3827BCC7">
      <w:pPr>
        <w:pageBreakBefore w:val="0"/>
        <w:kinsoku/>
        <w:overflowPunct/>
        <w:topLinePunct w:val="0"/>
        <w:autoSpaceDE/>
        <w:autoSpaceDN/>
        <w:bidi w:val="0"/>
        <w:spacing w:line="360" w:lineRule="auto"/>
        <w:ind w:firstLine="420"/>
        <w:textAlignment w:val="auto"/>
        <w:rPr>
          <w:rFonts w:hint="eastAsia" w:ascii="宋体" w:hAnsi="宋体" w:eastAsia="宋体" w:cs="宋体"/>
          <w:color w:val="auto"/>
          <w:highlight w:val="none"/>
        </w:rPr>
      </w:pPr>
    </w:p>
    <w:p w14:paraId="185103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（项目名称）项目法人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（项目法人名称，以下简称“发包人”）与该项目的施工单位</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（施工单位名称，以下简称“承包人”），特订立如下合同。</w:t>
      </w:r>
    </w:p>
    <w:p w14:paraId="2B81ADC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1．发包人和承包人双方的权利和义务</w:t>
      </w:r>
    </w:p>
    <w:p w14:paraId="21D20C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（1）严格遵守党的政策规定和国家有关法律法规及交通运输部的有关规定。</w:t>
      </w:r>
    </w:p>
    <w:p w14:paraId="3F2827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（2）严格执行</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（项目名称）施工合同文件，自觉按合同办事。</w:t>
      </w:r>
    </w:p>
    <w:p w14:paraId="3D81159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（3）双方的业务活动坚持公开、公正、诚信、透明的原则（法律认定的商业秘密和合同文件另有规定除外），不得损害国家和集体利益，不得违反工程建设管理规章制度。</w:t>
      </w:r>
    </w:p>
    <w:p w14:paraId="3131DB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（4）建立健全廉政制度，开展廉政教育，设立廉政告示牌，公布举报电话，监督并认真查处违法违纪行为。</w:t>
      </w:r>
    </w:p>
    <w:p w14:paraId="36E9ED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（5）发现对方在业务活动中有违反廉政规定的行为，有及时提醒对方纠正的权利和义务。</w:t>
      </w:r>
    </w:p>
    <w:p w14:paraId="5DC3E6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（6）发现对方严重违反本合同义务条款的行为，有向其上级有关部门举报、建议给予处理并要求告知处理结果的权利。</w:t>
      </w:r>
    </w:p>
    <w:p w14:paraId="1A1E12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2．发包人的义务</w:t>
      </w:r>
    </w:p>
    <w:p w14:paraId="783FD8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（1）发包人及其工作人员不得索要或接受承包人的礼金、有价证券和贵重物品，不得让承包人报销任何应由发包人或发包人工作人员个人支付的费用等。</w:t>
      </w:r>
    </w:p>
    <w:p w14:paraId="01E759A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（2）发包人工作人员不得参加承包人安排的超标准宴请和娱乐活动；不得接受承包人提供的通讯工具、交通工具和高档办公用品等。</w:t>
      </w:r>
    </w:p>
    <w:p w14:paraId="4990945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（3）发包人及其工作人员不得要求或者接受承包人为其住房装修、婚丧嫁娶活动、配偶子女的工作安排以及出国出境、旅游等提供方便等。</w:t>
      </w:r>
    </w:p>
    <w:p w14:paraId="5C8B57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（4）发包人工作人员及其配偶、子女不得从事与发包人工作有关的材料设备供应、工程分包、劳务等经济活动等。</w:t>
      </w:r>
    </w:p>
    <w:p w14:paraId="05F509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（5）发包人及其工作人员不得以任何理由向承包人推荐分包单位或推销材料，不得要求承包人购买合同规定外的材料和设备。</w:t>
      </w:r>
    </w:p>
    <w:p w14:paraId="374E01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（6）发包人工作人员要秉公办事，不准营私舞弊，不准利用职权从事各种个人有偿中介活动和安排个人施工队伍。</w:t>
      </w:r>
    </w:p>
    <w:p w14:paraId="582486B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3．承包人的义务</w:t>
      </w:r>
    </w:p>
    <w:p w14:paraId="09EF5C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（1）承包人不得以任何理由向发包人及其工作人员行贿或馈赠礼金、有价证券、贵重礼品。</w:t>
      </w:r>
    </w:p>
    <w:p w14:paraId="2AB1E0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（2）承包人不得以任何名义为发包人及其工作人员报销应由发包人单位或个人支付的任何费用。</w:t>
      </w:r>
    </w:p>
    <w:p w14:paraId="262D325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（3）承包人不得以任何理由安排发包人工作人员参加超标准宴请及娱乐活动。</w:t>
      </w:r>
    </w:p>
    <w:p w14:paraId="656A68F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（4）承包人不得为发包人单位和个人购置或提供通讯工具、交通工具和高档办公用品等。</w:t>
      </w:r>
    </w:p>
    <w:p w14:paraId="52A8427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4．违约责任</w:t>
      </w:r>
    </w:p>
    <w:p w14:paraId="74AF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（1）发包人及其工作人员违反本合同第1、2条，按管理权限，依据有关规定给予党纪、政纪或组织处理；涉嫌犯罪的，移交司法院追究刑事责任；给承包人单位造成经济损失的，应予以赔偿。</w:t>
      </w:r>
    </w:p>
    <w:p w14:paraId="12830DF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C7BD0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7B7B5C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6.本合同有效期为发包人和承包人签署之日起至该工程项目竣工验收后止。</w:t>
      </w:r>
    </w:p>
    <w:p w14:paraId="35199B6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7．本合同作为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（项目名称）施工合同的附件，与工程施工合同具有同等的法律效力，经合同双方签署后立即生效。</w:t>
      </w:r>
    </w:p>
    <w:p w14:paraId="6BBCF5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8．本合同一式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份，由发包人和承包人各执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4A731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D8E72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136ECD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AF4D4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25690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7CD95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522E132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p w14:paraId="4A006326">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p>
    <w:p w14:paraId="08E52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AB468CA">
      <w:pPr>
        <w:pageBreakBefore w:val="0"/>
        <w:kinsoku/>
        <w:overflowPunct/>
        <w:topLinePunct w:val="0"/>
        <w:autoSpaceDE/>
        <w:autoSpaceDN/>
        <w:bidi w:val="0"/>
        <w:spacing w:line="360" w:lineRule="auto"/>
        <w:textAlignment w:val="auto"/>
        <w:rPr>
          <w:rFonts w:hint="eastAsia" w:ascii="宋体" w:hAnsi="宋体" w:cs="宋体"/>
          <w:color w:val="auto"/>
          <w:highlight w:val="none"/>
          <w:lang w:val="en-US" w:eastAsia="zh-CN"/>
        </w:rPr>
      </w:pPr>
    </w:p>
    <w:p w14:paraId="735006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882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38FC90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B40EC0B">
      <w:pPr>
        <w:keepNext w:val="0"/>
        <w:keepLines w:val="0"/>
        <w:pageBreakBefore w:val="0"/>
        <w:kinsoku/>
        <w:wordWrap/>
        <w:overflowPunct/>
        <w:topLinePunct w:val="0"/>
        <w:autoSpaceDE/>
        <w:autoSpaceDN/>
        <w:bidi w:val="0"/>
        <w:adjustRightInd/>
        <w:snapToGrid/>
        <w:spacing w:line="360" w:lineRule="auto"/>
        <w:ind w:right="105"/>
        <w:jc w:val="right"/>
        <w:textAlignment w:val="auto"/>
        <w:rPr>
          <w:rFonts w:hint="eastAsia" w:ascii="宋体" w:hAnsi="宋体" w:eastAsia="宋体" w:cs="宋体"/>
          <w:color w:val="auto"/>
          <w:highlight w:val="none"/>
        </w:rPr>
      </w:pPr>
    </w:p>
    <w:p w14:paraId="76A556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78" w:name="_Toc10030"/>
      <w:bookmarkStart w:id="479" w:name="_Toc122424240"/>
      <w:bookmarkStart w:id="480" w:name="_Toc122424489"/>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 xml:space="preserve"> 安全生产合同</w:t>
      </w:r>
      <w:bookmarkEnd w:id="478"/>
      <w:bookmarkEnd w:id="479"/>
      <w:bookmarkEnd w:id="480"/>
    </w:p>
    <w:p w14:paraId="1492B52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安全生产合同</w:t>
      </w:r>
    </w:p>
    <w:p w14:paraId="5D3079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为在</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（项目名称）施工合同的实施过程中创造安全、高效的施工环境，切实搞好本项目的安全管理工作，本项目发包人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（发包人名称，以下简称“发包人”）与承包人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（承包人名称，以下简称“承包人”）特此签订安全生产合同：</w:t>
      </w:r>
    </w:p>
    <w:p w14:paraId="1C8A720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1.发包人职责</w:t>
      </w:r>
    </w:p>
    <w:p w14:paraId="7A3E148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（1）严格遵守国家有关安全生产的法律法规，认真执行工程承包合同中的有关安全要求。</w:t>
      </w:r>
    </w:p>
    <w:p w14:paraId="789DD2A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（2）按照“安全第一、预防为主、综合治理”和坚持“管行业必须管安全、管业务必须管安全、管生产经营必须管安全”的原则进行安全生产管理，做到生产与安全工作同时计划、布置、检查、总结和评比。</w:t>
      </w:r>
    </w:p>
    <w:p w14:paraId="0CB8084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（3）新建、改建、扩建工程项目等建设项目的安全设施必须坚持与主体工程“三同时”的原则，即：同时设计、同时施工、同时投入生产和使用。</w:t>
      </w:r>
    </w:p>
    <w:p w14:paraId="3D06CBD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（4）定期召开安全生产调度会，及时传达中央及地方有关安全生产的精神。</w:t>
      </w:r>
    </w:p>
    <w:p w14:paraId="387AF98E">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（5）组织对承包人施工现场安全生产检查，监督承包人及时处理发现的各种安全隐患。</w:t>
      </w:r>
    </w:p>
    <w:p w14:paraId="051B38EE">
      <w:pPr>
        <w:pStyle w:val="1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（6）依照有关法律、法规的规定，对涉及安全生产的事项需要审查批准或者验收的，必须严格依照有关法律、法规和国家标准或者行业标准规定的安全生产条件和程序进行审查。</w:t>
      </w:r>
    </w:p>
    <w:p w14:paraId="73D9B9B7">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（7）不得要求接受审查、验收的单位购买其指定品牌或者指定生产、销售单位的安全设备、器材或者其他产品。</w:t>
      </w:r>
    </w:p>
    <w:p w14:paraId="0F9F10F2">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（8）定期或不定期对承包人执行有关安全生产的法律、法规和国家标准或者行业标准的情况进行监督检查。</w:t>
      </w:r>
    </w:p>
    <w:p w14:paraId="38F8E263">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2.承包人职责</w:t>
      </w:r>
    </w:p>
    <w:p w14:paraId="08518CD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0EA9E26">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0718A6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61BEA2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（4）承包人在任何时候都应采取各种合理的预防措施，防止其员工发生任何违法、违禁、暴力或妨碍治安的行为。</w:t>
      </w:r>
    </w:p>
    <w:p w14:paraId="68B2C8F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8A72C4">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33F4E4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（7）操作人员上岗，必须按规定穿戴防护用品。施工负责人和安全检查员应随时检查劳动防护用品的穿戴情况，不按规定穿戴防护用品的人员不得上岗。</w:t>
      </w:r>
    </w:p>
    <w:p w14:paraId="0633F44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（8）所有施工机具设备和高空作业的设备均应定期检查，并有安全员的签字记录，保证其经常处于完好状态；不合格的机具、设备和劳动保护用品严禁使用：</w:t>
      </w:r>
    </w:p>
    <w:p w14:paraId="731B335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（9）施工中采用新技术、新工艺、新设备、新材料时，必须制定相应的安全技术措施，施工现场必须具有相关的安全标志牌。</w:t>
      </w:r>
    </w:p>
    <w:p w14:paraId="60FB349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6A16B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（11）安全生产费用按照《公路水运工程安全生产监督管理办法》的相关规定使用和管理。</w:t>
      </w:r>
    </w:p>
    <w:p w14:paraId="0E7C775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（12）生产、经营、储存、使用危险物品的车间、商店、仓库不得与员工宿舍在同一座建筑物内，并应当与员工宿舍保持安全距离。</w:t>
      </w:r>
    </w:p>
    <w:p w14:paraId="1462F75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（13）承包人进行爆破、吊装、动火、临时用电以及国务院应急管理部门会同国务院有关部门规定的其他危险作业，应当安排专门人员进行现场安全管理，确保操作规程的遵守和安全措施的落实。</w:t>
      </w:r>
    </w:p>
    <w:p w14:paraId="15E0915D">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（14）承包人应当教育和督促从业人员严格执行本单位的安全生产规章制度和安全操作规程；并向从业人员如实告知作业场所和工作岗位存在的危险因素、防范措施以及事故应急措施。</w:t>
      </w:r>
    </w:p>
    <w:p w14:paraId="5CF1B8A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（15）承包人应当关注从业人员的身体、心理状况和行为习惯，加强对从业人员的心理疏导、精神慰藉，严格落实岗位安全生产责任，防范从业人员行为异常导致事故发生。</w:t>
      </w:r>
    </w:p>
    <w:p w14:paraId="39C77E6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3.违约责任</w:t>
      </w:r>
    </w:p>
    <w:p w14:paraId="3C244F9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如因发包人或承包人违约造成安全事故，将依法追究责任。</w:t>
      </w:r>
    </w:p>
    <w:p w14:paraId="2946083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4.本合同由双方法定代表人或其授权的代理人签署并加盖单位公章后生效，全部工程竣工验收后失效。</w:t>
      </w:r>
    </w:p>
    <w:p w14:paraId="0C31D0C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5.本合同正本—式二份，副本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份，合同双方各执正本—份，副本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份，当正本与副本的内容不一致时，以正本为准。</w:t>
      </w:r>
    </w:p>
    <w:p w14:paraId="7D55F8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75DBD7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368D512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F382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532415A">
      <w:pPr>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481" w:name="_Toc4526"/>
      <w:bookmarkStart w:id="482" w:name="_Toc122424241"/>
      <w:bookmarkStart w:id="483" w:name="_Toc12242449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 xml:space="preserve"> 其他管理和技术人员最低要求</w:t>
      </w:r>
      <w:bookmarkEnd w:id="481"/>
      <w:bookmarkEnd w:id="482"/>
      <w:bookmarkEnd w:id="483"/>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A3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25D7F3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人</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员</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BF725A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数</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量</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6B604C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资 格 要 求</w:t>
            </w:r>
          </w:p>
        </w:tc>
      </w:tr>
      <w:tr w14:paraId="034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C4EC7B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9EB852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1498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A2A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9066E6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275B2F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C26FD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EA6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3C8499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015F4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AAA932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7B2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320763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F7C4E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20DF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16E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D52DC9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6E69EB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F00CE6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E93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32D729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5F18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B82D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FE0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59D7AE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13CF9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0AEAA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361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690F10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53C49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19BB18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A0A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1AB88B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2196F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38D5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2B10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95406E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46308B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D656E8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E2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21C64F4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C88E9D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804F56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E67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2D92F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008A0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229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0B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F109E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B4176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8C4A57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F56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77B9E0E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62327C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D8564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146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E2B22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818CF0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922F72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1F79EFF8">
      <w:pPr>
        <w:pageBreakBefore w:val="0"/>
        <w:widowControl/>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4" w:name="_Toc122424242"/>
      <w:bookmarkStart w:id="485" w:name="_Toc1254"/>
      <w:bookmarkStart w:id="486" w:name="_Toc122424491"/>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 主要机械设备和试验检测设备最低要求</w:t>
      </w:r>
      <w:bookmarkEnd w:id="484"/>
      <w:bookmarkEnd w:id="485"/>
      <w:bookmarkEnd w:id="486"/>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7F5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5C0DA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设备名称</w:t>
            </w: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019959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规格、功率及容量</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E98310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单位</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2C323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最低数量要求</w:t>
            </w:r>
          </w:p>
        </w:tc>
      </w:tr>
      <w:tr w14:paraId="1366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161EEA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3DBF2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62B0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31AC8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C4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33A502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83417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A5774F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42D2CC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93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FEA30D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1AF2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38886C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2B9247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2B493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32EB26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C5D88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FE092F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AE8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628047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36AF815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BF367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9082EF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D95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5BCDDC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22F19A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88C3E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CF5B8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12A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4D9456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F4BB3A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68FBDF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61808B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CC3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B1D704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D57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D862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899AFC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5BC1E1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7718C7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4EC9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3D4A52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965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74DF3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026E64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5FF7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7C962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0A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84737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774A9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C223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633B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6B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349BC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1BC02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15E4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21B95D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F2A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50357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6A8C91A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C9470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5840DA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B0A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F4001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1E9F5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43B111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A7418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8C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CD9D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14CC5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0709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EB92B9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4829B9CF">
      <w:pPr>
        <w:pStyle w:val="4"/>
        <w:pageBreakBefore w:val="0"/>
        <w:kinsoku/>
        <w:overflowPunct/>
        <w:topLinePunct w:val="0"/>
        <w:autoSpaceDE/>
        <w:autoSpaceDN/>
        <w:bidi w:val="0"/>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7" w:name="_Toc122424243"/>
      <w:bookmarkStart w:id="488" w:name="_Toc122424492"/>
      <w:r>
        <w:rPr>
          <w:rFonts w:hint="eastAsia" w:ascii="宋体" w:hAnsi="宋体" w:eastAsia="宋体" w:cs="宋体"/>
          <w:color w:val="auto"/>
          <w:highlight w:val="none"/>
        </w:rPr>
        <w:t>附件</w:t>
      </w:r>
      <w:r>
        <w:rPr>
          <w:rFonts w:hint="eastAsia" w:ascii="宋体" w:hAnsi="宋体" w:cs="宋体"/>
          <w:color w:val="auto"/>
          <w:highlight w:val="none"/>
          <w:lang w:val="en-US" w:eastAsia="zh-CN"/>
        </w:rPr>
        <w:t>六</w:t>
      </w:r>
      <w:r>
        <w:rPr>
          <w:rFonts w:hint="eastAsia" w:ascii="宋体" w:hAnsi="宋体" w:eastAsia="宋体" w:cs="宋体"/>
          <w:color w:val="auto"/>
          <w:highlight w:val="none"/>
        </w:rPr>
        <w:t xml:space="preserve"> 履约保证金格式</w:t>
      </w:r>
      <w:bookmarkEnd w:id="487"/>
      <w:bookmarkEnd w:id="488"/>
    </w:p>
    <w:p w14:paraId="4EB39EB2">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6A467E85">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2F0F4B7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574F7F0D">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履约保证金</w:t>
      </w:r>
    </w:p>
    <w:p w14:paraId="2EB35AE5">
      <w:pPr>
        <w:pStyle w:val="45"/>
        <w:pageBreakBefore w:val="0"/>
        <w:shd w:val="clear" w:color="auto" w:fill="auto"/>
        <w:tabs>
          <w:tab w:val="left" w:leader="underscore" w:pos="2222"/>
        </w:tabs>
        <w:kinsoku/>
        <w:overflowPunct/>
        <w:topLinePunct w:val="0"/>
        <w:autoSpaceDE/>
        <w:autoSpaceDN/>
        <w:bidi w:val="0"/>
        <w:spacing w:before="0" w:after="388"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(发包人名称）：</w:t>
      </w:r>
    </w:p>
    <w:p w14:paraId="3823202B">
      <w:pPr>
        <w:pStyle w:val="45"/>
        <w:pageBreakBefore w:val="0"/>
        <w:shd w:val="clear" w:color="auto" w:fill="auto"/>
        <w:tabs>
          <w:tab w:val="left" w:leader="underscore" w:pos="2964"/>
          <w:tab w:val="left" w:leader="underscore" w:pos="8141"/>
        </w:tabs>
        <w:kinsoku/>
        <w:overflowPunct/>
        <w:topLinePunct w:val="0"/>
        <w:autoSpaceDE/>
        <w:autoSpaceDN/>
        <w:bidi w:val="0"/>
        <w:spacing w:before="0" w:line="360" w:lineRule="auto"/>
        <w:ind w:firstLine="630" w:firstLineChars="3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鉴于</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(发包人名称，以下简称“发包人”）接受</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(承包人名称，以下简称“承包人”）于</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年</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月</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日参加</w:t>
      </w:r>
      <w:r>
        <w:rPr>
          <w:rStyle w:val="46"/>
          <w:rFonts w:hint="eastAsia" w:ascii="宋体" w:hAnsi="宋体" w:eastAsia="宋体" w:cs="宋体"/>
          <w:color w:val="auto"/>
          <w:sz w:val="21"/>
          <w:szCs w:val="21"/>
          <w:highlight w:val="none"/>
          <w:lang w:val="en-US"/>
        </w:rPr>
        <w:t xml:space="preserve"> </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u w:val="single"/>
        </w:rPr>
        <w:t>(项目名称）</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4E591DF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1.担保金额人民币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7F18AC43">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2.担保有效期自发包人与承包人签订的合同生效之日起至发包人签发交工验收证书且承包人按照合同约定缴纳质量保证金之日止。</w:t>
      </w:r>
      <w:r>
        <w:rPr>
          <w:rStyle w:val="32"/>
          <w:rFonts w:hint="eastAsia" w:ascii="宋体" w:hAnsi="宋体" w:eastAsia="宋体" w:cs="宋体"/>
          <w:color w:val="auto"/>
          <w:highlight w:val="none"/>
        </w:rPr>
        <w:footnoteReference w:id="1"/>
      </w:r>
    </w:p>
    <w:p w14:paraId="18FEAFC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3.在本担保有效期内，因承包人违反合同约定的义务给你方造成经济损失时， 我方在收到你方以书面形式提出的在担保金额内的赔偿要求后，在 7 日内无条件支付，无须你方出具证明或陈述理由。</w:t>
      </w:r>
    </w:p>
    <w:p w14:paraId="0A9157A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4.发包人和承包人按合同条款第 15 条变更合同时，无论我方是否收到该变更， 我方承担本担保规定的义务不变。</w:t>
      </w:r>
    </w:p>
    <w:p w14:paraId="168DD0F8">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7300AEAD">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828459A">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11A060B0">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p>
    <w:p w14:paraId="7528A3AB">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w:t>
      </w:r>
      <w:r>
        <w:rPr>
          <w:rFonts w:hint="eastAsia" w:ascii="宋体" w:hAnsi="宋体" w:eastAsia="宋体" w:cs="宋体"/>
          <w:color w:val="auto"/>
          <w:highlight w:val="none"/>
        </w:rPr>
        <w:tab/>
      </w:r>
      <w:r>
        <w:rPr>
          <w:rFonts w:hint="eastAsia" w:ascii="宋体" w:hAnsi="宋体" w:eastAsia="宋体" w:cs="宋体"/>
          <w:color w:val="auto"/>
          <w:highlight w:val="none"/>
        </w:rPr>
        <w:t>话：</w:t>
      </w:r>
    </w:p>
    <w:p w14:paraId="72555267">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传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真：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742DD633">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日 </w:t>
      </w:r>
    </w:p>
    <w:p w14:paraId="796919FD">
      <w:pPr>
        <w:pageBreakBefore w:val="0"/>
        <w:tabs>
          <w:tab w:val="left" w:pos="3261"/>
        </w:tabs>
        <w:kinsoku/>
        <w:overflowPunct/>
        <w:topLinePunct w:val="0"/>
        <w:autoSpaceDE/>
        <w:autoSpaceDN/>
        <w:bidi w:val="0"/>
        <w:spacing w:line="360" w:lineRule="auto"/>
        <w:contextualSpacing/>
        <w:jc w:val="both"/>
        <w:textAlignment w:val="auto"/>
        <w:rPr>
          <w:rFonts w:hint="eastAsia" w:ascii="宋体" w:hAnsi="宋体" w:eastAsia="宋体" w:cs="宋体"/>
          <w:b/>
          <w:bCs/>
          <w:color w:val="auto"/>
          <w:highlight w:val="none"/>
        </w:rPr>
        <w:sectPr>
          <w:pgSz w:w="11911" w:h="16838"/>
          <w:pgMar w:top="1134" w:right="1134" w:bottom="1134" w:left="1134" w:header="720" w:footer="720" w:gutter="0"/>
          <w:cols w:space="720" w:num="1"/>
        </w:sectPr>
      </w:pPr>
    </w:p>
    <w:p w14:paraId="7310F3D4">
      <w:pPr>
        <w:pStyle w:val="2"/>
        <w:spacing w:before="0" w:after="0" w:line="240" w:lineRule="auto"/>
        <w:jc w:val="center"/>
        <w:rPr>
          <w:rFonts w:hint="eastAsia" w:ascii="宋体" w:hAnsi="宋体" w:eastAsia="宋体" w:cs="宋体"/>
          <w:b w:val="0"/>
          <w:bCs w:val="0"/>
          <w:color w:val="auto"/>
          <w:highlight w:val="none"/>
        </w:rPr>
      </w:pPr>
      <w:bookmarkStart w:id="489" w:name="_Toc29015"/>
      <w:bookmarkStart w:id="490" w:name="_Toc407135283"/>
      <w:bookmarkStart w:id="491" w:name="_Toc10491"/>
      <w:r>
        <w:rPr>
          <w:rFonts w:hint="eastAsia" w:ascii="宋体" w:hAnsi="宋体" w:eastAsia="宋体" w:cs="宋体"/>
          <w:b w:val="0"/>
          <w:bCs w:val="0"/>
          <w:color w:val="auto"/>
          <w:highlight w:val="none"/>
        </w:rPr>
        <w:t>第七章 工程量清单</w:t>
      </w:r>
      <w:bookmarkEnd w:id="489"/>
      <w:bookmarkEnd w:id="490"/>
      <w:r>
        <w:rPr>
          <w:rFonts w:hint="eastAsia" w:ascii="宋体" w:hAnsi="宋体" w:eastAsia="宋体" w:cs="宋体"/>
          <w:b w:val="0"/>
          <w:bCs w:val="0"/>
          <w:color w:val="auto"/>
          <w:highlight w:val="none"/>
        </w:rPr>
        <w:t>、图纸</w:t>
      </w:r>
      <w:bookmarkEnd w:id="491"/>
    </w:p>
    <w:p w14:paraId="1E1FE76F">
      <w:pPr>
        <w:pStyle w:val="4"/>
        <w:spacing w:before="0" w:after="0" w:line="360" w:lineRule="auto"/>
        <w:jc w:val="center"/>
        <w:rPr>
          <w:rFonts w:hint="eastAsia" w:ascii="宋体" w:hAnsi="宋体" w:eastAsia="宋体" w:cs="宋体"/>
          <w:color w:val="auto"/>
          <w:highlight w:val="none"/>
        </w:rPr>
      </w:pPr>
    </w:p>
    <w:p w14:paraId="63487A9D">
      <w:pPr>
        <w:pStyle w:val="4"/>
        <w:spacing w:before="0" w:after="0" w:line="360" w:lineRule="auto"/>
        <w:rPr>
          <w:rFonts w:hint="eastAsia" w:ascii="宋体" w:hAnsi="宋体" w:eastAsia="宋体" w:cs="宋体"/>
          <w:color w:val="auto"/>
          <w:highlight w:val="none"/>
        </w:rPr>
      </w:pPr>
      <w:bookmarkStart w:id="492" w:name="_Toc122424011"/>
      <w:bookmarkStart w:id="493" w:name="_Toc122424260"/>
      <w:r>
        <w:rPr>
          <w:rFonts w:hint="eastAsia" w:ascii="宋体" w:hAnsi="宋体" w:eastAsia="宋体" w:cs="宋体"/>
          <w:color w:val="auto"/>
          <w:highlight w:val="none"/>
        </w:rPr>
        <w:t>1.工程量清单说明</w:t>
      </w:r>
      <w:bookmarkEnd w:id="492"/>
      <w:bookmarkEnd w:id="493"/>
    </w:p>
    <w:p w14:paraId="71B596F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5C176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1.2本工程量清单应与磋商文件中的供应商须知、通用合同条款、专用合同条款、工程量清单计量规则、技术规范及图纸等一起阅读和理解。</w:t>
      </w:r>
    </w:p>
    <w:p w14:paraId="6CFFC83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5584B7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324C4CE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1.5对作业和材料的一般说明或规定，未重复写入工程量清单内，在给工程量清单各子目标价前，应参阅第七章“技术规范”的有关内容。</w:t>
      </w:r>
    </w:p>
    <w:p w14:paraId="2FA6CA7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1.6工程量清单中所列工程量的变动，丝毫不会降低或影响合同条款的效力， 也不免除承包人按规定的标准进行施工和修复缺陷的责任。</w:t>
      </w:r>
    </w:p>
    <w:p w14:paraId="13DAC832">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1.7图纸中所列的工程数量表及数量汇总表仅是提供资料，不是工程量清单的外延。当图纸与工程量清单所列数量不一致时，以工程量清单所列数量作为报价的依据。</w:t>
      </w:r>
    </w:p>
    <w:p w14:paraId="2D972167">
      <w:pPr>
        <w:pStyle w:val="4"/>
        <w:spacing w:before="0" w:after="0" w:line="360" w:lineRule="auto"/>
        <w:rPr>
          <w:rFonts w:hint="eastAsia" w:ascii="宋体" w:hAnsi="宋体" w:eastAsia="宋体" w:cs="宋体"/>
          <w:color w:val="auto"/>
          <w:highlight w:val="none"/>
        </w:rPr>
      </w:pPr>
      <w:bookmarkStart w:id="494" w:name="_Toc122424261"/>
      <w:bookmarkStart w:id="495" w:name="_Toc5517"/>
      <w:bookmarkStart w:id="496" w:name="_Toc122424012"/>
      <w:r>
        <w:rPr>
          <w:rFonts w:hint="eastAsia" w:ascii="宋体" w:hAnsi="宋体" w:eastAsia="宋体" w:cs="宋体"/>
          <w:color w:val="auto"/>
          <w:highlight w:val="none"/>
        </w:rPr>
        <w:t>2.竞标报价说明</w:t>
      </w:r>
      <w:bookmarkEnd w:id="494"/>
      <w:bookmarkEnd w:id="495"/>
      <w:bookmarkEnd w:id="496"/>
    </w:p>
    <w:p w14:paraId="2AF762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2.1工程量清单中的每一子目须填入单价或价格，且只允许有一个报价。</w:t>
      </w:r>
    </w:p>
    <w:p w14:paraId="5A8845C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64B3F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F1B532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E7515C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2.5承包人用于本合同工程的各类装备的提供、运输、维护、拆卸、拼装等支付的费用，已包括在工程量清单的单价与总额价之中。</w:t>
      </w:r>
    </w:p>
    <w:p w14:paraId="6D9BF53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11541A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2.7工程量清单中各项金额均以人民币（元）结算。</w:t>
      </w:r>
    </w:p>
    <w:p w14:paraId="0DF95E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2.8暂列金额（不含计日工总额）的数量及拟用子目的说明：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FA25E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2.9暂估价的数量及拟用子目的说明：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7D0B80">
      <w:pPr>
        <w:pStyle w:val="4"/>
        <w:spacing w:before="0" w:after="0" w:line="360" w:lineRule="auto"/>
        <w:rPr>
          <w:rFonts w:hint="eastAsia" w:ascii="宋体" w:hAnsi="宋体" w:eastAsia="宋体" w:cs="宋体"/>
          <w:color w:val="auto"/>
          <w:highlight w:val="none"/>
        </w:rPr>
      </w:pPr>
      <w:bookmarkStart w:id="497" w:name="_Toc122424262"/>
      <w:bookmarkStart w:id="498" w:name="_Toc122424013"/>
      <w:bookmarkStart w:id="499" w:name="_Toc16130"/>
      <w:r>
        <w:rPr>
          <w:rFonts w:hint="eastAsia" w:ascii="宋体" w:hAnsi="宋体" w:eastAsia="宋体" w:cs="宋体"/>
          <w:color w:val="auto"/>
          <w:highlight w:val="none"/>
        </w:rPr>
        <w:t>3.计日工说明</w:t>
      </w:r>
      <w:bookmarkEnd w:id="497"/>
      <w:bookmarkEnd w:id="498"/>
      <w:bookmarkEnd w:id="499"/>
    </w:p>
    <w:p w14:paraId="26F0DDF6">
      <w:pPr>
        <w:pStyle w:val="5"/>
        <w:rPr>
          <w:rFonts w:hint="eastAsia" w:ascii="宋体" w:hAnsi="宋体" w:eastAsia="宋体" w:cs="宋体"/>
          <w:color w:val="auto"/>
          <w:highlight w:val="none"/>
        </w:rPr>
      </w:pPr>
      <w:bookmarkStart w:id="500" w:name="_Toc2050"/>
      <w:r>
        <w:rPr>
          <w:rFonts w:hint="eastAsia" w:ascii="宋体" w:hAnsi="宋体" w:eastAsia="宋体" w:cs="宋体"/>
          <w:color w:val="auto"/>
          <w:highlight w:val="none"/>
        </w:rPr>
        <w:t>3.1总则</w:t>
      </w:r>
      <w:bookmarkEnd w:id="500"/>
    </w:p>
    <w:p w14:paraId="2060E2CB">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（1）本说明应参照通用合同条款第 15.7 款一并理解。</w:t>
      </w:r>
    </w:p>
    <w:p w14:paraId="0CA9D3A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（2）未经监理人书面指令，任何工程不得按计日工施工；接到监理人按计日工施工的书面指令，承包人也不得拒绝。</w:t>
      </w:r>
    </w:p>
    <w:p w14:paraId="093906B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1D6676D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（4）计日工不调价。</w:t>
      </w:r>
    </w:p>
    <w:p w14:paraId="0FC246C5">
      <w:pPr>
        <w:pStyle w:val="5"/>
        <w:rPr>
          <w:rFonts w:hint="eastAsia" w:ascii="宋体" w:hAnsi="宋体" w:eastAsia="宋体" w:cs="宋体"/>
          <w:color w:val="auto"/>
          <w:highlight w:val="none"/>
        </w:rPr>
      </w:pPr>
      <w:bookmarkStart w:id="501" w:name="_Toc13076"/>
      <w:r>
        <w:rPr>
          <w:rFonts w:hint="eastAsia" w:ascii="宋体" w:hAnsi="宋体" w:eastAsia="宋体" w:cs="宋体"/>
          <w:color w:val="auto"/>
          <w:highlight w:val="none"/>
        </w:rPr>
        <w:t>3.2计日工劳务</w:t>
      </w:r>
      <w:bookmarkEnd w:id="501"/>
    </w:p>
    <w:p w14:paraId="1F285A0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617262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1454B2D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a.劳务基本单价包括：承包人劳务的全部直接费用，如：工资、加班费、津贴、福利费及劳动保护费等。</w:t>
      </w:r>
    </w:p>
    <w:p w14:paraId="6CCDC7C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b.承包人的利润、管理、质检、保险、税费；易耗品的使用，水电及照明费， 工作台、脚手架、临时设施费，手动机具与工具的使用及维修，以及上述各项伴随而来的费用。</w:t>
      </w:r>
    </w:p>
    <w:p w14:paraId="1398C700">
      <w:pPr>
        <w:pStyle w:val="5"/>
        <w:rPr>
          <w:rFonts w:hint="eastAsia" w:ascii="宋体" w:hAnsi="宋体" w:eastAsia="宋体" w:cs="宋体"/>
          <w:color w:val="auto"/>
          <w:highlight w:val="none"/>
        </w:rPr>
      </w:pPr>
      <w:bookmarkStart w:id="502" w:name="_Toc23837"/>
      <w:r>
        <w:rPr>
          <w:rFonts w:hint="eastAsia" w:ascii="宋体" w:hAnsi="宋体" w:eastAsia="宋体" w:cs="宋体"/>
          <w:color w:val="auto"/>
          <w:highlight w:val="none"/>
        </w:rPr>
        <w:t>3.3计日工材料</w:t>
      </w:r>
      <w:bookmarkEnd w:id="502"/>
    </w:p>
    <w:p w14:paraId="64047BE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258FC1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（1）材料基本单价按供货价加运杂费（到达承包人现场仓库）、保险费、仓库管理费以及运输损耗等计算；</w:t>
      </w:r>
    </w:p>
    <w:p w14:paraId="15EA0D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（2）承包人的利润、管理、质检、保险、税费及其他附加费；</w:t>
      </w:r>
    </w:p>
    <w:p w14:paraId="68614D5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（3）从现场运至使用地点的人工费和施工机械使用费不包括在上述基本单价内。</w:t>
      </w:r>
    </w:p>
    <w:p w14:paraId="3A40A3DA">
      <w:pPr>
        <w:pStyle w:val="5"/>
        <w:rPr>
          <w:rFonts w:hint="eastAsia" w:ascii="宋体" w:hAnsi="宋体" w:eastAsia="宋体" w:cs="宋体"/>
          <w:color w:val="auto"/>
          <w:highlight w:val="none"/>
        </w:rPr>
      </w:pPr>
      <w:r>
        <w:rPr>
          <w:rFonts w:hint="eastAsia" w:ascii="宋体" w:hAnsi="宋体" w:eastAsia="宋体" w:cs="宋体"/>
          <w:color w:val="auto"/>
          <w:highlight w:val="none"/>
        </w:rPr>
        <w:t>3.4计日工施工机械</w:t>
      </w:r>
    </w:p>
    <w:p w14:paraId="3677F12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（1）承包人可以得到用于计日工作业的施工机械费用的支付，该费用按承包</w:t>
      </w:r>
    </w:p>
    <w:p w14:paraId="7AC0164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7BAB24C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D3E3D2A">
      <w:pPr>
        <w:pStyle w:val="4"/>
        <w:spacing w:before="0" w:after="0" w:line="360" w:lineRule="auto"/>
        <w:rPr>
          <w:rFonts w:hint="eastAsia" w:ascii="宋体" w:hAnsi="宋体" w:eastAsia="宋体" w:cs="宋体"/>
          <w:color w:val="auto"/>
          <w:highlight w:val="none"/>
        </w:rPr>
      </w:pPr>
      <w:bookmarkStart w:id="503" w:name="_Toc25846"/>
      <w:bookmarkStart w:id="504" w:name="_Toc122424014"/>
      <w:bookmarkStart w:id="505" w:name="_Toc122424263"/>
      <w:r>
        <w:rPr>
          <w:rFonts w:hint="eastAsia" w:ascii="宋体" w:hAnsi="宋体" w:eastAsia="宋体" w:cs="宋体"/>
          <w:color w:val="auto"/>
          <w:highlight w:val="none"/>
        </w:rPr>
        <w:t>4.其他说明</w:t>
      </w:r>
      <w:bookmarkEnd w:id="503"/>
      <w:bookmarkEnd w:id="504"/>
      <w:bookmarkEnd w:id="505"/>
    </w:p>
    <w:p w14:paraId="4D1647B1">
      <w:pPr>
        <w:pStyle w:val="4"/>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工程量清单、图纸获取</w:t>
      </w:r>
    </w:p>
    <w:p w14:paraId="1C0769E5">
      <w:pPr>
        <w:tabs>
          <w:tab w:val="left" w:pos="3261"/>
        </w:tabs>
        <w:spacing w:line="360" w:lineRule="auto"/>
        <w:jc w:val="left"/>
        <w:rPr>
          <w:rFonts w:ascii="宋体" w:hAnsi="宋体" w:cs="宋体"/>
          <w:b/>
          <w:color w:val="auto"/>
          <w:sz w:val="44"/>
          <w:szCs w:val="44"/>
          <w:highlight w:val="none"/>
        </w:rPr>
      </w:pPr>
      <w:r>
        <w:rPr>
          <w:rFonts w:hint="eastAsia" w:ascii="宋体" w:hAnsi="宋体" w:eastAsia="宋体" w:cs="宋体"/>
          <w:color w:val="auto"/>
          <w:highlight w:val="none"/>
        </w:rPr>
        <w:t>获取方式：网上下载。本项目不发放</w:t>
      </w:r>
      <w:r>
        <w:rPr>
          <w:rFonts w:hint="eastAsia" w:ascii="宋体" w:hAnsi="宋体" w:eastAsia="宋体" w:cs="宋体"/>
          <w:color w:val="auto"/>
          <w:highlight w:val="none"/>
          <w:lang w:eastAsia="zh-CN"/>
        </w:rPr>
        <w:t>纸质版的</w:t>
      </w:r>
      <w:r>
        <w:rPr>
          <w:rFonts w:hint="eastAsia" w:ascii="宋体" w:hAnsi="宋体" w:eastAsia="宋体" w:cs="宋体"/>
          <w:color w:val="auto"/>
          <w:highlight w:val="none"/>
        </w:rPr>
        <w:t>工程量清单及图纸，由潜在供应商自行在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下载。</w:t>
      </w:r>
    </w:p>
    <w:p w14:paraId="66D2BE8E">
      <w:pPr>
        <w:tabs>
          <w:tab w:val="left" w:pos="3261"/>
        </w:tabs>
        <w:spacing w:line="360" w:lineRule="auto"/>
        <w:jc w:val="center"/>
        <w:rPr>
          <w:rFonts w:ascii="宋体" w:hAnsi="宋体" w:cs="宋体"/>
          <w:b/>
          <w:color w:val="auto"/>
          <w:sz w:val="44"/>
          <w:szCs w:val="44"/>
          <w:highlight w:val="none"/>
        </w:rPr>
      </w:pPr>
    </w:p>
    <w:p w14:paraId="36EBAD79">
      <w:pPr>
        <w:tabs>
          <w:tab w:val="left" w:pos="3261"/>
        </w:tabs>
        <w:spacing w:line="360" w:lineRule="auto"/>
        <w:jc w:val="center"/>
        <w:rPr>
          <w:rFonts w:ascii="宋体" w:hAnsi="宋体" w:cs="宋体"/>
          <w:b/>
          <w:color w:val="auto"/>
          <w:sz w:val="44"/>
          <w:szCs w:val="44"/>
          <w:highlight w:val="none"/>
        </w:rPr>
      </w:pPr>
    </w:p>
    <w:p w14:paraId="427E322B">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auto"/>
          <w:sz w:val="44"/>
          <w:szCs w:val="44"/>
          <w:highlight w:val="none"/>
        </w:rPr>
      </w:pPr>
    </w:p>
    <w:p w14:paraId="6257ADBA">
      <w:pPr>
        <w:tabs>
          <w:tab w:val="left" w:pos="3261"/>
        </w:tabs>
        <w:spacing w:line="360" w:lineRule="auto"/>
        <w:jc w:val="center"/>
        <w:rPr>
          <w:rFonts w:ascii="宋体" w:hAnsi="宋体" w:cs="宋体"/>
          <w:b/>
          <w:color w:val="auto"/>
          <w:sz w:val="44"/>
          <w:szCs w:val="44"/>
          <w:highlight w:val="none"/>
        </w:rPr>
      </w:pPr>
    </w:p>
    <w:p w14:paraId="69AA9C59">
      <w:pPr>
        <w:tabs>
          <w:tab w:val="left" w:pos="3261"/>
        </w:tabs>
        <w:spacing w:line="360" w:lineRule="auto"/>
        <w:jc w:val="center"/>
        <w:rPr>
          <w:rFonts w:ascii="宋体" w:hAnsi="宋体" w:cs="宋体"/>
          <w:b/>
          <w:color w:val="auto"/>
          <w:sz w:val="44"/>
          <w:szCs w:val="44"/>
          <w:highlight w:val="none"/>
        </w:rPr>
      </w:pPr>
    </w:p>
    <w:p w14:paraId="4EC8D1FD">
      <w:pPr>
        <w:tabs>
          <w:tab w:val="left" w:pos="3261"/>
        </w:tabs>
        <w:spacing w:line="360" w:lineRule="auto"/>
        <w:jc w:val="center"/>
        <w:rPr>
          <w:rFonts w:ascii="宋体" w:hAnsi="宋体" w:cs="宋体"/>
          <w:b/>
          <w:color w:val="auto"/>
          <w:sz w:val="44"/>
          <w:szCs w:val="44"/>
          <w:highlight w:val="none"/>
        </w:rPr>
      </w:pPr>
    </w:p>
    <w:p w14:paraId="47BD94DB">
      <w:pPr>
        <w:tabs>
          <w:tab w:val="left" w:pos="3261"/>
        </w:tabs>
        <w:spacing w:line="360" w:lineRule="auto"/>
        <w:jc w:val="center"/>
        <w:rPr>
          <w:rFonts w:ascii="宋体" w:hAnsi="宋体" w:cs="宋体"/>
          <w:b/>
          <w:color w:val="auto"/>
          <w:sz w:val="44"/>
          <w:szCs w:val="44"/>
          <w:highlight w:val="none"/>
        </w:rPr>
      </w:pPr>
    </w:p>
    <w:p w14:paraId="3611968D">
      <w:pPr>
        <w:pStyle w:val="2"/>
        <w:jc w:val="center"/>
        <w:rPr>
          <w:rFonts w:ascii="宋体" w:hAnsi="宋体" w:cs="宋体"/>
          <w:color w:val="auto"/>
          <w:highlight w:val="none"/>
        </w:rPr>
      </w:pPr>
      <w:bookmarkStart w:id="506"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八</w:t>
      </w:r>
      <w:r>
        <w:rPr>
          <w:rFonts w:hint="eastAsia" w:ascii="宋体" w:hAnsi="宋体" w:cs="宋体"/>
          <w:b w:val="0"/>
          <w:color w:val="auto"/>
          <w:highlight w:val="none"/>
        </w:rPr>
        <w:t>章 质疑、投诉材料格式</w:t>
      </w:r>
      <w:bookmarkEnd w:id="506"/>
    </w:p>
    <w:p w14:paraId="6A447DD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07" w:name="PO_3000001868_PM002_16"/>
      <w:r>
        <w:rPr>
          <w:rFonts w:hint="eastAsia" w:hAnsi="宋体" w:cs="宋体"/>
          <w:bCs/>
          <w:color w:val="auto"/>
          <w:sz w:val="24"/>
          <w:szCs w:val="24"/>
          <w:highlight w:val="none"/>
          <w:u w:val="single"/>
        </w:rPr>
        <w:t>[项目名称]</w:t>
      </w:r>
      <w:bookmarkEnd w:id="507"/>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508" w:name="PO_3000001868_PM001_13"/>
      <w:r>
        <w:rPr>
          <w:rFonts w:hint="eastAsia" w:hAnsi="宋体" w:cs="宋体"/>
          <w:bCs/>
          <w:color w:val="auto"/>
          <w:sz w:val="24"/>
          <w:szCs w:val="24"/>
          <w:highlight w:val="none"/>
          <w:u w:val="single"/>
        </w:rPr>
        <w:t>[项目编号]</w:t>
      </w:r>
      <w:bookmarkEnd w:id="508"/>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09" w:name="PO_3000001868_PM026_7"/>
      <w:r>
        <w:rPr>
          <w:rFonts w:hint="eastAsia" w:hAnsi="宋体" w:cs="宋体"/>
          <w:bCs/>
          <w:color w:val="auto"/>
          <w:sz w:val="24"/>
          <w:szCs w:val="24"/>
          <w:highlight w:val="none"/>
          <w:u w:val="single"/>
        </w:rPr>
        <w:t>[采购人]</w:t>
      </w:r>
      <w:bookmarkEnd w:id="509"/>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0" w:name="PO_3000001868_PM002_17"/>
      <w:r>
        <w:rPr>
          <w:rFonts w:hint="eastAsia" w:hAnsi="宋体" w:cs="宋体"/>
          <w:bCs/>
          <w:color w:val="auto"/>
          <w:sz w:val="24"/>
          <w:szCs w:val="24"/>
          <w:highlight w:val="none"/>
          <w:u w:val="single"/>
        </w:rPr>
        <w:t>[项目名称]</w:t>
      </w:r>
      <w:bookmarkEnd w:id="510"/>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511" w:name="PO_3000001868_PM001_14"/>
      <w:r>
        <w:rPr>
          <w:rFonts w:hint="eastAsia" w:hAnsi="宋体" w:cs="宋体"/>
          <w:bCs/>
          <w:color w:val="auto"/>
          <w:sz w:val="24"/>
          <w:szCs w:val="24"/>
          <w:highlight w:val="none"/>
          <w:u w:val="single"/>
        </w:rPr>
        <w:t>[项目编号]</w:t>
      </w:r>
      <w:bookmarkEnd w:id="511"/>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12" w:name="PO_3000001868_PM026_8"/>
      <w:r>
        <w:rPr>
          <w:rFonts w:hint="eastAsia" w:hAnsi="宋体" w:cs="宋体"/>
          <w:bCs/>
          <w:color w:val="auto"/>
          <w:sz w:val="24"/>
          <w:szCs w:val="24"/>
          <w:highlight w:val="none"/>
          <w:u w:val="single"/>
        </w:rPr>
        <w:t>[采购人]</w:t>
      </w:r>
      <w:bookmarkEnd w:id="512"/>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513" w:name="PO_3000001868_PM031_5"/>
      <w:r>
        <w:rPr>
          <w:rFonts w:hint="eastAsia" w:hAnsi="宋体" w:cs="宋体"/>
          <w:bCs/>
          <w:color w:val="auto"/>
          <w:sz w:val="24"/>
          <w:szCs w:val="24"/>
          <w:highlight w:val="none"/>
          <w:u w:val="single"/>
        </w:rPr>
        <w:t>[采购组织机构]</w:t>
      </w:r>
      <w:bookmarkEnd w:id="513"/>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946">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57D3">
                          <w:pPr>
                            <w:pStyle w:val="18"/>
                            <w:jc w:val="right"/>
                          </w:pPr>
                          <w:r>
                            <w:fldChar w:fldCharType="begin"/>
                          </w:r>
                          <w:r>
                            <w:instrText xml:space="preserve">PAGE   \* MERGEFORMAT</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EF57D3">
                    <w:pPr>
                      <w:pStyle w:val="18"/>
                      <w:jc w:val="right"/>
                    </w:pPr>
                    <w:r>
                      <w:fldChar w:fldCharType="begin"/>
                    </w:r>
                    <w:r>
                      <w:instrText xml:space="preserve">PAGE   \* MERGEFORMAT</w:instrText>
                    </w:r>
                    <w:r>
                      <w:fldChar w:fldCharType="separate"/>
                    </w:r>
                    <w:r>
                      <w:t>5</w:t>
                    </w:r>
                    <w:r>
                      <w:fldChar w:fldCharType="end"/>
                    </w:r>
                  </w:p>
                </w:txbxContent>
              </v:textbox>
            </v:shape>
          </w:pict>
        </mc:Fallback>
      </mc:AlternateContent>
    </w:r>
  </w:p>
  <w:p w14:paraId="55FCA117">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49EC">
    <w:pPr>
      <w:pStyle w:val="18"/>
    </w:pPr>
    <w:r>
      <w:fldChar w:fldCharType="begin"/>
    </w:r>
    <w:r>
      <w:instrText xml:space="preserve">PAGE   \* MERGEFORMAT</w:instrText>
    </w:r>
    <w:r>
      <w:fldChar w:fldCharType="separate"/>
    </w:r>
    <w:r>
      <w:t>150</w:t>
    </w:r>
    <w:r>
      <w:fldChar w:fldCharType="end"/>
    </w:r>
  </w:p>
  <w:p w14:paraId="3D8FF92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A13">
    <w:pPr>
      <w:pStyle w:val="11"/>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1E3398">
      <w:pPr>
        <w:pStyle w:val="22"/>
        <w:spacing w:line="240" w:lineRule="auto"/>
        <w:ind w:firstLine="0"/>
        <w:rPr>
          <w:rFonts w:hint="eastAsia"/>
          <w:kern w:val="2"/>
        </w:rPr>
      </w:pPr>
      <w:r>
        <w:rPr>
          <w:rStyle w:val="32"/>
        </w:rPr>
        <w:footnoteRef/>
      </w:r>
      <w:r>
        <w:rPr>
          <w:rFonts w:hint="eastAsia"/>
        </w:rPr>
        <w:t>如果在招标阶段，招标人在图纸中直接指定了取土场和弃土场位置，且作为投标人投标报价的依据，则招标人应在项目专用合同条款中对本项规定进行调整。</w:t>
      </w:r>
    </w:p>
  </w:footnote>
  <w:footnote w:id="1">
    <w:p w14:paraId="2A36C7DA">
      <w:pPr>
        <w:pStyle w:val="22"/>
        <w:ind w:firstLine="360"/>
        <w:rPr>
          <w:rFonts w:hint="eastAsia"/>
          <w:kern w:val="2"/>
        </w:rPr>
      </w:pPr>
      <w:r>
        <w:rPr>
          <w:rStyle w:val="32"/>
        </w:rPr>
        <w:footnoteRef/>
      </w:r>
      <w:r>
        <w:rPr>
          <w:rFonts w:hint="eastAsia"/>
        </w:rPr>
        <w:t>本条内容可修改为：“本担保自（生效日期）之日起生效，至</w:t>
      </w:r>
      <w:r>
        <w:rPr>
          <w:rFonts w:hint="eastAsia"/>
        </w:rPr>
        <w:tab/>
      </w:r>
      <w:r>
        <w:rPr>
          <w:rFonts w:hint="eastAsia"/>
        </w:rPr>
        <w:t>（失效日期）之日失效。”</w:t>
      </w:r>
    </w:p>
    <w:p w14:paraId="7FDD9DEC">
      <w:pPr>
        <w:pStyle w:val="22"/>
        <w:ind w:firstLine="360"/>
        <w:rPr>
          <w:rFonts w:hint="eastAsia"/>
        </w:rPr>
      </w:pP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政府采购竞争性磋商采购文件（项目编号：FCZC2025-C2-210118-GXZZ）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BD62"/>
    <w:multiLevelType w:val="singleLevel"/>
    <w:tmpl w:val="A0BBBD62"/>
    <w:lvl w:ilvl="0" w:tentative="0">
      <w:start w:val="1"/>
      <w:numFmt w:val="decimal"/>
      <w:suff w:val="nothing"/>
      <w:lvlText w:val="（%1）"/>
      <w:lvlJc w:val="left"/>
    </w:lvl>
  </w:abstractNum>
  <w:abstractNum w:abstractNumId="1">
    <w:nsid w:val="A1965E9C"/>
    <w:multiLevelType w:val="singleLevel"/>
    <w:tmpl w:val="A1965E9C"/>
    <w:lvl w:ilvl="0" w:tentative="0">
      <w:start w:val="1"/>
      <w:numFmt w:val="decimal"/>
      <w:suff w:val="nothing"/>
      <w:lvlText w:val="（%1）"/>
      <w:lvlJc w:val="left"/>
    </w:lvl>
  </w:abstractNum>
  <w:abstractNum w:abstractNumId="2">
    <w:nsid w:val="E2AD0F0F"/>
    <w:multiLevelType w:val="singleLevel"/>
    <w:tmpl w:val="E2AD0F0F"/>
    <w:lvl w:ilvl="0" w:tentative="0">
      <w:start w:val="12"/>
      <w:numFmt w:val="decimal"/>
      <w:suff w:val="nothing"/>
      <w:lvlText w:val="%1．"/>
      <w:lvlJc w:val="left"/>
    </w:lvl>
  </w:abstractNum>
  <w:abstractNum w:abstractNumId="3">
    <w:nsid w:val="EED7ECF8"/>
    <w:multiLevelType w:val="singleLevel"/>
    <w:tmpl w:val="EED7ECF8"/>
    <w:lvl w:ilvl="0" w:tentative="0">
      <w:start w:val="3"/>
      <w:numFmt w:val="chineseCounting"/>
      <w:suff w:val="space"/>
      <w:lvlText w:val="第%1节"/>
      <w:lvlJc w:val="left"/>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77157EF"/>
    <w:multiLevelType w:val="singleLevel"/>
    <w:tmpl w:val="177157EF"/>
    <w:lvl w:ilvl="0" w:tentative="0">
      <w:start w:val="3"/>
      <w:numFmt w:val="chineseCounting"/>
      <w:suff w:val="nothing"/>
      <w:lvlText w:val="%1、"/>
      <w:lvlJc w:val="left"/>
      <w:rPr>
        <w:rFonts w:hint="eastAsia"/>
      </w:rPr>
    </w:lvl>
  </w:abstractNum>
  <w:abstractNum w:abstractNumId="6">
    <w:nsid w:val="2884BD95"/>
    <w:multiLevelType w:val="singleLevel"/>
    <w:tmpl w:val="2884BD95"/>
    <w:lvl w:ilvl="0" w:tentative="0">
      <w:start w:val="1"/>
      <w:numFmt w:val="decimal"/>
      <w:suff w:val="nothing"/>
      <w:lvlText w:val="%1、"/>
      <w:lvlJc w:val="left"/>
    </w:lvl>
  </w:abstractNum>
  <w:abstractNum w:abstractNumId="7">
    <w:nsid w:val="508D7A92"/>
    <w:multiLevelType w:val="singleLevel"/>
    <w:tmpl w:val="508D7A92"/>
    <w:lvl w:ilvl="0" w:tentative="0">
      <w:start w:val="1"/>
      <w:numFmt w:val="decimal"/>
      <w:suff w:val="nothing"/>
      <w:lvlText w:val="（%1）"/>
      <w:lvlJc w:val="left"/>
    </w:lvl>
  </w:abstractNum>
  <w:abstractNum w:abstractNumId="8">
    <w:nsid w:val="531434F1"/>
    <w:multiLevelType w:val="singleLevel"/>
    <w:tmpl w:val="531434F1"/>
    <w:lvl w:ilvl="0" w:tentative="0">
      <w:start w:val="1"/>
      <w:numFmt w:val="decimal"/>
      <w:suff w:val="nothing"/>
      <w:lvlText w:val="（%1）"/>
      <w:lvlJc w:val="left"/>
    </w:lvl>
  </w:abstractNum>
  <w:abstractNum w:abstractNumId="9">
    <w:nsid w:val="5B39FDE6"/>
    <w:multiLevelType w:val="singleLevel"/>
    <w:tmpl w:val="5B39FDE6"/>
    <w:lvl w:ilvl="0" w:tentative="0">
      <w:start w:val="1"/>
      <w:numFmt w:val="decimal"/>
      <w:suff w:val="nothing"/>
      <w:lvlText w:val="（%1）"/>
      <w:lvlJc w:val="left"/>
      <w:pPr>
        <w:ind w:left="0" w:firstLine="0"/>
      </w:pPr>
    </w:lvl>
  </w:abstractNum>
  <w:abstractNum w:abstractNumId="10">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0"/>
  </w:num>
  <w:num w:numId="2">
    <w:abstractNumId w:val="7"/>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lvlOverride w:ilvl="0">
      <w:startOverride w:val="1"/>
    </w:lvlOverride>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FB241F"/>
    <w:rsid w:val="05F4078D"/>
    <w:rsid w:val="06A41694"/>
    <w:rsid w:val="07757BDE"/>
    <w:rsid w:val="07CA4C73"/>
    <w:rsid w:val="08783670"/>
    <w:rsid w:val="08910034"/>
    <w:rsid w:val="089D5EE4"/>
    <w:rsid w:val="08E9253E"/>
    <w:rsid w:val="09024057"/>
    <w:rsid w:val="099427CD"/>
    <w:rsid w:val="0AE02C20"/>
    <w:rsid w:val="0BEC2D80"/>
    <w:rsid w:val="0C973ECB"/>
    <w:rsid w:val="0D1F511A"/>
    <w:rsid w:val="0DC05864"/>
    <w:rsid w:val="0DC07915"/>
    <w:rsid w:val="0ED10695"/>
    <w:rsid w:val="0EE643B4"/>
    <w:rsid w:val="0F764D32"/>
    <w:rsid w:val="11140D0D"/>
    <w:rsid w:val="11162CD7"/>
    <w:rsid w:val="112D117D"/>
    <w:rsid w:val="11543B08"/>
    <w:rsid w:val="131F22A7"/>
    <w:rsid w:val="14B542EB"/>
    <w:rsid w:val="14C65C60"/>
    <w:rsid w:val="14E80D87"/>
    <w:rsid w:val="16C2757B"/>
    <w:rsid w:val="18083A36"/>
    <w:rsid w:val="1811456D"/>
    <w:rsid w:val="18A701A3"/>
    <w:rsid w:val="1AEF0255"/>
    <w:rsid w:val="1DAD75B8"/>
    <w:rsid w:val="1DC37378"/>
    <w:rsid w:val="1E1F4DBD"/>
    <w:rsid w:val="1F1A4A57"/>
    <w:rsid w:val="1F212D50"/>
    <w:rsid w:val="2120569A"/>
    <w:rsid w:val="2139502F"/>
    <w:rsid w:val="22B569E9"/>
    <w:rsid w:val="239530E4"/>
    <w:rsid w:val="23CF3DE7"/>
    <w:rsid w:val="23E838BA"/>
    <w:rsid w:val="24C02C1C"/>
    <w:rsid w:val="259C7F06"/>
    <w:rsid w:val="27064F56"/>
    <w:rsid w:val="271C2272"/>
    <w:rsid w:val="2A2A6F25"/>
    <w:rsid w:val="2A6308E4"/>
    <w:rsid w:val="2AD156A3"/>
    <w:rsid w:val="2B637489"/>
    <w:rsid w:val="2DA82AB1"/>
    <w:rsid w:val="2DD161DF"/>
    <w:rsid w:val="2F7B74D5"/>
    <w:rsid w:val="3179279B"/>
    <w:rsid w:val="31946B55"/>
    <w:rsid w:val="327C2994"/>
    <w:rsid w:val="340547BA"/>
    <w:rsid w:val="346B4DFC"/>
    <w:rsid w:val="350D3D50"/>
    <w:rsid w:val="35AA4124"/>
    <w:rsid w:val="35D3093F"/>
    <w:rsid w:val="37015A22"/>
    <w:rsid w:val="379A790F"/>
    <w:rsid w:val="38757231"/>
    <w:rsid w:val="39333B77"/>
    <w:rsid w:val="39414E76"/>
    <w:rsid w:val="395028AA"/>
    <w:rsid w:val="3A7D30CD"/>
    <w:rsid w:val="3B4C7172"/>
    <w:rsid w:val="3CE65E70"/>
    <w:rsid w:val="3D3D401B"/>
    <w:rsid w:val="3EDB25AD"/>
    <w:rsid w:val="3EEF6155"/>
    <w:rsid w:val="3F0A4723"/>
    <w:rsid w:val="3FD20B5E"/>
    <w:rsid w:val="41310CE3"/>
    <w:rsid w:val="41D2177E"/>
    <w:rsid w:val="434D1256"/>
    <w:rsid w:val="436D5ED7"/>
    <w:rsid w:val="43804DDE"/>
    <w:rsid w:val="440A3726"/>
    <w:rsid w:val="45F97FFB"/>
    <w:rsid w:val="4614088C"/>
    <w:rsid w:val="47036501"/>
    <w:rsid w:val="470C7D34"/>
    <w:rsid w:val="473D0DA5"/>
    <w:rsid w:val="487041FF"/>
    <w:rsid w:val="488643E5"/>
    <w:rsid w:val="48E91EBC"/>
    <w:rsid w:val="493A429A"/>
    <w:rsid w:val="493F3E72"/>
    <w:rsid w:val="497C6E74"/>
    <w:rsid w:val="49E66D09"/>
    <w:rsid w:val="4A6F7BCC"/>
    <w:rsid w:val="4B1530DD"/>
    <w:rsid w:val="4B931AB6"/>
    <w:rsid w:val="4BE43E1D"/>
    <w:rsid w:val="4C0F2086"/>
    <w:rsid w:val="4C3374BB"/>
    <w:rsid w:val="4C925E54"/>
    <w:rsid w:val="4CB66890"/>
    <w:rsid w:val="4CE0771A"/>
    <w:rsid w:val="4D2B1E2E"/>
    <w:rsid w:val="4DB513F5"/>
    <w:rsid w:val="4DBA440F"/>
    <w:rsid w:val="4E0E32EC"/>
    <w:rsid w:val="4E6A1991"/>
    <w:rsid w:val="4E6F6C65"/>
    <w:rsid w:val="4FD55530"/>
    <w:rsid w:val="500A1A11"/>
    <w:rsid w:val="50125E3D"/>
    <w:rsid w:val="50D420F0"/>
    <w:rsid w:val="510A6F88"/>
    <w:rsid w:val="519F45AD"/>
    <w:rsid w:val="52285CE0"/>
    <w:rsid w:val="52CA68C2"/>
    <w:rsid w:val="52CD68BD"/>
    <w:rsid w:val="546227DC"/>
    <w:rsid w:val="54F26A43"/>
    <w:rsid w:val="566E6C91"/>
    <w:rsid w:val="56D57BC4"/>
    <w:rsid w:val="57600F2A"/>
    <w:rsid w:val="5829145C"/>
    <w:rsid w:val="582A3264"/>
    <w:rsid w:val="5855720E"/>
    <w:rsid w:val="58814E71"/>
    <w:rsid w:val="58E40592"/>
    <w:rsid w:val="58F86F27"/>
    <w:rsid w:val="5B0171D9"/>
    <w:rsid w:val="5B3C46B5"/>
    <w:rsid w:val="5C1B4AA7"/>
    <w:rsid w:val="5C5B1863"/>
    <w:rsid w:val="5D34405E"/>
    <w:rsid w:val="5D98486A"/>
    <w:rsid w:val="5EDC1325"/>
    <w:rsid w:val="5F5E109E"/>
    <w:rsid w:val="5FA40A7B"/>
    <w:rsid w:val="60492303"/>
    <w:rsid w:val="61B01959"/>
    <w:rsid w:val="61BF6C65"/>
    <w:rsid w:val="6300246C"/>
    <w:rsid w:val="634F3056"/>
    <w:rsid w:val="64073002"/>
    <w:rsid w:val="64485466"/>
    <w:rsid w:val="64CE0732"/>
    <w:rsid w:val="654D349C"/>
    <w:rsid w:val="65622F6B"/>
    <w:rsid w:val="666A1688"/>
    <w:rsid w:val="66A20783"/>
    <w:rsid w:val="66BB6220"/>
    <w:rsid w:val="66F94245"/>
    <w:rsid w:val="672229B1"/>
    <w:rsid w:val="67D768A8"/>
    <w:rsid w:val="68481CB4"/>
    <w:rsid w:val="684D788C"/>
    <w:rsid w:val="69643755"/>
    <w:rsid w:val="69E76134"/>
    <w:rsid w:val="6A3505E0"/>
    <w:rsid w:val="6C5664BB"/>
    <w:rsid w:val="6D5F0968"/>
    <w:rsid w:val="6D90547A"/>
    <w:rsid w:val="6EE73126"/>
    <w:rsid w:val="71DF335D"/>
    <w:rsid w:val="72590521"/>
    <w:rsid w:val="737F2F3A"/>
    <w:rsid w:val="73C92407"/>
    <w:rsid w:val="740F250F"/>
    <w:rsid w:val="75930F1E"/>
    <w:rsid w:val="75F210A5"/>
    <w:rsid w:val="779A3713"/>
    <w:rsid w:val="77F74806"/>
    <w:rsid w:val="788C05D2"/>
    <w:rsid w:val="788D26EB"/>
    <w:rsid w:val="7895331B"/>
    <w:rsid w:val="794C1B10"/>
    <w:rsid w:val="79D44CC5"/>
    <w:rsid w:val="7A7F5410"/>
    <w:rsid w:val="7C464F3C"/>
    <w:rsid w:val="7C8342AF"/>
    <w:rsid w:val="7CF00243"/>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autoRedefine/>
    <w:unhideWhenUsed/>
    <w:qFormat/>
    <w:uiPriority w:val="99"/>
    <w:rPr>
      <w:color w:val="0000FF"/>
      <w:u w:val="single"/>
    </w:rPr>
  </w:style>
  <w:style w:type="character" w:styleId="31">
    <w:name w:val="annotation reference"/>
    <w:basedOn w:val="28"/>
    <w:autoRedefine/>
    <w:qFormat/>
    <w:uiPriority w:val="99"/>
    <w:rPr>
      <w:sz w:val="21"/>
      <w:szCs w:val="21"/>
    </w:rPr>
  </w:style>
  <w:style w:type="character" w:styleId="32">
    <w:name w:val="footnote reference"/>
    <w:autoRedefine/>
    <w:unhideWhenUsed/>
    <w:qFormat/>
    <w:uiPriority w:val="0"/>
    <w:rPr>
      <w:vertAlign w:val="superscript"/>
    </w:rPr>
  </w:style>
  <w:style w:type="paragraph" w:customStyle="1" w:styleId="33">
    <w:name w:val="Title1"/>
    <w:basedOn w:val="1"/>
    <w:next w:val="1"/>
    <w:autoRedefine/>
    <w:qFormat/>
    <w:uiPriority w:val="0"/>
    <w:pPr>
      <w:jc w:val="center"/>
      <w:outlineLvl w:val="0"/>
    </w:pPr>
    <w:rPr>
      <w:rFonts w:ascii="Calibri Light" w:hAnsi="Calibri Light" w:eastAsia="Arial Unicode MS"/>
      <w:b/>
    </w:rPr>
  </w:style>
  <w:style w:type="paragraph" w:customStyle="1" w:styleId="34">
    <w:name w:val="表格文字115"/>
    <w:basedOn w:val="1"/>
    <w:autoRedefine/>
    <w:qFormat/>
    <w:uiPriority w:val="0"/>
    <w:pPr>
      <w:spacing w:before="25" w:after="25"/>
      <w:jc w:val="left"/>
    </w:pPr>
    <w:rPr>
      <w:bCs/>
      <w:spacing w:val="10"/>
      <w:kern w:val="0"/>
      <w:sz w:val="24"/>
    </w:rPr>
  </w:style>
  <w:style w:type="paragraph" w:customStyle="1" w:styleId="35">
    <w:name w:val="正文-公1"/>
    <w:basedOn w:val="1"/>
    <w:autoRedefine/>
    <w:qFormat/>
    <w:uiPriority w:val="0"/>
    <w:pPr>
      <w:ind w:firstLine="200" w:firstLineChars="200"/>
      <w:jc w:val="left"/>
    </w:pPr>
    <w:rPr>
      <w:rFonts w:eastAsia="仿宋_GB2312"/>
    </w:rPr>
  </w:style>
  <w:style w:type="paragraph" w:customStyle="1" w:styleId="36">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字符"/>
    <w:basedOn w:val="28"/>
    <w:link w:val="17"/>
    <w:autoRedefine/>
    <w:qFormat/>
    <w:uiPriority w:val="0"/>
    <w:rPr>
      <w:kern w:val="2"/>
      <w:sz w:val="18"/>
      <w:szCs w:val="18"/>
    </w:rPr>
  </w:style>
  <w:style w:type="paragraph" w:customStyle="1" w:styleId="44">
    <w:name w:val="首行缩进"/>
    <w:basedOn w:val="1"/>
    <w:autoRedefine/>
    <w:qFormat/>
    <w:uiPriority w:val="99"/>
    <w:pPr>
      <w:ind w:firstLine="480" w:firstLineChars="200"/>
    </w:pPr>
    <w:rPr>
      <w:lang w:val="zh-CN"/>
    </w:rPr>
  </w:style>
  <w:style w:type="paragraph" w:customStyle="1" w:styleId="45">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6">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7">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8">
    <w:name w:val="fontstyle01"/>
    <w:basedOn w:val="28"/>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157</Pages>
  <Words>6774</Words>
  <Characters>7954</Characters>
  <Lines>6178</Lines>
  <Paragraphs>2622</Paragraphs>
  <TotalTime>6</TotalTime>
  <ScaleCrop>false</ScaleCrop>
  <LinksUpToDate>false</LinksUpToDate>
  <CharactersWithSpaces>8070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2023-06-13T17:54:00Z</dcterms:created>
  <dc:creator>Max</dc:creator>
  <cp:lastModifiedBy>翔燕</cp:lastModifiedBy>
  <cp:lastPrinted>2024-01-03T08:56:00Z</cp:lastPrinted>
  <dcterms:modified xsi:type="dcterms:W3CDTF">2025-10-31T07:23:58Z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5CA9615C026D4F4AAF4F9BA0A2B9DF0A_13</vt:lpwstr>
  </property>
  <property fmtid="{D5CDD505-2E9C-101B-9397-08002B2CF9AE}" pid="4" name="KSOTemplateDocerSaveRecord">
    <vt:lpwstr>eyJoZGlkIjoiYWYyNmVkMWFkNDVmM2QxNzc3YmI4OWMzYzY0M2UzZWUiLCJ1c2VySWQiOiI3MzA1OTU2MDgifQ==</vt:lpwstr>
  </property>
</Properties>
</file>